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HSBC</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FX Settlement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HSBC</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32"/>
        <w:gridCol w:w="63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FX Settlement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HSBC</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HSBC-RFP-202603-04</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HSBC is to adopt DALP as the configuration-led lifecycle, policy, and integration orchestration layer for fx settlement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HSBC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pPr>
        <w:jc w:val="center"/>
      </w:pPr>
      <w:r>
        <w:drawing>
          <wp:inline xmlns:a="http://schemas.openxmlformats.org/drawingml/2006/main" xmlns:pic="http://schemas.openxmlformats.org/drawingml/2006/picture">
            <wp:extent cx="2628900" cy="50863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5086350"/>
                    </a:xfrm>
                    <a:prstGeom prst="rect"/>
                  </pic:spPr>
                </pic:pic>
              </a:graphicData>
            </a:graphic>
          </wp:inline>
        </w:drawing>
      </w:r>
    </w:p>
    <w:p>
      <w:pPr>
        <w:pStyle w:val="H2"/>
        <w:numPr>
          <w:ilvl w:val="1"/>
          <w:numId w:val="1"/>
        </w:numPr>
      </w:pPr>
      <w:r>
        <w:t>Understanding the Institution Operating Model</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HSBC wants a reusable platform, not a one-deal delivery. That is why the proposed model emphasizes reusable product templates, parameterized lifecycle events, policy binding, and audit-friendly exports. For HSBC,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internal corridor FX orchestration, PvP settlement preparation and release, intraday liquidity monitoring, and exception and cut-off management across time zones.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HSBC,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HSBC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HSBC is broad: treasury and nostro platforms, payments engines and sanction controls, SWIFT messaging and market-infrastructure adapters, SIEM and operational monitoring, and finance and reconciliation systems.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HSBC,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pPr>
        <w:jc w:val="center"/>
      </w:pPr>
      <w:r>
        <w:drawing>
          <wp:inline xmlns:a="http://schemas.openxmlformats.org/drawingml/2006/main" xmlns:pic="http://schemas.openxmlformats.org/drawingml/2006/picture">
            <wp:extent cx="4810125" cy="448627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4810125" cy="4486275"/>
                    </a:xfrm>
                    <a:prstGeom prst="rect"/>
                  </pic:spPr>
                </pic:pic>
              </a:graphicData>
            </a:graphic>
          </wp:inline>
        </w:drawing>
      </w:r>
    </w:p>
    <w:p>
      <w:pPr>
        <w:pStyle w:val="H2"/>
        <w:numPr>
          <w:ilvl w:val="1"/>
          <w:numId w:val="1"/>
        </w:numPr>
      </w:pPr>
      <w:r>
        <w:t>Implementation Approach</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HSBC,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HSBC will need them for acceptance, audit, and resilience review before any scaled rollout is authorized.</w:t>
      </w:r>
    </w:p>
    <w:p>
      <w:pPr>
        <w:jc w:val="center"/>
      </w:pPr>
      <w:r>
        <w:drawing>
          <wp:inline xmlns:a="http://schemas.openxmlformats.org/drawingml/2006/main" xmlns:pic="http://schemas.openxmlformats.org/drawingml/2006/picture">
            <wp:extent cx="5486400" cy="173549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35494"/>
                    </a:xfrm>
                    <a:prstGeom prst="rect"/>
                  </pic:spPr>
                </pic:pic>
              </a:graphicData>
            </a:graphic>
          </wp:inline>
        </w:drawing>
      </w:r>
    </w:p>
    <w:p>
      <w:pPr>
        <w:pStyle w:val="H2"/>
        <w:numPr>
          <w:ilvl w:val="1"/>
          <w:numId w:val="1"/>
        </w:numPr>
      </w:pPr>
      <w:r>
        <w:t>Requirements Response Narrative</w:t>
      </w:r>
    </w:p>
    <w:p>
      <w:r>
        <w:rPr>
          <w:rFonts w:ascii="Figtree" w:hAnsi="Figtree"/>
          <w:b w:val="0"/>
          <w:i w:val="0"/>
          <w:sz w:val="22"/>
        </w:rPr>
        <w:t>HSBC is not buying a pilot stack; it is buying an operating capability for fx settlement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HSBC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data protection law, Payment Services Regulations where applicable, MiFID II for relevant markets activity, and DORA where EU branches interact.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HSBC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HSBC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HSBC,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HSBC.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1"/>
        <w:gridCol w:w="720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institutional settlement and treasury orchestration programmes; regulated payment and tokenized cash pilots; bank-operated digital asset environments with strong maker-checker controls</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FX Settlement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