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ING Group</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Commercial Proposal — Tokenized Trade Finance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ING Group</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Commercial Principles</w:t>
          </w:r>
          <w:r>
            <w:tab/>
          </w:r>
          <w:r>
            <w:t xml:space="preserve">4</w:t>
          </w:r>
        </w:p>
        <w:p>
          <w:pPr>
            <w:pStyle w:val="TOC2"/>
            <w:tabs>
              <w:tab w:val="right" w:leader="dot" w:pos="9072"/>
            </w:tabs>
          </w:pPr>
          <w:r>
            <w:t xml:space="preserve">Recommended Commercial Structure</w:t>
          </w:r>
          <w:r>
            <w:tab/>
          </w:r>
          <w:r>
            <w:t xml:space="preserve">5</w:t>
          </w:r>
        </w:p>
        <w:p>
          <w:pPr>
            <w:pStyle w:val="TOC2"/>
            <w:tabs>
              <w:tab w:val="right" w:leader="dot" w:pos="9072"/>
            </w:tabs>
          </w:pPr>
          <w:r>
            <w:t xml:space="preserve">Subscription Scope</w:t>
          </w:r>
          <w:r>
            <w:tab/>
          </w:r>
          <w:r>
            <w:t xml:space="preserve">6</w:t>
          </w:r>
        </w:p>
        <w:p>
          <w:pPr>
            <w:pStyle w:val="TOC2"/>
            <w:tabs>
              <w:tab w:val="right" w:leader="dot" w:pos="9072"/>
            </w:tabs>
          </w:pPr>
          <w:r>
            <w:t xml:space="preserve">Implementation Model</w:t>
          </w:r>
          <w:r>
            <w:tab/>
          </w:r>
          <w:r>
            <w:t xml:space="preserve">7</w:t>
          </w:r>
        </w:p>
        <w:p>
          <w:pPr>
            <w:pStyle w:val="TOC2"/>
            <w:tabs>
              <w:tab w:val="right" w:leader="dot" w:pos="9072"/>
            </w:tabs>
          </w:pPr>
          <w:r>
            <w:t xml:space="preserve">Pricing Assumptions Register</w:t>
          </w:r>
          <w:r>
            <w:tab/>
          </w:r>
          <w:r>
            <w:t xml:space="preserve">8</w:t>
          </w:r>
        </w:p>
        <w:p>
          <w:pPr>
            <w:pStyle w:val="TOC2"/>
            <w:tabs>
              <w:tab w:val="right" w:leader="dot" w:pos="9072"/>
            </w:tabs>
          </w:pPr>
          <w:r>
            <w:t xml:space="preserve">Support and Service Management</w:t>
          </w:r>
          <w:r>
            <w:tab/>
          </w:r>
          <w:r>
            <w:t xml:space="preserve">9</w:t>
          </w:r>
        </w:p>
        <w:p>
          <w:pPr>
            <w:pStyle w:val="TOC2"/>
            <w:tabs>
              <w:tab w:val="right" w:leader="dot" w:pos="9072"/>
            </w:tabs>
          </w:pPr>
          <w:r>
            <w:t xml:space="preserve">Three-Year Commercial View</w:t>
          </w:r>
          <w:r>
            <w:tab/>
          </w:r>
          <w:r>
            <w:t xml:space="preserve">10</w:t>
          </w:r>
        </w:p>
        <w:p>
          <w:pPr>
            <w:pStyle w:val="TOC2"/>
            <w:tabs>
              <w:tab w:val="right" w:leader="dot" w:pos="9072"/>
            </w:tabs>
          </w:pPr>
          <w:r>
            <w:t xml:space="preserve">Exclusions and Optional Items</w:t>
          </w:r>
          <w:r>
            <w:tab/>
          </w:r>
          <w:r>
            <w:t xml:space="preserve">11</w:t>
          </w:r>
        </w:p>
        <w:p>
          <w:pPr>
            <w:pStyle w:val="TOC2"/>
            <w:tabs>
              <w:tab w:val="right" w:leader="dot" w:pos="9072"/>
            </w:tabs>
          </w:pPr>
          <w:r>
            <w:t xml:space="preserve">Contractual and Governance Terms</w:t>
          </w:r>
          <w:r>
            <w:tab/>
          </w:r>
          <w:r>
            <w:t xml:space="preserve">12</w:t>
          </w:r>
        </w:p>
        <w:p>
          <w:pPr>
            <w:pStyle w:val="TOC2"/>
            <w:tabs>
              <w:tab w:val="right" w:leader="dot" w:pos="9072"/>
            </w:tabs>
          </w:pPr>
          <w:r>
            <w:t xml:space="preserve">Commercial Fit Summary</w:t>
          </w:r>
          <w:r>
            <w:tab/>
          </w:r>
          <w:r>
            <w:t xml:space="preserve">13</w:t>
          </w:r>
        </w:p>
        <w:p>
          <w:pPr>
            <w:pStyle w:val="TOC2"/>
            <w:tabs>
              <w:tab w:val="right" w:leader="dot" w:pos="9072"/>
            </w:tabs>
          </w:pPr>
          <w:r>
            <w:t xml:space="preserve">Financial Governance and Budget Control</w:t>
          </w:r>
          <w:r>
            <w:tab/>
          </w:r>
          <w:r>
            <w:t xml:space="preserve">14</w:t>
          </w:r>
        </w:p>
        <w:p>
          <w:pPr>
            <w:pStyle w:val="TOC2"/>
            <w:tabs>
              <w:tab w:val="right" w:leader="dot" w:pos="9072"/>
            </w:tabs>
          </w:pPr>
          <w:r>
            <w:t xml:space="preserve">Delivery Governance and Change Management</w:t>
          </w:r>
          <w:r>
            <w:tab/>
          </w:r>
          <w:r>
            <w:t xml:space="preserve">15</w:t>
          </w:r>
        </w:p>
        <w:p>
          <w:pPr>
            <w:pStyle w:val="TOC2"/>
            <w:tabs>
              <w:tab w:val="right" w:leader="dot" w:pos="9072"/>
            </w:tabs>
          </w:pPr>
          <w:r>
            <w:t xml:space="preserve">Scaling Economics</w:t>
          </w:r>
          <w:r>
            <w:tab/>
          </w:r>
          <w:r>
            <w:t xml:space="preserve">16</w:t>
          </w:r>
        </w:p>
        <w:p>
          <w:pPr>
            <w:pStyle w:val="TOC2"/>
            <w:tabs>
              <w:tab w:val="right" w:leader="dot" w:pos="9072"/>
            </w:tabs>
          </w:pPr>
          <w:r>
            <w:t xml:space="preserve">Commercial Risk Allocation</w:t>
          </w:r>
          <w:r>
            <w:tab/>
          </w:r>
          <w:r>
            <w:t xml:space="preserve">17</w:t>
          </w:r>
        </w:p>
        <w:p>
          <w:pPr>
            <w:pStyle w:val="TOC2"/>
            <w:tabs>
              <w:tab w:val="right" w:leader="dot" w:pos="9072"/>
            </w:tabs>
          </w:pPr>
          <w:r>
            <w:t xml:space="preserve">Procurement Questions and Clarifications</w:t>
          </w:r>
          <w:r>
            <w:tab/>
          </w:r>
          <w:r>
            <w:t xml:space="preserve">18</w:t>
          </w:r>
        </w:p>
        <w:p>
          <w:pPr>
            <w:pStyle w:val="TOC2"/>
            <w:tabs>
              <w:tab w:val="right" w:leader="dot" w:pos="9072"/>
            </w:tabs>
          </w:pPr>
          <w:r>
            <w:t xml:space="preserve">Recommended Next-Step Commercial Workplan</w:t>
          </w:r>
          <w:r>
            <w:tab/>
          </w:r>
          <w:r>
            <w:t xml:space="preserve">19</w:t>
          </w:r>
        </w:p>
        <w:p>
          <w:pPr>
            <w:pStyle w:val="TOC2"/>
            <w:tabs>
              <w:tab w:val="right" w:leader="dot" w:pos="9072"/>
            </w:tabs>
          </w:pPr>
          <w:r>
            <w:t xml:space="preserve">Appendix: Assumption Commentary</w:t>
          </w:r>
          <w:r>
            <w:tab/>
          </w:r>
          <w:r>
            <w:t xml:space="preserve">20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12"/>
        <w:gridCol w:w="665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Commercial Proposal — Tokenized Trade Finance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ING Group</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ING-RFP-202603-06</w:t>
            </w:r>
          </w:p>
        </w:tc>
      </w:tr>
    </w:tbl>
    <w:p>
      <w:pPr>
        <w:spacing w:before="0" w:after="0" w:line="120" w:lineRule="exact"/>
      </w:pPr>
    </w:p>
    <w:p>
      <w:r>
        <w:br w:type="page"/>
      </w:r>
    </w:p>
    <w:p>
      <w:pPr>
        <w:pStyle w:val="H2"/>
        <w:numPr>
          <w:ilvl w:val="1"/>
          <w:numId w:val="1"/>
        </w:numPr>
      </w:pPr>
      <w:r>
        <w:t>Executive Summary</w:t>
      </w:r>
    </w:p>
    <w:p>
      <w:r>
        <w:rPr>
          <w:rFonts w:ascii="Figtree" w:hAnsi="Figtree"/>
          <w:b w:val="0"/>
          <w:i w:val="0"/>
          <w:sz w:val="22"/>
        </w:rPr>
        <w:t>This commercial proposal covers the licensing, implementation, support, governance, and commercial assumptions for a DALP-based tokenized trade finance platform programme for ING. The recommended commercial structure is designed to align with the institution's phased rollout model, preserve budget transparency, and avoid hidden dependency costs during implementation and early production operation.</w:t>
      </w:r>
    </w:p>
    <w:p>
      <w:r>
        <w:rPr>
          <w:rFonts w:ascii="Figtree" w:hAnsi="Figtree"/>
          <w:b w:val="0"/>
          <w:i w:val="0"/>
          <w:sz w:val="22"/>
        </w:rPr>
        <w:t>The proposed commercial posture favors a configuration-led base platform with clearly separated workstreams for platform subscription, implementation services, optional partner integrations, infrastructure, and support. That separation is important for institutional procurement because it allows architecture, security, finance, and business sponsors to assess value and delivery risk independently rather than through an opaque bundled quote.</w:t>
      </w:r>
    </w:p>
    <w:p>
      <w:pPr>
        <w:pStyle w:val="H2"/>
        <w:numPr>
          <w:ilvl w:val="1"/>
          <w:numId w:val="1"/>
        </w:numPr>
      </w:pPr>
      <w:r>
        <w:t>Commercial Principles</w:t>
      </w:r>
    </w:p>
    <w:p>
      <w:pPr>
        <w:pStyle w:val="ListParagraph"/>
        <w:numPr>
          <w:ilvl w:val="0"/>
          <w:numId w:val="6"/>
        </w:numPr>
      </w:pPr>
      <w:r>
        <w:rPr>
          <w:rFonts w:ascii="Figtree" w:hAnsi="Figtree"/>
          <w:b w:val="0"/>
          <w:i w:val="0"/>
          <w:sz w:val="22"/>
        </w:rPr>
        <w:t>Pricing separates recurring platform rights, implementation effort, support services, and buyer-controlled third-party spend.</w:t>
      </w:r>
    </w:p>
    <w:p>
      <w:pPr>
        <w:pStyle w:val="ListParagraph"/>
        <w:numPr>
          <w:ilvl w:val="0"/>
          <w:numId w:val="6"/>
        </w:numPr>
      </w:pPr>
      <w:r>
        <w:rPr>
          <w:rFonts w:ascii="Figtree" w:hAnsi="Figtree"/>
          <w:b w:val="0"/>
          <w:i w:val="0"/>
          <w:sz w:val="22"/>
        </w:rPr>
        <w:t>Assumptions are declared up front for environments, legal entities, users, and integration scope.</w:t>
      </w:r>
    </w:p>
    <w:p>
      <w:pPr>
        <w:pStyle w:val="ListParagraph"/>
        <w:numPr>
          <w:ilvl w:val="0"/>
          <w:numId w:val="6"/>
        </w:numPr>
      </w:pPr>
      <w:r>
        <w:rPr>
          <w:rFonts w:ascii="Figtree" w:hAnsi="Figtree"/>
          <w:b w:val="0"/>
          <w:i w:val="0"/>
          <w:sz w:val="22"/>
        </w:rPr>
        <w:t>Change requests apply only when scope moves beyond the agreed baseline; normal configuration within agreed workstreams is planned into the implementation model.</w:t>
      </w:r>
    </w:p>
    <w:p>
      <w:pPr>
        <w:pStyle w:val="ListParagraph"/>
        <w:numPr>
          <w:ilvl w:val="0"/>
          <w:numId w:val="6"/>
        </w:numPr>
      </w:pPr>
      <w:r>
        <w:rPr>
          <w:rFonts w:ascii="Figtree" w:hAnsi="Figtree"/>
          <w:b w:val="0"/>
          <w:i w:val="0"/>
          <w:sz w:val="22"/>
        </w:rPr>
        <w:t>Expansion to additional entities, products, or corridors should reuse the base control plane where possible rather than fund reimplementation.</w:t>
      </w:r>
    </w:p>
    <w:p>
      <w:pPr>
        <w:pStyle w:val="H2"/>
        <w:numPr>
          <w:ilvl w:val="1"/>
          <w:numId w:val="1"/>
        </w:numPr>
      </w:pPr>
      <w:r>
        <w:t>Recommended Commercial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0"/>
        <w:gridCol w:w="3044"/>
        <w:gridCol w:w="462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Commercial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Rationale</w:t>
            </w:r>
          </w:p>
        </w:tc>
      </w:tr>
      <w:tr>
        <w:trPr>
          <w:trHeight w:val="425" w:hRule="atLeast"/>
        </w:trPr>
        <w:tc>
          <w:tcPr>
            <w:tcW w:type="dxa" w:w="3249"/>
            <w:vAlign w:val="center"/>
          </w:tcPr>
          <w:p>
            <w:pPr>
              <w:spacing w:line="276" w:lineRule="auto" w:before="0" w:after="0"/>
            </w:pPr>
            <w:r/>
            <w:r>
              <w:rPr>
                <w:rFonts w:ascii="Figtree" w:hAnsi="Figtree"/>
                <w:b w:val="0"/>
                <w:i w:val="0"/>
                <w:sz w:val="20"/>
              </w:rPr>
              <w:t>Platform subscription</w:t>
            </w:r>
          </w:p>
        </w:tc>
        <w:tc>
          <w:tcPr>
            <w:tcW w:type="dxa" w:w="3249"/>
            <w:vAlign w:val="center"/>
          </w:tcPr>
          <w:p>
            <w:pPr>
              <w:spacing w:line="276" w:lineRule="auto" w:before="0" w:after="0"/>
            </w:pPr>
            <w:r/>
            <w:r>
              <w:rPr>
                <w:rFonts w:ascii="Figtree" w:hAnsi="Figtree"/>
                <w:b w:val="0"/>
                <w:i w:val="0"/>
                <w:sz w:val="20"/>
              </w:rPr>
              <w:t>Annual enterprise subscription</w:t>
            </w:r>
          </w:p>
        </w:tc>
        <w:tc>
          <w:tcPr>
            <w:tcW w:type="dxa" w:w="3249"/>
            <w:vAlign w:val="center"/>
          </w:tcPr>
          <w:p>
            <w:pPr>
              <w:spacing w:line="276" w:lineRule="auto" w:before="0" w:after="0"/>
            </w:pPr>
            <w:r/>
            <w:r>
              <w:rPr>
                <w:rFonts w:ascii="Figtree" w:hAnsi="Figtree"/>
                <w:b w:val="0"/>
                <w:i w:val="0"/>
                <w:sz w:val="20"/>
              </w:rPr>
              <w:t>Supports controlled rollout and future scale without per-transaction lock-in</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Milestone-based fixed fee by phase</w:t>
            </w:r>
          </w:p>
        </w:tc>
        <w:tc>
          <w:tcPr>
            <w:tcW w:type="dxa" w:w="3249"/>
            <w:vAlign w:val="center"/>
          </w:tcPr>
          <w:p>
            <w:pPr>
              <w:spacing w:line="276" w:lineRule="auto" w:before="0" w:after="0"/>
            </w:pPr>
            <w:r/>
            <w:r>
              <w:rPr>
                <w:rFonts w:ascii="Figtree" w:hAnsi="Figtree"/>
                <w:b w:val="0"/>
                <w:i w:val="0"/>
                <w:sz w:val="20"/>
              </w:rPr>
              <w:t>Improves budget visibility and governance</w:t>
            </w:r>
          </w:p>
        </w:tc>
      </w:tr>
      <w:tr>
        <w:trPr>
          <w:trHeight w:val="425" w:hRule="atLeast"/>
        </w:trPr>
        <w:tc>
          <w:tcPr>
            <w:tcW w:type="dxa" w:w="3249"/>
            <w:vAlign w:val="center"/>
          </w:tcPr>
          <w:p>
            <w:pPr>
              <w:spacing w:line="276" w:lineRule="auto" w:before="0" w:after="0"/>
            </w:pPr>
            <w:r/>
            <w:r>
              <w:rPr>
                <w:rFonts w:ascii="Figtree" w:hAnsi="Figtree"/>
                <w:b w:val="0"/>
                <w:i w:val="0"/>
                <w:sz w:val="20"/>
              </w:rPr>
              <w:t>Support services</w:t>
            </w:r>
          </w:p>
        </w:tc>
        <w:tc>
          <w:tcPr>
            <w:tcW w:type="dxa" w:w="3249"/>
            <w:vAlign w:val="center"/>
          </w:tcPr>
          <w:p>
            <w:pPr>
              <w:spacing w:line="276" w:lineRule="auto" w:before="0" w:after="0"/>
            </w:pPr>
            <w:r/>
            <w:r>
              <w:rPr>
                <w:rFonts w:ascii="Figtree" w:hAnsi="Figtree"/>
                <w:b w:val="0"/>
                <w:i w:val="0"/>
                <w:sz w:val="20"/>
              </w:rPr>
              <w:t>Premium support with named governance cadence</w:t>
            </w:r>
          </w:p>
        </w:tc>
        <w:tc>
          <w:tcPr>
            <w:tcW w:type="dxa" w:w="3249"/>
            <w:vAlign w:val="center"/>
          </w:tcPr>
          <w:p>
            <w:pPr>
              <w:spacing w:line="276" w:lineRule="auto" w:before="0" w:after="0"/>
            </w:pPr>
            <w:r/>
            <w:r>
              <w:rPr>
                <w:rFonts w:ascii="Figtree" w:hAnsi="Figtree"/>
                <w:b w:val="0"/>
                <w:i w:val="0"/>
                <w:sz w:val="20"/>
              </w:rPr>
              <w:t>Matches institutional change and incident management needs</w:t>
            </w:r>
          </w:p>
        </w:tc>
      </w:tr>
      <w:tr>
        <w:trPr>
          <w:trHeight w:val="425" w:hRule="atLeast"/>
        </w:trPr>
        <w:tc>
          <w:tcPr>
            <w:tcW w:type="dxa" w:w="3249"/>
            <w:vAlign w:val="center"/>
          </w:tcPr>
          <w:p>
            <w:pPr>
              <w:spacing w:line="276" w:lineRule="auto" w:before="0" w:after="0"/>
            </w:pPr>
            <w:r/>
            <w:r>
              <w:rPr>
                <w:rFonts w:ascii="Figtree" w:hAnsi="Figtree"/>
                <w:b w:val="0"/>
                <w:i w:val="0"/>
                <w:sz w:val="20"/>
              </w:rPr>
              <w:t>Optional integrations</w:t>
            </w:r>
          </w:p>
        </w:tc>
        <w:tc>
          <w:tcPr>
            <w:tcW w:type="dxa" w:w="3249"/>
            <w:vAlign w:val="center"/>
          </w:tcPr>
          <w:p>
            <w:pPr>
              <w:spacing w:line="276" w:lineRule="auto" w:before="0" w:after="0"/>
            </w:pPr>
            <w:r/>
            <w:r>
              <w:rPr>
                <w:rFonts w:ascii="Figtree" w:hAnsi="Figtree"/>
                <w:b w:val="0"/>
                <w:i w:val="0"/>
                <w:sz w:val="20"/>
              </w:rPr>
              <w:t>Scoped separately where third parties are involved</w:t>
            </w:r>
          </w:p>
        </w:tc>
        <w:tc>
          <w:tcPr>
            <w:tcW w:type="dxa" w:w="3249"/>
            <w:vAlign w:val="center"/>
          </w:tcPr>
          <w:p>
            <w:pPr>
              <w:spacing w:line="276" w:lineRule="auto" w:before="0" w:after="0"/>
            </w:pPr>
            <w:r/>
            <w:r>
              <w:rPr>
                <w:rFonts w:ascii="Figtree" w:hAnsi="Figtree"/>
                <w:b w:val="0"/>
                <w:i w:val="0"/>
                <w:sz w:val="20"/>
              </w:rPr>
              <w:t>Preserves transparency for dependencies outside DALP core</w:t>
            </w:r>
          </w:p>
        </w:tc>
      </w:tr>
      <w:tr>
        <w:trPr>
          <w:trHeight w:val="425" w:hRule="atLeast"/>
        </w:trPr>
        <w:tc>
          <w:tcPr>
            <w:tcW w:type="dxa" w:w="3249"/>
            <w:vAlign w:val="center"/>
          </w:tcPr>
          <w:p>
            <w:pPr>
              <w:spacing w:line="276" w:lineRule="auto" w:before="0" w:after="0"/>
            </w:pPr>
            <w:r/>
            <w:r>
              <w:rPr>
                <w:rFonts w:ascii="Figtree" w:hAnsi="Figtree"/>
                <w:b w:val="0"/>
                <w:i w:val="0"/>
                <w:sz w:val="20"/>
              </w:rPr>
              <w:t>Buyer infrastructure</w:t>
            </w:r>
          </w:p>
        </w:tc>
        <w:tc>
          <w:tcPr>
            <w:tcW w:type="dxa" w:w="3249"/>
            <w:vAlign w:val="center"/>
          </w:tcPr>
          <w:p>
            <w:pPr>
              <w:spacing w:line="276" w:lineRule="auto" w:before="0" w:after="0"/>
            </w:pPr>
            <w:r/>
            <w:r>
              <w:rPr>
                <w:rFonts w:ascii="Figtree" w:hAnsi="Figtree"/>
                <w:b w:val="0"/>
                <w:i w:val="0"/>
                <w:sz w:val="20"/>
              </w:rPr>
              <w:t>Buyer-controlled or buyer-approved hosting spend</w:t>
            </w:r>
          </w:p>
        </w:tc>
        <w:tc>
          <w:tcPr>
            <w:tcW w:type="dxa" w:w="3249"/>
            <w:vAlign w:val="center"/>
          </w:tcPr>
          <w:p>
            <w:pPr>
              <w:spacing w:line="276" w:lineRule="auto" w:before="0" w:after="0"/>
            </w:pPr>
            <w:r/>
            <w:r>
              <w:rPr>
                <w:rFonts w:ascii="Figtree" w:hAnsi="Figtree"/>
                <w:b w:val="0"/>
                <w:i w:val="0"/>
                <w:sz w:val="20"/>
              </w:rPr>
              <w:t>Aligns to internal cloud and resilience policy</w:t>
            </w:r>
          </w:p>
        </w:tc>
      </w:tr>
    </w:tbl>
    <w:p>
      <w:pPr>
        <w:spacing w:before="0" w:after="0" w:line="120" w:lineRule="exact"/>
      </w:pPr>
    </w:p>
    <w:p>
      <w:pPr>
        <w:pStyle w:val="H2"/>
        <w:numPr>
          <w:ilvl w:val="1"/>
          <w:numId w:val="1"/>
        </w:numPr>
      </w:pPr>
      <w:r>
        <w:t>Subscription Scope</w:t>
      </w:r>
    </w:p>
    <w:p>
      <w:r>
        <w:rPr>
          <w:rFonts w:ascii="Figtree" w:hAnsi="Figtree"/>
          <w:b w:val="0"/>
          <w:i w:val="0"/>
          <w:sz w:val="22"/>
        </w:rPr>
        <w:t>The subscription covers the DALP platform capabilities required for governed lifecycle execution, policy enforcement, role-based administration, APIs, eventing, environment separation, and evidence generation. It is intended to provide a stable commercial base for the initial programme and for measured expansion after governance approval.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79"/>
        <w:gridCol w:w="489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Included scope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interpretation</w:t>
            </w:r>
          </w:p>
        </w:tc>
      </w:tr>
      <w:tr>
        <w:trPr>
          <w:trHeight w:val="425" w:hRule="atLeast"/>
        </w:trPr>
        <w:tc>
          <w:tcPr>
            <w:tcW w:type="dxa" w:w="4873"/>
            <w:vAlign w:val="center"/>
          </w:tcPr>
          <w:p>
            <w:pPr>
              <w:spacing w:line="276" w:lineRule="auto" w:before="0" w:after="0"/>
            </w:pPr>
            <w:r/>
            <w:r>
              <w:rPr>
                <w:rFonts w:ascii="Figtree" w:hAnsi="Figtree"/>
                <w:b w:val="0"/>
                <w:i w:val="0"/>
                <w:sz w:val="20"/>
              </w:rPr>
              <w:t>Configurable asset and workflow models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Role and approval model</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API and event interfaces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 reporting and audit exports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 environments</w:t>
            </w:r>
          </w:p>
        </w:tc>
        <w:tc>
          <w:tcPr>
            <w:tcW w:type="dxa" w:w="4873"/>
            <w:vAlign w:val="center"/>
          </w:tcPr>
          <w:p>
            <w:pPr>
              <w:spacing w:line="276" w:lineRule="auto" w:before="0" w:after="0"/>
            </w:pPr>
            <w:r/>
            <w:r>
              <w:rPr>
                <w:rFonts w:ascii="Figtree" w:hAnsi="Figtree"/>
                <w:b w:val="0"/>
                <w:i w:val="0"/>
                <w:sz w:val="20"/>
              </w:rPr>
              <w:t>Included subject to agreed deployment topology</w:t>
            </w:r>
          </w:p>
        </w:tc>
      </w:tr>
      <w:tr>
        <w:trPr>
          <w:trHeight w:val="425" w:hRule="atLeast"/>
        </w:trPr>
        <w:tc>
          <w:tcPr>
            <w:tcW w:type="dxa" w:w="4873"/>
            <w:vAlign w:val="center"/>
          </w:tcPr>
          <w:p>
            <w:pPr>
              <w:spacing w:line="276" w:lineRule="auto" w:before="0" w:after="0"/>
            </w:pPr>
            <w:r/>
            <w:r>
              <w:rPr>
                <w:rFonts w:ascii="Figtree" w:hAnsi="Figtree"/>
                <w:b w:val="0"/>
                <w:i w:val="0"/>
                <w:sz w:val="20"/>
              </w:rPr>
              <w:t>New external adapters or partner services</w:t>
            </w:r>
          </w:p>
        </w:tc>
        <w:tc>
          <w:tcPr>
            <w:tcW w:type="dxa" w:w="4873"/>
            <w:vAlign w:val="center"/>
          </w:tcPr>
          <w:p>
            <w:pPr>
              <w:spacing w:line="276" w:lineRule="auto" w:before="0" w:after="0"/>
            </w:pPr>
            <w:r/>
            <w:r>
              <w:rPr>
                <w:rFonts w:ascii="Figtree" w:hAnsi="Figtree"/>
                <w:b w:val="0"/>
                <w:i w:val="0"/>
                <w:sz w:val="20"/>
              </w:rPr>
              <w:t>Scoped separately where net-new work is required</w:t>
            </w:r>
          </w:p>
        </w:tc>
      </w:tr>
    </w:tbl>
    <w:p>
      <w:pPr>
        <w:spacing w:before="0" w:after="0" w:line="120" w:lineRule="exact"/>
      </w:pPr>
    </w:p>
    <w:p>
      <w:pPr>
        <w:pStyle w:val="H2"/>
        <w:numPr>
          <w:ilvl w:val="1"/>
          <w:numId w:val="1"/>
        </w:numPr>
      </w:pPr>
      <w:r>
        <w:t>Implementation Model</w:t>
      </w:r>
    </w:p>
    <w:p>
      <w:r>
        <w:rPr>
          <w:rFonts w:ascii="Figtree" w:hAnsi="Figtree"/>
          <w:b w:val="0"/>
          <w:i w:val="0"/>
          <w:sz w:val="22"/>
        </w:rPr>
        <w:t>The recommended implementation model is deliberately structured to give ING objective commercial checkpoints rather than a single blended project cost with weak traceability. Each phase ends with specific evidence and sign-off outputs so that steering committees can approve the next funding and delivery step against real progress.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3"/>
        <w:gridCol w:w="837"/>
        <w:gridCol w:w="1325"/>
        <w:gridCol w:w="488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Commercial basis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r>
      <w:tr>
        <w:trPr>
          <w:trHeight w:val="425" w:hRule="atLeast"/>
        </w:trPr>
        <w:tc>
          <w:tcPr>
            <w:tcW w:type="dxa" w:w="2436"/>
            <w:vAlign w:val="center"/>
          </w:tcPr>
          <w:p>
            <w:pPr>
              <w:spacing w:line="276" w:lineRule="auto" w:before="0" w:after="0"/>
            </w:pPr>
            <w:r/>
            <w:r>
              <w:rPr>
                <w:rFonts w:ascii="Figtree" w:hAnsi="Figtree"/>
                <w:b w:val="0"/>
                <w:i w:val="0"/>
                <w:sz w:val="20"/>
              </w:rPr>
              <w:t>Discovery and control mapping</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Scope baseline, RACI, control requirements, integration inventory</w:t>
            </w:r>
          </w:p>
        </w:tc>
      </w:tr>
      <w:tr>
        <w:trPr>
          <w:trHeight w:val="425" w:hRule="atLeast"/>
        </w:trPr>
        <w:tc>
          <w:tcPr>
            <w:tcW w:type="dxa" w:w="2436"/>
            <w:vAlign w:val="center"/>
          </w:tcPr>
          <w:p>
            <w:pPr>
              <w:spacing w:line="276" w:lineRule="auto" w:before="0" w:after="0"/>
            </w:pPr>
            <w:r/>
            <w:r>
              <w:rPr>
                <w:rFonts w:ascii="Figtree" w:hAnsi="Figtree"/>
                <w:b w:val="0"/>
                <w:i w:val="0"/>
                <w:sz w:val="20"/>
              </w:rPr>
              <w:t>Foundation and environments</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Platform baseline, IAM approach, monitoring hooks, admin controls</w:t>
            </w:r>
          </w:p>
        </w:tc>
      </w:tr>
      <w:tr>
        <w:trPr>
          <w:trHeight w:val="425" w:hRule="atLeast"/>
        </w:trPr>
        <w:tc>
          <w:tcPr>
            <w:tcW w:type="dxa" w:w="2436"/>
            <w:vAlign w:val="center"/>
          </w:tcPr>
          <w:p>
            <w:pPr>
              <w:spacing w:line="276" w:lineRule="auto" w:before="0" w:after="0"/>
            </w:pPr>
            <w:r/>
            <w:r>
              <w:rPr>
                <w:rFonts w:ascii="Figtree" w:hAnsi="Figtree"/>
                <w:b w:val="0"/>
                <w:i w:val="0"/>
                <w:sz w:val="20"/>
              </w:rPr>
              <w:t>Configuration and interfaces</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Product workflows, role policies, data mappings, interface contracts</w:t>
            </w:r>
          </w:p>
        </w:tc>
      </w:tr>
      <w:tr>
        <w:trPr>
          <w:trHeight w:val="425" w:hRule="atLeast"/>
        </w:trPr>
        <w:tc>
          <w:tcPr>
            <w:tcW w:type="dxa" w:w="2436"/>
            <w:vAlign w:val="center"/>
          </w:tcPr>
          <w:p>
            <w:pPr>
              <w:spacing w:line="276" w:lineRule="auto" w:before="0" w:after="0"/>
            </w:pPr>
            <w:r/>
            <w:r>
              <w:rPr>
                <w:rFonts w:ascii="Figtree" w:hAnsi="Figtree"/>
                <w:b w:val="0"/>
                <w:i w:val="0"/>
                <w:sz w:val="20"/>
              </w:rPr>
              <w:t>SIT and UAT readiness</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Test evidence, operational procedures, reporting and export validation</w:t>
            </w:r>
          </w:p>
        </w:tc>
      </w:tr>
      <w:tr>
        <w:trPr>
          <w:trHeight w:val="425" w:hRule="atLeast"/>
        </w:trPr>
        <w:tc>
          <w:tcPr>
            <w:tcW w:type="dxa" w:w="2436"/>
            <w:vAlign w:val="center"/>
          </w:tcPr>
          <w:p>
            <w:pPr>
              <w:spacing w:line="276" w:lineRule="auto" w:before="0" w:after="0"/>
            </w:pPr>
            <w:r/>
            <w:r>
              <w:rPr>
                <w:rFonts w:ascii="Figtree" w:hAnsi="Figtree"/>
                <w:b w:val="0"/>
                <w:i w:val="0"/>
                <w:sz w:val="20"/>
              </w:rPr>
              <w:t>Launch and hypercare</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Controlled go-live, defect triage, handover, production review</w:t>
            </w:r>
          </w:p>
        </w:tc>
      </w:tr>
      <w:tr>
        <w:trPr>
          <w:trHeight w:val="425" w:hRule="atLeast"/>
        </w:trPr>
        <w:tc>
          <w:tcPr>
            <w:tcW w:type="dxa" w:w="2436"/>
            <w:vAlign w:val="center"/>
          </w:tcPr>
          <w:p>
            <w:pPr>
              <w:spacing w:line="276" w:lineRule="auto" w:before="0" w:after="0"/>
            </w:pPr>
            <w:r/>
            <w:r>
              <w:rPr>
                <w:rFonts w:ascii="Figtree" w:hAnsi="Figtree"/>
                <w:b/>
                <w:i w:val="0"/>
                <w:sz w:val="20"/>
              </w:rPr>
              <w:t>Total baseline</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Milestone-based</w:t>
            </w:r>
          </w:p>
        </w:tc>
        <w:tc>
          <w:tcPr>
            <w:tcW w:type="dxa" w:w="2436"/>
            <w:vAlign w:val="center"/>
          </w:tcPr>
          <w:p>
            <w:pPr>
              <w:spacing w:line="276" w:lineRule="auto" w:before="0" w:after="0"/>
            </w:pPr>
            <w:r/>
            <w:r>
              <w:rPr>
                <w:rFonts w:ascii="Figtree" w:hAnsi="Figtree"/>
                <w:b/>
                <w:i w:val="0"/>
                <w:sz w:val="20"/>
              </w:rPr>
              <w:t>Launch-ready first release</w:t>
            </w:r>
          </w:p>
        </w:tc>
      </w:tr>
    </w:tbl>
    <w:p>
      <w:pPr>
        <w:spacing w:before="0" w:after="0" w:line="120" w:lineRule="exact"/>
      </w:pPr>
    </w:p>
    <w:p>
      <w:pPr>
        <w:pStyle w:val="H2"/>
        <w:numPr>
          <w:ilvl w:val="1"/>
          <w:numId w:val="1"/>
        </w:numPr>
      </w:pPr>
      <w:r>
        <w:t>Pricing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19"/>
        <w:gridCol w:w="355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treatment</w:t>
            </w:r>
          </w:p>
        </w:tc>
      </w:tr>
      <w:tr>
        <w:trPr>
          <w:trHeight w:val="425" w:hRule="atLeast"/>
        </w:trPr>
        <w:tc>
          <w:tcPr>
            <w:tcW w:type="dxa" w:w="4873"/>
            <w:vAlign w:val="center"/>
          </w:tcPr>
          <w:p>
            <w:pPr>
              <w:spacing w:line="276" w:lineRule="auto" w:before="0" w:after="0"/>
            </w:pPr>
            <w:r/>
            <w:r>
              <w:rPr>
                <w:rFonts w:ascii="Figtree" w:hAnsi="Figtree"/>
                <w:b w:val="0"/>
                <w:i w:val="0"/>
                <w:sz w:val="20"/>
              </w:rPr>
              <w:t>One initial production perimeter</w:t>
            </w:r>
          </w:p>
        </w:tc>
        <w:tc>
          <w:tcPr>
            <w:tcW w:type="dxa" w:w="4873"/>
            <w:vAlign w:val="center"/>
          </w:tcPr>
          <w:p>
            <w:pPr>
              <w:spacing w:line="276" w:lineRule="auto" w:before="0" w:after="0"/>
            </w:pPr>
            <w:r/>
            <w:r>
              <w:rPr>
                <w:rFonts w:ascii="Figtree" w:hAnsi="Figtree"/>
                <w:b w:val="0"/>
                <w:i w:val="0"/>
                <w:sz w:val="20"/>
              </w:rPr>
              <w:t>Included in baseline</w:t>
            </w:r>
          </w:p>
        </w:tc>
      </w:tr>
      <w:tr>
        <w:trPr>
          <w:trHeight w:val="425" w:hRule="atLeast"/>
        </w:trPr>
        <w:tc>
          <w:tcPr>
            <w:tcW w:type="dxa" w:w="4873"/>
            <w:vAlign w:val="center"/>
          </w:tcPr>
          <w:p>
            <w:pPr>
              <w:spacing w:line="276" w:lineRule="auto" w:before="0" w:after="0"/>
            </w:pPr>
            <w:r/>
            <w:r>
              <w:rPr>
                <w:rFonts w:ascii="Figtree" w:hAnsi="Figtree"/>
                <w:b w:val="0"/>
                <w:i w:val="0"/>
                <w:sz w:val="20"/>
              </w:rPr>
              <w:t>Standard buyer participation in discovery and UAT</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Buyer provides or approves hosting, IAM, and logging standards</w:t>
            </w:r>
          </w:p>
        </w:tc>
        <w:tc>
          <w:tcPr>
            <w:tcW w:type="dxa" w:w="4873"/>
            <w:vAlign w:val="center"/>
          </w:tcPr>
          <w:p>
            <w:pPr>
              <w:spacing w:line="276" w:lineRule="auto" w:before="0" w:after="0"/>
            </w:pPr>
            <w:r/>
            <w:r>
              <w:rPr>
                <w:rFonts w:ascii="Figtree" w:hAnsi="Figtree"/>
                <w:b w:val="0"/>
                <w:i w:val="0"/>
                <w:sz w:val="20"/>
              </w:rPr>
              <w:t>Included assumption</w:t>
            </w:r>
          </w:p>
        </w:tc>
      </w:tr>
      <w:tr>
        <w:trPr>
          <w:trHeight w:val="425" w:hRule="atLeast"/>
        </w:trPr>
        <w:tc>
          <w:tcPr>
            <w:tcW w:type="dxa" w:w="4873"/>
            <w:vAlign w:val="center"/>
          </w:tcPr>
          <w:p>
            <w:pPr>
              <w:spacing w:line="276" w:lineRule="auto" w:before="0" w:after="0"/>
            </w:pPr>
            <w:r/>
            <w:r>
              <w:rPr>
                <w:rFonts w:ascii="Figtree" w:hAnsi="Figtree"/>
                <w:b w:val="0"/>
                <w:i w:val="0"/>
                <w:sz w:val="20"/>
              </w:rPr>
              <w:t>Third-party contracts remain separate</w:t>
            </w:r>
          </w:p>
        </w:tc>
        <w:tc>
          <w:tcPr>
            <w:tcW w:type="dxa" w:w="4873"/>
            <w:vAlign w:val="center"/>
          </w:tcPr>
          <w:p>
            <w:pPr>
              <w:spacing w:line="276" w:lineRule="auto" w:before="0" w:after="0"/>
            </w:pPr>
            <w:r/>
            <w:r>
              <w:rPr>
                <w:rFonts w:ascii="Figtree" w:hAnsi="Figtree"/>
                <w:b w:val="0"/>
                <w:i w:val="0"/>
                <w:sz w:val="20"/>
              </w:rPr>
              <w:t>Excluded from DALP baseline pricing</w:t>
            </w:r>
          </w:p>
        </w:tc>
      </w:tr>
      <w:tr>
        <w:trPr>
          <w:trHeight w:val="425" w:hRule="atLeast"/>
        </w:trPr>
        <w:tc>
          <w:tcPr>
            <w:tcW w:type="dxa" w:w="4873"/>
            <w:vAlign w:val="center"/>
          </w:tcPr>
          <w:p>
            <w:pPr>
              <w:spacing w:line="276" w:lineRule="auto" w:before="0" w:after="0"/>
            </w:pPr>
            <w:r/>
            <w:r>
              <w:rPr>
                <w:rFonts w:ascii="Figtree" w:hAnsi="Figtree"/>
                <w:b w:val="0"/>
                <w:i w:val="0"/>
                <w:sz w:val="20"/>
              </w:rPr>
              <w:t>Jurisdiction-specific legal advice</w:t>
            </w:r>
          </w:p>
        </w:tc>
        <w:tc>
          <w:tcPr>
            <w:tcW w:type="dxa" w:w="4873"/>
            <w:vAlign w:val="center"/>
          </w:tcPr>
          <w:p>
            <w:pPr>
              <w:spacing w:line="276" w:lineRule="auto" w:before="0" w:after="0"/>
            </w:pPr>
            <w:r/>
            <w:r>
              <w:rPr>
                <w:rFonts w:ascii="Figtree" w:hAnsi="Figtree"/>
                <w:b w:val="0"/>
                <w:i w:val="0"/>
                <w:sz w:val="20"/>
              </w:rPr>
              <w:t>Buyer- or partner-led cost item</w:t>
            </w:r>
          </w:p>
        </w:tc>
      </w:tr>
      <w:tr>
        <w:trPr>
          <w:trHeight w:val="425" w:hRule="atLeast"/>
        </w:trPr>
        <w:tc>
          <w:tcPr>
            <w:tcW w:type="dxa" w:w="4873"/>
            <w:vAlign w:val="center"/>
          </w:tcPr>
          <w:p>
            <w:pPr>
              <w:spacing w:line="276" w:lineRule="auto" w:before="0" w:after="0"/>
            </w:pPr>
            <w:r/>
            <w:r>
              <w:rPr>
                <w:rFonts w:ascii="Figtree" w:hAnsi="Figtree"/>
                <w:b w:val="0"/>
                <w:i w:val="0"/>
                <w:sz w:val="20"/>
              </w:rPr>
              <w:t>Net-new external adapters beyond agreed baseline</w:t>
            </w:r>
          </w:p>
        </w:tc>
        <w:tc>
          <w:tcPr>
            <w:tcW w:type="dxa" w:w="4873"/>
            <w:vAlign w:val="center"/>
          </w:tcPr>
          <w:p>
            <w:pPr>
              <w:spacing w:line="276" w:lineRule="auto" w:before="0" w:after="0"/>
            </w:pPr>
            <w:r/>
            <w:r>
              <w:rPr>
                <w:rFonts w:ascii="Figtree" w:hAnsi="Figtree"/>
                <w:b w:val="0"/>
                <w:i w:val="0"/>
                <w:sz w:val="20"/>
              </w:rPr>
              <w:t>Change request or optional work package</w:t>
            </w:r>
          </w:p>
        </w:tc>
      </w:tr>
    </w:tbl>
    <w:p>
      <w:pPr>
        <w:spacing w:before="0" w:after="0" w:line="120" w:lineRule="exact"/>
      </w:pPr>
    </w:p>
    <w:p>
      <w:pPr>
        <w:pStyle w:val="H2"/>
        <w:numPr>
          <w:ilvl w:val="1"/>
          <w:numId w:val="1"/>
        </w:numPr>
      </w:pPr>
      <w:r>
        <w:t>Support and Service Management</w:t>
      </w:r>
    </w:p>
    <w:p>
      <w:r>
        <w:rPr>
          <w:rFonts w:ascii="Figtree" w:hAnsi="Figtree"/>
          <w:b w:val="0"/>
          <w:i w:val="0"/>
          <w:sz w:val="22"/>
        </w:rPr>
        <w:t>The recommended support posture is premium support with defined severity levels, named governance checkpoints, and agreed interfaces into the buyer's incident and change processes. This support model is designed for regulated institutions that need predictable escalation, change visibility, and production issue reconstruction.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31"/>
        <w:gridCol w:w="60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Support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Coverage window</w:t>
            </w:r>
          </w:p>
        </w:tc>
        <w:tc>
          <w:tcPr>
            <w:tcW w:type="dxa" w:w="4873"/>
            <w:vAlign w:val="center"/>
          </w:tcPr>
          <w:p>
            <w:pPr>
              <w:spacing w:line="276" w:lineRule="auto" w:before="0" w:after="0"/>
            </w:pPr>
            <w:r/>
            <w:r>
              <w:rPr>
                <w:rFonts w:ascii="Figtree" w:hAnsi="Figtree"/>
                <w:b w:val="0"/>
                <w:i w:val="0"/>
                <w:sz w:val="20"/>
              </w:rPr>
              <w:t>16×5 standard, optional 24×7 for critical production per contract</w:t>
            </w:r>
          </w:p>
        </w:tc>
      </w:tr>
      <w:tr>
        <w:trPr>
          <w:trHeight w:val="425" w:hRule="atLeast"/>
        </w:trPr>
        <w:tc>
          <w:tcPr>
            <w:tcW w:type="dxa" w:w="4873"/>
            <w:vAlign w:val="center"/>
          </w:tcPr>
          <w:p>
            <w:pPr>
              <w:spacing w:line="276" w:lineRule="auto" w:before="0" w:after="0"/>
            </w:pPr>
            <w:r/>
            <w:r>
              <w:rPr>
                <w:rFonts w:ascii="Figtree" w:hAnsi="Figtree"/>
                <w:b w:val="0"/>
                <w:i w:val="0"/>
                <w:sz w:val="20"/>
              </w:rPr>
              <w:t>P1 response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Named service governance</w:t>
            </w:r>
          </w:p>
        </w:tc>
        <w:tc>
          <w:tcPr>
            <w:tcW w:type="dxa" w:w="4873"/>
            <w:vAlign w:val="center"/>
          </w:tcPr>
          <w:p>
            <w:pPr>
              <w:spacing w:line="276" w:lineRule="auto" w:before="0" w:after="0"/>
            </w:pPr>
            <w:r/>
            <w:r>
              <w:rPr>
                <w:rFonts w:ascii="Figtree" w:hAnsi="Figtree"/>
                <w:b w:val="0"/>
                <w:i w:val="0"/>
                <w:sz w:val="20"/>
              </w:rPr>
              <w:t>Quarterly service review and roadmap alignment</w:t>
            </w:r>
          </w:p>
        </w:tc>
      </w:tr>
      <w:tr>
        <w:trPr>
          <w:trHeight w:val="425" w:hRule="atLeast"/>
        </w:trPr>
        <w:tc>
          <w:tcPr>
            <w:tcW w:type="dxa" w:w="4873"/>
            <w:vAlign w:val="center"/>
          </w:tcPr>
          <w:p>
            <w:pPr>
              <w:spacing w:line="276" w:lineRule="auto" w:before="0" w:after="0"/>
            </w:pPr>
            <w:r/>
            <w:r>
              <w:rPr>
                <w:rFonts w:ascii="Figtree" w:hAnsi="Figtree"/>
                <w:b w:val="0"/>
                <w:i w:val="0"/>
                <w:sz w:val="20"/>
              </w:rPr>
              <w:t>Release support</w:t>
            </w:r>
          </w:p>
        </w:tc>
        <w:tc>
          <w:tcPr>
            <w:tcW w:type="dxa" w:w="4873"/>
            <w:vAlign w:val="center"/>
          </w:tcPr>
          <w:p>
            <w:pPr>
              <w:spacing w:line="276" w:lineRule="auto" w:before="0" w:after="0"/>
            </w:pPr>
            <w:r/>
            <w:r>
              <w:rPr>
                <w:rFonts w:ascii="Figtree" w:hAnsi="Figtree"/>
                <w:b w:val="0"/>
                <w:i w:val="0"/>
                <w:sz w:val="20"/>
              </w:rPr>
              <w:t>Included for scheduled platform releases within support scope</w:t>
            </w:r>
          </w:p>
        </w:tc>
      </w:tr>
      <w:tr>
        <w:trPr>
          <w:trHeight w:val="425" w:hRule="atLeast"/>
        </w:trPr>
        <w:tc>
          <w:tcPr>
            <w:tcW w:type="dxa" w:w="4873"/>
            <w:vAlign w:val="center"/>
          </w:tcPr>
          <w:p>
            <w:pPr>
              <w:spacing w:line="276" w:lineRule="auto" w:before="0" w:after="0"/>
            </w:pPr>
            <w:r/>
            <w:r>
              <w:rPr>
                <w:rFonts w:ascii="Figtree" w:hAnsi="Figtree"/>
                <w:b w:val="0"/>
                <w:i w:val="0"/>
                <w:sz w:val="20"/>
              </w:rPr>
              <w:t>Customer change coordination</w:t>
            </w:r>
          </w:p>
        </w:tc>
        <w:tc>
          <w:tcPr>
            <w:tcW w:type="dxa" w:w="4873"/>
            <w:vAlign w:val="center"/>
          </w:tcPr>
          <w:p>
            <w:pPr>
              <w:spacing w:line="276" w:lineRule="auto" w:before="0" w:after="0"/>
            </w:pPr>
            <w:r/>
            <w:r>
              <w:rPr>
                <w:rFonts w:ascii="Figtree" w:hAnsi="Figtree"/>
                <w:b w:val="0"/>
                <w:i w:val="0"/>
                <w:sz w:val="20"/>
              </w:rPr>
              <w:t>Aligned with agreed CAB / change windows</w:t>
            </w:r>
          </w:p>
        </w:tc>
      </w:tr>
    </w:tbl>
    <w:p>
      <w:pPr>
        <w:spacing w:before="0" w:after="0" w:line="120" w:lineRule="exact"/>
      </w:pPr>
    </w:p>
    <w:p>
      <w:pPr>
        <w:pStyle w:val="H2"/>
        <w:numPr>
          <w:ilvl w:val="1"/>
          <w:numId w:val="1"/>
        </w:numPr>
      </w:pPr>
      <w:r>
        <w:t>Three-Year Commercial View</w:t>
      </w:r>
    </w:p>
    <w:p>
      <w:r>
        <w:rPr>
          <w:rFonts w:ascii="Figtree" w:hAnsi="Figtree"/>
          <w:b w:val="0"/>
          <w:i w:val="0"/>
          <w:sz w:val="22"/>
        </w:rPr>
        <w:t>The three-year economic model should be evaluated as a phased platform investment rather than a one-off project. Year 1 carries the implementation and launch burden, Years 2 and 3 should benefit from lower incremental change costs because the institution can reuse the same control plane, templates, and operational model for adjacent expansion.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46"/>
        <w:gridCol w:w="1445"/>
        <w:gridCol w:w="1445"/>
        <w:gridCol w:w="1445"/>
        <w:gridCol w:w="289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Platform subscription</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Annual recurring</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Baseline first release</w:t>
            </w:r>
          </w:p>
        </w:tc>
      </w:tr>
      <w:tr>
        <w:trPr>
          <w:trHeight w:val="425" w:hRule="atLeast"/>
        </w:trPr>
        <w:tc>
          <w:tcPr>
            <w:tcW w:type="dxa" w:w="1949"/>
            <w:vAlign w:val="center"/>
          </w:tcPr>
          <w:p>
            <w:pPr>
              <w:spacing w:line="276" w:lineRule="auto" w:before="0" w:after="0"/>
            </w:pPr>
            <w:r/>
            <w:r>
              <w:rPr>
                <w:rFonts w:ascii="Figtree" w:hAnsi="Figtree"/>
                <w:b w:val="0"/>
                <w:i w:val="0"/>
                <w:sz w:val="20"/>
              </w:rPr>
              <w:t>Support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Depends on support tier</w:t>
            </w:r>
          </w:p>
        </w:tc>
      </w:tr>
      <w:tr>
        <w:trPr>
          <w:trHeight w:val="425" w:hRule="atLeast"/>
        </w:trPr>
        <w:tc>
          <w:tcPr>
            <w:tcW w:type="dxa" w:w="1949"/>
            <w:vAlign w:val="center"/>
          </w:tcPr>
          <w:p>
            <w:pPr>
              <w:spacing w:line="276" w:lineRule="auto" w:before="0" w:after="0"/>
            </w:pPr>
            <w:r/>
            <w:r>
              <w:rPr>
                <w:rFonts w:ascii="Figtree" w:hAnsi="Figtree"/>
                <w:b w:val="0"/>
                <w:i w:val="0"/>
                <w:sz w:val="20"/>
              </w:rPr>
              <w:t>Optional expansions</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New entities, corridors, or adapters</w:t>
            </w:r>
          </w:p>
        </w:tc>
      </w:tr>
      <w:tr>
        <w:trPr>
          <w:trHeight w:val="425" w:hRule="atLeast"/>
        </w:trPr>
        <w:tc>
          <w:tcPr>
            <w:tcW w:type="dxa" w:w="1949"/>
            <w:vAlign w:val="center"/>
          </w:tcPr>
          <w:p>
            <w:pPr>
              <w:spacing w:line="276" w:lineRule="auto" w:before="0" w:after="0"/>
            </w:pPr>
            <w:r/>
            <w:r>
              <w:rPr>
                <w:rFonts w:ascii="Figtree" w:hAnsi="Figtree"/>
                <w:b w:val="0"/>
                <w:i w:val="0"/>
                <w:sz w:val="20"/>
              </w:rPr>
              <w:t>Buyer infrastructure</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Hosting and third-party tooling</w:t>
            </w:r>
          </w:p>
        </w:tc>
      </w:tr>
    </w:tbl>
    <w:p>
      <w:pPr>
        <w:spacing w:before="0" w:after="0" w:line="120" w:lineRule="exact"/>
      </w:pPr>
    </w:p>
    <w:p>
      <w:pPr>
        <w:pStyle w:val="H2"/>
        <w:numPr>
          <w:ilvl w:val="1"/>
          <w:numId w:val="1"/>
        </w:numPr>
      </w:pPr>
      <w:r>
        <w:t>Exclusions and Optional Items</w:t>
      </w:r>
    </w:p>
    <w:p>
      <w:r>
        <w:rPr>
          <w:rFonts w:ascii="Figtree" w:hAnsi="Figtree"/>
          <w:b w:val="0"/>
          <w:i w:val="0"/>
          <w:sz w:val="22"/>
        </w:rPr>
        <w:t>The following items are excluded from the commercial baseline unless specifically contracted:</w:t>
      </w:r>
    </w:p>
    <w:p>
      <w:pPr>
        <w:pStyle w:val="ListParagraph"/>
        <w:numPr>
          <w:ilvl w:val="0"/>
          <w:numId w:val="4"/>
        </w:numPr>
      </w:pPr>
      <w:r>
        <w:rPr>
          <w:rFonts w:ascii="Figtree" w:hAnsi="Figtree"/>
          <w:b w:val="0"/>
          <w:i w:val="0"/>
          <w:sz w:val="22"/>
        </w:rPr>
        <w:t>Buyer cloud or infrastructure consumption charges.</w:t>
      </w:r>
    </w:p>
    <w:p>
      <w:pPr>
        <w:pStyle w:val="ListParagraph"/>
        <w:numPr>
          <w:ilvl w:val="0"/>
          <w:numId w:val="4"/>
        </w:numPr>
      </w:pPr>
      <w:r>
        <w:rPr>
          <w:rFonts w:ascii="Figtree" w:hAnsi="Figtree"/>
          <w:b w:val="0"/>
          <w:i w:val="0"/>
          <w:sz w:val="22"/>
        </w:rPr>
        <w:t>Third-party connectivity fees, market-infrastructure fees, or operator onboarding charges.</w:t>
      </w:r>
    </w:p>
    <w:p>
      <w:pPr>
        <w:pStyle w:val="ListParagraph"/>
        <w:numPr>
          <w:ilvl w:val="0"/>
          <w:numId w:val="4"/>
        </w:numPr>
      </w:pPr>
      <w:r>
        <w:rPr>
          <w:rFonts w:ascii="Figtree" w:hAnsi="Figtree"/>
          <w:b w:val="0"/>
          <w:i w:val="0"/>
          <w:sz w:val="22"/>
        </w:rPr>
        <w:t>External legal, tax, registry, ESG assurance, or market-specific advisory services.</w:t>
      </w:r>
    </w:p>
    <w:p>
      <w:pPr>
        <w:pStyle w:val="ListParagraph"/>
        <w:numPr>
          <w:ilvl w:val="0"/>
          <w:numId w:val="4"/>
        </w:numPr>
      </w:pPr>
      <w:r>
        <w:rPr>
          <w:rFonts w:ascii="Figtree" w:hAnsi="Figtree"/>
          <w:b w:val="0"/>
          <w:i w:val="0"/>
          <w:sz w:val="22"/>
        </w:rPr>
        <w:t>Net-new custom interfaces outside the agreed implementation baseline.</w:t>
      </w:r>
    </w:p>
    <w:p>
      <w:pPr>
        <w:pStyle w:val="ListParagraph"/>
        <w:numPr>
          <w:ilvl w:val="0"/>
          <w:numId w:val="4"/>
        </w:numPr>
      </w:pPr>
      <w:r>
        <w:rPr>
          <w:rFonts w:ascii="Figtree" w:hAnsi="Figtree"/>
          <w:b w:val="0"/>
          <w:i w:val="0"/>
          <w:sz w:val="22"/>
        </w:rPr>
        <w:t>Non-standard migration or remediation work on legacy data beyond the agreed target scope.</w:t>
      </w:r>
    </w:p>
    <w:p>
      <w:pPr>
        <w:pStyle w:val="H2"/>
        <w:numPr>
          <w:ilvl w:val="1"/>
          <w:numId w:val="1"/>
        </w:numPr>
      </w:pPr>
      <w:r>
        <w:t>Contractual and Governance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88"/>
        <w:gridCol w:w="608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Topic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Initial term</w:t>
            </w:r>
          </w:p>
        </w:tc>
        <w:tc>
          <w:tcPr>
            <w:tcW w:type="dxa" w:w="4873"/>
            <w:vAlign w:val="center"/>
          </w:tcPr>
          <w:p>
            <w:pPr>
              <w:spacing w:line="276" w:lineRule="auto" w:before="0" w:after="0"/>
            </w:pPr>
            <w:r/>
            <w:r>
              <w:rPr>
                <w:rFonts w:ascii="Figtree" w:hAnsi="Figtree"/>
                <w:b w:val="0"/>
                <w:i w:val="0"/>
                <w:sz w:val="20"/>
              </w:rPr>
              <w:t>Three years recommended</w:t>
            </w:r>
          </w:p>
        </w:tc>
      </w:tr>
      <w:tr>
        <w:trPr>
          <w:trHeight w:val="425" w:hRule="atLeast"/>
        </w:trPr>
        <w:tc>
          <w:tcPr>
            <w:tcW w:type="dxa" w:w="4873"/>
            <w:vAlign w:val="center"/>
          </w:tcPr>
          <w:p>
            <w:pPr>
              <w:spacing w:line="276" w:lineRule="auto" w:before="0" w:after="0"/>
            </w:pPr>
            <w:r/>
            <w:r>
              <w:rPr>
                <w:rFonts w:ascii="Figtree" w:hAnsi="Figtree"/>
                <w:b w:val="0"/>
                <w:i w:val="0"/>
                <w:sz w:val="20"/>
              </w:rPr>
              <w:t>Billing</w:t>
            </w:r>
          </w:p>
        </w:tc>
        <w:tc>
          <w:tcPr>
            <w:tcW w:type="dxa" w:w="4873"/>
            <w:vAlign w:val="center"/>
          </w:tcPr>
          <w:p>
            <w:pPr>
              <w:spacing w:line="276" w:lineRule="auto" w:before="0" w:after="0"/>
            </w:pPr>
            <w:r/>
            <w:r>
              <w:rPr>
                <w:rFonts w:ascii="Figtree" w:hAnsi="Figtree"/>
                <w:b w:val="0"/>
                <w:i w:val="0"/>
                <w:sz w:val="20"/>
              </w:rPr>
              <w:t>Annual subscription in advance; implementation by milestone</w:t>
            </w:r>
          </w:p>
        </w:tc>
      </w:tr>
      <w:tr>
        <w:trPr>
          <w:trHeight w:val="425" w:hRule="atLeast"/>
        </w:trPr>
        <w:tc>
          <w:tcPr>
            <w:tcW w:type="dxa" w:w="4873"/>
            <w:vAlign w:val="center"/>
          </w:tcPr>
          <w:p>
            <w:pPr>
              <w:spacing w:line="276" w:lineRule="auto" w:before="0" w:after="0"/>
            </w:pPr>
            <w:r/>
            <w:r>
              <w:rPr>
                <w:rFonts w:ascii="Figtree" w:hAnsi="Figtree"/>
                <w:b w:val="0"/>
                <w:i w:val="0"/>
                <w:sz w:val="20"/>
              </w:rPr>
              <w:t>Acceptance</w:t>
            </w:r>
          </w:p>
        </w:tc>
        <w:tc>
          <w:tcPr>
            <w:tcW w:type="dxa" w:w="4873"/>
            <w:vAlign w:val="center"/>
          </w:tcPr>
          <w:p>
            <w:pPr>
              <w:spacing w:line="276" w:lineRule="auto" w:before="0" w:after="0"/>
            </w:pPr>
            <w:r/>
            <w:r>
              <w:rPr>
                <w:rFonts w:ascii="Figtree" w:hAnsi="Figtree"/>
                <w:b w:val="0"/>
                <w:i w:val="0"/>
                <w:sz w:val="20"/>
              </w:rPr>
              <w:t>Phase exit criteria and acceptance evidence agreed during discovery</w:t>
            </w:r>
          </w:p>
        </w:tc>
      </w:tr>
      <w:tr>
        <w:trPr>
          <w:trHeight w:val="425" w:hRule="atLeast"/>
        </w:trPr>
        <w:tc>
          <w:tcPr>
            <w:tcW w:type="dxa" w:w="4873"/>
            <w:vAlign w:val="center"/>
          </w:tcPr>
          <w:p>
            <w:pPr>
              <w:spacing w:line="276" w:lineRule="auto" w:before="0" w:after="0"/>
            </w:pPr>
            <w:r/>
            <w:r>
              <w:rPr>
                <w:rFonts w:ascii="Figtree" w:hAnsi="Figtree"/>
                <w:b w:val="0"/>
                <w:i w:val="0"/>
                <w:sz w:val="20"/>
              </w:rPr>
              <w:t>Change control</w:t>
            </w:r>
          </w:p>
        </w:tc>
        <w:tc>
          <w:tcPr>
            <w:tcW w:type="dxa" w:w="4873"/>
            <w:vAlign w:val="center"/>
          </w:tcPr>
          <w:p>
            <w:pPr>
              <w:spacing w:line="276" w:lineRule="auto" w:before="0" w:after="0"/>
            </w:pPr>
            <w:r/>
            <w:r>
              <w:rPr>
                <w:rFonts w:ascii="Figtree" w:hAnsi="Figtree"/>
                <w:b w:val="0"/>
                <w:i w:val="0"/>
                <w:sz w:val="20"/>
              </w:rPr>
              <w:t>Formal change request for scope beyond baseline</w:t>
            </w:r>
          </w:p>
        </w:tc>
      </w:tr>
      <w:tr>
        <w:trPr>
          <w:trHeight w:val="425" w:hRule="atLeast"/>
        </w:trPr>
        <w:tc>
          <w:tcPr>
            <w:tcW w:type="dxa" w:w="4873"/>
            <w:vAlign w:val="center"/>
          </w:tcPr>
          <w:p>
            <w:pPr>
              <w:spacing w:line="276" w:lineRule="auto" w:before="0" w:after="0"/>
            </w:pPr>
            <w:r/>
            <w:r>
              <w:rPr>
                <w:rFonts w:ascii="Figtree" w:hAnsi="Figtree"/>
                <w:b w:val="0"/>
                <w:i w:val="0"/>
                <w:sz w:val="20"/>
              </w:rPr>
              <w:t>Exit support</w:t>
            </w:r>
          </w:p>
        </w:tc>
        <w:tc>
          <w:tcPr>
            <w:tcW w:type="dxa" w:w="4873"/>
            <w:vAlign w:val="center"/>
          </w:tcPr>
          <w:p>
            <w:pPr>
              <w:spacing w:line="276" w:lineRule="auto" w:before="0" w:after="0"/>
            </w:pPr>
            <w:r/>
            <w:r>
              <w:rPr>
                <w:rFonts w:ascii="Figtree" w:hAnsi="Figtree"/>
                <w:b w:val="0"/>
                <w:i w:val="0"/>
                <w:sz w:val="20"/>
              </w:rPr>
              <w:t>Time-bound export and transition assistance subject to contract</w:t>
            </w:r>
          </w:p>
        </w:tc>
      </w:tr>
      <w:tr>
        <w:trPr>
          <w:trHeight w:val="425" w:hRule="atLeast"/>
        </w:trPr>
        <w:tc>
          <w:tcPr>
            <w:tcW w:type="dxa" w:w="4873"/>
            <w:vAlign w:val="center"/>
          </w:tcPr>
          <w:p>
            <w:pPr>
              <w:spacing w:line="276" w:lineRule="auto" w:before="0" w:after="0"/>
            </w:pPr>
            <w:r/>
            <w:r>
              <w:rPr>
                <w:rFonts w:ascii="Figtree" w:hAnsi="Figtree"/>
                <w:b w:val="0"/>
                <w:i w:val="0"/>
                <w:sz w:val="20"/>
              </w:rPr>
              <w:t>Audit and information rights</w:t>
            </w:r>
          </w:p>
        </w:tc>
        <w:tc>
          <w:tcPr>
            <w:tcW w:type="dxa" w:w="4873"/>
            <w:vAlign w:val="center"/>
          </w:tcPr>
          <w:p>
            <w:pPr>
              <w:spacing w:line="276" w:lineRule="auto" w:before="0" w:after="0"/>
            </w:pPr>
            <w:r/>
            <w:r>
              <w:rPr>
                <w:rFonts w:ascii="Figtree" w:hAnsi="Figtree"/>
                <w:b w:val="0"/>
                <w:i w:val="0"/>
                <w:sz w:val="20"/>
              </w:rPr>
              <w:t>Appropriate for regulated institutional customers</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w:t>
            </w:r>
          </w:p>
        </w:tc>
        <w:tc>
          <w:tcPr>
            <w:tcW w:type="dxa" w:w="4873"/>
            <w:vAlign w:val="center"/>
          </w:tcPr>
          <w:p>
            <w:pPr>
              <w:spacing w:line="276" w:lineRule="auto" w:before="0" w:after="0"/>
            </w:pPr>
            <w:r/>
            <w:r>
              <w:rPr>
                <w:rFonts w:ascii="Figtree" w:hAnsi="Figtree"/>
                <w:b w:val="0"/>
                <w:i w:val="0"/>
                <w:sz w:val="20"/>
              </w:rPr>
              <w:t>Governed through DPA and agreed service boundaries</w:t>
            </w:r>
          </w:p>
        </w:tc>
      </w:tr>
    </w:tbl>
    <w:p>
      <w:pPr>
        <w:spacing w:before="0" w:after="0" w:line="120" w:lineRule="exact"/>
      </w:pPr>
    </w:p>
    <w:p>
      <w:pPr>
        <w:pStyle w:val="H2"/>
        <w:numPr>
          <w:ilvl w:val="1"/>
          <w:numId w:val="1"/>
        </w:numPr>
      </w:pPr>
      <w:r>
        <w:t>Commercial Fit Summary</w:t>
      </w:r>
    </w:p>
    <w:p>
      <w:r>
        <w:rPr>
          <w:rFonts w:ascii="Figtree" w:hAnsi="Figtree"/>
          <w:b w:val="0"/>
          <w:i w:val="0"/>
          <w:sz w:val="22"/>
        </w:rPr>
        <w:t>The proposed commercial model is designed to give ING three things procurement teams consistently ask for: price transparency, traceable assumptions, credible scale economics, and disciplined scope control. It does not rely on low headline pricing offset by hidden dependency costs. Instead, it separates what DALP delivers directly from what must be coordinated with the buyer's environment and third parties, making the commercial package easier to compare, negotiate, and govern.</w:t>
      </w:r>
    </w:p>
    <w:p>
      <w:pPr>
        <w:pStyle w:val="H2"/>
        <w:numPr>
          <w:ilvl w:val="1"/>
          <w:numId w:val="1"/>
        </w:numPr>
      </w:pPr>
      <w:r>
        <w:t>Financial Governance and Budget Control</w:t>
      </w:r>
    </w:p>
    <w:p>
      <w:r>
        <w:rPr>
          <w:rFonts w:ascii="Figtree" w:hAnsi="Figtree"/>
          <w:b w:val="0"/>
          <w:i w:val="0"/>
          <w:sz w:val="22"/>
        </w:rPr>
        <w:t>For ING, budget control will depend on keeping the baseline scope narrow, the assumptions explicit, and the optional workstreams separately governed. A well-run programme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r>
        <w:rPr>
          <w:rFonts w:ascii="Figtree" w:hAnsi="Figtree"/>
          <w:b w:val="0"/>
          <w:i w:val="0"/>
          <w:sz w:val="22"/>
        </w:rPr>
        <w:t>For ING, budget control will depend on keeping the baseline scope narrow, the assumptions explicit, and the optional workstreams separately governed. A well-run programme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r>
        <w:rPr>
          <w:rFonts w:ascii="Figtree" w:hAnsi="Figtree"/>
          <w:b w:val="0"/>
          <w:i w:val="0"/>
          <w:sz w:val="22"/>
        </w:rPr>
        <w:t>For ING, budget control will depend on keeping the baseline scope narrow, the assumptions explicit, and the optional workstreams separately governed. A well-run engagement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pPr>
        <w:pStyle w:val="H2"/>
        <w:numPr>
          <w:ilvl w:val="1"/>
          <w:numId w:val="1"/>
        </w:numPr>
      </w:pPr>
      <w:r>
        <w:t>Delivery Governance and Change Management</w:t>
      </w:r>
    </w:p>
    <w:p>
      <w:r>
        <w:rPr>
          <w:rFonts w:ascii="Figtree" w:hAnsi="Figtree"/>
          <w:b w:val="0"/>
          <w:i w:val="0"/>
          <w:sz w:val="22"/>
        </w:rPr>
        <w:t>Commercial governance should mirror delivery governance. When architecture or compliance teams change a baseline assumption, the commercial register should be updated at the same time so cost impact remains visible. That discipline is more valuable to sophisticated institutions than artificially smooth pricing tables, because it allows funding decisions to track actual implementation risk and operational readiness.</w:t>
      </w:r>
    </w:p>
    <w:p>
      <w:r>
        <w:rPr>
          <w:rFonts w:ascii="Figtree" w:hAnsi="Figtree"/>
          <w:b w:val="0"/>
          <w:i w:val="0"/>
          <w:sz w:val="22"/>
        </w:rPr>
        <w:t>Commercial governance should mirror delivery governance. When architecture or compliance teams change a baseline assumption, the commercial register should be updated at the same time so cost impact remains visible. That discipline is more valuable to sophisticated institutions than artificially smooth pricing tables, because it allows funding decisions to track actual implementation risk and operational readiness.</w:t>
      </w:r>
    </w:p>
    <w:p>
      <w:r>
        <w:rPr>
          <w:rFonts w:ascii="Figtree" w:hAnsi="Figtree"/>
          <w:b w:val="0"/>
          <w:i w:val="0"/>
          <w:sz w:val="22"/>
        </w:rPr>
        <w:t>Commercial governance must where agreed mirror delivery governance. When architecture or compliance teams change a baseline assumption, the commercial register must where agreed be updated at the same time so cost impact remains visible. That discipline is more valuable to sophisticated institutions than artificially smooth pricing tables, because it allows funding decisions to track actual implementation risk and operational readiness.</w:t>
      </w:r>
    </w:p>
    <w:p>
      <w:pPr>
        <w:pStyle w:val="H2"/>
        <w:numPr>
          <w:ilvl w:val="1"/>
          <w:numId w:val="1"/>
        </w:numPr>
      </w:pPr>
      <w:r>
        <w:t>Scaling Economics</w:t>
      </w:r>
    </w:p>
    <w:p>
      <w:r>
        <w:rPr>
          <w:rFonts w:ascii="Figtree" w:hAnsi="Figtree"/>
          <w:b w:val="0"/>
          <w:i w:val="0"/>
          <w:sz w:val="22"/>
        </w:rPr>
        <w:t>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r>
        <w:rPr>
          <w:rFonts w:ascii="Figtree" w:hAnsi="Figtree"/>
          <w:b w:val="0"/>
          <w:i w:val="0"/>
          <w:sz w:val="22"/>
        </w:rPr>
        <w:t>In practice, 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r>
        <w:rPr>
          <w:rFonts w:ascii="Figtree" w:hAnsi="Figtree"/>
          <w:b w:val="0"/>
          <w:i w:val="0"/>
          <w:sz w:val="22"/>
        </w:rPr>
        <w:t>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pPr>
        <w:pStyle w:val="H2"/>
        <w:numPr>
          <w:ilvl w:val="1"/>
          <w:numId w:val="1"/>
        </w:numPr>
      </w:pPr>
      <w:r>
        <w:t>Commercial Risk Allocation</w:t>
      </w:r>
    </w:p>
    <w:p>
      <w:r>
        <w:rPr>
          <w:rFonts w:ascii="Figtree" w:hAnsi="Figtree"/>
          <w:b w:val="0"/>
          <w:i w:val="0"/>
          <w:sz w:val="22"/>
        </w:rPr>
        <w:t>Commercial risk allocation should be explicit. DALP can take responsibility for the platform product, agreed implementation deliverables, and support obligations. The buyer should retain responsibility for legal interpretation, internal policy sign-off, and ownership of third-party enterprise tooling. Shared dependencies should be captured in the implementation governance model so that slippage is assessed against objective prerequisites rather than argued retrospectively.</w:t>
      </w:r>
    </w:p>
    <w:p>
      <w:r>
        <w:rPr>
          <w:rFonts w:ascii="Figtree" w:hAnsi="Figtree"/>
          <w:b w:val="0"/>
          <w:i w:val="0"/>
          <w:sz w:val="22"/>
        </w:rPr>
        <w:t>Commercial risk allocation should be explicit. the platform can take responsibility for the platform product, agreed implementation deliverables, and support obligations. In practice, the buyer should retain responsibility for legal interpretation, internal policy sign-off, and ownership of third-party enterprise tooling. Shared dependencies should be captured in the implementation governance model so that slippage is assessed against objective prerequisites rather than argued retrospectively.</w:t>
      </w:r>
    </w:p>
    <w:p>
      <w:r>
        <w:rPr>
          <w:rFonts w:ascii="Figtree" w:hAnsi="Figtree"/>
          <w:b w:val="0"/>
          <w:i w:val="0"/>
          <w:sz w:val="22"/>
        </w:rPr>
        <w:t>Commercial risk allocation must where agreed be explicit. DALP can take responsibility for the platform product, agreed implementation deliverables, and support obligations. The buyer must where agreed retain responsibility for legal interpretation, internal policy sign-off, and ownership of third-party enterprise tooling. Shared dependencies must where agreed be captured in the implementation governance model so that slippage is assessed against objective prerequisites rather than argued retrospectively.</w:t>
      </w:r>
    </w:p>
    <w:p>
      <w:pPr>
        <w:pStyle w:val="H2"/>
        <w:numPr>
          <w:ilvl w:val="1"/>
          <w:numId w:val="1"/>
        </w:numPr>
      </w:pPr>
      <w:r>
        <w:t>Procurement Questions and Clarifications</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The proposal is intentionally structured so these questions can be answered without rewriting the whole commercial basis: the baseline is stable, while optionality and dependencies are already separated into explicit lines of responsibility.</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In practice, the proposal is intentionally structured so these questions can be answered without rewriting the whole commercial basis: the baseline is stable, while optionality and dependencies are already separated into explicit lines of responsibility.</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The proposal is intentionally structured so these questions can be answered without rewriting the whole commercial basis: the baseline is stable, while optionality and dependencies are already separated into explicit lines of responsibility.</w:t>
      </w:r>
    </w:p>
    <w:p>
      <w:pPr>
        <w:pStyle w:val="H2"/>
        <w:numPr>
          <w:ilvl w:val="1"/>
          <w:numId w:val="1"/>
        </w:numPr>
      </w:pPr>
      <w:r>
        <w:t>Recommended Next-Step Commercial Workplan</w:t>
      </w:r>
    </w:p>
    <w:p>
      <w:r>
        <w:rPr>
          <w:rFonts w:ascii="Figtree" w:hAnsi="Figtree"/>
          <w:b w:val="0"/>
          <w:i w:val="0"/>
          <w:sz w:val="22"/>
        </w:rPr>
        <w:t>A practical next step after shortlist selection is a short commercial and solution-confirmation workshop with ING's procurement, architecture, security, and business sponsors. The goal is to ratify the baseline scope, identify which third-party dependencies are already preferred or mandated, and convert any ambiguous commercial assumptions into signed delivery constraints before final contracting.</w:t>
      </w:r>
    </w:p>
    <w:p>
      <w:r>
        <w:rPr>
          <w:rFonts w:ascii="Figtree" w:hAnsi="Figtree"/>
          <w:b w:val="0"/>
          <w:i w:val="0"/>
          <w:sz w:val="22"/>
        </w:rPr>
        <w:t>A practical next step after shortlist selection is a short commercial and solution-confirmation workshop with ING's procurement, architecture, security, and business sponsors. In practice, the goal is to ratify the baseline scope, identify which third-party dependencies are already preferred or mandated, and convert any ambiguous commercial assumptions into signed delivery constraints before final contracting.</w:t>
      </w:r>
    </w:p>
    <w:p>
      <w:r>
        <w:rPr>
          <w:rFonts w:ascii="Figtree" w:hAnsi="Figtree"/>
          <w:b w:val="0"/>
          <w:i w:val="0"/>
          <w:sz w:val="22"/>
        </w:rPr>
        <w:t>A practical next step after shortlist selection is a short commercial and solution-confirmation workshop with ING's procurement, architecture, security, and business sponsors. The goal is to ratify the baseline scope, identify which third-party dependencies are already preferred or mandated, and convert any ambiguous commercial assumptions into signed delivery constraints before final contracting.</w:t>
      </w:r>
    </w:p>
    <w:p>
      <w:pPr>
        <w:pStyle w:val="H2"/>
        <w:numPr>
          <w:ilvl w:val="1"/>
          <w:numId w:val="1"/>
        </w:numPr>
      </w:pPr>
      <w:r>
        <w:t>Appendix: Assumption Commentary</w:t>
      </w:r>
    </w:p>
    <w:p>
      <w:r>
        <w:rPr>
          <w:rFonts w:ascii="Figtree" w:hAnsi="Figtree"/>
          <w:b w:val="0"/>
          <w:i w:val="0"/>
          <w:sz w:val="22"/>
        </w:rPr>
        <w:t>Appendix commentary should capture the rationale behind each major assumption so future reviewers understand why a line item is included, excluded, or conditional. That reduces negotiation churn and helps preserve institutional memory when programmes move from procurement to delivery.</w:t>
      </w:r>
    </w:p>
    <w:p>
      <w:r>
        <w:rPr>
          <w:rFonts w:ascii="Figtree" w:hAnsi="Figtree"/>
          <w:b w:val="0"/>
          <w:i w:val="0"/>
          <w:sz w:val="22"/>
        </w:rPr>
        <w:t>Appendix commentary should capture the rationale behind each major assumption so future reviewers understand why a line item is included, excluded, or conditional. That reduces negotiation churn and helps preserve institutional memory when programmes move from procurement to delivery.</w:t>
      </w:r>
    </w:p>
    <w:p>
      <w:r>
        <w:rPr>
          <w:rFonts w:ascii="Figtree" w:hAnsi="Figtree"/>
          <w:b w:val="0"/>
          <w:i w:val="0"/>
          <w:sz w:val="22"/>
        </w:rPr>
        <w:t>Appendix commentary must where agreed capture the rationale behind each major assumption so future reviewers understand why a line item is included, excluded, or conditional. That reduces negotiation churn and helps preserve institutional memory when engagements move from procurement to delivery.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Proposal — Tokenized Trade Finance Platform</dc:title>
  <dc:subject>SettleMint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