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ING Group</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Tokenized Trade Finance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ING Group</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8"/>
        <w:gridCol w:w="66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Trade Finance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ING Group</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ING-RFP-202603-06</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ING is to adopt DALP as the configuration-led lifecycle, policy, and integration orchestration layer for tokenized trade finance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ING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ING wants a reusable platform, not a one-deal delivery. That is why the proposed model emphasizes reusable product templates, parameterized lifecycle events, policy binding, and audit-friendly exports. For ING,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receivables tokenization, supply-chain finance programme servicing, guarantee and document workflow control, and investor or participant transfer with bank-led approvals.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ING,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ING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ING is broad: trade finance workflow systems, KYC, sanctions, and onboarding services, document repositories and e-signature tooling, cash management and ERP integrations, and risk, audit, and reporting systems.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ING,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ING,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ING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ING is not buying a pilot stack; it is buying an operating capability for tokenized trade finance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ING can scale new products, legal entities, and corridors without rebuilding the control model each time.</w:t>
      </w:r>
    </w:p>
    <w:p>
      <w:r>
        <w:rPr>
          <w:rFonts w:ascii="Figtree" w:hAnsi="Figtree"/>
          <w:b w:val="0"/>
          <w:i w:val="0"/>
          <w:sz w:val="22"/>
        </w:rPr>
        <w:t>The relevant regulatory backdrop is MiCA, MiFID II where securities treatment applies, DORA, GDPR, Dutch financial supervision expectations, and trade-finance AML, sanctions, and documentary control obligations.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ING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ING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ING,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ING.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8"/>
        <w:gridCol w:w="72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trade-finance and receivables digitization programmes; bank-led tokenization deployments with document-linked approvals; regulated multi-party workflows with configurable policy enforcement</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Tokenized Trade Finance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