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Executive Summary</w:t>
          </w:r>
          <w:r>
            <w:tab/>
          </w:r>
          <w:r>
            <w:t xml:space="preserve">3</w:t>
          </w:r>
        </w:p>
        <w:p>
          <w:pPr>
            <w:pStyle w:val="TOC1"/>
            <w:tabs>
              <w:tab w:val="right" w:leader="dot" w:pos="9072"/>
            </w:tabs>
          </w:pPr>
          <w:r>
            <w:t xml:space="preserve">Investment Rationale</w:t>
          </w:r>
          <w:r>
            <w:tab/>
          </w:r>
          <w:r>
            <w:t xml:space="preserve">4</w:t>
          </w:r>
        </w:p>
        <w:p>
          <w:pPr>
            <w:pStyle w:val="TOC2"/>
            <w:tabs>
              <w:tab w:val="right" w:leader="dot" w:pos="9072"/>
            </w:tabs>
          </w:pPr>
          <w:r>
            <w:t xml:space="preserve">Cost of Current Approach</w:t>
          </w:r>
          <w:r>
            <w:tab/>
          </w:r>
          <w:r>
            <w:t xml:space="preserve">5</w:t>
          </w:r>
        </w:p>
        <w:p>
          <w:pPr>
            <w:pStyle w:val="TOC2"/>
            <w:tabs>
              <w:tab w:val="right" w:leader="dot" w:pos="9072"/>
            </w:tabs>
          </w:pPr>
          <w:r>
            <w:t xml:space="preserve">Why DALP Changes Economics</w:t>
          </w:r>
          <w:r>
            <w:tab/>
          </w:r>
          <w:r>
            <w:t xml:space="preserve">6</w:t>
          </w:r>
        </w:p>
        <w:p>
          <w:pPr>
            <w:pStyle w:val="TOC2"/>
            <w:tabs>
              <w:tab w:val="right" w:leader="dot" w:pos="9072"/>
            </w:tabs>
          </w:pPr>
          <w:r>
            <w:t xml:space="preserve">ROI Framework</w:t>
          </w:r>
          <w:r>
            <w:tab/>
          </w:r>
          <w:r>
            <w:t xml:space="preserve">7</w:t>
          </w:r>
        </w:p>
        <w:p>
          <w:pPr>
            <w:pStyle w:val="TOC1"/>
            <w:tabs>
              <w:tab w:val="right" w:leader="dot" w:pos="9072"/>
            </w:tabs>
          </w:pPr>
          <w:r>
            <w:t xml:space="preserve">Licensing Model</w:t>
          </w:r>
          <w:r>
            <w:tab/>
          </w:r>
          <w:r>
            <w:t xml:space="preserve">8</w:t>
          </w:r>
        </w:p>
        <w:p>
          <w:pPr>
            <w:pStyle w:val="TOC1"/>
            <w:tabs>
              <w:tab w:val="right" w:leader="dot" w:pos="9072"/>
            </w:tabs>
          </w:pPr>
          <w:r>
            <w:t xml:space="preserve">Deployment and Cost Structure</w:t>
          </w:r>
          <w:r>
            <w:tab/>
          </w:r>
          <w:r>
            <w:t xml:space="preserve">9</w:t>
          </w:r>
        </w:p>
        <w:p>
          <w:pPr>
            <w:pStyle w:val="TOC1"/>
            <w:tabs>
              <w:tab w:val="right" w:leader="dot" w:pos="9072"/>
            </w:tabs>
          </w:pPr>
          <w:r>
            <w:t xml:space="preserve">Support and SLA</w:t>
          </w:r>
          <w:r>
            <w:tab/>
          </w:r>
          <w:r>
            <w:t xml:space="preserve">10</w:t>
          </w:r>
        </w:p>
        <w:p>
          <w:pPr>
            <w:pStyle w:val="TOC1"/>
            <w:tabs>
              <w:tab w:val="right" w:leader="dot" w:pos="9072"/>
            </w:tabs>
          </w:pPr>
          <w:r>
            <w:t xml:space="preserve">Implementation Investment</w:t>
          </w:r>
          <w:r>
            <w:tab/>
          </w:r>
          <w:r>
            <w:t xml:space="preserve">11</w:t>
          </w:r>
        </w:p>
        <w:p>
          <w:pPr>
            <w:pStyle w:val="TOC1"/>
            <w:tabs>
              <w:tab w:val="right" w:leader="dot" w:pos="9072"/>
            </w:tabs>
          </w:pPr>
          <w:r>
            <w:t xml:space="preserve">Commercial Terms</w:t>
          </w:r>
          <w:r>
            <w:tab/>
          </w:r>
          <w:r>
            <w:t xml:space="preserve">12</w:t>
          </w:r>
        </w:p>
        <w:p>
          <w:pPr>
            <w:pStyle w:val="TOC1"/>
            <w:tabs>
              <w:tab w:val="right" w:leader="dot" w:pos="9072"/>
            </w:tabs>
          </w:pPr>
          <w:r>
            <w:t xml:space="preserve">Total Cost of Ownership</w:t>
          </w:r>
          <w:r>
            <w:tab/>
          </w:r>
          <w:r>
            <w:t xml:space="preserve">13</w:t>
          </w:r>
        </w:p>
        <w:p>
          <w:pPr>
            <w:pStyle w:val="TOC1"/>
            <w:tabs>
              <w:tab w:val="right" w:leader="dot" w:pos="9072"/>
            </w:tabs>
          </w:pPr>
          <w:r>
            <w:t xml:space="preserve">Customer References</w:t>
          </w:r>
          <w:r>
            <w:tab/>
          </w:r>
          <w:r>
            <w:t xml:space="preserve">14</w:t>
          </w:r>
        </w:p>
        <w:p>
          <w:pPr>
            <w:pStyle w:val="TOC1"/>
            <w:tabs>
              <w:tab w:val="right" w:leader="dot" w:pos="9072"/>
            </w:tabs>
          </w:pPr>
          <w:r>
            <w:t xml:space="preserve">Next Steps</w:t>
          </w:r>
          <w:r>
            <w:tab/>
          </w:r>
          <w:r>
            <w:t xml:space="preserve">15</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18"/>
        <w:gridCol w:w="735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Commercial Proposal: Digital Asset-Enabled Payment Rails for Treasury and Merchant Corridors</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Mashreq Bank (UAE)</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MASHREQ-BANK-RFP-DIGITAL-ASSET-PAYMENT-RAILS-202603</w:t>
            </w:r>
          </w:p>
        </w:tc>
      </w:tr>
    </w:tbl>
    <w:p>
      <w:pPr>
        <w:spacing w:before="0" w:after="0" w:line="120" w:lineRule="exact"/>
      </w:pPr>
    </w:p>
    <w:p>
      <w:r>
        <w:br w:type="page"/>
      </w:r>
    </w:p>
    <w:p>
      <w:pPr>
        <w:pStyle w:val="H1"/>
        <w:numPr>
          <w:ilvl w:val="0"/>
          <w:numId w:val="1"/>
        </w:numPr>
      </w:pPr>
      <w:r>
        <w:t>Executive Summary</w:t>
      </w:r>
    </w:p>
    <w:p>
      <w:r>
        <w:rPr>
          <w:rFonts w:ascii="Figtree" w:hAnsi="Figtree"/>
          <w:b w:val="0"/>
          <w:i w:val="0"/>
          <w:sz w:val="22"/>
        </w:rPr>
        <w:t>Mashreq Bank requires a platform and delivery partner capable of building production-grade digital asset-enabled payment rails for treasury and merchant corridors under CBUAE supervisory oversight. This commercial proposal presents SettleMint's licensing, implementation, and support model for DALP, structured for predictable costs and transparent total cost of ownership.</w:t>
      </w:r>
    </w:p>
    <w:p>
      <w:r>
        <w:rPr>
          <w:rFonts w:ascii="Figtree" w:hAnsi="Figtree"/>
          <w:b/>
          <w:i w:val="0"/>
          <w:sz w:val="22"/>
        </w:rPr>
        <w:t>Commercial recommendation:</w:t>
      </w:r>
    </w:p>
    <w:p>
      <w:pPr>
        <w:pStyle w:val="ListParagraph"/>
        <w:numPr>
          <w:ilvl w:val="0"/>
          <w:numId w:val="4"/>
        </w:numPr>
      </w:pPr>
      <w:r>
        <w:rPr>
          <w:rFonts w:ascii="Figtree" w:hAnsi="Figtree"/>
          <w:b/>
          <w:i w:val="0"/>
          <w:sz w:val="22"/>
        </w:rPr>
        <w:t>License tier:</w:t>
      </w:r>
      <w:r>
        <w:rPr>
          <w:rFonts w:ascii="Figtree" w:hAnsi="Figtree"/>
          <w:b w:val="0"/>
          <w:i w:val="0"/>
          <w:sz w:val="22"/>
        </w:rPr>
        <w:t xml:space="preserve"> Enterprise (Tier 2), supporting deposits, stablecoins, and multi-corridor operations</w:t>
      </w:r>
    </w:p>
    <w:p>
      <w:pPr>
        <w:pStyle w:val="ListParagraph"/>
        <w:numPr>
          <w:ilvl w:val="0"/>
          <w:numId w:val="4"/>
        </w:numPr>
      </w:pPr>
      <w:r>
        <w:rPr>
          <w:rFonts w:ascii="Figtree" w:hAnsi="Figtree"/>
          <w:b/>
          <w:i w:val="0"/>
          <w:sz w:val="22"/>
        </w:rPr>
        <w:t>Deployment model:</w:t>
      </w:r>
      <w:r>
        <w:rPr>
          <w:rFonts w:ascii="Figtree" w:hAnsi="Figtree"/>
          <w:b w:val="0"/>
          <w:i w:val="0"/>
          <w:sz w:val="22"/>
        </w:rPr>
        <w:t xml:space="preserve"> Dedicated cloud, UAE-resident infrastructure</w:t>
      </w:r>
    </w:p>
    <w:p>
      <w:pPr>
        <w:pStyle w:val="ListParagraph"/>
        <w:numPr>
          <w:ilvl w:val="0"/>
          <w:numId w:val="4"/>
        </w:numPr>
      </w:pPr>
      <w:r>
        <w:rPr>
          <w:rFonts w:ascii="Figtree" w:hAnsi="Figtree"/>
          <w:b/>
          <w:i w:val="0"/>
          <w:sz w:val="22"/>
        </w:rPr>
        <w:t>Implementation:</w:t>
      </w:r>
      <w:r>
        <w:rPr>
          <w:rFonts w:ascii="Figtree" w:hAnsi="Figtree"/>
          <w:b w:val="0"/>
          <w:i w:val="0"/>
          <w:sz w:val="22"/>
        </w:rPr>
        <w:t xml:space="preserve"> 19-week phase-gated delivery</w:t>
      </w:r>
    </w:p>
    <w:p>
      <w:pPr>
        <w:pStyle w:val="ListParagraph"/>
        <w:numPr>
          <w:ilvl w:val="0"/>
          <w:numId w:val="4"/>
        </w:numPr>
      </w:pPr>
      <w:r>
        <w:rPr>
          <w:rFonts w:ascii="Figtree" w:hAnsi="Figtree"/>
          <w:b/>
          <w:i w:val="0"/>
          <w:sz w:val="22"/>
        </w:rPr>
        <w:t>Support tier:</w:t>
      </w:r>
      <w:r>
        <w:rPr>
          <w:rFonts w:ascii="Figtree" w:hAnsi="Figtree"/>
          <w:b w:val="0"/>
          <w:i w:val="0"/>
          <w:sz w:val="22"/>
        </w:rPr>
        <w:t xml:space="preserve"> Premium, 16x5 coverage, 2-hour P1 response</w:t>
      </w:r>
    </w:p>
    <w:p>
      <w:pPr>
        <w:pStyle w:val="ListParagraph"/>
        <w:numPr>
          <w:ilvl w:val="0"/>
          <w:numId w:val="4"/>
        </w:numPr>
      </w:pPr>
      <w:r>
        <w:rPr>
          <w:rFonts w:ascii="Figtree" w:hAnsi="Figtree"/>
          <w:b/>
          <w:i w:val="0"/>
          <w:sz w:val="22"/>
        </w:rPr>
        <w:t>Estimated three-year TCO:</w:t>
      </w:r>
      <w:r>
        <w:rPr>
          <w:rFonts w:ascii="Figtree" w:hAnsi="Figtree"/>
          <w:b w:val="0"/>
          <w:i w:val="0"/>
          <w:sz w:val="22"/>
        </w:rPr>
        <w:t xml:space="preserve"> To be finalized during commercial discussions</w:t>
      </w:r>
    </w:p>
    <w:p>
      <w:r>
        <w:rPr>
          <w:rFonts w:ascii="Figtree" w:hAnsi="Figtree"/>
          <w:b w:val="0"/>
          <w:i w:val="0"/>
          <w:sz w:val="22"/>
        </w:rPr>
        <w:t>The DALP licensing model uses predictable annual subscription pricing with no per-transaction or per-payment fees. Mashreq Bank can scale payment volumes, merchant corridors, and treasury operations without incremental platform costs.</w:t>
      </w:r>
    </w:p>
    <w:p>
      <w:r>
        <w:br w:type="page"/>
      </w:r>
    </w:p>
    <w:p>
      <w:pPr>
        <w:pStyle w:val="H1"/>
        <w:numPr>
          <w:ilvl w:val="0"/>
          <w:numId w:val="1"/>
        </w:numPr>
      </w:pPr>
      <w:r>
        <w:t>Investment Rationale</w:t>
      </w:r>
    </w:p>
    <w:p>
      <w:pPr>
        <w:pStyle w:val="H2"/>
        <w:numPr>
          <w:ilvl w:val="1"/>
          <w:numId w:val="1"/>
        </w:numPr>
      </w:pPr>
      <w:r>
        <w:t>Cost of Current Approach</w:t>
      </w:r>
    </w:p>
    <w:p>
      <w:r>
        <w:rPr>
          <w:rFonts w:ascii="Figtree" w:hAnsi="Figtree"/>
          <w:b w:val="0"/>
          <w:i w:val="0"/>
          <w:sz w:val="22"/>
        </w:rPr>
        <w:t>Building tokenized payment rail infrastructure from scratch requires assembling deposit issuance, stablecoin management, AML integration, ISO 20022 payment connectivity, and operational monitoring from separate components. Multi-vendor assembly introduces SLA gaps and reconciliation overhead. The coordination cost compounds with each cross-border corridor added.</w:t>
      </w:r>
    </w:p>
    <w:p>
      <w:pPr>
        <w:pStyle w:val="H2"/>
        <w:numPr>
          <w:ilvl w:val="1"/>
          <w:numId w:val="1"/>
        </w:numPr>
      </w:pPr>
      <w:r>
        <w:t>Why DALP Changes Economics</w:t>
      </w:r>
    </w:p>
    <w:p>
      <w:r>
        <w:rPr>
          <w:rFonts w:ascii="Figtree" w:hAnsi="Figtree"/>
          <w:b w:val="0"/>
          <w:i w:val="0"/>
          <w:sz w:val="22"/>
        </w:rPr>
        <w:t>DALP consolidates deposit management, stablecoin operations, payment rail connectivity (ISO 20022), compliance enforcement, and operational monitoring into one platform. The bridge functionality for cross-network settlement and the XvP atomic settlement model eliminate the per-corridor integration overhead of alternative approaches. Reuse of the same compliance engine across all payment types reduces ongoing compliance maintenance cost.</w:t>
      </w:r>
    </w:p>
    <w:p>
      <w:pPr>
        <w:pStyle w:val="H2"/>
        <w:numPr>
          <w:ilvl w:val="1"/>
          <w:numId w:val="1"/>
        </w:numPr>
      </w:pPr>
      <w:r>
        <w:t>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72"/>
        <w:gridCol w:w="3024"/>
        <w:gridCol w:w="327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ROI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Without DALP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With DALP</w:t>
            </w:r>
          </w:p>
        </w:tc>
      </w:tr>
      <w:tr>
        <w:trPr>
          <w:trHeight w:val="425" w:hRule="atLeast"/>
        </w:trPr>
        <w:tc>
          <w:tcPr>
            <w:tcW w:type="dxa" w:w="3249"/>
            <w:vAlign w:val="center"/>
          </w:tcPr>
          <w:p>
            <w:pPr>
              <w:spacing w:line="276" w:lineRule="auto" w:before="0" w:after="0"/>
            </w:pPr>
            <w:r/>
            <w:r>
              <w:rPr>
                <w:rFonts w:ascii="Figtree" w:hAnsi="Figtree"/>
                <w:b w:val="0"/>
                <w:i w:val="0"/>
                <w:sz w:val="20"/>
              </w:rPr>
              <w:t>Payment settlement</w:t>
            </w:r>
          </w:p>
        </w:tc>
        <w:tc>
          <w:tcPr>
            <w:tcW w:type="dxa" w:w="3249"/>
            <w:vAlign w:val="center"/>
          </w:tcPr>
          <w:p>
            <w:pPr>
              <w:spacing w:line="276" w:lineRule="auto" w:before="0" w:after="0"/>
            </w:pPr>
            <w:r/>
            <w:r>
              <w:rPr>
                <w:rFonts w:ascii="Figtree" w:hAnsi="Figtree"/>
                <w:b w:val="0"/>
                <w:i w:val="0"/>
                <w:sz w:val="20"/>
              </w:rPr>
              <w:t>T+1 or longer</w:t>
            </w:r>
          </w:p>
        </w:tc>
        <w:tc>
          <w:tcPr>
            <w:tcW w:type="dxa" w:w="3249"/>
            <w:vAlign w:val="center"/>
          </w:tcPr>
          <w:p>
            <w:pPr>
              <w:spacing w:line="276" w:lineRule="auto" w:before="0" w:after="0"/>
            </w:pPr>
            <w:r/>
            <w:r>
              <w:rPr>
                <w:rFonts w:ascii="Figtree" w:hAnsi="Figtree"/>
                <w:b w:val="0"/>
                <w:i w:val="0"/>
                <w:sz w:val="20"/>
              </w:rPr>
              <w:t>T+0, atomic XvP</w:t>
            </w:r>
          </w:p>
        </w:tc>
      </w:tr>
      <w:tr>
        <w:trPr>
          <w:trHeight w:val="425" w:hRule="atLeast"/>
        </w:trPr>
        <w:tc>
          <w:tcPr>
            <w:tcW w:type="dxa" w:w="3249"/>
            <w:vAlign w:val="center"/>
          </w:tcPr>
          <w:p>
            <w:pPr>
              <w:spacing w:line="276" w:lineRule="auto" w:before="0" w:after="0"/>
            </w:pPr>
            <w:r/>
            <w:r>
              <w:rPr>
                <w:rFonts w:ascii="Figtree" w:hAnsi="Figtree"/>
                <w:b w:val="0"/>
                <w:i w:val="0"/>
                <w:sz w:val="20"/>
              </w:rPr>
              <w:t>Compliance operations</w:t>
            </w:r>
          </w:p>
        </w:tc>
        <w:tc>
          <w:tcPr>
            <w:tcW w:type="dxa" w:w="3249"/>
            <w:vAlign w:val="center"/>
          </w:tcPr>
          <w:p>
            <w:pPr>
              <w:spacing w:line="276" w:lineRule="auto" w:before="0" w:after="0"/>
            </w:pPr>
            <w:r/>
            <w:r>
              <w:rPr>
                <w:rFonts w:ascii="Figtree" w:hAnsi="Figtree"/>
                <w:b w:val="0"/>
                <w:i w:val="0"/>
                <w:sz w:val="20"/>
              </w:rPr>
              <w:t>Manual screening</w:t>
            </w:r>
          </w:p>
        </w:tc>
        <w:tc>
          <w:tcPr>
            <w:tcW w:type="dxa" w:w="3249"/>
            <w:vAlign w:val="center"/>
          </w:tcPr>
          <w:p>
            <w:pPr>
              <w:spacing w:line="276" w:lineRule="auto" w:before="0" w:after="0"/>
            </w:pPr>
            <w:r/>
            <w:r>
              <w:rPr>
                <w:rFonts w:ascii="Figtree" w:hAnsi="Figtree"/>
                <w:b w:val="0"/>
                <w:i w:val="0"/>
                <w:sz w:val="20"/>
              </w:rPr>
              <w:t>Automated ex-ante</w:t>
            </w:r>
          </w:p>
        </w:tc>
      </w:tr>
      <w:tr>
        <w:trPr>
          <w:trHeight w:val="425" w:hRule="atLeast"/>
        </w:trPr>
        <w:tc>
          <w:tcPr>
            <w:tcW w:type="dxa" w:w="3249"/>
            <w:vAlign w:val="center"/>
          </w:tcPr>
          <w:p>
            <w:pPr>
              <w:spacing w:line="276" w:lineRule="auto" w:before="0" w:after="0"/>
            </w:pPr>
            <w:r/>
            <w:r>
              <w:rPr>
                <w:rFonts w:ascii="Figtree" w:hAnsi="Figtree"/>
                <w:b w:val="0"/>
                <w:i w:val="0"/>
                <w:sz w:val="20"/>
              </w:rPr>
              <w:t>Cross-border corridors</w:t>
            </w:r>
          </w:p>
        </w:tc>
        <w:tc>
          <w:tcPr>
            <w:tcW w:type="dxa" w:w="3249"/>
            <w:vAlign w:val="center"/>
          </w:tcPr>
          <w:p>
            <w:pPr>
              <w:spacing w:line="276" w:lineRule="auto" w:before="0" w:after="0"/>
            </w:pPr>
            <w:r/>
            <w:r>
              <w:rPr>
                <w:rFonts w:ascii="Figtree" w:hAnsi="Figtree"/>
                <w:b w:val="0"/>
                <w:i w:val="0"/>
                <w:sz w:val="20"/>
              </w:rPr>
              <w:t>Per-corridor integration</w:t>
            </w:r>
          </w:p>
        </w:tc>
        <w:tc>
          <w:tcPr>
            <w:tcW w:type="dxa" w:w="3249"/>
            <w:vAlign w:val="center"/>
          </w:tcPr>
          <w:p>
            <w:pPr>
              <w:spacing w:line="276" w:lineRule="auto" w:before="0" w:after="0"/>
            </w:pPr>
            <w:r/>
            <w:r>
              <w:rPr>
                <w:rFonts w:ascii="Figtree" w:hAnsi="Figtree"/>
                <w:b w:val="0"/>
                <w:i w:val="0"/>
                <w:sz w:val="20"/>
              </w:rPr>
              <w:t>Bridge + multi-chain</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w:t>
            </w:r>
          </w:p>
        </w:tc>
        <w:tc>
          <w:tcPr>
            <w:tcW w:type="dxa" w:w="3249"/>
            <w:vAlign w:val="center"/>
          </w:tcPr>
          <w:p>
            <w:pPr>
              <w:spacing w:line="276" w:lineRule="auto" w:before="0" w:after="0"/>
            </w:pPr>
            <w:r/>
            <w:r>
              <w:rPr>
                <w:rFonts w:ascii="Figtree" w:hAnsi="Figtree"/>
                <w:b w:val="0"/>
                <w:i w:val="0"/>
                <w:sz w:val="20"/>
              </w:rPr>
              <w:t>Daily multi-system</w:t>
            </w:r>
          </w:p>
        </w:tc>
        <w:tc>
          <w:tcPr>
            <w:tcW w:type="dxa" w:w="3249"/>
            <w:vAlign w:val="center"/>
          </w:tcPr>
          <w:p>
            <w:pPr>
              <w:spacing w:line="276" w:lineRule="auto" w:before="0" w:after="0"/>
            </w:pPr>
            <w:r/>
            <w:r>
              <w:rPr>
                <w:rFonts w:ascii="Figtree" w:hAnsi="Figtree"/>
                <w:b w:val="0"/>
                <w:i w:val="0"/>
                <w:sz w:val="20"/>
              </w:rPr>
              <w:t>Automated, atomic</w:t>
            </w:r>
          </w:p>
        </w:tc>
      </w:tr>
      <w:tr>
        <w:trPr>
          <w:trHeight w:val="425" w:hRule="atLeast"/>
        </w:trPr>
        <w:tc>
          <w:tcPr>
            <w:tcW w:type="dxa" w:w="3249"/>
            <w:vAlign w:val="center"/>
          </w:tcPr>
          <w:p>
            <w:pPr>
              <w:spacing w:line="276" w:lineRule="auto" w:before="0" w:after="0"/>
            </w:pPr>
            <w:r/>
            <w:r>
              <w:rPr>
                <w:rFonts w:ascii="Figtree" w:hAnsi="Figtree"/>
                <w:b w:val="0"/>
                <w:i w:val="0"/>
                <w:sz w:val="20"/>
              </w:rPr>
              <w:t>Audit preparation</w:t>
            </w:r>
          </w:p>
        </w:tc>
        <w:tc>
          <w:tcPr>
            <w:tcW w:type="dxa" w:w="3249"/>
            <w:vAlign w:val="center"/>
          </w:tcPr>
          <w:p>
            <w:pPr>
              <w:spacing w:line="276" w:lineRule="auto" w:before="0" w:after="0"/>
            </w:pPr>
            <w:r/>
            <w:r>
              <w:rPr>
                <w:rFonts w:ascii="Figtree" w:hAnsi="Figtree"/>
                <w:b w:val="0"/>
                <w:i w:val="0"/>
                <w:sz w:val="20"/>
              </w:rPr>
              <w:t>Manual assembly</w:t>
            </w:r>
          </w:p>
        </w:tc>
        <w:tc>
          <w:tcPr>
            <w:tcW w:type="dxa" w:w="3249"/>
            <w:vAlign w:val="center"/>
          </w:tcPr>
          <w:p>
            <w:pPr>
              <w:spacing w:line="276" w:lineRule="auto" w:before="0" w:after="0"/>
            </w:pPr>
            <w:r/>
            <w:r>
              <w:rPr>
                <w:rFonts w:ascii="Figtree" w:hAnsi="Figtree"/>
                <w:b w:val="0"/>
                <w:i w:val="0"/>
                <w:sz w:val="20"/>
              </w:rPr>
              <w:t>Structured 534 error codes</w:t>
            </w:r>
          </w:p>
        </w:tc>
      </w:tr>
    </w:tbl>
    <w:p>
      <w:pPr>
        <w:spacing w:before="0" w:after="0" w:line="120" w:lineRule="exact"/>
      </w:pPr>
    </w:p>
    <w:p>
      <w:r>
        <w:br w:type="page"/>
      </w:r>
    </w:p>
    <w:p>
      <w:pPr>
        <w:pStyle w:val="H1"/>
        <w:numPr>
          <w:ilvl w:val="0"/>
          <w:numId w:val="1"/>
        </w:numPr>
      </w:pPr>
      <w:r>
        <w:t>Licensing Model</w:t>
      </w:r>
    </w:p>
    <w:p>
      <w:r>
        <w:rPr>
          <w:rFonts w:ascii="Figtree" w:hAnsi="Figtree"/>
          <w:b w:val="0"/>
          <w:i w:val="0"/>
          <w:sz w:val="22"/>
        </w:rPr>
        <w:t>Platform licensing with no per-transaction or per-payment fees. Predictable annual subscription. Enterprise tier includes deposit and stablecoin templates, 18 compliance modules, ISO 20022 payment connectivity, full API surface, and observability stack.</w:t>
      </w:r>
    </w:p>
    <w:p>
      <w:r>
        <w:br w:type="page"/>
      </w:r>
    </w:p>
    <w:p>
      <w:pPr>
        <w:pStyle w:val="H1"/>
        <w:numPr>
          <w:ilvl w:val="0"/>
          <w:numId w:val="1"/>
        </w:numPr>
      </w:pPr>
      <w:r>
        <w:t>Deployment and Cost Structure</w:t>
      </w:r>
    </w:p>
    <w:p>
      <w:r>
        <w:rPr>
          <w:rFonts w:ascii="Figtree" w:hAnsi="Figtree"/>
          <w:b w:val="0"/>
          <w:i w:val="0"/>
          <w:sz w:val="22"/>
        </w:rPr>
        <w:t>Dedicated cloud, UAE-resident. CBUAE data localization compliance. All models deliver identical capabilities.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17"/>
        <w:gridCol w:w="515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Type</w:t>
            </w:r>
          </w:p>
        </w:tc>
      </w:tr>
      <w:tr>
        <w:trPr>
          <w:trHeight w:val="425" w:hRule="atLeast"/>
        </w:trPr>
        <w:tc>
          <w:tcPr>
            <w:tcW w:type="dxa" w:w="4873"/>
            <w:vAlign w:val="center"/>
          </w:tcPr>
          <w:p>
            <w:pPr>
              <w:spacing w:line="276" w:lineRule="auto" w:before="0" w:after="0"/>
            </w:pPr>
            <w:r/>
            <w:r>
              <w:rPr>
                <w:rFonts w:ascii="Figtree" w:hAnsi="Figtree"/>
                <w:b w:val="0"/>
                <w:i w:val="0"/>
                <w:sz w:val="20"/>
              </w:rPr>
              <w:t>Platform license</w:t>
            </w:r>
          </w:p>
        </w:tc>
        <w:tc>
          <w:tcPr>
            <w:tcW w:type="dxa" w:w="4873"/>
            <w:vAlign w:val="center"/>
          </w:tcPr>
          <w:p>
            <w:pPr>
              <w:spacing w:line="276" w:lineRule="auto" w:before="0" w:after="0"/>
            </w:pPr>
            <w:r/>
            <w:r>
              <w:rPr>
                <w:rFonts w:ascii="Figtree" w:hAnsi="Figtree"/>
                <w:b w:val="0"/>
                <w:i w:val="0"/>
                <w:sz w:val="20"/>
              </w:rPr>
              <w:t>Annual recurring</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w:t>
            </w:r>
          </w:p>
        </w:tc>
        <w:tc>
          <w:tcPr>
            <w:tcW w:type="dxa" w:w="4873"/>
            <w:vAlign w:val="center"/>
          </w:tcPr>
          <w:p>
            <w:pPr>
              <w:spacing w:line="276" w:lineRule="auto" w:before="0" w:after="0"/>
            </w:pPr>
            <w:r/>
            <w:r>
              <w:rPr>
                <w:rFonts w:ascii="Figtree" w:hAnsi="Figtree"/>
                <w:b w:val="0"/>
                <w:i w:val="0"/>
                <w:sz w:val="20"/>
              </w:rPr>
              <w:t>One-time, milestone-based</w:t>
            </w:r>
          </w:p>
        </w:tc>
      </w:tr>
      <w:tr>
        <w:trPr>
          <w:trHeight w:val="425" w:hRule="atLeast"/>
        </w:trPr>
        <w:tc>
          <w:tcPr>
            <w:tcW w:type="dxa" w:w="4873"/>
            <w:vAlign w:val="center"/>
          </w:tcPr>
          <w:p>
            <w:pPr>
              <w:spacing w:line="276" w:lineRule="auto" w:before="0" w:after="0"/>
            </w:pPr>
            <w:r/>
            <w:r>
              <w:rPr>
                <w:rFonts w:ascii="Figtree" w:hAnsi="Figtree"/>
                <w:b w:val="0"/>
                <w:i w:val="0"/>
                <w:sz w:val="20"/>
              </w:rPr>
              <w:t>Infrastructure</w:t>
            </w:r>
          </w:p>
        </w:tc>
        <w:tc>
          <w:tcPr>
            <w:tcW w:type="dxa" w:w="4873"/>
            <w:vAlign w:val="center"/>
          </w:tcPr>
          <w:p>
            <w:pPr>
              <w:spacing w:line="276" w:lineRule="auto" w:before="0" w:after="0"/>
            </w:pPr>
            <w:r/>
            <w:r>
              <w:rPr>
                <w:rFonts w:ascii="Figtree" w:hAnsi="Figtree"/>
                <w:b w:val="0"/>
                <w:i w:val="0"/>
                <w:sz w:val="20"/>
              </w:rPr>
              <w:t>Annual recurring</w:t>
            </w:r>
          </w:p>
        </w:tc>
      </w:tr>
      <w:tr>
        <w:trPr>
          <w:trHeight w:val="425" w:hRule="atLeast"/>
        </w:trPr>
        <w:tc>
          <w:tcPr>
            <w:tcW w:type="dxa" w:w="4873"/>
            <w:vAlign w:val="center"/>
          </w:tcPr>
          <w:p>
            <w:pPr>
              <w:spacing w:line="276" w:lineRule="auto" w:before="0" w:after="0"/>
            </w:pPr>
            <w:r/>
            <w:r>
              <w:rPr>
                <w:rFonts w:ascii="Figtree" w:hAnsi="Figtree"/>
                <w:b w:val="0"/>
                <w:i w:val="0"/>
                <w:sz w:val="20"/>
              </w:rPr>
              <w:t>Support (Premium)</w:t>
            </w:r>
          </w:p>
        </w:tc>
        <w:tc>
          <w:tcPr>
            <w:tcW w:type="dxa" w:w="4873"/>
            <w:vAlign w:val="center"/>
          </w:tcPr>
          <w:p>
            <w:pPr>
              <w:spacing w:line="276" w:lineRule="auto" w:before="0" w:after="0"/>
            </w:pPr>
            <w:r/>
            <w:r>
              <w:rPr>
                <w:rFonts w:ascii="Figtree" w:hAnsi="Figtree"/>
                <w:b w:val="0"/>
                <w:i w:val="0"/>
                <w:sz w:val="20"/>
              </w:rPr>
              <w:t>Annual recurring</w:t>
            </w:r>
          </w:p>
        </w:tc>
      </w:tr>
      <w:tr>
        <w:trPr>
          <w:trHeight w:val="425" w:hRule="atLeast"/>
        </w:trPr>
        <w:tc>
          <w:tcPr>
            <w:tcW w:type="dxa" w:w="4873"/>
            <w:vAlign w:val="center"/>
          </w:tcPr>
          <w:p>
            <w:pPr>
              <w:spacing w:line="276" w:lineRule="auto" w:before="0" w:after="0"/>
            </w:pPr>
            <w:r/>
            <w:r>
              <w:rPr>
                <w:rFonts w:ascii="Figtree" w:hAnsi="Figtree"/>
                <w:b w:val="0"/>
                <w:i w:val="0"/>
                <w:sz w:val="20"/>
              </w:rPr>
              <w:t>Custody integration</w:t>
            </w:r>
          </w:p>
        </w:tc>
        <w:tc>
          <w:tcPr>
            <w:tcW w:type="dxa" w:w="4873"/>
            <w:vAlign w:val="center"/>
          </w:tcPr>
          <w:p>
            <w:pPr>
              <w:spacing w:line="276" w:lineRule="auto" w:before="0" w:after="0"/>
            </w:pPr>
            <w:r/>
            <w:r>
              <w:rPr>
                <w:rFonts w:ascii="Figtree" w:hAnsi="Figtree"/>
                <w:b w:val="0"/>
                <w:i w:val="0"/>
                <w:sz w:val="20"/>
              </w:rPr>
              <w:t>Pass-through</w:t>
            </w:r>
          </w:p>
        </w:tc>
      </w:tr>
    </w:tbl>
    <w:p>
      <w:pPr>
        <w:spacing w:before="0" w:after="0" w:line="120" w:lineRule="exact"/>
      </w:pPr>
    </w:p>
    <w:p>
      <w:r>
        <w:br w:type="page"/>
      </w:r>
    </w:p>
    <w:p>
      <w:pPr>
        <w:pStyle w:val="H1"/>
        <w:numPr>
          <w:ilvl w:val="0"/>
          <w:numId w:val="1"/>
        </w:numPr>
      </w:pPr>
      <w:r>
        <w:t>Support and SLA</w:t>
      </w:r>
    </w:p>
    <w:p>
      <w:r>
        <w:rPr>
          <w:rFonts w:ascii="Figtree" w:hAnsi="Figtree"/>
          <w:b w:val="0"/>
          <w:i w:val="0"/>
          <w:sz w:val="22"/>
        </w:rPr>
        <w:t>Premium Support recommended. 07:00 to 22:00 CET, P1 weekend on-call, dedicated engineer, 99.95% uptime, 2-hour P1 response. Monthly releases.</w:t>
      </w:r>
    </w:p>
    <w:p>
      <w:r>
        <w:br w:type="page"/>
      </w:r>
    </w:p>
    <w:p>
      <w:pPr>
        <w:pStyle w:val="H1"/>
        <w:numPr>
          <w:ilvl w:val="0"/>
          <w:numId w:val="1"/>
        </w:numPr>
      </w:pPr>
      <w:r>
        <w:t>Implementation Investment</w:t>
      </w:r>
    </w:p>
    <w:p>
      <w:r>
        <w:rPr>
          <w:rFonts w:ascii="Figtree" w:hAnsi="Figtree"/>
          <w:b w:val="0"/>
          <w:i w:val="0"/>
          <w:sz w:val="22"/>
        </w:rPr>
        <w:t>19-week phase-gated delivery. Discovery (3 weeks), Foundation (4 weeks), Integration (4 weeks), Testing (4 weeks), Go-Live (2 weeks), Hypercare (4 weeks). Milestone-based payments.</w:t>
      </w:r>
    </w:p>
    <w:p>
      <w:r>
        <w:br w:type="page"/>
      </w:r>
    </w:p>
    <w:p>
      <w:pPr>
        <w:pStyle w:val="H1"/>
        <w:numPr>
          <w:ilvl w:val="0"/>
          <w:numId w:val="1"/>
        </w:numPr>
      </w:pPr>
      <w:r>
        <w:t>Commercial Terms</w:t>
      </w:r>
    </w:p>
    <w:p>
      <w:pPr>
        <w:pStyle w:val="ListParagraph"/>
        <w:numPr>
          <w:ilvl w:val="0"/>
          <w:numId w:val="4"/>
        </w:numPr>
      </w:pPr>
      <w:r>
        <w:rPr>
          <w:rFonts w:ascii="Figtree" w:hAnsi="Figtree"/>
          <w:b/>
          <w:i w:val="0"/>
          <w:sz w:val="22"/>
        </w:rPr>
        <w:t>Duration:</w:t>
      </w:r>
      <w:r>
        <w:rPr>
          <w:rFonts w:ascii="Figtree" w:hAnsi="Figtree"/>
          <w:b w:val="0"/>
          <w:i w:val="0"/>
          <w:sz w:val="22"/>
        </w:rPr>
        <w:t xml:space="preserve"> 3-year initial term recommended</w:t>
      </w:r>
    </w:p>
    <w:p>
      <w:pPr>
        <w:pStyle w:val="ListParagraph"/>
        <w:numPr>
          <w:ilvl w:val="0"/>
          <w:numId w:val="4"/>
        </w:numPr>
      </w:pPr>
      <w:r>
        <w:rPr>
          <w:rFonts w:ascii="Figtree" w:hAnsi="Figtree"/>
          <w:b/>
          <w:i w:val="0"/>
          <w:sz w:val="22"/>
        </w:rPr>
        <w:t>Payment:</w:t>
      </w:r>
      <w:r>
        <w:rPr>
          <w:rFonts w:ascii="Figtree" w:hAnsi="Figtree"/>
          <w:b w:val="0"/>
          <w:i w:val="0"/>
          <w:sz w:val="22"/>
        </w:rPr>
        <w:t xml:space="preserve"> Annual license on execution; implementation milestone-based; support on go-live</w:t>
      </w:r>
    </w:p>
    <w:p>
      <w:pPr>
        <w:pStyle w:val="ListParagraph"/>
        <w:numPr>
          <w:ilvl w:val="0"/>
          <w:numId w:val="4"/>
        </w:numPr>
      </w:pPr>
      <w:r>
        <w:rPr>
          <w:rFonts w:ascii="Figtree" w:hAnsi="Figtree"/>
          <w:b/>
          <w:i w:val="0"/>
          <w:sz w:val="22"/>
        </w:rPr>
        <w:t>IP:</w:t>
      </w:r>
      <w:r>
        <w:rPr>
          <w:rFonts w:ascii="Figtree" w:hAnsi="Figtree"/>
          <w:b w:val="0"/>
          <w:i w:val="0"/>
          <w:sz w:val="22"/>
        </w:rPr>
        <w:t xml:space="preserve"> Platform IP remains SettleMint; data remains Mashreq Bank</w:t>
      </w:r>
    </w:p>
    <w:p>
      <w:pPr>
        <w:pStyle w:val="ListParagraph"/>
        <w:numPr>
          <w:ilvl w:val="0"/>
          <w:numId w:val="4"/>
        </w:numPr>
      </w:pPr>
      <w:r>
        <w:rPr>
          <w:rFonts w:ascii="Figtree" w:hAnsi="Figtree"/>
          <w:b/>
          <w:i w:val="0"/>
          <w:sz w:val="22"/>
        </w:rPr>
        <w:t>Escrow:</w:t>
      </w:r>
      <w:r>
        <w:rPr>
          <w:rFonts w:ascii="Figtree" w:hAnsi="Figtree"/>
          <w:b w:val="0"/>
          <w:i w:val="0"/>
          <w:sz w:val="22"/>
        </w:rPr>
        <w:t xml:space="preserve"> Available upon request</w:t>
      </w:r>
    </w:p>
    <w:p>
      <w:r>
        <w:br w:type="page"/>
      </w:r>
    </w:p>
    <w:p>
      <w:pPr>
        <w:pStyle w:val="H1"/>
        <w:numPr>
          <w:ilvl w:val="0"/>
          <w:numId w:val="1"/>
        </w:numPr>
      </w:pPr>
      <w:r>
        <w:t>Total Cost of Ownership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99"/>
        <w:gridCol w:w="2172"/>
        <w:gridCol w:w="1916"/>
        <w:gridCol w:w="268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Internal Build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Multi-Vendor</w:t>
            </w:r>
          </w:p>
        </w:tc>
      </w:tr>
      <w:tr>
        <w:trPr>
          <w:trHeight w:val="425" w:hRule="atLeast"/>
        </w:trPr>
        <w:tc>
          <w:tcPr>
            <w:tcW w:type="dxa" w:w="2436"/>
            <w:vAlign w:val="center"/>
          </w:tcPr>
          <w:p>
            <w:pPr>
              <w:spacing w:line="276" w:lineRule="auto" w:before="0" w:after="0"/>
            </w:pPr>
            <w:r/>
            <w:r>
              <w:rPr>
                <w:rFonts w:ascii="Figtree" w:hAnsi="Figtree"/>
                <w:b w:val="0"/>
                <w:i w:val="0"/>
                <w:sz w:val="20"/>
              </w:rPr>
              <w:t>Time to production</w:t>
            </w:r>
          </w:p>
        </w:tc>
        <w:tc>
          <w:tcPr>
            <w:tcW w:type="dxa" w:w="2436"/>
            <w:vAlign w:val="center"/>
          </w:tcPr>
          <w:p>
            <w:pPr>
              <w:spacing w:line="276" w:lineRule="auto" w:before="0" w:after="0"/>
            </w:pPr>
            <w:r/>
            <w:r>
              <w:rPr>
                <w:rFonts w:ascii="Figtree" w:hAnsi="Figtree"/>
                <w:b w:val="0"/>
                <w:i w:val="0"/>
                <w:sz w:val="20"/>
              </w:rPr>
              <w:t>19 weeks</w:t>
            </w:r>
          </w:p>
        </w:tc>
        <w:tc>
          <w:tcPr>
            <w:tcW w:type="dxa" w:w="2436"/>
            <w:vAlign w:val="center"/>
          </w:tcPr>
          <w:p>
            <w:pPr>
              <w:spacing w:line="276" w:lineRule="auto" w:before="0" w:after="0"/>
            </w:pPr>
            <w:r/>
            <w:r>
              <w:rPr>
                <w:rFonts w:ascii="Figtree" w:hAnsi="Figtree"/>
                <w:b w:val="0"/>
                <w:i w:val="0"/>
                <w:sz w:val="20"/>
              </w:rPr>
              <w:t>18+ months</w:t>
            </w:r>
          </w:p>
        </w:tc>
        <w:tc>
          <w:tcPr>
            <w:tcW w:type="dxa" w:w="2436"/>
            <w:vAlign w:val="center"/>
          </w:tcPr>
          <w:p>
            <w:pPr>
              <w:spacing w:line="276" w:lineRule="auto" w:before="0" w:after="0"/>
            </w:pPr>
            <w:r/>
            <w:r>
              <w:rPr>
                <w:rFonts w:ascii="Figtree" w:hAnsi="Figtree"/>
                <w:b w:val="0"/>
                <w:i w:val="0"/>
                <w:sz w:val="20"/>
              </w:rPr>
              <w:t>9 to 12 months</w:t>
            </w:r>
          </w:p>
        </w:tc>
      </w:tr>
      <w:tr>
        <w:trPr>
          <w:trHeight w:val="425" w:hRule="atLeast"/>
        </w:trPr>
        <w:tc>
          <w:tcPr>
            <w:tcW w:type="dxa" w:w="2436"/>
            <w:vAlign w:val="center"/>
          </w:tcPr>
          <w:p>
            <w:pPr>
              <w:spacing w:line="276" w:lineRule="auto" w:before="0" w:after="0"/>
            </w:pPr>
            <w:r/>
            <w:r>
              <w:rPr>
                <w:rFonts w:ascii="Figtree" w:hAnsi="Figtree"/>
                <w:b w:val="0"/>
                <w:i w:val="0"/>
                <w:sz w:val="20"/>
              </w:rPr>
              <w:t>Settlement model</w:t>
            </w:r>
          </w:p>
        </w:tc>
        <w:tc>
          <w:tcPr>
            <w:tcW w:type="dxa" w:w="2436"/>
            <w:vAlign w:val="center"/>
          </w:tcPr>
          <w:p>
            <w:pPr>
              <w:spacing w:line="276" w:lineRule="auto" w:before="0" w:after="0"/>
            </w:pPr>
            <w:r/>
            <w:r>
              <w:rPr>
                <w:rFonts w:ascii="Figtree" w:hAnsi="Figtree"/>
                <w:b w:val="0"/>
                <w:i w:val="0"/>
                <w:sz w:val="20"/>
              </w:rPr>
              <w:t>T+0, atomic XvP</w:t>
            </w:r>
          </w:p>
        </w:tc>
        <w:tc>
          <w:tcPr>
            <w:tcW w:type="dxa" w:w="2436"/>
            <w:vAlign w:val="center"/>
          </w:tcPr>
          <w:p>
            <w:pPr>
              <w:spacing w:line="276" w:lineRule="auto" w:before="0" w:after="0"/>
            </w:pPr>
            <w:r/>
            <w:r>
              <w:rPr>
                <w:rFonts w:ascii="Figtree" w:hAnsi="Figtree"/>
                <w:b w:val="0"/>
                <w:i w:val="0"/>
                <w:sz w:val="20"/>
              </w:rPr>
              <w:t>Custom</w:t>
            </w:r>
          </w:p>
        </w:tc>
        <w:tc>
          <w:tcPr>
            <w:tcW w:type="dxa" w:w="2436"/>
            <w:vAlign w:val="center"/>
          </w:tcPr>
          <w:p>
            <w:pPr>
              <w:spacing w:line="276" w:lineRule="auto" w:before="0" w:after="0"/>
            </w:pPr>
            <w:r/>
            <w:r>
              <w:rPr>
                <w:rFonts w:ascii="Figtree" w:hAnsi="Figtree"/>
                <w:b w:val="0"/>
                <w:i w:val="0"/>
                <w:sz w:val="20"/>
              </w:rPr>
              <w:t>Integration-dependent</w:t>
            </w:r>
          </w:p>
        </w:tc>
      </w:tr>
      <w:tr>
        <w:trPr>
          <w:trHeight w:val="425" w:hRule="atLeast"/>
        </w:trPr>
        <w:tc>
          <w:tcPr>
            <w:tcW w:type="dxa" w:w="2436"/>
            <w:vAlign w:val="center"/>
          </w:tcPr>
          <w:p>
            <w:pPr>
              <w:spacing w:line="276" w:lineRule="auto" w:before="0" w:after="0"/>
            </w:pPr>
            <w:r/>
            <w:r>
              <w:rPr>
                <w:rFonts w:ascii="Figtree" w:hAnsi="Figtree"/>
                <w:b w:val="0"/>
                <w:i w:val="0"/>
                <w:sz w:val="20"/>
              </w:rPr>
              <w:t>Per-corridor cost</w:t>
            </w:r>
          </w:p>
        </w:tc>
        <w:tc>
          <w:tcPr>
            <w:tcW w:type="dxa" w:w="2436"/>
            <w:vAlign w:val="center"/>
          </w:tcPr>
          <w:p>
            <w:pPr>
              <w:spacing w:line="276" w:lineRule="auto" w:before="0" w:after="0"/>
            </w:pPr>
            <w:r/>
            <w:r>
              <w:rPr>
                <w:rFonts w:ascii="Figtree" w:hAnsi="Figtree"/>
                <w:b w:val="0"/>
                <w:i w:val="0"/>
                <w:sz w:val="20"/>
              </w:rPr>
              <w:t>Configuration</w:t>
            </w:r>
          </w:p>
        </w:tc>
        <w:tc>
          <w:tcPr>
            <w:tcW w:type="dxa" w:w="2436"/>
            <w:vAlign w:val="center"/>
          </w:tcPr>
          <w:p>
            <w:pPr>
              <w:spacing w:line="276" w:lineRule="auto" w:before="0" w:after="0"/>
            </w:pPr>
            <w:r/>
            <w:r>
              <w:rPr>
                <w:rFonts w:ascii="Figtree" w:hAnsi="Figtree"/>
                <w:b w:val="0"/>
                <w:i w:val="0"/>
                <w:sz w:val="20"/>
              </w:rPr>
              <w:t>New development</w:t>
            </w:r>
          </w:p>
        </w:tc>
        <w:tc>
          <w:tcPr>
            <w:tcW w:type="dxa" w:w="2436"/>
            <w:vAlign w:val="center"/>
          </w:tcPr>
          <w:p>
            <w:pPr>
              <w:spacing w:line="276" w:lineRule="auto" w:before="0" w:after="0"/>
            </w:pPr>
            <w:r/>
            <w:r>
              <w:rPr>
                <w:rFonts w:ascii="Figtree" w:hAnsi="Figtree"/>
                <w:b w:val="0"/>
                <w:i w:val="0"/>
                <w:sz w:val="20"/>
              </w:rPr>
              <w:t>New integration</w:t>
            </w:r>
          </w:p>
        </w:tc>
      </w:tr>
      <w:tr>
        <w:trPr>
          <w:trHeight w:val="425" w:hRule="atLeast"/>
        </w:trPr>
        <w:tc>
          <w:tcPr>
            <w:tcW w:type="dxa" w:w="2436"/>
            <w:vAlign w:val="center"/>
          </w:tcPr>
          <w:p>
            <w:pPr>
              <w:spacing w:line="276" w:lineRule="auto" w:before="0" w:after="0"/>
            </w:pPr>
            <w:r/>
            <w:r>
              <w:rPr>
                <w:rFonts w:ascii="Figtree" w:hAnsi="Figtree"/>
                <w:b w:val="0"/>
                <w:i w:val="0"/>
                <w:sz w:val="20"/>
              </w:rPr>
              <w:t>Compliance</w:t>
            </w:r>
          </w:p>
        </w:tc>
        <w:tc>
          <w:tcPr>
            <w:tcW w:type="dxa" w:w="2436"/>
            <w:vAlign w:val="center"/>
          </w:tcPr>
          <w:p>
            <w:pPr>
              <w:spacing w:line="276" w:lineRule="auto" w:before="0" w:after="0"/>
            </w:pPr>
            <w:r/>
            <w:r>
              <w:rPr>
                <w:rFonts w:ascii="Figtree" w:hAnsi="Figtree"/>
                <w:b w:val="0"/>
                <w:i w:val="0"/>
                <w:sz w:val="20"/>
              </w:rPr>
              <w:t>Included, ex-ante</w:t>
            </w:r>
          </w:p>
        </w:tc>
        <w:tc>
          <w:tcPr>
            <w:tcW w:type="dxa" w:w="2436"/>
            <w:vAlign w:val="center"/>
          </w:tcPr>
          <w:p>
            <w:pPr>
              <w:spacing w:line="276" w:lineRule="auto" w:before="0" w:after="0"/>
            </w:pPr>
            <w:r/>
            <w:r>
              <w:rPr>
                <w:rFonts w:ascii="Figtree" w:hAnsi="Figtree"/>
                <w:b w:val="0"/>
                <w:i w:val="0"/>
                <w:sz w:val="20"/>
              </w:rPr>
              <w:t>Custom</w:t>
            </w:r>
          </w:p>
        </w:tc>
        <w:tc>
          <w:tcPr>
            <w:tcW w:type="dxa" w:w="2436"/>
            <w:vAlign w:val="center"/>
          </w:tcPr>
          <w:p>
            <w:pPr>
              <w:spacing w:line="276" w:lineRule="auto" w:before="0" w:after="0"/>
            </w:pPr>
            <w:r/>
            <w:r>
              <w:rPr>
                <w:rFonts w:ascii="Figtree" w:hAnsi="Figtree"/>
                <w:b w:val="0"/>
                <w:i w:val="0"/>
                <w:sz w:val="20"/>
              </w:rPr>
              <w:t>Per-vendor</w:t>
            </w:r>
          </w:p>
        </w:tc>
      </w:tr>
    </w:tbl>
    <w:p>
      <w:pPr>
        <w:spacing w:before="0" w:after="0" w:line="120" w:lineRule="exact"/>
      </w:pPr>
    </w:p>
    <w:p>
      <w:r>
        <w:br w:type="page"/>
      </w:r>
    </w:p>
    <w:p>
      <w:pPr>
        <w:pStyle w:val="H1"/>
        <w:numPr>
          <w:ilvl w:val="0"/>
          <w:numId w:val="1"/>
        </w:numPr>
      </w:pPr>
      <w:r>
        <w:t>Customer References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61"/>
        <w:gridCol w:w="960"/>
        <w:gridCol w:w="2774"/>
        <w:gridCol w:w="277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2436"/>
            <w:vAlign w:val="center"/>
          </w:tcPr>
          <w:p>
            <w:pPr>
              <w:spacing w:line="276" w:lineRule="auto" w:before="0" w:after="0"/>
            </w:pPr>
            <w:r/>
            <w:r>
              <w:rPr>
                <w:rFonts w:ascii="Figtree" w:hAnsi="Figtree"/>
                <w:b w:val="0"/>
                <w:i w:val="0"/>
                <w:sz w:val="20"/>
              </w:rPr>
              <w:t>Maybank (Project Photon)</w:t>
            </w:r>
          </w:p>
        </w:tc>
        <w:tc>
          <w:tcPr>
            <w:tcW w:type="dxa" w:w="2436"/>
            <w:vAlign w:val="center"/>
          </w:tcPr>
          <w:p>
            <w:pPr>
              <w:spacing w:line="276" w:lineRule="auto" w:before="0" w:after="0"/>
            </w:pPr>
            <w:r/>
            <w:r>
              <w:rPr>
                <w:rFonts w:ascii="Figtree" w:hAnsi="Figtree"/>
                <w:b w:val="0"/>
                <w:i w:val="0"/>
                <w:sz w:val="20"/>
              </w:rPr>
              <w:t>Malaysia</w:t>
            </w:r>
          </w:p>
        </w:tc>
        <w:tc>
          <w:tcPr>
            <w:tcW w:type="dxa" w:w="2436"/>
            <w:vAlign w:val="center"/>
          </w:tcPr>
          <w:p>
            <w:pPr>
              <w:spacing w:line="276" w:lineRule="auto" w:before="0" w:after="0"/>
            </w:pPr>
            <w:r/>
            <w:r>
              <w:rPr>
                <w:rFonts w:ascii="Figtree" w:hAnsi="Figtree"/>
                <w:b w:val="0"/>
                <w:i w:val="0"/>
                <w:sz w:val="20"/>
              </w:rPr>
              <w:t>FX tokenization, XvP</w:t>
            </w:r>
          </w:p>
        </w:tc>
        <w:tc>
          <w:tcPr>
            <w:tcW w:type="dxa" w:w="2436"/>
            <w:vAlign w:val="center"/>
          </w:tcPr>
          <w:p>
            <w:pPr>
              <w:spacing w:line="276" w:lineRule="auto" w:before="0" w:after="0"/>
            </w:pPr>
            <w:r/>
            <w:r>
              <w:rPr>
                <w:rFonts w:ascii="Figtree" w:hAnsi="Figtree"/>
                <w:b w:val="0"/>
                <w:i w:val="0"/>
                <w:sz w:val="20"/>
              </w:rPr>
              <w:t>Cross-border payment rails</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Settlement under 10s</w:t>
            </w:r>
          </w:p>
        </w:tc>
        <w:tc>
          <w:tcPr>
            <w:tcW w:type="dxa" w:w="2436"/>
            <w:vAlign w:val="center"/>
          </w:tcPr>
          <w:p>
            <w:pPr>
              <w:spacing w:line="276" w:lineRule="auto" w:before="0" w:after="0"/>
            </w:pPr>
            <w:r/>
            <w:r>
              <w:rPr>
                <w:rFonts w:ascii="Figtree" w:hAnsi="Figtree"/>
                <w:b w:val="0"/>
                <w:i w:val="0"/>
                <w:sz w:val="20"/>
              </w:rPr>
              <w:t>Payment efficiency</w:t>
            </w:r>
          </w:p>
        </w:tc>
      </w:tr>
      <w:tr>
        <w:trPr>
          <w:trHeight w:val="425" w:hRule="atLeast"/>
        </w:trPr>
        <w:tc>
          <w:tcPr>
            <w:tcW w:type="dxa" w:w="2436"/>
            <w:vAlign w:val="center"/>
          </w:tcPr>
          <w:p>
            <w:pPr>
              <w:spacing w:line="276" w:lineRule="auto" w:before="0" w:after="0"/>
            </w:pPr>
            <w:r/>
            <w:r>
              <w:rPr>
                <w:rFonts w:ascii="Figtree" w:hAnsi="Figtree"/>
                <w:b w:val="0"/>
                <w:i w:val="0"/>
                <w:sz w:val="20"/>
              </w:rPr>
              <w:t>Saudi RER</w:t>
            </w:r>
          </w:p>
        </w:tc>
        <w:tc>
          <w:tcPr>
            <w:tcW w:type="dxa" w:w="2436"/>
            <w:vAlign w:val="center"/>
          </w:tcPr>
          <w:p>
            <w:pPr>
              <w:spacing w:line="276" w:lineRule="auto" w:before="0" w:after="0"/>
            </w:pPr>
            <w:r/>
            <w:r>
              <w:rPr>
                <w:rFonts w:ascii="Figtree" w:hAnsi="Figtree"/>
                <w:b w:val="0"/>
                <w:i w:val="0"/>
                <w:sz w:val="20"/>
              </w:rPr>
              <w:t>KSA</w:t>
            </w:r>
          </w:p>
        </w:tc>
        <w:tc>
          <w:tcPr>
            <w:tcW w:type="dxa" w:w="2436"/>
            <w:vAlign w:val="center"/>
          </w:tcPr>
          <w:p>
            <w:pPr>
              <w:spacing w:line="276" w:lineRule="auto" w:before="0" w:after="0"/>
            </w:pPr>
            <w:r/>
            <w:r>
              <w:rPr>
                <w:rFonts w:ascii="Figtree" w:hAnsi="Figtree"/>
                <w:b w:val="0"/>
                <w:i w:val="0"/>
                <w:sz w:val="20"/>
              </w:rPr>
              <w:t>National-scale integration</w:t>
            </w:r>
          </w:p>
        </w:tc>
        <w:tc>
          <w:tcPr>
            <w:tcW w:type="dxa" w:w="2436"/>
            <w:vAlign w:val="center"/>
          </w:tcPr>
          <w:p>
            <w:pPr>
              <w:spacing w:line="276" w:lineRule="auto" w:before="0" w:after="0"/>
            </w:pPr>
            <w:r/>
            <w:r>
              <w:rPr>
                <w:rFonts w:ascii="Figtree" w:hAnsi="Figtree"/>
                <w:b w:val="0"/>
                <w:i w:val="0"/>
                <w:sz w:val="20"/>
              </w:rPr>
              <w:t>UAE-region delivery</w:t>
            </w:r>
          </w:p>
        </w:tc>
      </w:tr>
      <w:tr>
        <w:trPr>
          <w:trHeight w:val="425" w:hRule="atLeast"/>
        </w:trPr>
        <w:tc>
          <w:tcPr>
            <w:tcW w:type="dxa" w:w="2436"/>
            <w:vAlign w:val="center"/>
          </w:tcPr>
          <w:p>
            <w:pPr>
              <w:spacing w:line="276" w:lineRule="auto" w:before="0" w:after="0"/>
            </w:pPr>
            <w:r/>
            <w:r>
              <w:rPr>
                <w:rFonts w:ascii="Figtree" w:hAnsi="Figtree"/>
                <w:b w:val="0"/>
                <w:i w:val="0"/>
                <w:sz w:val="20"/>
              </w:rPr>
              <w:t>Sony Bank</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Stablecoin with identity</w:t>
            </w:r>
          </w:p>
        </w:tc>
        <w:tc>
          <w:tcPr>
            <w:tcW w:type="dxa" w:w="2436"/>
            <w:vAlign w:val="center"/>
          </w:tcPr>
          <w:p>
            <w:pPr>
              <w:spacing w:line="276" w:lineRule="auto" w:before="0" w:after="0"/>
            </w:pPr>
            <w:r/>
            <w:r>
              <w:rPr>
                <w:rFonts w:ascii="Figtree" w:hAnsi="Figtree"/>
                <w:b w:val="0"/>
                <w:i w:val="0"/>
                <w:sz w:val="20"/>
              </w:rPr>
              <w:t>Stablecoin operations</w:t>
            </w:r>
          </w:p>
        </w:tc>
      </w:tr>
    </w:tbl>
    <w:p>
      <w:pPr>
        <w:spacing w:before="0" w:after="0" w:line="120" w:lineRule="exact"/>
      </w:pPr>
    </w:p>
    <w:p>
      <w:r>
        <w:br w:type="page"/>
      </w:r>
    </w:p>
    <w:p>
      <w:pPr>
        <w:pStyle w:val="H1"/>
        <w:numPr>
          <w:ilvl w:val="0"/>
          <w:numId w:val="1"/>
        </w:numPr>
      </w:pPr>
      <w:r>
        <w:t>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28"/>
        <w:gridCol w:w="2298"/>
        <w:gridCol w:w="31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3249"/>
            <w:vAlign w:val="center"/>
          </w:tcPr>
          <w:p>
            <w:pPr>
              <w:spacing w:line="276" w:lineRule="auto" w:before="0" w:after="0"/>
            </w:pPr>
            <w:r/>
            <w:r>
              <w:rPr>
                <w:rFonts w:ascii="Figtree" w:hAnsi="Figtree"/>
                <w:b w:val="0"/>
                <w:i w:val="0"/>
                <w:sz w:val="20"/>
              </w:rPr>
              <w:t>Proposal review</w:t>
            </w:r>
          </w:p>
        </w:tc>
        <w:tc>
          <w:tcPr>
            <w:tcW w:type="dxa" w:w="3249"/>
            <w:vAlign w:val="center"/>
          </w:tcPr>
          <w:p>
            <w:pPr>
              <w:spacing w:line="276" w:lineRule="auto" w:before="0" w:after="0"/>
            </w:pPr>
            <w:r/>
            <w:r>
              <w:rPr>
                <w:rFonts w:ascii="Figtree" w:hAnsi="Figtree"/>
                <w:b w:val="0"/>
                <w:i w:val="0"/>
                <w:sz w:val="20"/>
              </w:rPr>
              <w:t>Mashreq Procurement</w:t>
            </w:r>
          </w:p>
        </w:tc>
        <w:tc>
          <w:tcPr>
            <w:tcW w:type="dxa" w:w="3249"/>
            <w:vAlign w:val="center"/>
          </w:tcPr>
          <w:p>
            <w:pPr>
              <w:spacing w:line="276" w:lineRule="auto" w:before="0" w:after="0"/>
            </w:pPr>
            <w:r/>
            <w:r>
              <w:rPr>
                <w:rFonts w:ascii="Figtree" w:hAnsi="Figtree"/>
                <w:b w:val="0"/>
                <w:i w:val="0"/>
                <w:sz w:val="20"/>
              </w:rPr>
              <w:t>2 weeks</w:t>
            </w:r>
          </w:p>
        </w:tc>
      </w:tr>
      <w:tr>
        <w:trPr>
          <w:trHeight w:val="425" w:hRule="atLeast"/>
        </w:trPr>
        <w:tc>
          <w:tcPr>
            <w:tcW w:type="dxa" w:w="3249"/>
            <w:vAlign w:val="center"/>
          </w:tcPr>
          <w:p>
            <w:pPr>
              <w:spacing w:line="276" w:lineRule="auto" w:before="0" w:after="0"/>
            </w:pPr>
            <w:r/>
            <w:r>
              <w:rPr>
                <w:rFonts w:ascii="Figtree" w:hAnsi="Figtree"/>
                <w:b w:val="0"/>
                <w:i w:val="0"/>
                <w:sz w:val="20"/>
              </w:rPr>
              <w:t>Clarification session</w:t>
            </w:r>
          </w:p>
        </w:tc>
        <w:tc>
          <w:tcPr>
            <w:tcW w:type="dxa" w:w="3249"/>
            <w:vAlign w:val="center"/>
          </w:tcPr>
          <w:p>
            <w:pPr>
              <w:spacing w:line="276" w:lineRule="auto" w:before="0" w:after="0"/>
            </w:pPr>
            <w:r/>
            <w:r>
              <w:rPr>
                <w:rFonts w:ascii="Figtree" w:hAnsi="Figtree"/>
                <w:b w:val="0"/>
                <w:i w:val="0"/>
                <w:sz w:val="20"/>
              </w:rPr>
              <w:t>Joint</w:t>
            </w:r>
          </w:p>
        </w:tc>
        <w:tc>
          <w:tcPr>
            <w:tcW w:type="dxa" w:w="3249"/>
            <w:vAlign w:val="center"/>
          </w:tcPr>
          <w:p>
            <w:pPr>
              <w:spacing w:line="276" w:lineRule="auto" w:before="0" w:after="0"/>
            </w:pPr>
            <w:r/>
            <w:r>
              <w:rPr>
                <w:rFonts w:ascii="Figtree" w:hAnsi="Figtree"/>
                <w:b w:val="0"/>
                <w:i w:val="0"/>
                <w:sz w:val="20"/>
              </w:rPr>
              <w:t>Within 1 week of shortlist</w:t>
            </w:r>
          </w:p>
        </w:tc>
      </w:tr>
      <w:tr>
        <w:trPr>
          <w:trHeight w:val="425" w:hRule="atLeast"/>
        </w:trPr>
        <w:tc>
          <w:tcPr>
            <w:tcW w:type="dxa" w:w="3249"/>
            <w:vAlign w:val="center"/>
          </w:tcPr>
          <w:p>
            <w:pPr>
              <w:spacing w:line="276" w:lineRule="auto" w:before="0" w:after="0"/>
            </w:pPr>
            <w:r/>
            <w:r>
              <w:rPr>
                <w:rFonts w:ascii="Figtree" w:hAnsi="Figtree"/>
                <w:b w:val="0"/>
                <w:i w:val="0"/>
                <w:sz w:val="20"/>
              </w:rPr>
              <w:t>Scoping workshop</w:t>
            </w:r>
          </w:p>
        </w:tc>
        <w:tc>
          <w:tcPr>
            <w:tcW w:type="dxa" w:w="3249"/>
            <w:vAlign w:val="center"/>
          </w:tcPr>
          <w:p>
            <w:pPr>
              <w:spacing w:line="276" w:lineRule="auto" w:before="0" w:after="0"/>
            </w:pPr>
            <w:r/>
            <w:r>
              <w:rPr>
                <w:rFonts w:ascii="Figtree" w:hAnsi="Figtree"/>
                <w:b w:val="0"/>
                <w:i w:val="0"/>
                <w:sz w:val="20"/>
              </w:rPr>
              <w:t>Joint</w:t>
            </w:r>
          </w:p>
        </w:tc>
        <w:tc>
          <w:tcPr>
            <w:tcW w:type="dxa" w:w="3249"/>
            <w:vAlign w:val="center"/>
          </w:tcPr>
          <w:p>
            <w:pPr>
              <w:spacing w:line="276" w:lineRule="auto" w:before="0" w:after="0"/>
            </w:pPr>
            <w:r/>
            <w:r>
              <w:rPr>
                <w:rFonts w:ascii="Figtree" w:hAnsi="Figtree"/>
                <w:b w:val="0"/>
                <w:i w:val="0"/>
                <w:sz w:val="20"/>
              </w:rPr>
              <w:t>1 to 2 days</w:t>
            </w:r>
          </w:p>
        </w:tc>
      </w:tr>
      <w:tr>
        <w:trPr>
          <w:trHeight w:val="425" w:hRule="atLeast"/>
        </w:trPr>
        <w:tc>
          <w:tcPr>
            <w:tcW w:type="dxa" w:w="3249"/>
            <w:vAlign w:val="center"/>
          </w:tcPr>
          <w:p>
            <w:pPr>
              <w:spacing w:line="276" w:lineRule="auto" w:before="0" w:after="0"/>
            </w:pPr>
            <w:r/>
            <w:r>
              <w:rPr>
                <w:rFonts w:ascii="Figtree" w:hAnsi="Figtree"/>
                <w:b w:val="0"/>
                <w:i w:val="0"/>
                <w:sz w:val="20"/>
              </w:rPr>
              <w:t>Refined commercial offer</w:t>
            </w:r>
          </w:p>
        </w:tc>
        <w:tc>
          <w:tcPr>
            <w:tcW w:type="dxa" w:w="3249"/>
            <w:vAlign w:val="center"/>
          </w:tcPr>
          <w:p>
            <w:pPr>
              <w:spacing w:line="276" w:lineRule="auto" w:before="0" w:after="0"/>
            </w:pPr>
            <w:r/>
            <w:r>
              <w:rPr>
                <w:rFonts w:ascii="Figtree" w:hAnsi="Figtree"/>
                <w:b w:val="0"/>
                <w:i w:val="0"/>
                <w:sz w:val="20"/>
              </w:rPr>
              <w:t>SettleMint</w:t>
            </w:r>
          </w:p>
        </w:tc>
        <w:tc>
          <w:tcPr>
            <w:tcW w:type="dxa" w:w="3249"/>
            <w:vAlign w:val="center"/>
          </w:tcPr>
          <w:p>
            <w:pPr>
              <w:spacing w:line="276" w:lineRule="auto" w:before="0" w:after="0"/>
            </w:pPr>
            <w:r/>
            <w:r>
              <w:rPr>
                <w:rFonts w:ascii="Figtree" w:hAnsi="Figtree"/>
                <w:b w:val="0"/>
                <w:i w:val="0"/>
                <w:sz w:val="20"/>
              </w:rPr>
              <w:t>1 week after workshop</w:t>
            </w:r>
          </w:p>
        </w:tc>
      </w:tr>
      <w:tr>
        <w:trPr>
          <w:trHeight w:val="425" w:hRule="atLeast"/>
        </w:trPr>
        <w:tc>
          <w:tcPr>
            <w:tcW w:type="dxa" w:w="3249"/>
            <w:vAlign w:val="center"/>
          </w:tcPr>
          <w:p>
            <w:pPr>
              <w:spacing w:line="276" w:lineRule="auto" w:before="0" w:after="0"/>
            </w:pPr>
            <w:r/>
            <w:r>
              <w:rPr>
                <w:rFonts w:ascii="Figtree" w:hAnsi="Figtree"/>
                <w:b w:val="0"/>
                <w:i w:val="0"/>
                <w:sz w:val="20"/>
              </w:rPr>
              <w:t>Contract and Discovery kickoff</w:t>
            </w:r>
          </w:p>
        </w:tc>
        <w:tc>
          <w:tcPr>
            <w:tcW w:type="dxa" w:w="3249"/>
            <w:vAlign w:val="center"/>
          </w:tcPr>
          <w:p>
            <w:pPr>
              <w:spacing w:line="276" w:lineRule="auto" w:before="0" w:after="0"/>
            </w:pPr>
            <w:r/>
            <w:r>
              <w:rPr>
                <w:rFonts w:ascii="Figtree" w:hAnsi="Figtree"/>
                <w:b w:val="0"/>
                <w:i w:val="0"/>
                <w:sz w:val="20"/>
              </w:rPr>
              <w:t>Joint</w:t>
            </w:r>
          </w:p>
        </w:tc>
        <w:tc>
          <w:tcPr>
            <w:tcW w:type="dxa" w:w="3249"/>
            <w:vAlign w:val="center"/>
          </w:tcPr>
          <w:p>
            <w:pPr>
              <w:spacing w:line="276" w:lineRule="auto" w:before="0" w:after="0"/>
            </w:pPr>
            <w:r/>
            <w:r>
              <w:rPr>
                <w:rFonts w:ascii="Figtree" w:hAnsi="Figtree"/>
                <w:b w:val="0"/>
                <w:i w:val="0"/>
                <w:sz w:val="20"/>
              </w:rPr>
              <w:t>Target Q2 2026</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