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Executive Summary</w:t>
          </w:r>
          <w:r>
            <w:tab/>
          </w:r>
          <w:r>
            <w:t xml:space="preserve">3</w:t>
          </w:r>
        </w:p>
        <w:p>
          <w:pPr>
            <w:pStyle w:val="TOC2"/>
            <w:tabs>
              <w:tab w:val="right" w:leader="dot" w:pos="9072"/>
            </w:tabs>
          </w:pPr>
          <w:r>
            <w:t xml:space="preserve">Licensing Model</w:t>
          </w:r>
          <w:r>
            <w:tab/>
          </w:r>
          <w:r>
            <w:t xml:space="preserve">4</w:t>
          </w:r>
        </w:p>
        <w:p>
          <w:pPr>
            <w:pStyle w:val="TOC3"/>
            <w:tabs>
              <w:tab w:val="right" w:leader="dot" w:pos="9072"/>
            </w:tabs>
          </w:pPr>
          <w:r>
            <w:t xml:space="preserve">Platform Licensing Philosophy</w:t>
          </w:r>
          <w:r>
            <w:tab/>
          </w:r>
          <w:r>
            <w:t xml:space="preserve">5</w:t>
          </w:r>
        </w:p>
        <w:p>
          <w:pPr>
            <w:pStyle w:val="TOC3"/>
            <w:tabs>
              <w:tab w:val="right" w:leader="dot" w:pos="9072"/>
            </w:tabs>
          </w:pPr>
          <w:r>
            <w:t xml:space="preserve">What the License Includes</w:t>
          </w:r>
          <w:r>
            <w:tab/>
          </w:r>
          <w:r>
            <w:t xml:space="preserve">6</w:t>
          </w:r>
        </w:p>
        <w:p>
          <w:pPr>
            <w:pStyle w:val="TOC3"/>
            <w:tabs>
              <w:tab w:val="right" w:leader="dot" w:pos="9072"/>
            </w:tabs>
          </w:pPr>
          <w:r>
            <w:t xml:space="preserve">Recommended Tier: Enterprise (Tier 2)</w:t>
          </w:r>
          <w:r>
            <w:tab/>
          </w:r>
          <w:r>
            <w:t xml:space="preserve">7</w:t>
          </w:r>
        </w:p>
        <w:p>
          <w:pPr>
            <w:pStyle w:val="TOC2"/>
            <w:tabs>
              <w:tab w:val="right" w:leader="dot" w:pos="9072"/>
            </w:tabs>
          </w:pPr>
          <w:r>
            <w:t xml:space="preserve">Implementation Pricing</w:t>
          </w:r>
          <w:r>
            <w:tab/>
          </w:r>
          <w:r>
            <w:t xml:space="preserve">8</w:t>
          </w:r>
        </w:p>
        <w:p>
          <w:pPr>
            <w:pStyle w:val="TOC3"/>
            <w:tabs>
              <w:tab w:val="right" w:leader="dot" w:pos="9072"/>
            </w:tabs>
          </w:pPr>
          <w:r>
            <w:t xml:space="preserve">Pricing Structure</w:t>
          </w:r>
          <w:r>
            <w:tab/>
          </w:r>
          <w:r>
            <w:t xml:space="preserve">9</w:t>
          </w:r>
        </w:p>
        <w:p>
          <w:pPr>
            <w:pStyle w:val="TOC3"/>
            <w:tabs>
              <w:tab w:val="right" w:leader="dot" w:pos="9072"/>
            </w:tabs>
          </w:pPr>
          <w:r>
            <w:t xml:space="preserve">Implementation Team</w:t>
          </w:r>
          <w:r>
            <w:tab/>
          </w:r>
          <w:r>
            <w:t xml:space="preserve">10</w:t>
          </w:r>
        </w:p>
        <w:p>
          <w:pPr>
            <w:pStyle w:val="TOC3"/>
            <w:tabs>
              <w:tab w:val="right" w:leader="dot" w:pos="9072"/>
            </w:tabs>
          </w:pPr>
          <w:r>
            <w:t xml:space="preserve">Client Effort Assumptions</w:t>
          </w:r>
          <w:r>
            <w:tab/>
          </w:r>
          <w:r>
            <w:t xml:space="preserve">11</w:t>
          </w:r>
        </w:p>
        <w:p>
          <w:pPr>
            <w:pStyle w:val="TOC2"/>
            <w:tabs>
              <w:tab w:val="right" w:leader="dot" w:pos="9072"/>
            </w:tabs>
          </w:pPr>
          <w:r>
            <w:t xml:space="preserve">Support Pricing</w:t>
          </w:r>
          <w:r>
            <w:tab/>
          </w:r>
          <w:r>
            <w:t xml:space="preserve">12</w:t>
          </w:r>
        </w:p>
        <w:p>
          <w:pPr>
            <w:pStyle w:val="TOC3"/>
            <w:tabs>
              <w:tab w:val="right" w:leader="dot" w:pos="9072"/>
            </w:tabs>
          </w:pPr>
          <w:r>
            <w:t xml:space="preserve">Recommended: Premium Support</w:t>
          </w:r>
          <w:r>
            <w:tab/>
          </w:r>
          <w:r>
            <w:t xml:space="preserve">13</w:t>
          </w:r>
        </w:p>
        <w:p>
          <w:pPr>
            <w:pStyle w:val="TOC3"/>
            <w:tabs>
              <w:tab w:val="right" w:leader="dot" w:pos="9072"/>
            </w:tabs>
          </w:pPr>
          <w:r>
            <w:t xml:space="preserve">Support Escalation Model</w:t>
          </w:r>
          <w:r>
            <w:tab/>
          </w:r>
          <w:r>
            <w:t xml:space="preserve">14</w:t>
          </w:r>
        </w:p>
        <w:p>
          <w:pPr>
            <w:pStyle w:val="TOC2"/>
            <w:tabs>
              <w:tab w:val="right" w:leader="dot" w:pos="9072"/>
            </w:tabs>
          </w:pPr>
          <w:r>
            <w:t xml:space="preserve">Total Cost of Ownership</w:t>
          </w:r>
          <w:r>
            <w:tab/>
          </w:r>
          <w:r>
            <w:t xml:space="preserve">15</w:t>
          </w:r>
        </w:p>
        <w:p>
          <w:pPr>
            <w:pStyle w:val="TOC3"/>
            <w:tabs>
              <w:tab w:val="right" w:leader="dot" w:pos="9072"/>
            </w:tabs>
          </w:pPr>
          <w:r>
            <w:t xml:space="preserve">Three-Year TCO Components</w:t>
          </w:r>
          <w:r>
            <w:tab/>
          </w:r>
          <w:r>
            <w:t xml:space="preserve">16</w:t>
          </w:r>
        </w:p>
        <w:p>
          <w:pPr>
            <w:pStyle w:val="TOC3"/>
            <w:tabs>
              <w:tab w:val="right" w:leader="dot" w:pos="9072"/>
            </w:tabs>
          </w:pPr>
          <w:r>
            <w:t xml:space="preserve">What Is Not Included (Exclusions)</w:t>
          </w:r>
          <w:r>
            <w:tab/>
          </w:r>
          <w:r>
            <w:t xml:space="preserve">17</w:t>
          </w:r>
        </w:p>
        <w:p>
          <w:pPr>
            <w:pStyle w:val="TOC3"/>
            <w:tabs>
              <w:tab w:val="right" w:leader="dot" w:pos="9072"/>
            </w:tabs>
          </w:pPr>
          <w:r>
            <w:t xml:space="preserve">Scaling Economics</w:t>
          </w:r>
          <w:r>
            <w:tab/>
          </w:r>
          <w:r>
            <w:t xml:space="preserve">18</w:t>
          </w:r>
        </w:p>
        <w:p>
          <w:pPr>
            <w:pStyle w:val="TOC2"/>
            <w:tabs>
              <w:tab w:val="right" w:leader="dot" w:pos="9072"/>
            </w:tabs>
          </w:pPr>
          <w:r>
            <w:t xml:space="preserve">Contractual Framework</w:t>
          </w:r>
          <w:r>
            <w:tab/>
          </w:r>
          <w:r>
            <w:t xml:space="preserve">19</w:t>
          </w:r>
        </w:p>
        <w:p>
          <w:pPr>
            <w:pStyle w:val="TOC3"/>
            <w:tabs>
              <w:tab w:val="right" w:leader="dot" w:pos="9072"/>
            </w:tabs>
          </w:pPr>
          <w:r>
            <w:t xml:space="preserve">Contract Components</w:t>
          </w:r>
          <w:r>
            <w:tab/>
          </w:r>
          <w:r>
            <w:t xml:space="preserve">20</w:t>
          </w:r>
        </w:p>
        <w:p>
          <w:pPr>
            <w:pStyle w:val="TOC3"/>
            <w:tabs>
              <w:tab w:val="right" w:leader="dot" w:pos="9072"/>
            </w:tabs>
          </w:pPr>
          <w:r>
            <w:t xml:space="preserve">Key Commercial Terms</w:t>
          </w:r>
          <w:r>
            <w:tab/>
          </w:r>
          <w:r>
            <w:t xml:space="preserve">21</w:t>
          </w:r>
        </w:p>
        <w:p>
          <w:pPr>
            <w:pStyle w:val="TOC3"/>
            <w:tabs>
              <w:tab w:val="right" w:leader="dot" w:pos="9072"/>
            </w:tabs>
          </w:pPr>
          <w:r>
            <w:t xml:space="preserve">Financial Stability</w:t>
          </w:r>
          <w:r>
            <w:tab/>
          </w:r>
          <w:r>
            <w:t xml:space="preserve">22</w:t>
          </w:r>
        </w:p>
        <w:p>
          <w:pPr>
            <w:pStyle w:val="TOC2"/>
            <w:tabs>
              <w:tab w:val="right" w:leader="dot" w:pos="9072"/>
            </w:tabs>
          </w:pPr>
          <w:r>
            <w:t xml:space="preserve">Commercial Decision Summary</w:t>
          </w:r>
          <w:r>
            <w:tab/>
          </w:r>
          <w:r>
            <w:t xml:space="preserve">23</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18"/>
        <w:gridCol w:w="735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Commercial Proposal — Digital Asset Core Infrastructure for Regulated Institutional Products</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National Bank of Egypt (Egypt)</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Restricted</w:t>
            </w:r>
          </w:p>
        </w:tc>
      </w:tr>
      <w:tr>
        <w:trPr>
          <w:trHeight w:val="425" w:hRule="atLeast"/>
        </w:trPr>
        <w:tc>
          <w:tcPr>
            <w:tcW w:type="dxa" w:w="4873"/>
            <w:vAlign w:val="center"/>
          </w:tcPr>
          <w:p>
            <w:pPr>
              <w:spacing w:line="276" w:lineRule="auto" w:before="0" w:after="0"/>
            </w:pPr>
            <w:r/>
            <w:r>
              <w:rPr>
                <w:rFonts w:ascii="Figtree" w:hAnsi="Figtree"/>
                <w:b w:val="0"/>
                <w:i w:val="0"/>
                <w:sz w:val="20"/>
              </w:rPr>
              <w:t>RFP Reference</w:t>
            </w:r>
          </w:p>
        </w:tc>
        <w:tc>
          <w:tcPr>
            <w:tcW w:type="dxa" w:w="4873"/>
            <w:vAlign w:val="center"/>
          </w:tcPr>
          <w:p>
            <w:pPr>
              <w:spacing w:line="276" w:lineRule="auto" w:before="0" w:after="0"/>
            </w:pPr>
            <w:r/>
            <w:r>
              <w:rPr>
                <w:rFonts w:ascii="Figtree" w:hAnsi="Figtree"/>
                <w:b w:val="0"/>
                <w:i w:val="0"/>
                <w:sz w:val="20"/>
              </w:rPr>
              <w:t>NATIONAL-BANK-OF-EGYPT-RFP-DIGITAL-ASSET-INFRASTRUCTURE-202603</w:t>
            </w:r>
          </w:p>
        </w:tc>
      </w:tr>
    </w:tbl>
    <w:p>
      <w:pPr>
        <w:spacing w:before="0" w:after="0" w:line="120" w:lineRule="exact"/>
      </w:pPr>
    </w:p>
    <w:p>
      <w:r>
        <w:br w:type="page"/>
      </w:r>
    </w:p>
    <w:p>
      <w:pPr>
        <w:pStyle w:val="H2"/>
        <w:numPr>
          <w:ilvl w:val="1"/>
          <w:numId w:val="1"/>
        </w:numPr>
      </w:pPr>
      <w:r>
        <w:t>Executive Summary</w:t>
      </w:r>
    </w:p>
    <w:p>
      <w:r>
        <w:rPr>
          <w:rFonts w:ascii="Figtree" w:hAnsi="Figtree"/>
          <w:b w:val="0"/>
          <w:i w:val="0"/>
          <w:sz w:val="22"/>
        </w:rPr>
        <w:t>National Bank of Egypt (NBE) requires a platform and delivery partner capable of deploying digital asset core infrastructure for regulated institutional products with the discipline, transparency, and governance expected of Egypt's largest and oldest commercial bank operating under Central Bank of Egypt (CBE) and Financial Regulatory Authority (FRA) supervisory oversight. This commercial proposal presents SettleMint's licensing, implementation, and support model for the Digital Asset Lifecycle Platform (DALP) — structured to provide predictable costs, transparent assumptions, and a clear total cost of ownership across a three-year horizon.</w:t>
      </w:r>
    </w:p>
    <w:p>
      <w:r>
        <w:rPr>
          <w:rFonts w:ascii="Figtree" w:hAnsi="Figtree"/>
          <w:b/>
          <w:i w:val="0"/>
          <w:sz w:val="22"/>
        </w:rPr>
        <w:t>Commercial recommendation:</w:t>
      </w:r>
    </w:p>
    <w:p>
      <w:pPr>
        <w:pStyle w:val="ListParagraph"/>
        <w:numPr>
          <w:ilvl w:val="0"/>
          <w:numId w:val="4"/>
        </w:numPr>
      </w:pPr>
      <w:r>
        <w:rPr>
          <w:rFonts w:ascii="Figtree" w:hAnsi="Figtree"/>
          <w:b/>
          <w:i w:val="0"/>
          <w:sz w:val="22"/>
        </w:rPr>
        <w:t>License tier:</w:t>
      </w:r>
      <w:r>
        <w:rPr>
          <w:rFonts w:ascii="Figtree" w:hAnsi="Figtree"/>
          <w:b w:val="0"/>
          <w:i w:val="0"/>
          <w:sz w:val="22"/>
        </w:rPr>
        <w:t xml:space="preserve"> Enterprise (Tier 2) — supporting multiple asset classes, environments, and custody provider integrations</w:t>
      </w:r>
    </w:p>
    <w:p>
      <w:pPr>
        <w:pStyle w:val="ListParagraph"/>
        <w:numPr>
          <w:ilvl w:val="0"/>
          <w:numId w:val="4"/>
        </w:numPr>
      </w:pPr>
      <w:r>
        <w:rPr>
          <w:rFonts w:ascii="Figtree" w:hAnsi="Figtree"/>
          <w:b/>
          <w:i w:val="0"/>
          <w:sz w:val="22"/>
        </w:rPr>
        <w:t>Deployment model:</w:t>
      </w:r>
      <w:r>
        <w:rPr>
          <w:rFonts w:ascii="Figtree" w:hAnsi="Figtree"/>
          <w:b w:val="0"/>
          <w:i w:val="0"/>
          <w:sz w:val="22"/>
        </w:rPr>
        <w:t xml:space="preserve"> Dedicated cloud, Egypt-resident infrastructure</w:t>
      </w:r>
    </w:p>
    <w:p>
      <w:pPr>
        <w:pStyle w:val="ListParagraph"/>
        <w:numPr>
          <w:ilvl w:val="0"/>
          <w:numId w:val="4"/>
        </w:numPr>
      </w:pPr>
      <w:r>
        <w:rPr>
          <w:rFonts w:ascii="Figtree" w:hAnsi="Figtree"/>
          <w:b/>
          <w:i w:val="0"/>
          <w:sz w:val="22"/>
        </w:rPr>
        <w:t>Implementation:</w:t>
      </w:r>
      <w:r>
        <w:rPr>
          <w:rFonts w:ascii="Figtree" w:hAnsi="Figtree"/>
          <w:b w:val="0"/>
          <w:i w:val="0"/>
          <w:sz w:val="22"/>
        </w:rPr>
        <w:t xml:space="preserve"> 19-week phase-gated delivery with five formal gate reviews</w:t>
      </w:r>
    </w:p>
    <w:p>
      <w:pPr>
        <w:pStyle w:val="ListParagraph"/>
        <w:numPr>
          <w:ilvl w:val="0"/>
          <w:numId w:val="4"/>
        </w:numPr>
      </w:pPr>
      <w:r>
        <w:rPr>
          <w:rFonts w:ascii="Figtree" w:hAnsi="Figtree"/>
          <w:b/>
          <w:i w:val="0"/>
          <w:sz w:val="22"/>
        </w:rPr>
        <w:t>Support tier:</w:t>
      </w:r>
      <w:r>
        <w:rPr>
          <w:rFonts w:ascii="Figtree" w:hAnsi="Figtree"/>
          <w:b w:val="0"/>
          <w:i w:val="0"/>
          <w:sz w:val="22"/>
        </w:rPr>
        <w:t xml:space="preserve"> Premium — 16×5 coverage, 2-hour P1 response, dedicated support engineer</w:t>
      </w:r>
    </w:p>
    <w:p>
      <w:pPr>
        <w:pStyle w:val="ListParagraph"/>
        <w:numPr>
          <w:ilvl w:val="0"/>
          <w:numId w:val="4"/>
        </w:numPr>
      </w:pPr>
      <w:r>
        <w:rPr>
          <w:rFonts w:ascii="Figtree" w:hAnsi="Figtree"/>
          <w:b/>
          <w:i w:val="0"/>
          <w:sz w:val="22"/>
        </w:rPr>
        <w:t>Estimated three-year TCO:</w:t>
      </w:r>
      <w:r>
        <w:rPr>
          <w:rFonts w:ascii="Figtree" w:hAnsi="Figtree"/>
          <w:b w:val="0"/>
          <w:i w:val="0"/>
          <w:sz w:val="22"/>
        </w:rPr>
        <w:t xml:space="preserve"> [CLIENT-SPECIFIC — to be finalized during commercial discussions]</w:t>
      </w:r>
    </w:p>
    <w:p>
      <w:r>
        <w:rPr>
          <w:rFonts w:ascii="Figtree" w:hAnsi="Figtree"/>
          <w:b w:val="0"/>
          <w:i w:val="0"/>
          <w:sz w:val="22"/>
        </w:rPr>
        <w:t>The DALP licensing model is fundamentally different from transaction-based pricing: NBE pays a predictable annual subscription with no per-transaction, per-token, per-user, or per-asset fees. This means the bank can scale issuance volume, product range, and investor base without incurring incremental platform costs. As NBE deploys multiple asset classes — bonds, deposits, equities, funds — over time on the same core infrastructure, the platform licensing cost remains flat.</w:t>
      </w:r>
    </w:p>
    <w:p>
      <w:r>
        <w:br w:type="page"/>
      </w:r>
    </w:p>
    <w:p>
      <w:pPr>
        <w:pStyle w:val="H2"/>
        <w:numPr>
          <w:ilvl w:val="1"/>
          <w:numId w:val="1"/>
        </w:numPr>
      </w:pPr>
      <w:r>
        <w:t>Licensing Model</w:t>
      </w:r>
    </w:p>
    <w:p>
      <w:pPr>
        <w:pStyle w:val="H3"/>
        <w:numPr>
          <w:ilvl w:val="2"/>
          <w:numId w:val="1"/>
        </w:numPr>
      </w:pPr>
      <w:r>
        <w:t>Platform Licensing Philosophy</w:t>
      </w:r>
    </w:p>
    <w:p>
      <w:r>
        <w:rPr>
          <w:rFonts w:ascii="Figtree" w:hAnsi="Figtree"/>
          <w:b w:val="0"/>
          <w:i w:val="0"/>
          <w:sz w:val="22"/>
        </w:rPr>
        <w:t xml:space="preserve">DALP uses a </w:t>
      </w:r>
      <w:r>
        <w:rPr>
          <w:rFonts w:ascii="Figtree" w:hAnsi="Figtree"/>
          <w:b/>
          <w:i w:val="0"/>
          <w:sz w:val="22"/>
        </w:rPr>
        <w:t>platform licensing model</w:t>
      </w:r>
      <w:r>
        <w:rPr>
          <w:rFonts w:ascii="Figtree" w:hAnsi="Figtree"/>
          <w:b w:val="0"/>
          <w:i w:val="0"/>
          <w:sz w:val="22"/>
        </w:rPr>
        <w:t>. Key principles: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28"/>
        <w:gridCol w:w="644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Principle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What It Means for National Bank of Egypt</w:t>
            </w:r>
          </w:p>
        </w:tc>
      </w:tr>
      <w:tr>
        <w:trPr>
          <w:trHeight w:val="425" w:hRule="atLeast"/>
        </w:trPr>
        <w:tc>
          <w:tcPr>
            <w:tcW w:type="dxa" w:w="4873"/>
            <w:vAlign w:val="center"/>
          </w:tcPr>
          <w:p>
            <w:pPr>
              <w:spacing w:line="276" w:lineRule="auto" w:before="0" w:after="0"/>
            </w:pPr>
            <w:r/>
            <w:r>
              <w:rPr>
                <w:rFonts w:ascii="Figtree" w:hAnsi="Figtree"/>
                <w:b w:val="0"/>
                <w:i w:val="0"/>
                <w:sz w:val="20"/>
              </w:rPr>
              <w:t>No per-transaction fees</w:t>
            </w:r>
          </w:p>
        </w:tc>
        <w:tc>
          <w:tcPr>
            <w:tcW w:type="dxa" w:w="4873"/>
            <w:vAlign w:val="center"/>
          </w:tcPr>
          <w:p>
            <w:pPr>
              <w:spacing w:line="276" w:lineRule="auto" w:before="0" w:after="0"/>
            </w:pPr>
            <w:r/>
            <w:r>
              <w:rPr>
                <w:rFonts w:ascii="Figtree" w:hAnsi="Figtree"/>
                <w:b w:val="0"/>
                <w:i w:val="0"/>
                <w:sz w:val="20"/>
              </w:rPr>
              <w:t>Every compliance check, transfer, distribution, and settlement is included. No cost anxiety as volumes grow.</w:t>
            </w:r>
          </w:p>
        </w:tc>
      </w:tr>
      <w:tr>
        <w:trPr>
          <w:trHeight w:val="425" w:hRule="atLeast"/>
        </w:trPr>
        <w:tc>
          <w:tcPr>
            <w:tcW w:type="dxa" w:w="4873"/>
            <w:vAlign w:val="center"/>
          </w:tcPr>
          <w:p>
            <w:pPr>
              <w:spacing w:line="276" w:lineRule="auto" w:before="0" w:after="0"/>
            </w:pPr>
            <w:r/>
            <w:r>
              <w:rPr>
                <w:rFonts w:ascii="Figtree" w:hAnsi="Figtree"/>
                <w:b w:val="0"/>
                <w:i w:val="0"/>
                <w:sz w:val="20"/>
              </w:rPr>
              <w:t>No per-token fees</w:t>
            </w:r>
          </w:p>
        </w:tc>
        <w:tc>
          <w:tcPr>
            <w:tcW w:type="dxa" w:w="4873"/>
            <w:vAlign w:val="center"/>
          </w:tcPr>
          <w:p>
            <w:pPr>
              <w:spacing w:line="276" w:lineRule="auto" w:before="0" w:after="0"/>
            </w:pPr>
            <w:r/>
            <w:r>
              <w:rPr>
                <w:rFonts w:ascii="Figtree" w:hAnsi="Figtree"/>
                <w:b w:val="0"/>
                <w:i w:val="0"/>
                <w:sz w:val="20"/>
              </w:rPr>
              <w:t>Additional product types (bonds, deposits, equities, funds) carry no incremental license cost.</w:t>
            </w:r>
          </w:p>
        </w:tc>
      </w:tr>
      <w:tr>
        <w:trPr>
          <w:trHeight w:val="425" w:hRule="atLeast"/>
        </w:trPr>
        <w:tc>
          <w:tcPr>
            <w:tcW w:type="dxa" w:w="4873"/>
            <w:vAlign w:val="center"/>
          </w:tcPr>
          <w:p>
            <w:pPr>
              <w:spacing w:line="276" w:lineRule="auto" w:before="0" w:after="0"/>
            </w:pPr>
            <w:r/>
            <w:r>
              <w:rPr>
                <w:rFonts w:ascii="Figtree" w:hAnsi="Figtree"/>
                <w:b w:val="0"/>
                <w:i w:val="0"/>
                <w:sz w:val="20"/>
              </w:rPr>
              <w:t>No per-user fees for investors</w:t>
            </w:r>
          </w:p>
        </w:tc>
        <w:tc>
          <w:tcPr>
            <w:tcW w:type="dxa" w:w="4873"/>
            <w:vAlign w:val="center"/>
          </w:tcPr>
          <w:p>
            <w:pPr>
              <w:spacing w:line="276" w:lineRule="auto" w:before="0" w:after="0"/>
            </w:pPr>
            <w:r/>
            <w:r>
              <w:rPr>
                <w:rFonts w:ascii="Figtree" w:hAnsi="Figtree"/>
                <w:b w:val="0"/>
                <w:i w:val="0"/>
                <w:sz w:val="20"/>
              </w:rPr>
              <w:t>Growing the investor base is a business outcome, not a cost driver.</w:t>
            </w:r>
          </w:p>
        </w:tc>
      </w:tr>
      <w:tr>
        <w:trPr>
          <w:trHeight w:val="425" w:hRule="atLeast"/>
        </w:trPr>
        <w:tc>
          <w:tcPr>
            <w:tcW w:type="dxa" w:w="4873"/>
            <w:vAlign w:val="center"/>
          </w:tcPr>
          <w:p>
            <w:pPr>
              <w:spacing w:line="276" w:lineRule="auto" w:before="0" w:after="0"/>
            </w:pPr>
            <w:r/>
            <w:r>
              <w:rPr>
                <w:rFonts w:ascii="Figtree" w:hAnsi="Figtree"/>
                <w:b w:val="0"/>
                <w:i w:val="0"/>
                <w:sz w:val="20"/>
              </w:rPr>
              <w:t>Predictable annual subscription</w:t>
            </w:r>
          </w:p>
        </w:tc>
        <w:tc>
          <w:tcPr>
            <w:tcW w:type="dxa" w:w="4873"/>
            <w:vAlign w:val="center"/>
          </w:tcPr>
          <w:p>
            <w:pPr>
              <w:spacing w:line="276" w:lineRule="auto" w:before="0" w:after="0"/>
            </w:pPr>
            <w:r/>
            <w:r>
              <w:rPr>
                <w:rFonts w:ascii="Figtree" w:hAnsi="Figtree"/>
                <w:b w:val="0"/>
                <w:i w:val="0"/>
                <w:sz w:val="20"/>
              </w:rPr>
              <w:t>Budget certainty for multi-year planning.</w:t>
            </w:r>
          </w:p>
        </w:tc>
      </w:tr>
      <w:tr>
        <w:trPr>
          <w:trHeight w:val="425" w:hRule="atLeast"/>
        </w:trPr>
        <w:tc>
          <w:tcPr>
            <w:tcW w:type="dxa" w:w="4873"/>
            <w:vAlign w:val="center"/>
          </w:tcPr>
          <w:p>
            <w:pPr>
              <w:spacing w:line="276" w:lineRule="auto" w:before="0" w:after="0"/>
            </w:pPr>
            <w:r/>
            <w:r>
              <w:rPr>
                <w:rFonts w:ascii="Figtree" w:hAnsi="Figtree"/>
                <w:b w:val="0"/>
                <w:i w:val="0"/>
                <w:sz w:val="20"/>
              </w:rPr>
              <w:t>Full platform capabilities included</w:t>
            </w:r>
          </w:p>
        </w:tc>
        <w:tc>
          <w:tcPr>
            <w:tcW w:type="dxa" w:w="4873"/>
            <w:vAlign w:val="center"/>
          </w:tcPr>
          <w:p>
            <w:pPr>
              <w:spacing w:line="276" w:lineRule="auto" w:before="0" w:after="0"/>
            </w:pPr>
            <w:r/>
            <w:r>
              <w:rPr>
                <w:rFonts w:ascii="Figtree" w:hAnsi="Figtree"/>
                <w:b w:val="0"/>
                <w:i w:val="0"/>
                <w:sz w:val="20"/>
              </w:rPr>
              <w:t>All lifecycle pillars, compliance modules, API surface, and observability tools.</w:t>
            </w:r>
          </w:p>
        </w:tc>
      </w:tr>
    </w:tbl>
    <w:p>
      <w:pPr>
        <w:spacing w:before="0" w:after="0" w:line="120" w:lineRule="exact"/>
      </w:pPr>
    </w:p>
    <w:p>
      <w:pPr>
        <w:pStyle w:val="H3"/>
        <w:numPr>
          <w:ilvl w:val="2"/>
          <w:numId w:val="1"/>
        </w:numPr>
      </w:pPr>
      <w:r>
        <w:t>What the License Includes</w:t>
      </w:r>
    </w:p>
    <w:p>
      <w:r>
        <w:rPr>
          <w:rFonts w:ascii="Figtree" w:hAnsi="Figtree"/>
          <w:b w:val="0"/>
          <w:i w:val="0"/>
          <w:sz w:val="22"/>
        </w:rPr>
        <w:t>The Enterprise license provides access to:</w:t>
      </w:r>
    </w:p>
    <w:p>
      <w:pPr>
        <w:pStyle w:val="ListParagraph"/>
        <w:numPr>
          <w:ilvl w:val="0"/>
          <w:numId w:val="4"/>
        </w:numPr>
      </w:pPr>
      <w:r>
        <w:rPr>
          <w:rFonts w:ascii="Figtree" w:hAnsi="Figtree"/>
          <w:b w:val="0"/>
          <w:i w:val="0"/>
          <w:sz w:val="22"/>
        </w:rPr>
        <w:t>All five lifecycle pillars: Issuance, Compliance, Custody Integration, Settlement, and Servicing</w:t>
      </w:r>
    </w:p>
    <w:p>
      <w:pPr>
        <w:pStyle w:val="ListParagraph"/>
        <w:numPr>
          <w:ilvl w:val="0"/>
          <w:numId w:val="4"/>
        </w:numPr>
      </w:pPr>
      <w:r>
        <w:rPr>
          <w:rFonts w:ascii="Figtree" w:hAnsi="Figtree"/>
          <w:b w:val="0"/>
          <w:i w:val="0"/>
          <w:sz w:val="22"/>
        </w:rPr>
        <w:t>All seven asset classes (bonds, equities, funds, stablecoins, deposits, real estate, precious metals) plus Configurable Token</w:t>
      </w:r>
    </w:p>
    <w:p>
      <w:pPr>
        <w:pStyle w:val="ListParagraph"/>
        <w:numPr>
          <w:ilvl w:val="0"/>
          <w:numId w:val="4"/>
        </w:numPr>
      </w:pPr>
      <w:r>
        <w:rPr>
          <w:rFonts w:ascii="Figtree" w:hAnsi="Figtree"/>
          <w:b w:val="0"/>
          <w:i w:val="0"/>
          <w:sz w:val="22"/>
        </w:rPr>
        <w:t>All 18 compliance module types — no per-module licensing</w:t>
      </w:r>
    </w:p>
    <w:p>
      <w:pPr>
        <w:pStyle w:val="ListParagraph"/>
        <w:numPr>
          <w:ilvl w:val="0"/>
          <w:numId w:val="4"/>
        </w:numPr>
      </w:pPr>
      <w:r>
        <w:rPr>
          <w:rFonts w:ascii="Figtree" w:hAnsi="Figtree"/>
          <w:b w:val="0"/>
          <w:i w:val="0"/>
          <w:sz w:val="22"/>
        </w:rPr>
        <w:t>Full API surface: REST API v2, GraphQL, webhooks, TypeScript SDK, CLI (301 commands)</w:t>
      </w:r>
    </w:p>
    <w:p>
      <w:pPr>
        <w:pStyle w:val="ListParagraph"/>
        <w:numPr>
          <w:ilvl w:val="0"/>
          <w:numId w:val="4"/>
        </w:numPr>
      </w:pPr>
      <w:r>
        <w:rPr>
          <w:rFonts w:ascii="Figtree" w:hAnsi="Figtree"/>
          <w:b w:val="0"/>
          <w:i w:val="0"/>
          <w:sz w:val="22"/>
        </w:rPr>
        <w:t>Addon capabilities: XvP settlement, vault management, token sales, airdrop, yield schedules</w:t>
      </w:r>
    </w:p>
    <w:p>
      <w:pPr>
        <w:pStyle w:val="ListParagraph"/>
        <w:numPr>
          <w:ilvl w:val="0"/>
          <w:numId w:val="4"/>
        </w:numPr>
      </w:pPr>
      <w:r>
        <w:rPr>
          <w:rFonts w:ascii="Figtree" w:hAnsi="Figtree"/>
          <w:b w:val="0"/>
          <w:i w:val="0"/>
          <w:sz w:val="22"/>
        </w:rPr>
        <w:t>Observability stack: Grafana dashboards, metrics, logs, traces, automated alerting</w:t>
      </w:r>
    </w:p>
    <w:p>
      <w:pPr>
        <w:pStyle w:val="ListParagraph"/>
        <w:numPr>
          <w:ilvl w:val="0"/>
          <w:numId w:val="4"/>
        </w:numPr>
      </w:pPr>
      <w:r>
        <w:rPr>
          <w:rFonts w:ascii="Figtree" w:hAnsi="Figtree"/>
          <w:b w:val="0"/>
          <w:i w:val="0"/>
          <w:sz w:val="22"/>
        </w:rPr>
        <w:t>Platform updates and security patches during the license term</w:t>
      </w:r>
    </w:p>
    <w:p>
      <w:pPr>
        <w:pStyle w:val="H3"/>
        <w:numPr>
          <w:ilvl w:val="2"/>
          <w:numId w:val="1"/>
        </w:numPr>
      </w:pPr>
      <w:r>
        <w:t>Recommended Tier: Enterprise (Tier 2)</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25"/>
        <w:gridCol w:w="724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Dimension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Configuration for NBE</w:t>
            </w:r>
          </w:p>
        </w:tc>
      </w:tr>
      <w:tr>
        <w:trPr>
          <w:trHeight w:val="425" w:hRule="atLeast"/>
        </w:trPr>
        <w:tc>
          <w:tcPr>
            <w:tcW w:type="dxa" w:w="4873"/>
            <w:vAlign w:val="center"/>
          </w:tcPr>
          <w:p>
            <w:pPr>
              <w:spacing w:line="276" w:lineRule="auto" w:before="0" w:after="0"/>
            </w:pPr>
            <w:r/>
            <w:r>
              <w:rPr>
                <w:rFonts w:ascii="Figtree" w:hAnsi="Figtree"/>
                <w:b w:val="0"/>
                <w:i w:val="0"/>
                <w:sz w:val="20"/>
              </w:rPr>
              <w:t>Environments</w:t>
            </w:r>
          </w:p>
        </w:tc>
        <w:tc>
          <w:tcPr>
            <w:tcW w:type="dxa" w:w="4873"/>
            <w:vAlign w:val="center"/>
          </w:tcPr>
          <w:p>
            <w:pPr>
              <w:spacing w:line="276" w:lineRule="auto" w:before="0" w:after="0"/>
            </w:pPr>
            <w:r/>
            <w:r>
              <w:rPr>
                <w:rFonts w:ascii="Figtree" w:hAnsi="Figtree"/>
                <w:b w:val="0"/>
                <w:i w:val="0"/>
                <w:sz w:val="20"/>
              </w:rPr>
              <w:t>Development + UAT/Staging + DR + Production</w:t>
            </w:r>
          </w:p>
        </w:tc>
      </w:tr>
      <w:tr>
        <w:trPr>
          <w:trHeight w:val="425" w:hRule="atLeast"/>
        </w:trPr>
        <w:tc>
          <w:tcPr>
            <w:tcW w:type="dxa" w:w="4873"/>
            <w:vAlign w:val="center"/>
          </w:tcPr>
          <w:p>
            <w:pPr>
              <w:spacing w:line="276" w:lineRule="auto" w:before="0" w:after="0"/>
            </w:pPr>
            <w:r/>
            <w:r>
              <w:rPr>
                <w:rFonts w:ascii="Figtree" w:hAnsi="Figtree"/>
                <w:b w:val="0"/>
                <w:i w:val="0"/>
                <w:sz w:val="20"/>
              </w:rPr>
              <w:t>Networks</w:t>
            </w:r>
          </w:p>
        </w:tc>
        <w:tc>
          <w:tcPr>
            <w:tcW w:type="dxa" w:w="4873"/>
            <w:vAlign w:val="center"/>
          </w:tcPr>
          <w:p>
            <w:pPr>
              <w:spacing w:line="276" w:lineRule="auto" w:before="0" w:after="0"/>
            </w:pPr>
            <w:r/>
            <w:r>
              <w:rPr>
                <w:rFonts w:ascii="Figtree" w:hAnsi="Figtree"/>
                <w:b w:val="0"/>
                <w:i w:val="0"/>
                <w:sz w:val="20"/>
              </w:rPr>
              <w:t>Permissioned Hyperledger Besu (recommended)</w:t>
            </w:r>
          </w:p>
        </w:tc>
      </w:tr>
      <w:tr>
        <w:trPr>
          <w:trHeight w:val="425" w:hRule="atLeast"/>
        </w:trPr>
        <w:tc>
          <w:tcPr>
            <w:tcW w:type="dxa" w:w="4873"/>
            <w:vAlign w:val="center"/>
          </w:tcPr>
          <w:p>
            <w:pPr>
              <w:spacing w:line="276" w:lineRule="auto" w:before="0" w:after="0"/>
            </w:pPr>
            <w:r/>
            <w:r>
              <w:rPr>
                <w:rFonts w:ascii="Figtree" w:hAnsi="Figtree"/>
                <w:b w:val="0"/>
                <w:i w:val="0"/>
                <w:sz w:val="20"/>
              </w:rPr>
              <w:t>Custody</w:t>
            </w:r>
          </w:p>
        </w:tc>
        <w:tc>
          <w:tcPr>
            <w:tcW w:type="dxa" w:w="4873"/>
            <w:vAlign w:val="center"/>
          </w:tcPr>
          <w:p>
            <w:pPr>
              <w:spacing w:line="276" w:lineRule="auto" w:before="0" w:after="0"/>
            </w:pPr>
            <w:r/>
            <w:r>
              <w:rPr>
                <w:rFonts w:ascii="Figtree" w:hAnsi="Figtree"/>
                <w:b w:val="0"/>
                <w:i w:val="0"/>
                <w:sz w:val="20"/>
              </w:rPr>
              <w:t>DFNS or Fireblocks integration (decision during Phase 1)</w:t>
            </w:r>
          </w:p>
        </w:tc>
      </w:tr>
      <w:tr>
        <w:trPr>
          <w:trHeight w:val="425" w:hRule="atLeast"/>
        </w:trPr>
        <w:tc>
          <w:tcPr>
            <w:tcW w:type="dxa" w:w="4873"/>
            <w:vAlign w:val="center"/>
          </w:tcPr>
          <w:p>
            <w:pPr>
              <w:spacing w:line="276" w:lineRule="auto" w:before="0" w:after="0"/>
            </w:pPr>
            <w:r/>
            <w:r>
              <w:rPr>
                <w:rFonts w:ascii="Figtree" w:hAnsi="Figtree"/>
                <w:b w:val="0"/>
                <w:i w:val="0"/>
                <w:sz w:val="20"/>
              </w:rPr>
              <w:t>Support</w:t>
            </w:r>
          </w:p>
        </w:tc>
        <w:tc>
          <w:tcPr>
            <w:tcW w:type="dxa" w:w="4873"/>
            <w:vAlign w:val="center"/>
          </w:tcPr>
          <w:p>
            <w:pPr>
              <w:spacing w:line="276" w:lineRule="auto" w:before="0" w:after="0"/>
            </w:pPr>
            <w:r/>
            <w:r>
              <w:rPr>
                <w:rFonts w:ascii="Figtree" w:hAnsi="Figtree"/>
                <w:b w:val="0"/>
                <w:i w:val="0"/>
                <w:sz w:val="20"/>
              </w:rPr>
              <w:t>Premium tier (16×5, 2-hour P1 response)</w:t>
            </w:r>
          </w:p>
        </w:tc>
      </w:tr>
      <w:tr>
        <w:trPr>
          <w:trHeight w:val="425" w:hRule="atLeast"/>
        </w:trPr>
        <w:tc>
          <w:tcPr>
            <w:tcW w:type="dxa" w:w="4873"/>
            <w:vAlign w:val="center"/>
          </w:tcPr>
          <w:p>
            <w:pPr>
              <w:spacing w:line="276" w:lineRule="auto" w:before="0" w:after="0"/>
            </w:pPr>
            <w:r/>
            <w:r>
              <w:rPr>
                <w:rFonts w:ascii="Figtree" w:hAnsi="Figtree"/>
                <w:b w:val="0"/>
                <w:i w:val="0"/>
                <w:sz w:val="20"/>
              </w:rPr>
              <w:t>Asset classes</w:t>
            </w:r>
          </w:p>
        </w:tc>
        <w:tc>
          <w:tcPr>
            <w:tcW w:type="dxa" w:w="4873"/>
            <w:vAlign w:val="center"/>
          </w:tcPr>
          <w:p>
            <w:pPr>
              <w:spacing w:line="276" w:lineRule="auto" w:before="0" w:after="0"/>
            </w:pPr>
            <w:r/>
            <w:r>
              <w:rPr>
                <w:rFonts w:ascii="Figtree" w:hAnsi="Figtree"/>
                <w:b w:val="0"/>
                <w:i w:val="0"/>
                <w:sz w:val="20"/>
              </w:rPr>
              <w:t>Bonds, deposits, equities, funds — all configured via DALPAsset templates</w:t>
            </w:r>
          </w:p>
        </w:tc>
      </w:tr>
    </w:tbl>
    <w:p>
      <w:pPr>
        <w:spacing w:before="0" w:after="0" w:line="120" w:lineRule="exact"/>
      </w:pPr>
    </w:p>
    <w:p>
      <w:r>
        <w:rPr>
          <w:rFonts w:ascii="Figtree" w:hAnsi="Figtree"/>
          <w:b/>
          <w:i w:val="0"/>
          <w:sz w:val="22"/>
        </w:rPr>
        <w:t>Annual license fee:</w:t>
      </w:r>
      <w:r>
        <w:rPr>
          <w:rFonts w:ascii="Figtree" w:hAnsi="Figtree"/>
          <w:b w:val="0"/>
          <w:i w:val="0"/>
          <w:sz w:val="22"/>
        </w:rPr>
        <w:t xml:space="preserve"> [CLIENT-SPECIFIC]</w:t>
      </w:r>
    </w:p>
    <w:p>
      <w:r>
        <w:br w:type="page"/>
      </w:r>
    </w:p>
    <w:p>
      <w:pPr>
        <w:pStyle w:val="H2"/>
        <w:numPr>
          <w:ilvl w:val="1"/>
          <w:numId w:val="1"/>
        </w:numPr>
      </w:pPr>
      <w:r>
        <w:t>Implementation Pricing</w:t>
      </w:r>
    </w:p>
    <w:p>
      <w:pPr>
        <w:pStyle w:val="H3"/>
        <w:numPr>
          <w:ilvl w:val="2"/>
          <w:numId w:val="1"/>
        </w:numPr>
      </w:pPr>
      <w:r>
        <w:t>Pricing Structure</w:t>
      </w:r>
    </w:p>
    <w:p>
      <w:r>
        <w:rPr>
          <w:rFonts w:ascii="Figtree" w:hAnsi="Figtree"/>
          <w:b w:val="0"/>
          <w:i w:val="0"/>
          <w:sz w:val="22"/>
        </w:rPr>
        <w:t>Implementation is priced as a fixed-fee engagement across the five delivery phases: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24"/>
        <w:gridCol w:w="899"/>
        <w:gridCol w:w="3973"/>
        <w:gridCol w:w="157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Scope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Pricing Basis</w:t>
            </w:r>
          </w:p>
        </w:tc>
      </w:tr>
      <w:tr>
        <w:trPr>
          <w:trHeight w:val="425" w:hRule="atLeast"/>
        </w:trPr>
        <w:tc>
          <w:tcPr>
            <w:tcW w:type="dxa" w:w="2436"/>
            <w:vAlign w:val="center"/>
          </w:tcPr>
          <w:p>
            <w:pPr>
              <w:spacing w:line="276" w:lineRule="auto" w:before="0" w:after="0"/>
            </w:pPr>
            <w:r/>
            <w:r>
              <w:rPr>
                <w:rFonts w:ascii="Figtree" w:hAnsi="Figtree"/>
                <w:b w:val="0"/>
                <w:i w:val="0"/>
                <w:sz w:val="20"/>
              </w:rPr>
              <w:t>Phase 1: Discovery &amp; Requirements</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Requirements, regulatory mapping, architecture design</w:t>
            </w:r>
          </w:p>
        </w:tc>
        <w:tc>
          <w:tcPr>
            <w:tcW w:type="dxa" w:w="2436"/>
            <w:vAlign w:val="center"/>
          </w:tcPr>
          <w:p>
            <w:pPr>
              <w:spacing w:line="276" w:lineRule="auto" w:before="0" w:after="0"/>
            </w:pPr>
            <w:r/>
            <w:r>
              <w:rPr>
                <w:rFonts w:ascii="Figtree" w:hAnsi="Figtree"/>
                <w:b w:val="0"/>
                <w:i w:val="0"/>
                <w:sz w:val="20"/>
              </w:rPr>
              <w:t>Fixed fee</w:t>
            </w:r>
          </w:p>
        </w:tc>
      </w:tr>
      <w:tr>
        <w:trPr>
          <w:trHeight w:val="425" w:hRule="atLeast"/>
        </w:trPr>
        <w:tc>
          <w:tcPr>
            <w:tcW w:type="dxa" w:w="2436"/>
            <w:vAlign w:val="center"/>
          </w:tcPr>
          <w:p>
            <w:pPr>
              <w:spacing w:line="276" w:lineRule="auto" w:before="0" w:after="0"/>
            </w:pPr>
            <w:r/>
            <w:r>
              <w:rPr>
                <w:rFonts w:ascii="Figtree" w:hAnsi="Figtree"/>
                <w:b w:val="0"/>
                <w:i w:val="0"/>
                <w:sz w:val="20"/>
              </w:rPr>
              <w:t>Phase 2: Foundation &amp; Setup</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Environment provisioning, network, identity framework</w:t>
            </w:r>
          </w:p>
        </w:tc>
        <w:tc>
          <w:tcPr>
            <w:tcW w:type="dxa" w:w="2436"/>
            <w:vAlign w:val="center"/>
          </w:tcPr>
          <w:p>
            <w:pPr>
              <w:spacing w:line="276" w:lineRule="auto" w:before="0" w:after="0"/>
            </w:pPr>
            <w:r/>
            <w:r>
              <w:rPr>
                <w:rFonts w:ascii="Figtree" w:hAnsi="Figtree"/>
                <w:b w:val="0"/>
                <w:i w:val="0"/>
                <w:sz w:val="20"/>
              </w:rPr>
              <w:t>Fixed fee</w:t>
            </w:r>
          </w:p>
        </w:tc>
      </w:tr>
      <w:tr>
        <w:trPr>
          <w:trHeight w:val="425" w:hRule="atLeast"/>
        </w:trPr>
        <w:tc>
          <w:tcPr>
            <w:tcW w:type="dxa" w:w="2436"/>
            <w:vAlign w:val="center"/>
          </w:tcPr>
          <w:p>
            <w:pPr>
              <w:spacing w:line="276" w:lineRule="auto" w:before="0" w:after="0"/>
            </w:pPr>
            <w:r/>
            <w:r>
              <w:rPr>
                <w:rFonts w:ascii="Figtree" w:hAnsi="Figtree"/>
                <w:b w:val="0"/>
                <w:i w:val="0"/>
                <w:sz w:val="20"/>
              </w:rPr>
              <w:t>Phase 3: Configuration &amp; Compliance</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Product configuration, compliance modules, workflows</w:t>
            </w:r>
          </w:p>
        </w:tc>
        <w:tc>
          <w:tcPr>
            <w:tcW w:type="dxa" w:w="2436"/>
            <w:vAlign w:val="center"/>
          </w:tcPr>
          <w:p>
            <w:pPr>
              <w:spacing w:line="276" w:lineRule="auto" w:before="0" w:after="0"/>
            </w:pPr>
            <w:r/>
            <w:r>
              <w:rPr>
                <w:rFonts w:ascii="Figtree" w:hAnsi="Figtree"/>
                <w:b w:val="0"/>
                <w:i w:val="0"/>
                <w:sz w:val="20"/>
              </w:rPr>
              <w:t>Fixed fee</w:t>
            </w:r>
          </w:p>
        </w:tc>
      </w:tr>
      <w:tr>
        <w:trPr>
          <w:trHeight w:val="425" w:hRule="atLeast"/>
        </w:trPr>
        <w:tc>
          <w:tcPr>
            <w:tcW w:type="dxa" w:w="2436"/>
            <w:vAlign w:val="center"/>
          </w:tcPr>
          <w:p>
            <w:pPr>
              <w:spacing w:line="276" w:lineRule="auto" w:before="0" w:after="0"/>
            </w:pPr>
            <w:r/>
            <w:r>
              <w:rPr>
                <w:rFonts w:ascii="Figtree" w:hAnsi="Figtree"/>
                <w:b w:val="0"/>
                <w:i w:val="0"/>
                <w:sz w:val="20"/>
              </w:rPr>
              <w:t>Phase 4: Integration &amp; Testing</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System integration, security/UAT/performance testing</w:t>
            </w:r>
          </w:p>
        </w:tc>
        <w:tc>
          <w:tcPr>
            <w:tcW w:type="dxa" w:w="2436"/>
            <w:vAlign w:val="center"/>
          </w:tcPr>
          <w:p>
            <w:pPr>
              <w:spacing w:line="276" w:lineRule="auto" w:before="0" w:after="0"/>
            </w:pPr>
            <w:r/>
            <w:r>
              <w:rPr>
                <w:rFonts w:ascii="Figtree" w:hAnsi="Figtree"/>
                <w:b w:val="0"/>
                <w:i w:val="0"/>
                <w:sz w:val="20"/>
              </w:rPr>
              <w:t>Fixed fee</w:t>
            </w:r>
          </w:p>
        </w:tc>
      </w:tr>
      <w:tr>
        <w:trPr>
          <w:trHeight w:val="425" w:hRule="atLeast"/>
        </w:trPr>
        <w:tc>
          <w:tcPr>
            <w:tcW w:type="dxa" w:w="2436"/>
            <w:vAlign w:val="center"/>
          </w:tcPr>
          <w:p>
            <w:pPr>
              <w:spacing w:line="276" w:lineRule="auto" w:before="0" w:after="0"/>
            </w:pPr>
            <w:r/>
            <w:r>
              <w:rPr>
                <w:rFonts w:ascii="Figtree" w:hAnsi="Figtree"/>
                <w:b w:val="0"/>
                <w:i w:val="0"/>
                <w:sz w:val="20"/>
              </w:rPr>
              <w:t>Phase 5: Go-Live &amp; Hypercare</w:t>
            </w:r>
          </w:p>
        </w:tc>
        <w:tc>
          <w:tcPr>
            <w:tcW w:type="dxa" w:w="2436"/>
            <w:vAlign w:val="center"/>
          </w:tcPr>
          <w:p>
            <w:pPr>
              <w:spacing w:line="276" w:lineRule="auto" w:before="0" w:after="0"/>
            </w:pPr>
            <w:r/>
            <w:r>
              <w:rPr>
                <w:rFonts w:ascii="Figtree" w:hAnsi="Figtree"/>
                <w:b w:val="0"/>
                <w:i w:val="0"/>
                <w:sz w:val="20"/>
              </w:rPr>
              <w:t>6 weeks</w:t>
            </w:r>
          </w:p>
        </w:tc>
        <w:tc>
          <w:tcPr>
            <w:tcW w:type="dxa" w:w="2436"/>
            <w:vAlign w:val="center"/>
          </w:tcPr>
          <w:p>
            <w:pPr>
              <w:spacing w:line="276" w:lineRule="auto" w:before="0" w:after="0"/>
            </w:pPr>
            <w:r/>
            <w:r>
              <w:rPr>
                <w:rFonts w:ascii="Figtree" w:hAnsi="Figtree"/>
                <w:b w:val="0"/>
                <w:i w:val="0"/>
                <w:sz w:val="20"/>
              </w:rPr>
              <w:t>Production deployment, knowledge transfer, hypercare</w:t>
            </w:r>
          </w:p>
        </w:tc>
        <w:tc>
          <w:tcPr>
            <w:tcW w:type="dxa" w:w="2436"/>
            <w:vAlign w:val="center"/>
          </w:tcPr>
          <w:p>
            <w:pPr>
              <w:spacing w:line="276" w:lineRule="auto" w:before="0" w:after="0"/>
            </w:pPr>
            <w:r/>
            <w:r>
              <w:rPr>
                <w:rFonts w:ascii="Figtree" w:hAnsi="Figtree"/>
                <w:b w:val="0"/>
                <w:i w:val="0"/>
                <w:sz w:val="20"/>
              </w:rPr>
              <w:t>Fixed fee</w:t>
            </w:r>
          </w:p>
        </w:tc>
      </w:tr>
      <w:tr>
        <w:trPr>
          <w:trHeight w:val="425" w:hRule="atLeast"/>
        </w:trPr>
        <w:tc>
          <w:tcPr>
            <w:tcW w:type="dxa" w:w="2436"/>
            <w:vAlign w:val="center"/>
          </w:tcPr>
          <w:p>
            <w:pPr>
              <w:spacing w:line="276" w:lineRule="auto" w:before="0" w:after="0"/>
            </w:pPr>
            <w:r/>
            <w:r>
              <w:rPr>
                <w:rFonts w:ascii="Figtree" w:hAnsi="Figtree"/>
                <w:b/>
                <w:i w:val="0"/>
                <w:sz w:val="20"/>
              </w:rPr>
              <w:t>Total</w:t>
            </w:r>
          </w:p>
        </w:tc>
        <w:tc>
          <w:tcPr>
            <w:tcW w:type="dxa" w:w="2436"/>
            <w:vAlign w:val="center"/>
          </w:tcPr>
          <w:p>
            <w:pPr>
              <w:spacing w:line="276" w:lineRule="auto" w:before="0" w:after="0"/>
            </w:pPr>
            <w:r/>
            <w:r>
              <w:rPr>
                <w:rFonts w:ascii="Figtree" w:hAnsi="Figtree"/>
                <w:b/>
                <w:i w:val="0"/>
                <w:sz w:val="20"/>
              </w:rPr>
              <w:t>19 weeks</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i w:val="0"/>
                <w:sz w:val="20"/>
              </w:rPr>
              <w:t>[CLIENT-SPECIFIC]</w:t>
            </w:r>
          </w:p>
        </w:tc>
      </w:tr>
    </w:tbl>
    <w:p>
      <w:pPr>
        <w:spacing w:before="0" w:after="0" w:line="120" w:lineRule="exact"/>
      </w:pPr>
    </w:p>
    <w:p>
      <w:pPr>
        <w:pStyle w:val="H3"/>
        <w:numPr>
          <w:ilvl w:val="2"/>
          <w:numId w:val="1"/>
        </w:numPr>
      </w:pPr>
      <w:r>
        <w:t>Implementation Team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99"/>
        <w:gridCol w:w="2924"/>
        <w:gridCol w:w="464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Allocation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Responsibility</w:t>
            </w:r>
          </w:p>
        </w:tc>
      </w:tr>
      <w:tr>
        <w:trPr>
          <w:trHeight w:val="425" w:hRule="atLeast"/>
        </w:trPr>
        <w:tc>
          <w:tcPr>
            <w:tcW w:type="dxa" w:w="3249"/>
            <w:vAlign w:val="center"/>
          </w:tcPr>
          <w:p>
            <w:pPr>
              <w:spacing w:line="276" w:lineRule="auto" w:before="0" w:after="0"/>
            </w:pPr>
            <w:r/>
            <w:r>
              <w:rPr>
                <w:rFonts w:ascii="Figtree" w:hAnsi="Figtree"/>
                <w:b w:val="0"/>
                <w:i w:val="0"/>
                <w:sz w:val="20"/>
              </w:rPr>
              <w:t>Delivery Lead</w:t>
            </w:r>
          </w:p>
        </w:tc>
        <w:tc>
          <w:tcPr>
            <w:tcW w:type="dxa" w:w="3249"/>
            <w:vAlign w:val="center"/>
          </w:tcPr>
          <w:p>
            <w:pPr>
              <w:spacing w:line="276" w:lineRule="auto" w:before="0" w:after="0"/>
            </w:pPr>
            <w:r/>
            <w:r>
              <w:rPr>
                <w:rFonts w:ascii="Figtree" w:hAnsi="Figtree"/>
                <w:b w:val="0"/>
                <w:i w:val="0"/>
                <w:sz w:val="20"/>
              </w:rPr>
              <w:t>Full-time (19 weeks)</w:t>
            </w:r>
          </w:p>
        </w:tc>
        <w:tc>
          <w:tcPr>
            <w:tcW w:type="dxa" w:w="3249"/>
            <w:vAlign w:val="center"/>
          </w:tcPr>
          <w:p>
            <w:pPr>
              <w:spacing w:line="276" w:lineRule="auto" w:before="0" w:after="0"/>
            </w:pPr>
            <w:r/>
            <w:r>
              <w:rPr>
                <w:rFonts w:ascii="Figtree" w:hAnsi="Figtree"/>
                <w:b w:val="0"/>
                <w:i w:val="0"/>
                <w:sz w:val="20"/>
              </w:rPr>
              <w:t>Programme management, gate reviews, stakeholder alignment</w:t>
            </w:r>
          </w:p>
        </w:tc>
      </w:tr>
      <w:tr>
        <w:trPr>
          <w:trHeight w:val="425" w:hRule="atLeast"/>
        </w:trPr>
        <w:tc>
          <w:tcPr>
            <w:tcW w:type="dxa" w:w="3249"/>
            <w:vAlign w:val="center"/>
          </w:tcPr>
          <w:p>
            <w:pPr>
              <w:spacing w:line="276" w:lineRule="auto" w:before="0" w:after="0"/>
            </w:pPr>
            <w:r/>
            <w:r>
              <w:rPr>
                <w:rFonts w:ascii="Figtree" w:hAnsi="Figtree"/>
                <w:b w:val="0"/>
                <w:i w:val="0"/>
                <w:sz w:val="20"/>
              </w:rPr>
              <w:t>Solution Architect</w:t>
            </w:r>
          </w:p>
        </w:tc>
        <w:tc>
          <w:tcPr>
            <w:tcW w:type="dxa" w:w="3249"/>
            <w:vAlign w:val="center"/>
          </w:tcPr>
          <w:p>
            <w:pPr>
              <w:spacing w:line="276" w:lineRule="auto" w:before="0" w:after="0"/>
            </w:pPr>
            <w:r/>
            <w:r>
              <w:rPr>
                <w:rFonts w:ascii="Figtree" w:hAnsi="Figtree"/>
                <w:b w:val="0"/>
                <w:i w:val="0"/>
                <w:sz w:val="20"/>
              </w:rPr>
              <w:t>Full-time (Weeks 1–13), on-call (14–19)</w:t>
            </w:r>
          </w:p>
        </w:tc>
        <w:tc>
          <w:tcPr>
            <w:tcW w:type="dxa" w:w="3249"/>
            <w:vAlign w:val="center"/>
          </w:tcPr>
          <w:p>
            <w:pPr>
              <w:spacing w:line="276" w:lineRule="auto" w:before="0" w:after="0"/>
            </w:pPr>
            <w:r/>
            <w:r>
              <w:rPr>
                <w:rFonts w:ascii="Figtree" w:hAnsi="Figtree"/>
                <w:b w:val="0"/>
                <w:i w:val="0"/>
                <w:sz w:val="20"/>
              </w:rPr>
              <w:t>Architecture design, integration patterns, technical decisions</w:t>
            </w:r>
          </w:p>
        </w:tc>
      </w:tr>
      <w:tr>
        <w:trPr>
          <w:trHeight w:val="425" w:hRule="atLeast"/>
        </w:trPr>
        <w:tc>
          <w:tcPr>
            <w:tcW w:type="dxa" w:w="3249"/>
            <w:vAlign w:val="center"/>
          </w:tcPr>
          <w:p>
            <w:pPr>
              <w:spacing w:line="276" w:lineRule="auto" w:before="0" w:after="0"/>
            </w:pPr>
            <w:r/>
            <w:r>
              <w:rPr>
                <w:rFonts w:ascii="Figtree" w:hAnsi="Figtree"/>
                <w:b w:val="0"/>
                <w:i w:val="0"/>
                <w:sz w:val="20"/>
              </w:rPr>
              <w:t>Platform Engineer</w:t>
            </w:r>
          </w:p>
        </w:tc>
        <w:tc>
          <w:tcPr>
            <w:tcW w:type="dxa" w:w="3249"/>
            <w:vAlign w:val="center"/>
          </w:tcPr>
          <w:p>
            <w:pPr>
              <w:spacing w:line="276" w:lineRule="auto" w:before="0" w:after="0"/>
            </w:pPr>
            <w:r/>
            <w:r>
              <w:rPr>
                <w:rFonts w:ascii="Figtree" w:hAnsi="Figtree"/>
                <w:b w:val="0"/>
                <w:i w:val="0"/>
                <w:sz w:val="20"/>
              </w:rPr>
              <w:t>Full-time (Weeks 3–17)</w:t>
            </w:r>
          </w:p>
        </w:tc>
        <w:tc>
          <w:tcPr>
            <w:tcW w:type="dxa" w:w="3249"/>
            <w:vAlign w:val="center"/>
          </w:tcPr>
          <w:p>
            <w:pPr>
              <w:spacing w:line="276" w:lineRule="auto" w:before="0" w:after="0"/>
            </w:pPr>
            <w:r/>
            <w:r>
              <w:rPr>
                <w:rFonts w:ascii="Figtree" w:hAnsi="Figtree"/>
                <w:b w:val="0"/>
                <w:i w:val="0"/>
                <w:sz w:val="20"/>
              </w:rPr>
              <w:t>Environment setup, configuration, deployment</w:t>
            </w:r>
          </w:p>
        </w:tc>
      </w:tr>
      <w:tr>
        <w:trPr>
          <w:trHeight w:val="425" w:hRule="atLeast"/>
        </w:trPr>
        <w:tc>
          <w:tcPr>
            <w:tcW w:type="dxa" w:w="3249"/>
            <w:vAlign w:val="center"/>
          </w:tcPr>
          <w:p>
            <w:pPr>
              <w:spacing w:line="276" w:lineRule="auto" w:before="0" w:after="0"/>
            </w:pPr>
            <w:r/>
            <w:r>
              <w:rPr>
                <w:rFonts w:ascii="Figtree" w:hAnsi="Figtree"/>
                <w:b w:val="0"/>
                <w:i w:val="0"/>
                <w:sz w:val="20"/>
              </w:rPr>
              <w:t>Integration Engineer</w:t>
            </w:r>
          </w:p>
        </w:tc>
        <w:tc>
          <w:tcPr>
            <w:tcW w:type="dxa" w:w="3249"/>
            <w:vAlign w:val="center"/>
          </w:tcPr>
          <w:p>
            <w:pPr>
              <w:spacing w:line="276" w:lineRule="auto" w:before="0" w:after="0"/>
            </w:pPr>
            <w:r/>
            <w:r>
              <w:rPr>
                <w:rFonts w:ascii="Figtree" w:hAnsi="Figtree"/>
                <w:b w:val="0"/>
                <w:i w:val="0"/>
                <w:sz w:val="20"/>
              </w:rPr>
              <w:t>Full-time (Weeks 6–13)</w:t>
            </w:r>
          </w:p>
        </w:tc>
        <w:tc>
          <w:tcPr>
            <w:tcW w:type="dxa" w:w="3249"/>
            <w:vAlign w:val="center"/>
          </w:tcPr>
          <w:p>
            <w:pPr>
              <w:spacing w:line="276" w:lineRule="auto" w:before="0" w:after="0"/>
            </w:pPr>
            <w:r/>
            <w:r>
              <w:rPr>
                <w:rFonts w:ascii="Figtree" w:hAnsi="Figtree"/>
                <w:b w:val="0"/>
                <w:i w:val="0"/>
                <w:sz w:val="20"/>
              </w:rPr>
              <w:t>Enterprise system integration, API development</w:t>
            </w:r>
          </w:p>
        </w:tc>
      </w:tr>
      <w:tr>
        <w:trPr>
          <w:trHeight w:val="425" w:hRule="atLeast"/>
        </w:trPr>
        <w:tc>
          <w:tcPr>
            <w:tcW w:type="dxa" w:w="3249"/>
            <w:vAlign w:val="center"/>
          </w:tcPr>
          <w:p>
            <w:pPr>
              <w:spacing w:line="276" w:lineRule="auto" w:before="0" w:after="0"/>
            </w:pPr>
            <w:r/>
            <w:r>
              <w:rPr>
                <w:rFonts w:ascii="Figtree" w:hAnsi="Figtree"/>
                <w:b w:val="0"/>
                <w:i w:val="0"/>
                <w:sz w:val="20"/>
              </w:rPr>
              <w:t>QA Engineer</w:t>
            </w:r>
          </w:p>
        </w:tc>
        <w:tc>
          <w:tcPr>
            <w:tcW w:type="dxa" w:w="3249"/>
            <w:vAlign w:val="center"/>
          </w:tcPr>
          <w:p>
            <w:pPr>
              <w:spacing w:line="276" w:lineRule="auto" w:before="0" w:after="0"/>
            </w:pPr>
            <w:r/>
            <w:r>
              <w:rPr>
                <w:rFonts w:ascii="Figtree" w:hAnsi="Figtree"/>
                <w:b w:val="0"/>
                <w:i w:val="0"/>
                <w:sz w:val="20"/>
              </w:rPr>
              <w:t>Full-time (Weeks 10–15)</w:t>
            </w:r>
          </w:p>
        </w:tc>
        <w:tc>
          <w:tcPr>
            <w:tcW w:type="dxa" w:w="3249"/>
            <w:vAlign w:val="center"/>
          </w:tcPr>
          <w:p>
            <w:pPr>
              <w:spacing w:line="276" w:lineRule="auto" w:before="0" w:after="0"/>
            </w:pPr>
            <w:r/>
            <w:r>
              <w:rPr>
                <w:rFonts w:ascii="Figtree" w:hAnsi="Figtree"/>
                <w:b w:val="0"/>
                <w:i w:val="0"/>
                <w:sz w:val="20"/>
              </w:rPr>
              <w:t>Test planning, execution, defect management</w:t>
            </w:r>
          </w:p>
        </w:tc>
      </w:tr>
    </w:tbl>
    <w:p>
      <w:pPr>
        <w:spacing w:before="0" w:after="0" w:line="120" w:lineRule="exact"/>
      </w:pPr>
    </w:p>
    <w:p>
      <w:pPr>
        <w:pStyle w:val="H3"/>
        <w:numPr>
          <w:ilvl w:val="2"/>
          <w:numId w:val="1"/>
        </w:numPr>
      </w:pPr>
      <w:r>
        <w:t>Client Effort Assumptions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601"/>
        <w:gridCol w:w="3024"/>
        <w:gridCol w:w="144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Activity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Estimated Client Effort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When</w:t>
            </w:r>
          </w:p>
        </w:tc>
      </w:tr>
      <w:tr>
        <w:trPr>
          <w:trHeight w:val="425" w:hRule="atLeast"/>
        </w:trPr>
        <w:tc>
          <w:tcPr>
            <w:tcW w:type="dxa" w:w="3249"/>
            <w:vAlign w:val="center"/>
          </w:tcPr>
          <w:p>
            <w:pPr>
              <w:spacing w:line="276" w:lineRule="auto" w:before="0" w:after="0"/>
            </w:pPr>
            <w:r/>
            <w:r>
              <w:rPr>
                <w:rFonts w:ascii="Figtree" w:hAnsi="Figtree"/>
                <w:b w:val="0"/>
                <w:i w:val="0"/>
                <w:sz w:val="20"/>
              </w:rPr>
              <w:t>Stakeholder interviews</w:t>
            </w:r>
          </w:p>
        </w:tc>
        <w:tc>
          <w:tcPr>
            <w:tcW w:type="dxa" w:w="3249"/>
            <w:vAlign w:val="center"/>
          </w:tcPr>
          <w:p>
            <w:pPr>
              <w:spacing w:line="276" w:lineRule="auto" w:before="0" w:after="0"/>
            </w:pPr>
            <w:r/>
            <w:r>
              <w:rPr>
                <w:rFonts w:ascii="Figtree" w:hAnsi="Figtree"/>
                <w:b w:val="0"/>
                <w:i w:val="0"/>
                <w:sz w:val="20"/>
              </w:rPr>
              <w:t>20 person-days</w:t>
            </w:r>
          </w:p>
        </w:tc>
        <w:tc>
          <w:tcPr>
            <w:tcW w:type="dxa" w:w="3249"/>
            <w:vAlign w:val="center"/>
          </w:tcPr>
          <w:p>
            <w:pPr>
              <w:spacing w:line="276" w:lineRule="auto" w:before="0" w:after="0"/>
            </w:pPr>
            <w:r/>
            <w:r>
              <w:rPr>
                <w:rFonts w:ascii="Figtree" w:hAnsi="Figtree"/>
                <w:b w:val="0"/>
                <w:i w:val="0"/>
                <w:sz w:val="20"/>
              </w:rPr>
              <w:t>Weeks 1–2</w:t>
            </w:r>
          </w:p>
        </w:tc>
      </w:tr>
      <w:tr>
        <w:trPr>
          <w:trHeight w:val="425" w:hRule="atLeast"/>
        </w:trPr>
        <w:tc>
          <w:tcPr>
            <w:tcW w:type="dxa" w:w="3249"/>
            <w:vAlign w:val="center"/>
          </w:tcPr>
          <w:p>
            <w:pPr>
              <w:spacing w:line="276" w:lineRule="auto" w:before="0" w:after="0"/>
            </w:pPr>
            <w:r/>
            <w:r>
              <w:rPr>
                <w:rFonts w:ascii="Figtree" w:hAnsi="Figtree"/>
                <w:b w:val="0"/>
                <w:i w:val="0"/>
                <w:sz w:val="20"/>
              </w:rPr>
              <w:t>Regulatory and compliance alignment</w:t>
            </w:r>
          </w:p>
        </w:tc>
        <w:tc>
          <w:tcPr>
            <w:tcW w:type="dxa" w:w="3249"/>
            <w:vAlign w:val="center"/>
          </w:tcPr>
          <w:p>
            <w:pPr>
              <w:spacing w:line="276" w:lineRule="auto" w:before="0" w:after="0"/>
            </w:pPr>
            <w:r/>
            <w:r>
              <w:rPr>
                <w:rFonts w:ascii="Figtree" w:hAnsi="Figtree"/>
                <w:b w:val="0"/>
                <w:i w:val="0"/>
                <w:sz w:val="20"/>
              </w:rPr>
              <w:t>10 person-days</w:t>
            </w:r>
          </w:p>
        </w:tc>
        <w:tc>
          <w:tcPr>
            <w:tcW w:type="dxa" w:w="3249"/>
            <w:vAlign w:val="center"/>
          </w:tcPr>
          <w:p>
            <w:pPr>
              <w:spacing w:line="276" w:lineRule="auto" w:before="0" w:after="0"/>
            </w:pPr>
            <w:r/>
            <w:r>
              <w:rPr>
                <w:rFonts w:ascii="Figtree" w:hAnsi="Figtree"/>
                <w:b w:val="0"/>
                <w:i w:val="0"/>
                <w:sz w:val="20"/>
              </w:rPr>
              <w:t>Weeks 6–9</w:t>
            </w:r>
          </w:p>
        </w:tc>
      </w:tr>
      <w:tr>
        <w:trPr>
          <w:trHeight w:val="425" w:hRule="atLeast"/>
        </w:trPr>
        <w:tc>
          <w:tcPr>
            <w:tcW w:type="dxa" w:w="3249"/>
            <w:vAlign w:val="center"/>
          </w:tcPr>
          <w:p>
            <w:pPr>
              <w:spacing w:line="276" w:lineRule="auto" w:before="0" w:after="0"/>
            </w:pPr>
            <w:r/>
            <w:r>
              <w:rPr>
                <w:rFonts w:ascii="Figtree" w:hAnsi="Figtree"/>
                <w:b w:val="0"/>
                <w:i w:val="0"/>
                <w:sz w:val="20"/>
              </w:rPr>
              <w:t>Core banking API provisioning</w:t>
            </w:r>
          </w:p>
        </w:tc>
        <w:tc>
          <w:tcPr>
            <w:tcW w:type="dxa" w:w="3249"/>
            <w:vAlign w:val="center"/>
          </w:tcPr>
          <w:p>
            <w:pPr>
              <w:spacing w:line="276" w:lineRule="auto" w:before="0" w:after="0"/>
            </w:pPr>
            <w:r/>
            <w:r>
              <w:rPr>
                <w:rFonts w:ascii="Figtree" w:hAnsi="Figtree"/>
                <w:b w:val="0"/>
                <w:i w:val="0"/>
                <w:sz w:val="20"/>
              </w:rPr>
              <w:t>15 person-days</w:t>
            </w:r>
          </w:p>
        </w:tc>
        <w:tc>
          <w:tcPr>
            <w:tcW w:type="dxa" w:w="3249"/>
            <w:vAlign w:val="center"/>
          </w:tcPr>
          <w:p>
            <w:pPr>
              <w:spacing w:line="276" w:lineRule="auto" w:before="0" w:after="0"/>
            </w:pPr>
            <w:r/>
            <w:r>
              <w:rPr>
                <w:rFonts w:ascii="Figtree" w:hAnsi="Figtree"/>
                <w:b w:val="0"/>
                <w:i w:val="0"/>
                <w:sz w:val="20"/>
              </w:rPr>
              <w:t>Weeks 3–9</w:t>
            </w:r>
          </w:p>
        </w:tc>
      </w:tr>
      <w:tr>
        <w:trPr>
          <w:trHeight w:val="425" w:hRule="atLeast"/>
        </w:trPr>
        <w:tc>
          <w:tcPr>
            <w:tcW w:type="dxa" w:w="3249"/>
            <w:vAlign w:val="center"/>
          </w:tcPr>
          <w:p>
            <w:pPr>
              <w:spacing w:line="276" w:lineRule="auto" w:before="0" w:after="0"/>
            </w:pPr>
            <w:r/>
            <w:r>
              <w:rPr>
                <w:rFonts w:ascii="Figtree" w:hAnsi="Figtree"/>
                <w:b w:val="0"/>
                <w:i w:val="0"/>
                <w:sz w:val="20"/>
              </w:rPr>
              <w:t>UAT execution</w:t>
            </w:r>
          </w:p>
        </w:tc>
        <w:tc>
          <w:tcPr>
            <w:tcW w:type="dxa" w:w="3249"/>
            <w:vAlign w:val="center"/>
          </w:tcPr>
          <w:p>
            <w:pPr>
              <w:spacing w:line="276" w:lineRule="auto" w:before="0" w:after="0"/>
            </w:pPr>
            <w:r/>
            <w:r>
              <w:rPr>
                <w:rFonts w:ascii="Figtree" w:hAnsi="Figtree"/>
                <w:b w:val="0"/>
                <w:i w:val="0"/>
                <w:sz w:val="20"/>
              </w:rPr>
              <w:t>20 person-days</w:t>
            </w:r>
          </w:p>
        </w:tc>
        <w:tc>
          <w:tcPr>
            <w:tcW w:type="dxa" w:w="3249"/>
            <w:vAlign w:val="center"/>
          </w:tcPr>
          <w:p>
            <w:pPr>
              <w:spacing w:line="276" w:lineRule="auto" w:before="0" w:after="0"/>
            </w:pPr>
            <w:r/>
            <w:r>
              <w:rPr>
                <w:rFonts w:ascii="Figtree" w:hAnsi="Figtree"/>
                <w:b w:val="0"/>
                <w:i w:val="0"/>
                <w:sz w:val="20"/>
              </w:rPr>
              <w:t>Weeks 10–13</w:t>
            </w:r>
          </w:p>
        </w:tc>
      </w:tr>
      <w:tr>
        <w:trPr>
          <w:trHeight w:val="425" w:hRule="atLeast"/>
        </w:trPr>
        <w:tc>
          <w:tcPr>
            <w:tcW w:type="dxa" w:w="3249"/>
            <w:vAlign w:val="center"/>
          </w:tcPr>
          <w:p>
            <w:pPr>
              <w:spacing w:line="276" w:lineRule="auto" w:before="0" w:after="0"/>
            </w:pPr>
            <w:r/>
            <w:r>
              <w:rPr>
                <w:rFonts w:ascii="Figtree" w:hAnsi="Figtree"/>
                <w:b w:val="0"/>
                <w:i w:val="0"/>
                <w:sz w:val="20"/>
              </w:rPr>
              <w:t>Operations readiness</w:t>
            </w:r>
          </w:p>
        </w:tc>
        <w:tc>
          <w:tcPr>
            <w:tcW w:type="dxa" w:w="3249"/>
            <w:vAlign w:val="center"/>
          </w:tcPr>
          <w:p>
            <w:pPr>
              <w:spacing w:line="276" w:lineRule="auto" w:before="0" w:after="0"/>
            </w:pPr>
            <w:r/>
            <w:r>
              <w:rPr>
                <w:rFonts w:ascii="Figtree" w:hAnsi="Figtree"/>
                <w:b w:val="0"/>
                <w:i w:val="0"/>
                <w:sz w:val="20"/>
              </w:rPr>
              <w:t>10 person-days</w:t>
            </w:r>
          </w:p>
        </w:tc>
        <w:tc>
          <w:tcPr>
            <w:tcW w:type="dxa" w:w="3249"/>
            <w:vAlign w:val="center"/>
          </w:tcPr>
          <w:p>
            <w:pPr>
              <w:spacing w:line="276" w:lineRule="auto" w:before="0" w:after="0"/>
            </w:pPr>
            <w:r/>
            <w:r>
              <w:rPr>
                <w:rFonts w:ascii="Figtree" w:hAnsi="Figtree"/>
                <w:b w:val="0"/>
                <w:i w:val="0"/>
                <w:sz w:val="20"/>
              </w:rPr>
              <w:t>Weeks 14–19</w:t>
            </w:r>
          </w:p>
        </w:tc>
      </w:tr>
      <w:tr>
        <w:trPr>
          <w:trHeight w:val="425" w:hRule="atLeast"/>
        </w:trPr>
        <w:tc>
          <w:tcPr>
            <w:tcW w:type="dxa" w:w="3249"/>
            <w:vAlign w:val="center"/>
          </w:tcPr>
          <w:p>
            <w:pPr>
              <w:spacing w:line="276" w:lineRule="auto" w:before="0" w:after="0"/>
            </w:pPr>
            <w:r/>
            <w:r>
              <w:rPr>
                <w:rFonts w:ascii="Figtree" w:hAnsi="Figtree"/>
                <w:b/>
                <w:i w:val="0"/>
                <w:sz w:val="20"/>
              </w:rPr>
              <w:t>Total estimated client effort</w:t>
            </w:r>
          </w:p>
        </w:tc>
        <w:tc>
          <w:tcPr>
            <w:tcW w:type="dxa" w:w="3249"/>
            <w:vAlign w:val="center"/>
          </w:tcPr>
          <w:p>
            <w:pPr>
              <w:spacing w:line="276" w:lineRule="auto" w:before="0" w:after="0"/>
            </w:pPr>
            <w:r/>
            <w:r>
              <w:rPr>
                <w:rFonts w:ascii="Figtree" w:hAnsi="Figtree"/>
                <w:b/>
                <w:i w:val="0"/>
                <w:sz w:val="20"/>
              </w:rPr>
              <w:t>75 person-days</w:t>
            </w:r>
          </w:p>
        </w:tc>
        <w:tc>
          <w:tcPr>
            <w:tcW w:type="dxa" w:w="3249"/>
            <w:vAlign w:val="center"/>
          </w:tcPr>
          <w:p>
            <w:pPr>
              <w:spacing w:line="276" w:lineRule="auto" w:before="0" w:after="0"/>
            </w:pPr>
            <w:r/>
          </w:p>
        </w:tc>
      </w:tr>
    </w:tbl>
    <w:p>
      <w:pPr>
        <w:spacing w:before="0" w:after="0" w:line="120" w:lineRule="exact"/>
      </w:pPr>
    </w:p>
    <w:p>
      <w:r>
        <w:br w:type="page"/>
      </w:r>
    </w:p>
    <w:p>
      <w:pPr>
        <w:pStyle w:val="H2"/>
        <w:numPr>
          <w:ilvl w:val="1"/>
          <w:numId w:val="1"/>
        </w:numPr>
      </w:pPr>
      <w:r>
        <w:t>Support Pricing</w:t>
      </w:r>
    </w:p>
    <w:p>
      <w:pPr>
        <w:pStyle w:val="H3"/>
        <w:numPr>
          <w:ilvl w:val="2"/>
          <w:numId w:val="1"/>
        </w:numPr>
      </w:pPr>
      <w:r>
        <w:t>Recommended: Premium Support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31"/>
        <w:gridCol w:w="554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Aspect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Premium Support for NBE</w:t>
            </w:r>
          </w:p>
        </w:tc>
      </w:tr>
      <w:tr>
        <w:trPr>
          <w:trHeight w:val="425" w:hRule="atLeast"/>
        </w:trPr>
        <w:tc>
          <w:tcPr>
            <w:tcW w:type="dxa" w:w="4873"/>
            <w:vAlign w:val="center"/>
          </w:tcPr>
          <w:p>
            <w:pPr>
              <w:spacing w:line="276" w:lineRule="auto" w:before="0" w:after="0"/>
            </w:pPr>
            <w:r/>
            <w:r>
              <w:rPr>
                <w:rFonts w:ascii="Figtree" w:hAnsi="Figtree"/>
                <w:b w:val="0"/>
                <w:i w:val="0"/>
                <w:sz w:val="20"/>
              </w:rPr>
              <w:t>Coverage hours</w:t>
            </w:r>
          </w:p>
        </w:tc>
        <w:tc>
          <w:tcPr>
            <w:tcW w:type="dxa" w:w="4873"/>
            <w:vAlign w:val="center"/>
          </w:tcPr>
          <w:p>
            <w:pPr>
              <w:spacing w:line="276" w:lineRule="auto" w:before="0" w:after="0"/>
            </w:pPr>
            <w:r/>
            <w:r>
              <w:rPr>
                <w:rFonts w:ascii="Figtree" w:hAnsi="Figtree"/>
                <w:b w:val="0"/>
                <w:i w:val="0"/>
                <w:sz w:val="20"/>
              </w:rPr>
              <w:t>16×5 (Sunday–Thursday alignment available)</w:t>
            </w:r>
          </w:p>
        </w:tc>
      </w:tr>
      <w:tr>
        <w:trPr>
          <w:trHeight w:val="425" w:hRule="atLeast"/>
        </w:trPr>
        <w:tc>
          <w:tcPr>
            <w:tcW w:type="dxa" w:w="4873"/>
            <w:vAlign w:val="center"/>
          </w:tcPr>
          <w:p>
            <w:pPr>
              <w:spacing w:line="276" w:lineRule="auto" w:before="0" w:after="0"/>
            </w:pPr>
            <w:r/>
            <w:r>
              <w:rPr>
                <w:rFonts w:ascii="Figtree" w:hAnsi="Figtree"/>
                <w:b w:val="0"/>
                <w:i w:val="0"/>
                <w:sz w:val="20"/>
              </w:rPr>
              <w:t>P1 response time</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P2 response time</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P3 response time</w:t>
            </w:r>
          </w:p>
        </w:tc>
        <w:tc>
          <w:tcPr>
            <w:tcW w:type="dxa" w:w="4873"/>
            <w:vAlign w:val="center"/>
          </w:tcPr>
          <w:p>
            <w:pPr>
              <w:spacing w:line="276" w:lineRule="auto" w:before="0" w:after="0"/>
            </w:pPr>
            <w:r/>
            <w:r>
              <w:rPr>
                <w:rFonts w:ascii="Figtree" w:hAnsi="Figtree"/>
                <w:b w:val="0"/>
                <w:i w:val="0"/>
                <w:sz w:val="20"/>
              </w:rPr>
              <w:t>1 business day</w:t>
            </w:r>
          </w:p>
        </w:tc>
      </w:tr>
      <w:tr>
        <w:trPr>
          <w:trHeight w:val="425" w:hRule="atLeast"/>
        </w:trPr>
        <w:tc>
          <w:tcPr>
            <w:tcW w:type="dxa" w:w="4873"/>
            <w:vAlign w:val="center"/>
          </w:tcPr>
          <w:p>
            <w:pPr>
              <w:spacing w:line="276" w:lineRule="auto" w:before="0" w:after="0"/>
            </w:pPr>
            <w:r/>
            <w:r>
              <w:rPr>
                <w:rFonts w:ascii="Figtree" w:hAnsi="Figtree"/>
                <w:b w:val="0"/>
                <w:i w:val="0"/>
                <w:sz w:val="20"/>
              </w:rPr>
              <w:t>P4 response time</w:t>
            </w:r>
          </w:p>
        </w:tc>
        <w:tc>
          <w:tcPr>
            <w:tcW w:type="dxa" w:w="4873"/>
            <w:vAlign w:val="center"/>
          </w:tcPr>
          <w:p>
            <w:pPr>
              <w:spacing w:line="276" w:lineRule="auto" w:before="0" w:after="0"/>
            </w:pPr>
            <w:r/>
            <w:r>
              <w:rPr>
                <w:rFonts w:ascii="Figtree" w:hAnsi="Figtree"/>
                <w:b w:val="0"/>
                <w:i w:val="0"/>
                <w:sz w:val="20"/>
              </w:rPr>
              <w:t>3 business days</w:t>
            </w:r>
          </w:p>
        </w:tc>
      </w:tr>
      <w:tr>
        <w:trPr>
          <w:trHeight w:val="425" w:hRule="atLeast"/>
        </w:trPr>
        <w:tc>
          <w:tcPr>
            <w:tcW w:type="dxa" w:w="4873"/>
            <w:vAlign w:val="center"/>
          </w:tcPr>
          <w:p>
            <w:pPr>
              <w:spacing w:line="276" w:lineRule="auto" w:before="0" w:after="0"/>
            </w:pPr>
            <w:r/>
            <w:r>
              <w:rPr>
                <w:rFonts w:ascii="Figtree" w:hAnsi="Figtree"/>
                <w:b w:val="0"/>
                <w:i w:val="0"/>
                <w:sz w:val="20"/>
              </w:rPr>
              <w:t>Dedicated support engineer</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Quarterly business reviews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Platform health checks</w:t>
            </w:r>
          </w:p>
        </w:tc>
        <w:tc>
          <w:tcPr>
            <w:tcW w:type="dxa" w:w="4873"/>
            <w:vAlign w:val="center"/>
          </w:tcPr>
          <w:p>
            <w:pPr>
              <w:spacing w:line="276" w:lineRule="auto" w:before="0" w:after="0"/>
            </w:pPr>
            <w:r/>
            <w:r>
              <w:rPr>
                <w:rFonts w:ascii="Figtree" w:hAnsi="Figtree"/>
                <w:b w:val="0"/>
                <w:i w:val="0"/>
                <w:sz w:val="20"/>
              </w:rPr>
              <w:t>Monthly</w:t>
            </w:r>
          </w:p>
        </w:tc>
      </w:tr>
      <w:tr>
        <w:trPr>
          <w:trHeight w:val="425" w:hRule="atLeast"/>
        </w:trPr>
        <w:tc>
          <w:tcPr>
            <w:tcW w:type="dxa" w:w="4873"/>
            <w:vAlign w:val="center"/>
          </w:tcPr>
          <w:p>
            <w:pPr>
              <w:spacing w:line="276" w:lineRule="auto" w:before="0" w:after="0"/>
            </w:pPr>
            <w:r/>
            <w:r>
              <w:rPr>
                <w:rFonts w:ascii="Figtree" w:hAnsi="Figtree"/>
                <w:b w:val="0"/>
                <w:i w:val="0"/>
                <w:sz w:val="20"/>
              </w:rPr>
              <w:t>Emergency patches</w:t>
            </w:r>
          </w:p>
        </w:tc>
        <w:tc>
          <w:tcPr>
            <w:tcW w:type="dxa" w:w="4873"/>
            <w:vAlign w:val="center"/>
          </w:tcPr>
          <w:p>
            <w:pPr>
              <w:spacing w:line="276" w:lineRule="auto" w:before="0" w:after="0"/>
            </w:pPr>
            <w:r/>
            <w:r>
              <w:rPr>
                <w:rFonts w:ascii="Figtree" w:hAnsi="Figtree"/>
                <w:b w:val="0"/>
                <w:i w:val="0"/>
                <w:sz w:val="20"/>
              </w:rPr>
              <w:t>Included</w:t>
            </w:r>
          </w:p>
        </w:tc>
      </w:tr>
      <w:tr>
        <w:trPr>
          <w:trHeight w:val="425" w:hRule="atLeast"/>
        </w:trPr>
        <w:tc>
          <w:tcPr>
            <w:tcW w:type="dxa" w:w="4873"/>
            <w:vAlign w:val="center"/>
          </w:tcPr>
          <w:p>
            <w:pPr>
              <w:spacing w:line="276" w:lineRule="auto" w:before="0" w:after="0"/>
            </w:pPr>
            <w:r/>
            <w:r>
              <w:rPr>
                <w:rFonts w:ascii="Figtree" w:hAnsi="Figtree"/>
                <w:b/>
                <w:i w:val="0"/>
                <w:sz w:val="20"/>
              </w:rPr>
              <w:t>Annual support fee</w:t>
            </w:r>
          </w:p>
        </w:tc>
        <w:tc>
          <w:tcPr>
            <w:tcW w:type="dxa" w:w="4873"/>
            <w:vAlign w:val="center"/>
          </w:tcPr>
          <w:p>
            <w:pPr>
              <w:spacing w:line="276" w:lineRule="auto" w:before="0" w:after="0"/>
            </w:pPr>
            <w:r/>
            <w:r>
              <w:rPr>
                <w:rFonts w:ascii="Figtree" w:hAnsi="Figtree"/>
                <w:b/>
                <w:i w:val="0"/>
                <w:sz w:val="20"/>
              </w:rPr>
              <w:t>[CLIENT-SPECIFIC]</w:t>
            </w:r>
          </w:p>
        </w:tc>
      </w:tr>
    </w:tbl>
    <w:p>
      <w:pPr>
        <w:spacing w:before="0" w:after="0" w:line="120" w:lineRule="exact"/>
      </w:pPr>
    </w:p>
    <w:p>
      <w:pPr>
        <w:pStyle w:val="H3"/>
        <w:numPr>
          <w:ilvl w:val="2"/>
          <w:numId w:val="1"/>
        </w:numPr>
      </w:pPr>
      <w:r>
        <w:t>Support Escalation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71"/>
        <w:gridCol w:w="4325"/>
        <w:gridCol w:w="1582"/>
        <w:gridCol w:w="179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Resolution Target</w:t>
            </w:r>
          </w:p>
        </w:tc>
      </w:tr>
      <w:tr>
        <w:trPr>
          <w:trHeight w:val="425" w:hRule="atLeast"/>
        </w:trPr>
        <w:tc>
          <w:tcPr>
            <w:tcW w:type="dxa" w:w="2436"/>
            <w:vAlign w:val="center"/>
          </w:tcPr>
          <w:p>
            <w:pPr>
              <w:spacing w:line="276" w:lineRule="auto" w:before="0" w:after="0"/>
            </w:pPr>
            <w:r/>
            <w:r>
              <w:rPr>
                <w:rFonts w:ascii="Figtree" w:hAnsi="Figtree"/>
                <w:b w:val="0"/>
                <w:i w:val="0"/>
                <w:sz w:val="20"/>
              </w:rPr>
              <w:t>P1 — Critical</w:t>
            </w:r>
          </w:p>
        </w:tc>
        <w:tc>
          <w:tcPr>
            <w:tcW w:type="dxa" w:w="2436"/>
            <w:vAlign w:val="center"/>
          </w:tcPr>
          <w:p>
            <w:pPr>
              <w:spacing w:line="276" w:lineRule="auto" w:before="0" w:after="0"/>
            </w:pPr>
            <w:r/>
            <w:r>
              <w:rPr>
                <w:rFonts w:ascii="Figtree" w:hAnsi="Figtree"/>
                <w:b w:val="0"/>
                <w:i w:val="0"/>
                <w:sz w:val="20"/>
              </w:rPr>
              <w:t>Production down, no workaround</w:t>
            </w:r>
          </w:p>
        </w:tc>
        <w:tc>
          <w:tcPr>
            <w:tcW w:type="dxa" w:w="2436"/>
            <w:vAlign w:val="center"/>
          </w:tcPr>
          <w:p>
            <w:pPr>
              <w:spacing w:line="276" w:lineRule="auto" w:before="0" w:after="0"/>
            </w:pPr>
            <w:r/>
            <w:r>
              <w:rPr>
                <w:rFonts w:ascii="Figtree" w:hAnsi="Figtree"/>
                <w:b w:val="0"/>
                <w:i w:val="0"/>
                <w:sz w:val="20"/>
              </w:rPr>
              <w:t>2 hours</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val="0"/>
                <w:i w:val="0"/>
                <w:sz w:val="20"/>
              </w:rPr>
              <w:t>P2 — High</w:t>
            </w:r>
          </w:p>
        </w:tc>
        <w:tc>
          <w:tcPr>
            <w:tcW w:type="dxa" w:w="2436"/>
            <w:vAlign w:val="center"/>
          </w:tcPr>
          <w:p>
            <w:pPr>
              <w:spacing w:line="276" w:lineRule="auto" w:before="0" w:after="0"/>
            </w:pPr>
            <w:r/>
            <w:r>
              <w:rPr>
                <w:rFonts w:ascii="Figtree" w:hAnsi="Figtree"/>
                <w:b w:val="0"/>
                <w:i w:val="0"/>
                <w:sz w:val="20"/>
              </w:rPr>
              <w:t>Major feature impaired, workaround exists</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8 hours</w:t>
            </w:r>
          </w:p>
        </w:tc>
      </w:tr>
      <w:tr>
        <w:trPr>
          <w:trHeight w:val="425" w:hRule="atLeast"/>
        </w:trPr>
        <w:tc>
          <w:tcPr>
            <w:tcW w:type="dxa" w:w="2436"/>
            <w:vAlign w:val="center"/>
          </w:tcPr>
          <w:p>
            <w:pPr>
              <w:spacing w:line="276" w:lineRule="auto" w:before="0" w:after="0"/>
            </w:pPr>
            <w:r/>
            <w:r>
              <w:rPr>
                <w:rFonts w:ascii="Figtree" w:hAnsi="Figtree"/>
                <w:b w:val="0"/>
                <w:i w:val="0"/>
                <w:sz w:val="20"/>
              </w:rPr>
              <w:t>P3 — Medium</w:t>
            </w:r>
          </w:p>
        </w:tc>
        <w:tc>
          <w:tcPr>
            <w:tcW w:type="dxa" w:w="2436"/>
            <w:vAlign w:val="center"/>
          </w:tcPr>
          <w:p>
            <w:pPr>
              <w:spacing w:line="276" w:lineRule="auto" w:before="0" w:after="0"/>
            </w:pPr>
            <w:r/>
            <w:r>
              <w:rPr>
                <w:rFonts w:ascii="Figtree" w:hAnsi="Figtree"/>
                <w:b w:val="0"/>
                <w:i w:val="0"/>
                <w:sz w:val="20"/>
              </w:rPr>
              <w:t>Non-critical issue, limited impact</w:t>
            </w:r>
          </w:p>
        </w:tc>
        <w:tc>
          <w:tcPr>
            <w:tcW w:type="dxa" w:w="2436"/>
            <w:vAlign w:val="center"/>
          </w:tcPr>
          <w:p>
            <w:pPr>
              <w:spacing w:line="276" w:lineRule="auto" w:before="0" w:after="0"/>
            </w:pPr>
            <w:r/>
            <w:r>
              <w:rPr>
                <w:rFonts w:ascii="Figtree" w:hAnsi="Figtree"/>
                <w:b w:val="0"/>
                <w:i w:val="0"/>
                <w:sz w:val="20"/>
              </w:rPr>
              <w:t>1 business day</w:t>
            </w:r>
          </w:p>
        </w:tc>
        <w:tc>
          <w:tcPr>
            <w:tcW w:type="dxa" w:w="2436"/>
            <w:vAlign w:val="center"/>
          </w:tcPr>
          <w:p>
            <w:pPr>
              <w:spacing w:line="276" w:lineRule="auto" w:before="0" w:after="0"/>
            </w:pPr>
            <w:r/>
            <w:r>
              <w:rPr>
                <w:rFonts w:ascii="Figtree" w:hAnsi="Figtree"/>
                <w:b w:val="0"/>
                <w:i w:val="0"/>
                <w:sz w:val="20"/>
              </w:rPr>
              <w:t>5 business days</w:t>
            </w:r>
          </w:p>
        </w:tc>
      </w:tr>
      <w:tr>
        <w:trPr>
          <w:trHeight w:val="425" w:hRule="atLeast"/>
        </w:trPr>
        <w:tc>
          <w:tcPr>
            <w:tcW w:type="dxa" w:w="2436"/>
            <w:vAlign w:val="center"/>
          </w:tcPr>
          <w:p>
            <w:pPr>
              <w:spacing w:line="276" w:lineRule="auto" w:before="0" w:after="0"/>
            </w:pPr>
            <w:r/>
            <w:r>
              <w:rPr>
                <w:rFonts w:ascii="Figtree" w:hAnsi="Figtree"/>
                <w:b w:val="0"/>
                <w:i w:val="0"/>
                <w:sz w:val="20"/>
              </w:rPr>
              <w:t>P4 — Low</w:t>
            </w:r>
          </w:p>
        </w:tc>
        <w:tc>
          <w:tcPr>
            <w:tcW w:type="dxa" w:w="2436"/>
            <w:vAlign w:val="center"/>
          </w:tcPr>
          <w:p>
            <w:pPr>
              <w:spacing w:line="276" w:lineRule="auto" w:before="0" w:after="0"/>
            </w:pPr>
            <w:r/>
            <w:r>
              <w:rPr>
                <w:rFonts w:ascii="Figtree" w:hAnsi="Figtree"/>
                <w:b w:val="0"/>
                <w:i w:val="0"/>
                <w:sz w:val="20"/>
              </w:rPr>
              <w:t>Enhancement request, cosmetic issue</w:t>
            </w:r>
          </w:p>
        </w:tc>
        <w:tc>
          <w:tcPr>
            <w:tcW w:type="dxa" w:w="2436"/>
            <w:vAlign w:val="center"/>
          </w:tcPr>
          <w:p>
            <w:pPr>
              <w:spacing w:line="276" w:lineRule="auto" w:before="0" w:after="0"/>
            </w:pPr>
            <w:r/>
            <w:r>
              <w:rPr>
                <w:rFonts w:ascii="Figtree" w:hAnsi="Figtree"/>
                <w:b w:val="0"/>
                <w:i w:val="0"/>
                <w:sz w:val="20"/>
              </w:rPr>
              <w:t>3 business days</w:t>
            </w:r>
          </w:p>
        </w:tc>
        <w:tc>
          <w:tcPr>
            <w:tcW w:type="dxa" w:w="2436"/>
            <w:vAlign w:val="center"/>
          </w:tcPr>
          <w:p>
            <w:pPr>
              <w:spacing w:line="276" w:lineRule="auto" w:before="0" w:after="0"/>
            </w:pPr>
            <w:r/>
            <w:r>
              <w:rPr>
                <w:rFonts w:ascii="Figtree" w:hAnsi="Figtree"/>
                <w:b w:val="0"/>
                <w:i w:val="0"/>
                <w:sz w:val="20"/>
              </w:rPr>
              <w:t>Next release</w:t>
            </w:r>
          </w:p>
        </w:tc>
      </w:tr>
    </w:tbl>
    <w:p>
      <w:pPr>
        <w:spacing w:before="0" w:after="0" w:line="120" w:lineRule="exact"/>
      </w:pPr>
    </w:p>
    <w:p>
      <w:r>
        <w:br w:type="page"/>
      </w:r>
    </w:p>
    <w:p>
      <w:pPr>
        <w:pStyle w:val="H2"/>
        <w:numPr>
          <w:ilvl w:val="1"/>
          <w:numId w:val="1"/>
        </w:numPr>
      </w:pPr>
      <w:r>
        <w:t>Total Cost of Ownership</w:t>
      </w:r>
    </w:p>
    <w:p>
      <w:pPr>
        <w:pStyle w:val="H3"/>
        <w:numPr>
          <w:ilvl w:val="2"/>
          <w:numId w:val="1"/>
        </w:numPr>
      </w:pPr>
      <w:r>
        <w:t>Three-Year TCO Components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87"/>
        <w:gridCol w:w="1671"/>
        <w:gridCol w:w="1671"/>
        <w:gridCol w:w="1671"/>
        <w:gridCol w:w="1671"/>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Component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Three-Year Total</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 (Enterprise)</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services</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Premium support</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(cloud hosting)</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[CLIENT-SPECIFIC]</w:t>
            </w:r>
          </w:p>
        </w:tc>
        <w:tc>
          <w:tcPr>
            <w:tcW w:type="dxa" w:w="1949"/>
            <w:vAlign w:val="center"/>
          </w:tcPr>
          <w:p>
            <w:pPr>
              <w:spacing w:line="276" w:lineRule="auto" w:before="0" w:after="0"/>
            </w:pPr>
            <w:r/>
            <w:r>
              <w:rPr>
                <w:rFonts w:ascii="Figtree" w:hAnsi="Figtree"/>
                <w:b/>
                <w:i w:val="0"/>
                <w:sz w:val="20"/>
              </w:rPr>
              <w:t>[CLIENT-SPECIFIC]</w:t>
            </w:r>
          </w:p>
        </w:tc>
        <w:tc>
          <w:tcPr>
            <w:tcW w:type="dxa" w:w="1949"/>
            <w:vAlign w:val="center"/>
          </w:tcPr>
          <w:p>
            <w:pPr>
              <w:spacing w:line="276" w:lineRule="auto" w:before="0" w:after="0"/>
            </w:pPr>
            <w:r/>
            <w:r>
              <w:rPr>
                <w:rFonts w:ascii="Figtree" w:hAnsi="Figtree"/>
                <w:b/>
                <w:i w:val="0"/>
                <w:sz w:val="20"/>
              </w:rPr>
              <w:t>[CLIENT-SPECIFIC]</w:t>
            </w:r>
          </w:p>
        </w:tc>
        <w:tc>
          <w:tcPr>
            <w:tcW w:type="dxa" w:w="1949"/>
            <w:vAlign w:val="center"/>
          </w:tcPr>
          <w:p>
            <w:pPr>
              <w:spacing w:line="276" w:lineRule="auto" w:before="0" w:after="0"/>
            </w:pPr>
            <w:r/>
            <w:r>
              <w:rPr>
                <w:rFonts w:ascii="Figtree" w:hAnsi="Figtree"/>
                <w:b/>
                <w:i w:val="0"/>
                <w:sz w:val="20"/>
              </w:rPr>
              <w:t>[CLIENT-SPECIFIC]</w:t>
            </w:r>
          </w:p>
        </w:tc>
      </w:tr>
    </w:tbl>
    <w:p>
      <w:pPr>
        <w:spacing w:before="0" w:after="0" w:line="120" w:lineRule="exact"/>
      </w:pPr>
    </w:p>
    <w:p>
      <w:pPr>
        <w:pStyle w:val="H3"/>
        <w:numPr>
          <w:ilvl w:val="2"/>
          <w:numId w:val="1"/>
        </w:numPr>
      </w:pPr>
      <w:r>
        <w:t>What Is Not Included (Exclusions)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81"/>
        <w:gridCol w:w="1882"/>
        <w:gridCol w:w="410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Exclusion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Responsibility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Cloud infrastructure costs</w:t>
            </w:r>
          </w:p>
        </w:tc>
        <w:tc>
          <w:tcPr>
            <w:tcW w:type="dxa" w:w="3249"/>
            <w:vAlign w:val="center"/>
          </w:tcPr>
          <w:p>
            <w:pPr>
              <w:spacing w:line="276" w:lineRule="auto" w:before="0" w:after="0"/>
            </w:pPr>
            <w:r/>
            <w:r>
              <w:rPr>
                <w:rFonts w:ascii="Figtree" w:hAnsi="Figtree"/>
                <w:b w:val="0"/>
                <w:i w:val="0"/>
                <w:sz w:val="20"/>
              </w:rPr>
              <w:t>National Bank of Egypt</w:t>
            </w:r>
          </w:p>
        </w:tc>
        <w:tc>
          <w:tcPr>
            <w:tcW w:type="dxa" w:w="3249"/>
            <w:vAlign w:val="center"/>
          </w:tcPr>
          <w:p>
            <w:pPr>
              <w:spacing w:line="276" w:lineRule="auto" w:before="0" w:after="0"/>
            </w:pPr>
            <w:r/>
            <w:r>
              <w:rPr>
                <w:rFonts w:ascii="Figtree" w:hAnsi="Figtree"/>
                <w:b w:val="0"/>
                <w:i w:val="0"/>
                <w:sz w:val="20"/>
              </w:rPr>
              <w:t>Egypt-resident infrastructure provisioning</w:t>
            </w:r>
          </w:p>
        </w:tc>
      </w:tr>
      <w:tr>
        <w:trPr>
          <w:trHeight w:val="425" w:hRule="atLeast"/>
        </w:trPr>
        <w:tc>
          <w:tcPr>
            <w:tcW w:type="dxa" w:w="3249"/>
            <w:vAlign w:val="center"/>
          </w:tcPr>
          <w:p>
            <w:pPr>
              <w:spacing w:line="276" w:lineRule="auto" w:before="0" w:after="0"/>
            </w:pPr>
            <w:r/>
            <w:r>
              <w:rPr>
                <w:rFonts w:ascii="Figtree" w:hAnsi="Figtree"/>
                <w:b w:val="0"/>
                <w:i w:val="0"/>
                <w:sz w:val="20"/>
              </w:rPr>
              <w:t>Core banking integration development</w:t>
            </w:r>
          </w:p>
        </w:tc>
        <w:tc>
          <w:tcPr>
            <w:tcW w:type="dxa" w:w="3249"/>
            <w:vAlign w:val="center"/>
          </w:tcPr>
          <w:p>
            <w:pPr>
              <w:spacing w:line="276" w:lineRule="auto" w:before="0" w:after="0"/>
            </w:pPr>
            <w:r/>
            <w:r>
              <w:rPr>
                <w:rFonts w:ascii="Figtree" w:hAnsi="Figtree"/>
                <w:b w:val="0"/>
                <w:i w:val="0"/>
                <w:sz w:val="20"/>
              </w:rPr>
              <w:t>National Bank of Egypt</w:t>
            </w:r>
          </w:p>
        </w:tc>
        <w:tc>
          <w:tcPr>
            <w:tcW w:type="dxa" w:w="3249"/>
            <w:vAlign w:val="center"/>
          </w:tcPr>
          <w:p>
            <w:pPr>
              <w:spacing w:line="276" w:lineRule="auto" w:before="0" w:after="0"/>
            </w:pPr>
            <w:r/>
            <w:r>
              <w:rPr>
                <w:rFonts w:ascii="Figtree" w:hAnsi="Figtree"/>
                <w:b w:val="0"/>
                <w:i w:val="0"/>
                <w:sz w:val="20"/>
              </w:rPr>
              <w:t>API readiness on client side</w:t>
            </w:r>
          </w:p>
        </w:tc>
      </w:tr>
      <w:tr>
        <w:trPr>
          <w:trHeight w:val="425" w:hRule="atLeast"/>
        </w:trPr>
        <w:tc>
          <w:tcPr>
            <w:tcW w:type="dxa" w:w="3249"/>
            <w:vAlign w:val="center"/>
          </w:tcPr>
          <w:p>
            <w:pPr>
              <w:spacing w:line="276" w:lineRule="auto" w:before="0" w:after="0"/>
            </w:pPr>
            <w:r/>
            <w:r>
              <w:rPr>
                <w:rFonts w:ascii="Figtree" w:hAnsi="Figtree"/>
                <w:b w:val="0"/>
                <w:i w:val="0"/>
                <w:sz w:val="20"/>
              </w:rPr>
              <w:t>National ID integration license</w:t>
            </w:r>
          </w:p>
        </w:tc>
        <w:tc>
          <w:tcPr>
            <w:tcW w:type="dxa" w:w="3249"/>
            <w:vAlign w:val="center"/>
          </w:tcPr>
          <w:p>
            <w:pPr>
              <w:spacing w:line="276" w:lineRule="auto" w:before="0" w:after="0"/>
            </w:pPr>
            <w:r/>
            <w:r>
              <w:rPr>
                <w:rFonts w:ascii="Figtree" w:hAnsi="Figtree"/>
                <w:b w:val="0"/>
                <w:i w:val="0"/>
                <w:sz w:val="20"/>
              </w:rPr>
              <w:t>National Bank of Egypt</w:t>
            </w:r>
          </w:p>
        </w:tc>
        <w:tc>
          <w:tcPr>
            <w:tcW w:type="dxa" w:w="3249"/>
            <w:vAlign w:val="center"/>
          </w:tcPr>
          <w:p>
            <w:pPr>
              <w:spacing w:line="276" w:lineRule="auto" w:before="0" w:after="0"/>
            </w:pPr>
            <w:r/>
            <w:r>
              <w:rPr>
                <w:rFonts w:ascii="Figtree" w:hAnsi="Figtree"/>
                <w:b w:val="0"/>
                <w:i w:val="0"/>
                <w:sz w:val="20"/>
              </w:rPr>
              <w:t>Third-party service agreement</w:t>
            </w:r>
          </w:p>
        </w:tc>
      </w:tr>
      <w:tr>
        <w:trPr>
          <w:trHeight w:val="425" w:hRule="atLeast"/>
        </w:trPr>
        <w:tc>
          <w:tcPr>
            <w:tcW w:type="dxa" w:w="3249"/>
            <w:vAlign w:val="center"/>
          </w:tcPr>
          <w:p>
            <w:pPr>
              <w:spacing w:line="276" w:lineRule="auto" w:before="0" w:after="0"/>
            </w:pPr>
            <w:r/>
            <w:r>
              <w:rPr>
                <w:rFonts w:ascii="Figtree" w:hAnsi="Figtree"/>
                <w:b w:val="0"/>
                <w:i w:val="0"/>
                <w:sz w:val="20"/>
              </w:rPr>
              <w:t>Custody provider fees</w:t>
            </w:r>
          </w:p>
        </w:tc>
        <w:tc>
          <w:tcPr>
            <w:tcW w:type="dxa" w:w="3249"/>
            <w:vAlign w:val="center"/>
          </w:tcPr>
          <w:p>
            <w:pPr>
              <w:spacing w:line="276" w:lineRule="auto" w:before="0" w:after="0"/>
            </w:pPr>
            <w:r/>
            <w:r>
              <w:rPr>
                <w:rFonts w:ascii="Figtree" w:hAnsi="Figtree"/>
                <w:b w:val="0"/>
                <w:i w:val="0"/>
                <w:sz w:val="20"/>
              </w:rPr>
              <w:t>Direct with provider</w:t>
            </w:r>
          </w:p>
        </w:tc>
        <w:tc>
          <w:tcPr>
            <w:tcW w:type="dxa" w:w="3249"/>
            <w:vAlign w:val="center"/>
          </w:tcPr>
          <w:p>
            <w:pPr>
              <w:spacing w:line="276" w:lineRule="auto" w:before="0" w:after="0"/>
            </w:pPr>
            <w:r/>
            <w:r>
              <w:rPr>
                <w:rFonts w:ascii="Figtree" w:hAnsi="Figtree"/>
                <w:b w:val="0"/>
                <w:i w:val="0"/>
                <w:sz w:val="20"/>
              </w:rPr>
              <w:t>DFNS or Fireblocks subscription</w:t>
            </w:r>
          </w:p>
        </w:tc>
      </w:tr>
      <w:tr>
        <w:trPr>
          <w:trHeight w:val="425" w:hRule="atLeast"/>
        </w:trPr>
        <w:tc>
          <w:tcPr>
            <w:tcW w:type="dxa" w:w="3249"/>
            <w:vAlign w:val="center"/>
          </w:tcPr>
          <w:p>
            <w:pPr>
              <w:spacing w:line="276" w:lineRule="auto" w:before="0" w:after="0"/>
            </w:pPr>
            <w:r/>
            <w:r>
              <w:rPr>
                <w:rFonts w:ascii="Figtree" w:hAnsi="Figtree"/>
                <w:b w:val="0"/>
                <w:i w:val="0"/>
                <w:sz w:val="20"/>
              </w:rPr>
              <w:t>Regulatory filing fees</w:t>
            </w:r>
          </w:p>
        </w:tc>
        <w:tc>
          <w:tcPr>
            <w:tcW w:type="dxa" w:w="3249"/>
            <w:vAlign w:val="center"/>
          </w:tcPr>
          <w:p>
            <w:pPr>
              <w:spacing w:line="276" w:lineRule="auto" w:before="0" w:after="0"/>
            </w:pPr>
            <w:r/>
            <w:r>
              <w:rPr>
                <w:rFonts w:ascii="Figtree" w:hAnsi="Figtree"/>
                <w:b w:val="0"/>
                <w:i w:val="0"/>
                <w:sz w:val="20"/>
              </w:rPr>
              <w:t>National Bank of Egypt</w:t>
            </w:r>
          </w:p>
        </w:tc>
        <w:tc>
          <w:tcPr>
            <w:tcW w:type="dxa" w:w="3249"/>
            <w:vAlign w:val="center"/>
          </w:tcPr>
          <w:p>
            <w:pPr>
              <w:spacing w:line="276" w:lineRule="auto" w:before="0" w:after="0"/>
            </w:pPr>
            <w:r/>
            <w:r>
              <w:rPr>
                <w:rFonts w:ascii="Figtree" w:hAnsi="Figtree"/>
                <w:b w:val="0"/>
                <w:i w:val="0"/>
                <w:sz w:val="20"/>
              </w:rPr>
              <w:t>CBE/FRA fees</w:t>
            </w:r>
          </w:p>
        </w:tc>
      </w:tr>
      <w:tr>
        <w:trPr>
          <w:trHeight w:val="425" w:hRule="atLeast"/>
        </w:trPr>
        <w:tc>
          <w:tcPr>
            <w:tcW w:type="dxa" w:w="3249"/>
            <w:vAlign w:val="center"/>
          </w:tcPr>
          <w:p>
            <w:pPr>
              <w:spacing w:line="276" w:lineRule="auto" w:before="0" w:after="0"/>
            </w:pPr>
            <w:r/>
            <w:r>
              <w:rPr>
                <w:rFonts w:ascii="Figtree" w:hAnsi="Figtree"/>
                <w:b w:val="0"/>
                <w:i w:val="0"/>
                <w:sz w:val="20"/>
              </w:rPr>
              <w:t>Custom reporting dashboards</w:t>
            </w:r>
          </w:p>
        </w:tc>
        <w:tc>
          <w:tcPr>
            <w:tcW w:type="dxa" w:w="3249"/>
            <w:vAlign w:val="center"/>
          </w:tcPr>
          <w:p>
            <w:pPr>
              <w:spacing w:line="276" w:lineRule="auto" w:before="0" w:after="0"/>
            </w:pPr>
            <w:r/>
            <w:r>
              <w:rPr>
                <w:rFonts w:ascii="Figtree" w:hAnsi="Figtree"/>
                <w:b w:val="0"/>
                <w:i w:val="0"/>
                <w:sz w:val="20"/>
              </w:rPr>
              <w:t>Additional scope</w:t>
            </w:r>
          </w:p>
        </w:tc>
        <w:tc>
          <w:tcPr>
            <w:tcW w:type="dxa" w:w="3249"/>
            <w:vAlign w:val="center"/>
          </w:tcPr>
          <w:p>
            <w:pPr>
              <w:spacing w:line="276" w:lineRule="auto" w:before="0" w:after="0"/>
            </w:pPr>
            <w:r/>
            <w:r>
              <w:rPr>
                <w:rFonts w:ascii="Figtree" w:hAnsi="Figtree"/>
                <w:b w:val="0"/>
                <w:i w:val="0"/>
                <w:sz w:val="20"/>
              </w:rPr>
              <w:t>Estimated 2 weeks, priced separately if required</w:t>
            </w:r>
          </w:p>
        </w:tc>
      </w:tr>
    </w:tbl>
    <w:p>
      <w:pPr>
        <w:spacing w:before="0" w:after="0" w:line="120" w:lineRule="exact"/>
      </w:pPr>
    </w:p>
    <w:p>
      <w:pPr>
        <w:pStyle w:val="H3"/>
        <w:numPr>
          <w:ilvl w:val="2"/>
          <w:numId w:val="1"/>
        </w:numPr>
      </w:pPr>
      <w:r>
        <w:t>Scaling Economics</w:t>
      </w:r>
    </w:p>
    <w:p>
      <w:r>
        <w:rPr>
          <w:rFonts w:ascii="Figtree" w:hAnsi="Figtree"/>
          <w:b w:val="0"/>
          <w:i w:val="0"/>
          <w:sz w:val="22"/>
        </w:rPr>
        <w:t>DALP's platform licensing means NBE's costs do not scale with:</w:t>
      </w:r>
    </w:p>
    <w:p>
      <w:pPr>
        <w:pStyle w:val="ListParagraph"/>
        <w:numPr>
          <w:ilvl w:val="0"/>
          <w:numId w:val="4"/>
        </w:numPr>
      </w:pPr>
      <w:r>
        <w:rPr>
          <w:rFonts w:ascii="Figtree" w:hAnsi="Figtree"/>
          <w:b w:val="0"/>
          <w:i w:val="0"/>
          <w:sz w:val="22"/>
        </w:rPr>
        <w:t>Number of digital asset products launched</w:t>
      </w:r>
    </w:p>
    <w:p>
      <w:pPr>
        <w:pStyle w:val="ListParagraph"/>
        <w:numPr>
          <w:ilvl w:val="0"/>
          <w:numId w:val="4"/>
        </w:numPr>
      </w:pPr>
      <w:r>
        <w:rPr>
          <w:rFonts w:ascii="Figtree" w:hAnsi="Figtree"/>
          <w:b w:val="0"/>
          <w:i w:val="0"/>
          <w:sz w:val="22"/>
        </w:rPr>
        <w:t>Number of investors onboarded</w:t>
      </w:r>
    </w:p>
    <w:p>
      <w:pPr>
        <w:pStyle w:val="ListParagraph"/>
        <w:numPr>
          <w:ilvl w:val="0"/>
          <w:numId w:val="4"/>
        </w:numPr>
      </w:pPr>
      <w:r>
        <w:rPr>
          <w:rFonts w:ascii="Figtree" w:hAnsi="Figtree"/>
          <w:b w:val="0"/>
          <w:i w:val="0"/>
          <w:sz w:val="22"/>
        </w:rPr>
        <w:t>Volume of transactions processed</w:t>
      </w:r>
    </w:p>
    <w:p>
      <w:pPr>
        <w:pStyle w:val="ListParagraph"/>
        <w:numPr>
          <w:ilvl w:val="0"/>
          <w:numId w:val="4"/>
        </w:numPr>
      </w:pPr>
      <w:r>
        <w:rPr>
          <w:rFonts w:ascii="Figtree" w:hAnsi="Figtree"/>
          <w:b w:val="0"/>
          <w:i w:val="0"/>
          <w:sz w:val="22"/>
        </w:rPr>
        <w:t>Number of compliance checks executed</w:t>
      </w:r>
    </w:p>
    <w:p>
      <w:pPr>
        <w:pStyle w:val="ListParagraph"/>
        <w:numPr>
          <w:ilvl w:val="0"/>
          <w:numId w:val="4"/>
        </w:numPr>
      </w:pPr>
      <w:r>
        <w:rPr>
          <w:rFonts w:ascii="Figtree" w:hAnsi="Figtree"/>
          <w:b w:val="0"/>
          <w:i w:val="0"/>
          <w:sz w:val="22"/>
        </w:rPr>
        <w:t>Number of coupon or dividend distributions processed</w:t>
      </w:r>
    </w:p>
    <w:p>
      <w:r>
        <w:rPr>
          <w:rFonts w:ascii="Figtree" w:hAnsi="Figtree"/>
          <w:b w:val="0"/>
          <w:i w:val="0"/>
          <w:sz w:val="22"/>
        </w:rPr>
        <w:t>This is critical for core infrastructure where multiple asset classes will be deployed over time. A per-transaction pricing model would penalize NBE for doing exactly what the programme intends — growing the digital asset product portfolio and investor base.</w:t>
      </w:r>
    </w:p>
    <w:p>
      <w:r>
        <w:br w:type="page"/>
      </w:r>
    </w:p>
    <w:p>
      <w:pPr>
        <w:pStyle w:val="H2"/>
        <w:numPr>
          <w:ilvl w:val="1"/>
          <w:numId w:val="1"/>
        </w:numPr>
      </w:pPr>
      <w:r>
        <w:t>Contractual Framework</w:t>
      </w:r>
    </w:p>
    <w:p>
      <w:pPr>
        <w:pStyle w:val="H3"/>
        <w:numPr>
          <w:ilvl w:val="2"/>
          <w:numId w:val="1"/>
        </w:numPr>
      </w:pPr>
      <w:r>
        <w:t>Contract Components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71"/>
        <w:gridCol w:w="570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Scope</w:t>
            </w:r>
          </w:p>
        </w:tc>
      </w:tr>
      <w:tr>
        <w:trPr>
          <w:trHeight w:val="425" w:hRule="atLeast"/>
        </w:trPr>
        <w:tc>
          <w:tcPr>
            <w:tcW w:type="dxa" w:w="4873"/>
            <w:vAlign w:val="center"/>
          </w:tcPr>
          <w:p>
            <w:pPr>
              <w:spacing w:line="276" w:lineRule="auto" w:before="0" w:after="0"/>
            </w:pPr>
            <w:r/>
            <w:r>
              <w:rPr>
                <w:rFonts w:ascii="Figtree" w:hAnsi="Figtree"/>
                <w:b w:val="0"/>
                <w:i w:val="0"/>
                <w:sz w:val="20"/>
              </w:rPr>
              <w:t>Platform License Agreement</w:t>
            </w:r>
          </w:p>
        </w:tc>
        <w:tc>
          <w:tcPr>
            <w:tcW w:type="dxa" w:w="4873"/>
            <w:vAlign w:val="center"/>
          </w:tcPr>
          <w:p>
            <w:pPr>
              <w:spacing w:line="276" w:lineRule="auto" w:before="0" w:after="0"/>
            </w:pPr>
            <w:r/>
            <w:r>
              <w:rPr>
                <w:rFonts w:ascii="Figtree" w:hAnsi="Figtree"/>
                <w:b w:val="0"/>
                <w:i w:val="0"/>
                <w:sz w:val="20"/>
              </w:rPr>
              <w:t>Annual subscription, renewal terms, update entitlements</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Services Agreement</w:t>
            </w:r>
          </w:p>
        </w:tc>
        <w:tc>
          <w:tcPr>
            <w:tcW w:type="dxa" w:w="4873"/>
            <w:vAlign w:val="center"/>
          </w:tcPr>
          <w:p>
            <w:pPr>
              <w:spacing w:line="276" w:lineRule="auto" w:before="0" w:after="0"/>
            </w:pPr>
            <w:r/>
            <w:r>
              <w:rPr>
                <w:rFonts w:ascii="Figtree" w:hAnsi="Figtree"/>
                <w:b w:val="0"/>
                <w:i w:val="0"/>
                <w:sz w:val="20"/>
              </w:rPr>
              <w:t>Fixed scope, milestones, acceptance criteria, change control</w:t>
            </w:r>
          </w:p>
        </w:tc>
      </w:tr>
      <w:tr>
        <w:trPr>
          <w:trHeight w:val="425" w:hRule="atLeast"/>
        </w:trPr>
        <w:tc>
          <w:tcPr>
            <w:tcW w:type="dxa" w:w="4873"/>
            <w:vAlign w:val="center"/>
          </w:tcPr>
          <w:p>
            <w:pPr>
              <w:spacing w:line="276" w:lineRule="auto" w:before="0" w:after="0"/>
            </w:pPr>
            <w:r/>
            <w:r>
              <w:rPr>
                <w:rFonts w:ascii="Figtree" w:hAnsi="Figtree"/>
                <w:b w:val="0"/>
                <w:i w:val="0"/>
                <w:sz w:val="20"/>
              </w:rPr>
              <w:t>Support Services Agreement</w:t>
            </w:r>
          </w:p>
        </w:tc>
        <w:tc>
          <w:tcPr>
            <w:tcW w:type="dxa" w:w="4873"/>
            <w:vAlign w:val="center"/>
          </w:tcPr>
          <w:p>
            <w:pPr>
              <w:spacing w:line="276" w:lineRule="auto" w:before="0" w:after="0"/>
            </w:pPr>
            <w:r/>
            <w:r>
              <w:rPr>
                <w:rFonts w:ascii="Figtree" w:hAnsi="Figtree"/>
                <w:b w:val="0"/>
                <w:i w:val="0"/>
                <w:sz w:val="20"/>
              </w:rPr>
              <w:t>SLA commitments, escalation procedures, coverage hours</w:t>
            </w:r>
          </w:p>
        </w:tc>
      </w:tr>
      <w:tr>
        <w:trPr>
          <w:trHeight w:val="425" w:hRule="atLeast"/>
        </w:trPr>
        <w:tc>
          <w:tcPr>
            <w:tcW w:type="dxa" w:w="4873"/>
            <w:vAlign w:val="center"/>
          </w:tcPr>
          <w:p>
            <w:pPr>
              <w:spacing w:line="276" w:lineRule="auto" w:before="0" w:after="0"/>
            </w:pPr>
            <w:r/>
            <w:r>
              <w:rPr>
                <w:rFonts w:ascii="Figtree" w:hAnsi="Figtree"/>
                <w:b w:val="0"/>
                <w:i w:val="0"/>
                <w:sz w:val="20"/>
              </w:rPr>
              <w:t>Data Processing Agreement</w:t>
            </w:r>
          </w:p>
        </w:tc>
        <w:tc>
          <w:tcPr>
            <w:tcW w:type="dxa" w:w="4873"/>
            <w:vAlign w:val="center"/>
          </w:tcPr>
          <w:p>
            <w:pPr>
              <w:spacing w:line="276" w:lineRule="auto" w:before="0" w:after="0"/>
            </w:pPr>
            <w:r/>
            <w:r>
              <w:rPr>
                <w:rFonts w:ascii="Figtree" w:hAnsi="Figtree"/>
                <w:b w:val="0"/>
                <w:i w:val="0"/>
                <w:sz w:val="20"/>
              </w:rPr>
              <w:t>Data handling, residency (Egypt), retention, deletion</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 Agreement</w:t>
            </w:r>
          </w:p>
        </w:tc>
        <w:tc>
          <w:tcPr>
            <w:tcW w:type="dxa" w:w="4873"/>
            <w:vAlign w:val="center"/>
          </w:tcPr>
          <w:p>
            <w:pPr>
              <w:spacing w:line="276" w:lineRule="auto" w:before="0" w:after="0"/>
            </w:pPr>
            <w:r/>
            <w:r>
              <w:rPr>
                <w:rFonts w:ascii="Figtree" w:hAnsi="Figtree"/>
                <w:b w:val="0"/>
                <w:i w:val="0"/>
                <w:sz w:val="20"/>
              </w:rPr>
              <w:t>Mutual NDA covering proposal and engagement materials</w:t>
            </w:r>
          </w:p>
        </w:tc>
      </w:tr>
    </w:tbl>
    <w:p>
      <w:pPr>
        <w:spacing w:before="0" w:after="0" w:line="120" w:lineRule="exact"/>
      </w:pPr>
    </w:p>
    <w:p>
      <w:pPr>
        <w:pStyle w:val="H3"/>
        <w:numPr>
          <w:ilvl w:val="2"/>
          <w:numId w:val="1"/>
        </w:numPr>
      </w:pPr>
      <w:r>
        <w:t>Key Commercial Terms</w:t>
      </w:r>
    </w:p>
    <w:p>
      <w:pPr>
        <w:pStyle w:val="ListParagraph"/>
        <w:numPr>
          <w:ilvl w:val="0"/>
          <w:numId w:val="4"/>
        </w:numPr>
      </w:pPr>
      <w:r>
        <w:rPr>
          <w:rFonts w:ascii="Figtree" w:hAnsi="Figtree"/>
          <w:b/>
          <w:i w:val="0"/>
          <w:sz w:val="22"/>
        </w:rPr>
        <w:t>Payment terms:</w:t>
      </w:r>
      <w:r>
        <w:rPr>
          <w:rFonts w:ascii="Figtree" w:hAnsi="Figtree"/>
          <w:b w:val="0"/>
          <w:i w:val="0"/>
          <w:sz w:val="22"/>
        </w:rPr>
        <w:t xml:space="preserve"> Milestone-based for implementation; annual in advance for license and support</w:t>
      </w:r>
    </w:p>
    <w:p>
      <w:pPr>
        <w:pStyle w:val="ListParagraph"/>
        <w:numPr>
          <w:ilvl w:val="0"/>
          <w:numId w:val="4"/>
        </w:numPr>
      </w:pPr>
      <w:r>
        <w:rPr>
          <w:rFonts w:ascii="Figtree" w:hAnsi="Figtree"/>
          <w:b/>
          <w:i w:val="0"/>
          <w:sz w:val="22"/>
        </w:rPr>
        <w:t>Contract term:</w:t>
      </w:r>
      <w:r>
        <w:rPr>
          <w:rFonts w:ascii="Figtree" w:hAnsi="Figtree"/>
          <w:b w:val="0"/>
          <w:i w:val="0"/>
          <w:sz w:val="22"/>
        </w:rPr>
        <w:t xml:space="preserve"> Initial three-year term with annual renewal option</w:t>
      </w:r>
    </w:p>
    <w:p>
      <w:pPr>
        <w:pStyle w:val="ListParagraph"/>
        <w:numPr>
          <w:ilvl w:val="0"/>
          <w:numId w:val="4"/>
        </w:numPr>
      </w:pPr>
      <w:r>
        <w:rPr>
          <w:rFonts w:ascii="Figtree" w:hAnsi="Figtree"/>
          <w:b/>
          <w:i w:val="0"/>
          <w:sz w:val="22"/>
        </w:rPr>
        <w:t>Price escalation:</w:t>
      </w:r>
      <w:r>
        <w:rPr>
          <w:rFonts w:ascii="Figtree" w:hAnsi="Figtree"/>
          <w:b w:val="0"/>
          <w:i w:val="0"/>
          <w:sz w:val="22"/>
        </w:rPr>
        <w:t xml:space="preserve"> Capped at [CLIENT-SPECIFIC]% annually after initial term</w:t>
      </w:r>
    </w:p>
    <w:p>
      <w:pPr>
        <w:pStyle w:val="ListParagraph"/>
        <w:numPr>
          <w:ilvl w:val="0"/>
          <w:numId w:val="4"/>
        </w:numPr>
      </w:pPr>
      <w:r>
        <w:rPr>
          <w:rFonts w:ascii="Figtree" w:hAnsi="Figtree"/>
          <w:b/>
          <w:i w:val="0"/>
          <w:sz w:val="22"/>
        </w:rPr>
        <w:t>Exit support:</w:t>
      </w:r>
      <w:r>
        <w:rPr>
          <w:rFonts w:ascii="Figtree" w:hAnsi="Figtree"/>
          <w:b w:val="0"/>
          <w:i w:val="0"/>
          <w:sz w:val="22"/>
        </w:rPr>
        <w:t xml:space="preserve"> 90-day transition assistance, data export in standard formats, documentation handover</w:t>
      </w:r>
    </w:p>
    <w:p>
      <w:pPr>
        <w:pStyle w:val="ListParagraph"/>
        <w:numPr>
          <w:ilvl w:val="0"/>
          <w:numId w:val="4"/>
        </w:numPr>
      </w:pPr>
      <w:r>
        <w:rPr>
          <w:rFonts w:ascii="Figtree" w:hAnsi="Figtree"/>
          <w:b/>
          <w:i w:val="0"/>
          <w:sz w:val="22"/>
        </w:rPr>
        <w:t>Audit rights:</w:t>
      </w:r>
      <w:r>
        <w:rPr>
          <w:rFonts w:ascii="Figtree" w:hAnsi="Figtree"/>
          <w:b w:val="0"/>
          <w:i w:val="0"/>
          <w:sz w:val="22"/>
        </w:rPr>
        <w:t xml:space="preserve"> NBE retains the right to audit SettleMint's security controls, data handling, and service delivery annually</w:t>
      </w:r>
    </w:p>
    <w:p>
      <w:pPr>
        <w:pStyle w:val="ListParagraph"/>
        <w:numPr>
          <w:ilvl w:val="0"/>
          <w:numId w:val="4"/>
        </w:numPr>
      </w:pPr>
      <w:r>
        <w:rPr>
          <w:rFonts w:ascii="Figtree" w:hAnsi="Figtree"/>
          <w:b/>
          <w:i w:val="0"/>
          <w:sz w:val="22"/>
        </w:rPr>
        <w:t>Subcontracting:</w:t>
      </w:r>
      <w:r>
        <w:rPr>
          <w:rFonts w:ascii="Figtree" w:hAnsi="Figtree"/>
          <w:b w:val="0"/>
          <w:i w:val="0"/>
          <w:sz w:val="22"/>
        </w:rPr>
        <w:t xml:space="preserve"> Any subcontractors disclosed in advance; NBE retains approval rights</w:t>
      </w:r>
    </w:p>
    <w:p>
      <w:pPr>
        <w:pStyle w:val="ListParagraph"/>
        <w:numPr>
          <w:ilvl w:val="0"/>
          <w:numId w:val="4"/>
        </w:numPr>
      </w:pPr>
      <w:r>
        <w:rPr>
          <w:rFonts w:ascii="Figtree" w:hAnsi="Figtree"/>
          <w:b/>
          <w:i w:val="0"/>
          <w:sz w:val="22"/>
        </w:rPr>
        <w:t>Change control:</w:t>
      </w:r>
      <w:r>
        <w:rPr>
          <w:rFonts w:ascii="Figtree" w:hAnsi="Figtree"/>
          <w:b w:val="0"/>
          <w:i w:val="0"/>
          <w:sz w:val="22"/>
        </w:rPr>
        <w:t xml:space="preserve"> Formal change request process for scope modifications with impact assessment before approval</w:t>
      </w:r>
    </w:p>
    <w:p>
      <w:pPr>
        <w:pStyle w:val="H3"/>
        <w:numPr>
          <w:ilvl w:val="2"/>
          <w:numId w:val="1"/>
        </w:numPr>
      </w:pPr>
      <w:r>
        <w:t>Financial Stability</w:t>
      </w:r>
    </w:p>
    <w:p>
      <w:r>
        <w:rPr>
          <w:rFonts w:ascii="Figtree" w:hAnsi="Figtree"/>
          <w:b w:val="0"/>
          <w:i w:val="0"/>
          <w:sz w:val="22"/>
        </w:rPr>
        <w:t>SettleMint NV is incorporated in Belgium, operating since 2016. Key financial stability indicators:</w:t>
      </w:r>
    </w:p>
    <w:p>
      <w:pPr>
        <w:pStyle w:val="ListParagraph"/>
        <w:numPr>
          <w:ilvl w:val="0"/>
          <w:numId w:val="4"/>
        </w:numPr>
      </w:pPr>
      <w:r>
        <w:rPr>
          <w:rFonts w:ascii="Figtree" w:hAnsi="Figtree"/>
          <w:b w:val="0"/>
          <w:i w:val="0"/>
          <w:sz w:val="22"/>
        </w:rPr>
        <w:t>10 years of continuous operation</w:t>
      </w:r>
    </w:p>
    <w:p>
      <w:pPr>
        <w:pStyle w:val="ListParagraph"/>
        <w:numPr>
          <w:ilvl w:val="0"/>
          <w:numId w:val="4"/>
        </w:numPr>
      </w:pPr>
      <w:r>
        <w:rPr>
          <w:rFonts w:ascii="Figtree" w:hAnsi="Figtree"/>
          <w:b w:val="0"/>
          <w:i w:val="0"/>
          <w:sz w:val="22"/>
        </w:rPr>
        <w:t>Series A funded by leading European and Middle Eastern investors</w:t>
      </w:r>
    </w:p>
    <w:p>
      <w:pPr>
        <w:pStyle w:val="ListParagraph"/>
        <w:numPr>
          <w:ilvl w:val="0"/>
          <w:numId w:val="4"/>
        </w:numPr>
      </w:pPr>
      <w:r>
        <w:rPr>
          <w:rFonts w:ascii="Figtree" w:hAnsi="Figtree"/>
          <w:b w:val="0"/>
          <w:i w:val="0"/>
          <w:sz w:val="22"/>
        </w:rPr>
        <w:t>Active production engagements across Europe, Middle East, and Asia-Pacific</w:t>
      </w:r>
    </w:p>
    <w:p>
      <w:pPr>
        <w:pStyle w:val="ListParagraph"/>
        <w:numPr>
          <w:ilvl w:val="0"/>
          <w:numId w:val="4"/>
        </w:numPr>
      </w:pPr>
      <w:r>
        <w:rPr>
          <w:rFonts w:ascii="Figtree" w:hAnsi="Figtree"/>
          <w:b w:val="0"/>
          <w:i w:val="0"/>
          <w:sz w:val="22"/>
        </w:rPr>
        <w:t>No material litigation, sanctions exposure, or regulatory constraints affecting delivery capability</w:t>
      </w:r>
    </w:p>
    <w:p>
      <w:pPr>
        <w:pStyle w:val="ListParagraph"/>
        <w:numPr>
          <w:ilvl w:val="0"/>
          <w:numId w:val="4"/>
        </w:numPr>
      </w:pPr>
      <w:r>
        <w:rPr>
          <w:rFonts w:ascii="Figtree" w:hAnsi="Figtree"/>
          <w:b w:val="0"/>
          <w:i w:val="0"/>
          <w:sz w:val="22"/>
        </w:rPr>
        <w:t>Multi-year contracts with sovereign and tier-1 bank clients providing revenue stability</w:t>
      </w:r>
    </w:p>
    <w:p>
      <w:r>
        <w:br w:type="page"/>
      </w:r>
    </w:p>
    <w:p>
      <w:pPr>
        <w:pStyle w:val="H2"/>
        <w:numPr>
          <w:ilvl w:val="1"/>
          <w:numId w:val="1"/>
        </w:numPr>
      </w:pPr>
      <w:r>
        <w:t>Commercial Decision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56"/>
        <w:gridCol w:w="611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Decision Factor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SettleMint DALP Position</w:t>
            </w:r>
          </w:p>
        </w:tc>
      </w:tr>
      <w:tr>
        <w:trPr>
          <w:trHeight w:val="425" w:hRule="atLeast"/>
        </w:trPr>
        <w:tc>
          <w:tcPr>
            <w:tcW w:type="dxa" w:w="4873"/>
            <w:vAlign w:val="center"/>
          </w:tcPr>
          <w:p>
            <w:pPr>
              <w:spacing w:line="276" w:lineRule="auto" w:before="0" w:after="0"/>
            </w:pPr>
            <w:r/>
            <w:r>
              <w:rPr>
                <w:rFonts w:ascii="Figtree" w:hAnsi="Figtree"/>
                <w:b w:val="0"/>
                <w:i w:val="0"/>
                <w:sz w:val="20"/>
              </w:rPr>
              <w:t>Pricing predictability</w:t>
            </w:r>
          </w:p>
        </w:tc>
        <w:tc>
          <w:tcPr>
            <w:tcW w:type="dxa" w:w="4873"/>
            <w:vAlign w:val="center"/>
          </w:tcPr>
          <w:p>
            <w:pPr>
              <w:spacing w:line="276" w:lineRule="auto" w:before="0" w:after="0"/>
            </w:pPr>
            <w:r/>
            <w:r>
              <w:rPr>
                <w:rFonts w:ascii="Figtree" w:hAnsi="Figtree"/>
                <w:b w:val="0"/>
                <w:i w:val="0"/>
                <w:sz w:val="20"/>
              </w:rPr>
              <w:t>Platform licensing with zero per-transaction/per-token fees</w:t>
            </w:r>
          </w:p>
        </w:tc>
      </w:tr>
      <w:tr>
        <w:trPr>
          <w:trHeight w:val="425" w:hRule="atLeast"/>
        </w:trPr>
        <w:tc>
          <w:tcPr>
            <w:tcW w:type="dxa" w:w="4873"/>
            <w:vAlign w:val="center"/>
          </w:tcPr>
          <w:p>
            <w:pPr>
              <w:spacing w:line="276" w:lineRule="auto" w:before="0" w:after="0"/>
            </w:pPr>
            <w:r/>
            <w:r>
              <w:rPr>
                <w:rFonts w:ascii="Figtree" w:hAnsi="Figtree"/>
                <w:b w:val="0"/>
                <w:i w:val="0"/>
                <w:sz w:val="20"/>
              </w:rPr>
              <w:t>Multi-asset capability</w:t>
            </w:r>
          </w:p>
        </w:tc>
        <w:tc>
          <w:tcPr>
            <w:tcW w:type="dxa" w:w="4873"/>
            <w:vAlign w:val="center"/>
          </w:tcPr>
          <w:p>
            <w:pPr>
              <w:spacing w:line="276" w:lineRule="auto" w:before="0" w:after="0"/>
            </w:pPr>
            <w:r/>
            <w:r>
              <w:rPr>
                <w:rFonts w:ascii="Figtree" w:hAnsi="Figtree"/>
                <w:b w:val="0"/>
                <w:i w:val="0"/>
                <w:sz w:val="20"/>
              </w:rPr>
              <w:t>7 pre-built asset templates plus configurable token for future products</w:t>
            </w:r>
          </w:p>
        </w:tc>
      </w:tr>
      <w:tr>
        <w:trPr>
          <w:trHeight w:val="425" w:hRule="atLeast"/>
        </w:trPr>
        <w:tc>
          <w:tcPr>
            <w:tcW w:type="dxa" w:w="4873"/>
            <w:vAlign w:val="center"/>
          </w:tcPr>
          <w:p>
            <w:pPr>
              <w:spacing w:line="276" w:lineRule="auto" w:before="0" w:after="0"/>
            </w:pPr>
            <w:r/>
            <w:r>
              <w:rPr>
                <w:rFonts w:ascii="Figtree" w:hAnsi="Figtree"/>
                <w:b w:val="0"/>
                <w:i w:val="0"/>
                <w:sz w:val="20"/>
              </w:rPr>
              <w:t>Middle East &amp; Africa presence</w:t>
            </w:r>
          </w:p>
        </w:tc>
        <w:tc>
          <w:tcPr>
            <w:tcW w:type="dxa" w:w="4873"/>
            <w:vAlign w:val="center"/>
          </w:tcPr>
          <w:p>
            <w:pPr>
              <w:spacing w:line="276" w:lineRule="auto" w:before="0" w:after="0"/>
            </w:pPr>
            <w:r/>
            <w:r>
              <w:rPr>
                <w:rFonts w:ascii="Figtree" w:hAnsi="Figtree"/>
                <w:b w:val="0"/>
                <w:i w:val="0"/>
                <w:sz w:val="20"/>
              </w:rPr>
              <w:t>Live production deployments (Saudi RER, IsDB across 57 countries)</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risk</w:t>
            </w:r>
          </w:p>
        </w:tc>
        <w:tc>
          <w:tcPr>
            <w:tcW w:type="dxa" w:w="4873"/>
            <w:vAlign w:val="center"/>
          </w:tcPr>
          <w:p>
            <w:pPr>
              <w:spacing w:line="276" w:lineRule="auto" w:before="0" w:after="0"/>
            </w:pPr>
            <w:r/>
            <w:r>
              <w:rPr>
                <w:rFonts w:ascii="Figtree" w:hAnsi="Figtree"/>
                <w:b w:val="0"/>
                <w:i w:val="0"/>
                <w:sz w:val="20"/>
              </w:rPr>
              <w:t>Fixed-fee, phase-gated, 19-week proven methodology</w:t>
            </w:r>
          </w:p>
        </w:tc>
      </w:tr>
      <w:tr>
        <w:trPr>
          <w:trHeight w:val="425" w:hRule="atLeast"/>
        </w:trPr>
        <w:tc>
          <w:tcPr>
            <w:tcW w:type="dxa" w:w="4873"/>
            <w:vAlign w:val="center"/>
          </w:tcPr>
          <w:p>
            <w:pPr>
              <w:spacing w:line="276" w:lineRule="auto" w:before="0" w:after="0"/>
            </w:pPr>
            <w:r/>
            <w:r>
              <w:rPr>
                <w:rFonts w:ascii="Figtree" w:hAnsi="Figtree"/>
                <w:b w:val="0"/>
                <w:i w:val="0"/>
                <w:sz w:val="20"/>
              </w:rPr>
              <w:t>Scaling economics</w:t>
            </w:r>
          </w:p>
        </w:tc>
        <w:tc>
          <w:tcPr>
            <w:tcW w:type="dxa" w:w="4873"/>
            <w:vAlign w:val="center"/>
          </w:tcPr>
          <w:p>
            <w:pPr>
              <w:spacing w:line="276" w:lineRule="auto" w:before="0" w:after="0"/>
            </w:pPr>
            <w:r/>
            <w:r>
              <w:rPr>
                <w:rFonts w:ascii="Figtree" w:hAnsi="Figtree"/>
                <w:b w:val="0"/>
                <w:i w:val="0"/>
                <w:sz w:val="20"/>
              </w:rPr>
              <w:t>Costs flat as products, investors, and volumes grow</w:t>
            </w:r>
          </w:p>
        </w:tc>
      </w:tr>
      <w:tr>
        <w:trPr>
          <w:trHeight w:val="425" w:hRule="atLeast"/>
        </w:trPr>
        <w:tc>
          <w:tcPr>
            <w:tcW w:type="dxa" w:w="4873"/>
            <w:vAlign w:val="center"/>
          </w:tcPr>
          <w:p>
            <w:pPr>
              <w:spacing w:line="276" w:lineRule="auto" w:before="0" w:after="0"/>
            </w:pPr>
            <w:r/>
            <w:r>
              <w:rPr>
                <w:rFonts w:ascii="Figtree" w:hAnsi="Figtree"/>
                <w:b w:val="0"/>
                <w:i w:val="0"/>
                <w:sz w:val="20"/>
              </w:rPr>
              <w:t>Support maturity</w:t>
            </w:r>
          </w:p>
        </w:tc>
        <w:tc>
          <w:tcPr>
            <w:tcW w:type="dxa" w:w="4873"/>
            <w:vAlign w:val="center"/>
          </w:tcPr>
          <w:p>
            <w:pPr>
              <w:spacing w:line="276" w:lineRule="auto" w:before="0" w:after="0"/>
            </w:pPr>
            <w:r/>
            <w:r>
              <w:rPr>
                <w:rFonts w:ascii="Figtree" w:hAnsi="Figtree"/>
                <w:b w:val="0"/>
                <w:i w:val="0"/>
                <w:sz w:val="20"/>
              </w:rPr>
              <w:t>ISO 27001 and SOC 2 Type II certified operations</w:t>
            </w:r>
          </w:p>
        </w:tc>
      </w:tr>
      <w:tr>
        <w:trPr>
          <w:trHeight w:val="425" w:hRule="atLeast"/>
        </w:trPr>
        <w:tc>
          <w:tcPr>
            <w:tcW w:type="dxa" w:w="4873"/>
            <w:vAlign w:val="center"/>
          </w:tcPr>
          <w:p>
            <w:pPr>
              <w:spacing w:line="276" w:lineRule="auto" w:before="0" w:after="0"/>
            </w:pPr>
            <w:r/>
            <w:r>
              <w:rPr>
                <w:rFonts w:ascii="Figtree" w:hAnsi="Figtree"/>
                <w:b w:val="0"/>
                <w:i w:val="0"/>
                <w:sz w:val="20"/>
              </w:rPr>
              <w:t>Contractual clarity</w:t>
            </w:r>
          </w:p>
        </w:tc>
        <w:tc>
          <w:tcPr>
            <w:tcW w:type="dxa" w:w="4873"/>
            <w:vAlign w:val="center"/>
          </w:tcPr>
          <w:p>
            <w:pPr>
              <w:spacing w:line="276" w:lineRule="auto" w:before="0" w:after="0"/>
            </w:pPr>
            <w:r/>
            <w:r>
              <w:rPr>
                <w:rFonts w:ascii="Figtree" w:hAnsi="Figtree"/>
                <w:b w:val="0"/>
                <w:i w:val="0"/>
                <w:sz w:val="20"/>
              </w:rPr>
              <w:t>Transparent pricing, defined assumptions, exit support included</w:t>
            </w:r>
          </w:p>
        </w:tc>
      </w:tr>
    </w:tbl>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