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Executive Summary</w:t>
          </w:r>
          <w:r>
            <w:tab/>
          </w:r>
          <w:r>
            <w:t xml:space="preserve">3</w:t>
          </w:r>
        </w:p>
        <w:p>
          <w:pPr>
            <w:pStyle w:val="TOC2"/>
            <w:tabs>
              <w:tab w:val="right" w:leader="dot" w:pos="9072"/>
            </w:tabs>
          </w:pPr>
          <w:r>
            <w:t xml:space="preserve">Context and Strategic Drivers</w:t>
          </w:r>
          <w:r>
            <w:tab/>
          </w:r>
          <w:r>
            <w:t xml:space="preserve">4</w:t>
          </w:r>
        </w:p>
        <w:p>
          <w:pPr>
            <w:pStyle w:val="TOC2"/>
            <w:tabs>
              <w:tab w:val="right" w:leader="dot" w:pos="9072"/>
            </w:tabs>
          </w:pPr>
          <w:r>
            <w:t xml:space="preserve">Why This Programme Is Hard</w:t>
          </w:r>
          <w:r>
            <w:tab/>
          </w:r>
          <w:r>
            <w:t xml:space="preserve">5</w:t>
          </w:r>
        </w:p>
        <w:p>
          <w:pPr>
            <w:pStyle w:val="TOC2"/>
            <w:tabs>
              <w:tab w:val="right" w:leader="dot" w:pos="9072"/>
            </w:tabs>
          </w:pPr>
          <w:r>
            <w:t xml:space="preserve">Proposed Response</w:t>
          </w:r>
          <w:r>
            <w:tab/>
          </w:r>
          <w:r>
            <w:t xml:space="preserve">6</w:t>
          </w:r>
        </w:p>
        <w:p>
          <w:pPr>
            <w:pStyle w:val="TOC2"/>
            <w:tabs>
              <w:tab w:val="right" w:leader="dot" w:pos="9072"/>
            </w:tabs>
          </w:pPr>
          <w:r>
            <w:t xml:space="preserve">Why SettleMint</w:t>
          </w:r>
          <w:r>
            <w:tab/>
          </w:r>
          <w:r>
            <w:t xml:space="preserve">7</w:t>
          </w:r>
        </w:p>
        <w:p>
          <w:pPr>
            <w:pStyle w:val="TOC2"/>
            <w:tabs>
              <w:tab w:val="right" w:leader="dot" w:pos="9072"/>
            </w:tabs>
          </w:pPr>
          <w:r>
            <w:t xml:space="preserve">Why DALP</w:t>
          </w:r>
          <w:r>
            <w:tab/>
          </w:r>
          <w:r>
            <w:t xml:space="preserve">8</w:t>
          </w:r>
        </w:p>
        <w:p>
          <w:pPr>
            <w:pStyle w:val="TOC2"/>
            <w:tabs>
              <w:tab w:val="right" w:leader="dot" w:pos="9072"/>
            </w:tabs>
          </w:pPr>
          <w:r>
            <w:t xml:space="preserve">Reference Fit Snapshot</w:t>
          </w:r>
          <w:r>
            <w:tab/>
          </w:r>
          <w:r>
            <w:t xml:space="preserve">9</w:t>
          </w:r>
        </w:p>
        <w:p>
          <w:pPr>
            <w:pStyle w:val="TOC1"/>
            <w:tabs>
              <w:tab w:val="right" w:leader="dot" w:pos="9072"/>
            </w:tabs>
          </w:pPr>
          <w:r>
            <w:t xml:space="preserve">About SettleMint</w:t>
          </w:r>
          <w:r>
            <w:tab/>
          </w:r>
          <w:r>
            <w:t xml:space="preserve">10</w:t>
          </w:r>
        </w:p>
        <w:p>
          <w:pPr>
            <w:pStyle w:val="TOC2"/>
            <w:tabs>
              <w:tab w:val="right" w:leader="dot" w:pos="9072"/>
            </w:tabs>
          </w:pPr>
          <w:r>
            <w:t xml:space="preserve">Company Overview</w:t>
          </w:r>
          <w:r>
            <w:tab/>
          </w:r>
          <w:r>
            <w:t xml:space="preserve">11</w:t>
          </w:r>
        </w:p>
        <w:p>
          <w:pPr>
            <w:pStyle w:val="TOC2"/>
            <w:tabs>
              <w:tab w:val="right" w:leader="dot" w:pos="9072"/>
            </w:tabs>
          </w:pPr>
          <w:r>
            <w:t xml:space="preserve">Production Credentials</w:t>
          </w:r>
          <w:r>
            <w:tab/>
          </w:r>
          <w:r>
            <w:t xml:space="preserve">12</w:t>
          </w:r>
        </w:p>
        <w:p>
          <w:pPr>
            <w:pStyle w:val="TOC2"/>
            <w:tabs>
              <w:tab w:val="right" w:leader="dot" w:pos="9072"/>
            </w:tabs>
          </w:pPr>
          <w:r>
            <w:t xml:space="preserve">Regulatory Readiness</w:t>
          </w:r>
          <w:r>
            <w:tab/>
          </w:r>
          <w:r>
            <w:t xml:space="preserve">13</w:t>
          </w:r>
        </w:p>
        <w:p>
          <w:pPr>
            <w:pStyle w:val="TOC1"/>
            <w:tabs>
              <w:tab w:val="right" w:leader="dot" w:pos="9072"/>
            </w:tabs>
          </w:pPr>
          <w:r>
            <w:t xml:space="preserve">About DALP</w:t>
          </w:r>
          <w:r>
            <w:tab/>
          </w:r>
          <w:r>
            <w:t xml:space="preserve">14</w:t>
          </w:r>
        </w:p>
        <w:p>
          <w:pPr>
            <w:pStyle w:val="TOC2"/>
            <w:tabs>
              <w:tab w:val="right" w:leader="dot" w:pos="9072"/>
            </w:tabs>
          </w:pPr>
          <w:r>
            <w:t xml:space="preserve">Platform Overview</w:t>
          </w:r>
          <w:r>
            <w:tab/>
          </w:r>
          <w:r>
            <w:t xml:space="preserve">15</w:t>
          </w:r>
        </w:p>
        <w:p>
          <w:pPr>
            <w:pStyle w:val="TOC2"/>
            <w:tabs>
              <w:tab w:val="right" w:leader="dot" w:pos="9072"/>
            </w:tabs>
          </w:pPr>
          <w:r>
            <w:t xml:space="preserve">Core Lifecycle Pillars</w:t>
          </w:r>
          <w:r>
            <w:tab/>
          </w:r>
          <w:r>
            <w:t xml:space="preserve">16</w:t>
          </w:r>
        </w:p>
        <w:p>
          <w:pPr>
            <w:pStyle w:val="TOC3"/>
            <w:tabs>
              <w:tab w:val="right" w:leader="dot" w:pos="9072"/>
            </w:tabs>
          </w:pPr>
          <w:r>
            <w:t xml:space="preserve">Issuance</w:t>
          </w:r>
          <w:r>
            <w:tab/>
          </w:r>
          <w:r>
            <w:t xml:space="preserve">17</w:t>
          </w:r>
        </w:p>
        <w:p>
          <w:pPr>
            <w:pStyle w:val="TOC3"/>
            <w:tabs>
              <w:tab w:val="right" w:leader="dot" w:pos="9072"/>
            </w:tabs>
          </w:pPr>
          <w:r>
            <w:t xml:space="preserve">Compliance</w:t>
          </w:r>
          <w:r>
            <w:tab/>
          </w:r>
          <w:r>
            <w:t xml:space="preserve">18</w:t>
          </w:r>
        </w:p>
        <w:p>
          <w:pPr>
            <w:pStyle w:val="TOC3"/>
            <w:tabs>
              <w:tab w:val="right" w:leader="dot" w:pos="9072"/>
            </w:tabs>
          </w:pPr>
          <w:r>
            <w:t xml:space="preserve">Custody</w:t>
          </w:r>
          <w:r>
            <w:tab/>
          </w:r>
          <w:r>
            <w:t xml:space="preserve">19</w:t>
          </w:r>
        </w:p>
        <w:p>
          <w:pPr>
            <w:pStyle w:val="TOC3"/>
            <w:tabs>
              <w:tab w:val="right" w:leader="dot" w:pos="9072"/>
            </w:tabs>
          </w:pPr>
          <w:r>
            <w:t xml:space="preserve">Settlement</w:t>
          </w:r>
          <w:r>
            <w:tab/>
          </w:r>
          <w:r>
            <w:t xml:space="preserve">20</w:t>
          </w:r>
        </w:p>
        <w:p>
          <w:pPr>
            <w:pStyle w:val="TOC3"/>
            <w:tabs>
              <w:tab w:val="right" w:leader="dot" w:pos="9072"/>
            </w:tabs>
          </w:pPr>
          <w:r>
            <w:t xml:space="preserve">Servicing</w:t>
          </w:r>
          <w:r>
            <w:tab/>
          </w:r>
          <w:r>
            <w:t xml:space="preserve">21</w:t>
          </w:r>
        </w:p>
        <w:p>
          <w:pPr>
            <w:pStyle w:val="TOC2"/>
            <w:tabs>
              <w:tab w:val="right" w:leader="dot" w:pos="9072"/>
            </w:tabs>
          </w:pPr>
          <w:r>
            <w:t xml:space="preserve">Platform Foundations</w:t>
          </w:r>
          <w:r>
            <w:tab/>
          </w:r>
          <w:r>
            <w:t xml:space="preserve">22</w:t>
          </w:r>
        </w:p>
        <w:p>
          <w:pPr>
            <w:pStyle w:val="TOC1"/>
            <w:tabs>
              <w:tab w:val="right" w:leader="dot" w:pos="9072"/>
            </w:tabs>
          </w:pPr>
          <w:r>
            <w:t xml:space="preserve">Customer References</w:t>
          </w:r>
          <w:r>
            <w:tab/>
          </w:r>
          <w:r>
            <w:t xml:space="preserve">23</w:t>
          </w:r>
        </w:p>
        <w:p>
          <w:pPr>
            <w:pStyle w:val="TOC2"/>
            <w:tabs>
              <w:tab w:val="right" w:leader="dot" w:pos="9072"/>
            </w:tabs>
          </w:pPr>
          <w:r>
            <w:t xml:space="preserve">Expanded Reference: OCBC Bank</w:t>
          </w:r>
          <w:r>
            <w:tab/>
          </w:r>
          <w:r>
            <w:t xml:space="preserve">24</w:t>
          </w:r>
        </w:p>
        <w:p>
          <w:pPr>
            <w:pStyle w:val="TOC2"/>
            <w:tabs>
              <w:tab w:val="right" w:leader="dot" w:pos="9072"/>
            </w:tabs>
          </w:pPr>
          <w:r>
            <w:t xml:space="preserve">Expanded Reference: Saudi RER</w:t>
          </w:r>
          <w:r>
            <w:tab/>
          </w:r>
          <w:r>
            <w:t xml:space="preserve">25</w:t>
          </w:r>
        </w:p>
        <w:p>
          <w:pPr>
            <w:pStyle w:val="TOC1"/>
            <w:tabs>
              <w:tab w:val="right" w:leader="dot" w:pos="9072"/>
            </w:tabs>
          </w:pPr>
          <w:r>
            <w:t xml:space="preserve">Understanding of Requirements</w:t>
          </w:r>
          <w:r>
            <w:tab/>
          </w:r>
          <w:r>
            <w:t xml:space="preserve">26</w:t>
          </w:r>
        </w:p>
        <w:p>
          <w:pPr>
            <w:pStyle w:val="TOC2"/>
            <w:tabs>
              <w:tab w:val="right" w:leader="dot" w:pos="9072"/>
            </w:tabs>
          </w:pPr>
          <w:r>
            <w:t xml:space="preserve">Requirement Domains</w:t>
          </w:r>
          <w:r>
            <w:tab/>
          </w:r>
          <w:r>
            <w:t xml:space="preserve">27</w:t>
          </w:r>
        </w:p>
        <w:p>
          <w:pPr>
            <w:pStyle w:val="TOC1"/>
            <w:tabs>
              <w:tab w:val="right" w:leader="dot" w:pos="9072"/>
            </w:tabs>
          </w:pPr>
          <w:r>
            <w:t xml:space="preserve">Proposed Solution</w:t>
          </w:r>
          <w:r>
            <w:tab/>
          </w:r>
          <w:r>
            <w:t xml:space="preserve">28</w:t>
          </w:r>
        </w:p>
        <w:p>
          <w:pPr>
            <w:pStyle w:val="TOC2"/>
            <w:tabs>
              <w:tab w:val="right" w:leader="dot" w:pos="9072"/>
            </w:tabs>
          </w:pPr>
          <w:r>
            <w:t xml:space="preserve">Solution Overview</w:t>
          </w:r>
          <w:r>
            <w:tab/>
          </w:r>
          <w:r>
            <w:t xml:space="preserve">29</w:t>
          </w:r>
        </w:p>
        <w:p>
          <w:pPr>
            <w:pStyle w:val="TOC2"/>
            <w:tabs>
              <w:tab w:val="right" w:leader="dot" w:pos="9072"/>
            </w:tabs>
          </w:pPr>
          <w:r>
            <w:t xml:space="preserve">Functional Fit Matrix</w:t>
          </w:r>
          <w:r>
            <w:tab/>
          </w:r>
          <w:r>
            <w:t xml:space="preserve">30</w:t>
          </w:r>
        </w:p>
        <w:p>
          <w:pPr>
            <w:pStyle w:val="TOC1"/>
            <w:tabs>
              <w:tab w:val="right" w:leader="dot" w:pos="9072"/>
            </w:tabs>
          </w:pPr>
          <w:r>
            <w:t xml:space="preserve">Technical Architecture</w:t>
          </w:r>
          <w:r>
            <w:tab/>
          </w:r>
          <w:r>
            <w:t xml:space="preserve">31</w:t>
          </w:r>
        </w:p>
        <w:p>
          <w:pPr>
            <w:pStyle w:val="TOC2"/>
            <w:tabs>
              <w:tab w:val="right" w:leader="dot" w:pos="9072"/>
            </w:tabs>
          </w:pPr>
          <w:r>
            <w:t xml:space="preserve">Layered Architecture</w:t>
          </w:r>
          <w:r>
            <w:tab/>
          </w:r>
          <w:r>
            <w:t xml:space="preserve">32</w:t>
          </w:r>
        </w:p>
        <w:p>
          <w:pPr>
            <w:pStyle w:val="TOC2"/>
            <w:tabs>
              <w:tab w:val="right" w:leader="dot" w:pos="9072"/>
            </w:tabs>
          </w:pPr>
          <w:r>
            <w:t xml:space="preserve">Transaction Pipeline</w:t>
          </w:r>
          <w:r>
            <w:tab/>
          </w:r>
          <w:r>
            <w:t xml:space="preserve">33</w:t>
          </w:r>
        </w:p>
        <w:p>
          <w:pPr>
            <w:pStyle w:val="TOC1"/>
            <w:tabs>
              <w:tab w:val="right" w:leader="dot" w:pos="9072"/>
            </w:tabs>
          </w:pPr>
          <w:r>
            <w:t xml:space="preserve">Security</w:t>
          </w:r>
          <w:r>
            <w:tab/>
          </w:r>
          <w:r>
            <w:t xml:space="preserve">34</w:t>
          </w:r>
        </w:p>
        <w:p>
          <w:pPr>
            <w:pStyle w:val="TOC1"/>
            <w:tabs>
              <w:tab w:val="right" w:leader="dot" w:pos="9072"/>
            </w:tabs>
          </w:pPr>
          <w:r>
            <w:t xml:space="preserve">Implementation</w:t>
          </w:r>
          <w:r>
            <w:tab/>
          </w:r>
          <w:r>
            <w:t xml:space="preserve">35</w:t>
          </w:r>
        </w:p>
        <w:p>
          <w:pPr>
            <w:pStyle w:val="TOC1"/>
            <w:tabs>
              <w:tab w:val="right" w:leader="dot" w:pos="9072"/>
            </w:tabs>
          </w:pPr>
          <w:r>
            <w:t xml:space="preserve">Deployment</w:t>
          </w:r>
          <w:r>
            <w:tab/>
          </w:r>
          <w:r>
            <w:t xml:space="preserve">36</w:t>
          </w:r>
        </w:p>
        <w:p>
          <w:pPr>
            <w:pStyle w:val="TOC1"/>
            <w:tabs>
              <w:tab w:val="right" w:leader="dot" w:pos="9072"/>
            </w:tabs>
          </w:pPr>
          <w:r>
            <w:t xml:space="preserve">Training, Support, and SLA</w:t>
          </w:r>
          <w:r>
            <w:tab/>
          </w:r>
          <w:r>
            <w:t xml:space="preserve">37</w:t>
          </w:r>
        </w:p>
        <w:p>
          <w:pPr>
            <w:pStyle w:val="TOC1"/>
            <w:tabs>
              <w:tab w:val="right" w:leader="dot" w:pos="9072"/>
            </w:tabs>
          </w:pPr>
          <w:r>
            <w:t xml:space="preserve">Compliance Matrix</w:t>
          </w:r>
          <w:r>
            <w:tab/>
          </w:r>
          <w:r>
            <w:t xml:space="preserve">38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44"/>
        <w:gridCol w:w="732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Digital Asset Core Infrastructure for Regulated Institutional Products</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National Bank of Egypt (Egypt)</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NATIONAL-BANK-OF-EGYPT-RFP-DIGITAL-ASSET-INFRASTRUCTURE-202603</w:t>
            </w:r>
          </w:p>
        </w:tc>
      </w:tr>
      <w:tr>
        <w:trPr>
          <w:trHeight w:val="425" w:hRule="atLeast"/>
        </w:trPr>
        <w:tc>
          <w:tcPr>
            <w:tcW w:type="dxa" w:w="4873"/>
            <w:vAlign w:val="center"/>
          </w:tcPr>
          <w:p>
            <w:pPr>
              <w:spacing w:line="276" w:lineRule="auto" w:before="0" w:after="0"/>
            </w:pPr>
            <w:r/>
            <w:r>
              <w:rPr>
                <w:rFonts w:ascii="Figtree" w:hAnsi="Figtree"/>
                <w:b w:val="0"/>
                <w:i w:val="0"/>
                <w:sz w:val="20"/>
              </w:rPr>
              <w:t>Contact</w:t>
            </w:r>
          </w:p>
        </w:tc>
        <w:tc>
          <w:tcPr>
            <w:tcW w:type="dxa" w:w="4873"/>
            <w:vAlign w:val="center"/>
          </w:tcPr>
          <w:p>
            <w:pPr>
              <w:spacing w:line="276" w:lineRule="auto" w:before="0" w:after="0"/>
            </w:pPr>
            <w:r/>
            <w:r>
              <w:rPr>
                <w:rFonts w:ascii="Figtree" w:hAnsi="Figtree"/>
                <w:b w:val="0"/>
                <w:i w:val="0"/>
                <w:sz w:val="20"/>
              </w:rPr>
              <w:t>SettleMint NV, Kempische Steenweg 311/4.01, 3500 Hasselt, Belgium</w:t>
            </w:r>
          </w:p>
        </w:tc>
      </w:tr>
      <w:tr>
        <w:trPr>
          <w:trHeight w:val="425" w:hRule="atLeast"/>
        </w:trPr>
        <w:tc>
          <w:tcPr>
            <w:tcW w:type="dxa" w:w="4873"/>
            <w:vAlign w:val="center"/>
          </w:tcPr>
          <w:p>
            <w:pPr>
              <w:spacing w:line="276" w:lineRule="auto" w:before="0" w:after="0"/>
            </w:pPr>
            <w:r/>
            <w:r>
              <w:rPr>
                <w:rFonts w:ascii="Figtree" w:hAnsi="Figtree"/>
                <w:b w:val="0"/>
                <w:i w:val="0"/>
                <w:sz w:val="20"/>
              </w:rPr>
              <w:t>Valid until</w:t>
            </w:r>
          </w:p>
        </w:tc>
        <w:tc>
          <w:tcPr>
            <w:tcW w:type="dxa" w:w="4873"/>
            <w:vAlign w:val="center"/>
          </w:tcPr>
          <w:p>
            <w:pPr>
              <w:spacing w:line="276" w:lineRule="auto" w:before="0" w:after="0"/>
            </w:pPr>
            <w:r/>
            <w:r>
              <w:rPr>
                <w:rFonts w:ascii="Figtree" w:hAnsi="Figtree"/>
                <w:b w:val="0"/>
                <w:i w:val="0"/>
                <w:sz w:val="20"/>
              </w:rPr>
              <w:t>June 2026</w:t>
            </w:r>
          </w:p>
        </w:tc>
      </w:tr>
    </w:tbl>
    <w:p>
      <w:pPr>
        <w:spacing w:before="0" w:after="0" w:line="120" w:lineRule="exact"/>
      </w:pPr>
    </w:p>
    <w:p>
      <w:r>
        <w:br w:type="page"/>
      </w:r>
    </w:p>
    <w:p>
      <w:pPr>
        <w:pStyle w:val="H1"/>
        <w:numPr>
          <w:ilvl w:val="0"/>
          <w:numId w:val="1"/>
        </w:numPr>
      </w:pPr>
      <w:r>
        <w:t>Executive Summary</w:t>
      </w:r>
    </w:p>
    <w:p>
      <w:pPr>
        <w:pStyle w:val="H2"/>
        <w:numPr>
          <w:ilvl w:val="1"/>
          <w:numId w:val="1"/>
        </w:numPr>
      </w:pPr>
      <w:r>
        <w:t>Context and Strategic Drivers</w:t>
      </w:r>
    </w:p>
    <w:p>
      <w:r>
        <w:rPr>
          <w:rFonts w:ascii="Figtree" w:hAnsi="Figtree"/>
          <w:b w:val="0"/>
          <w:i w:val="0"/>
          <w:sz w:val="22"/>
        </w:rPr>
        <w:t>National Bank of Egypt (NBE) is procuring digital asset core infrastructure for regulated institutional products as a business-critical capability operating within a control environment shaped by the Central Bank of Egypt (CBE) and Financial Regulatory Authority (FRA) supervisory frameworks. As Egypt's largest and oldest commercial bank, NBE requires production-grade infrastructure that can support multiple digital asset product types across institutional and potentially retail segments, with the governance, compliance, and operational reliability that regulatory oversight demands.</w:t>
      </w:r>
    </w:p>
    <w:p>
      <w:r>
        <w:rPr>
          <w:rFonts w:ascii="Figtree" w:hAnsi="Figtree"/>
          <w:b w:val="0"/>
          <w:i w:val="0"/>
          <w:sz w:val="22"/>
        </w:rPr>
        <w:t>DALP delivers deterministic settlement finality in under 3 seconds with compliance enforcement built into every transaction, providing the performance and control characteristics that institutional digital asset products require.</w:t>
      </w:r>
    </w:p>
    <w:p>
      <w:pPr>
        <w:pStyle w:val="H2"/>
        <w:numPr>
          <w:ilvl w:val="1"/>
          <w:numId w:val="1"/>
        </w:numPr>
      </w:pPr>
      <w:r>
        <w:t>Why This Programme Is Hard</w:t>
      </w:r>
    </w:p>
    <w:p>
      <w:r>
        <w:rPr>
          <w:rFonts w:ascii="Figtree" w:hAnsi="Figtree"/>
          <w:b w:val="0"/>
          <w:i w:val="0"/>
          <w:sz w:val="22"/>
        </w:rPr>
        <w:t>Digital asset core infrastructure for a bank of NBE's scale must support multiple asset classes simultaneously, from bonds and deposits through to potentially equities and structured products. The platform must integrate with NBE's extensive branch network systems, core banking infrastructure, identity and KYC processes, and regulatory reporting. Egypt's evolving digital asset regulatory framework requires a platform that can adapt compliance controls as CBE and FRA guidance matures.</w:t>
      </w:r>
    </w:p>
    <w:p>
      <w:r>
        <w:rPr>
          <w:rFonts w:ascii="Figtree" w:hAnsi="Figtree"/>
          <w:b w:val="0"/>
          <w:i w:val="0"/>
          <w:sz w:val="22"/>
        </w:rPr>
        <w:t>The "core infrastructure" designation means this is not a single-product deployment; it is the foundation on which multiple digital asset products will be built over time. This demands architectural flexibility, multi-asset lifecycle management, and the ability to add new product types without replacing or substantially modifying the underlying platform.</w:t>
      </w:r>
    </w:p>
    <w:p>
      <w:pPr>
        <w:pStyle w:val="H2"/>
        <w:numPr>
          <w:ilvl w:val="1"/>
          <w:numId w:val="1"/>
        </w:numPr>
      </w:pPr>
      <w:r>
        <w:t>Proposed Response</w:t>
      </w:r>
    </w:p>
    <w:p>
      <w:r>
        <w:rPr>
          <w:rFonts w:ascii="Figtree" w:hAnsi="Figtree"/>
          <w:b w:val="0"/>
          <w:i w:val="0"/>
          <w:sz w:val="22"/>
        </w:rPr>
        <w:t>SettleMint proposes DALP as the core digital asset infrastructure for NBE's regulated institutional products. DALP's multi-asset architecture, covering bonds, equities, funds, deposits, stablecoins, real estate, and precious metals through purpose-built templates, plus a configurable token for novel asset classes, provides the product breadth NBE requires. The deployment model uses dedicated cloud with Egypt-resident infrastructure.</w:t>
      </w:r>
    </w:p>
    <w:p>
      <w:pPr>
        <w:jc w:val="center"/>
      </w:pPr>
      <w:r>
        <w:drawing>
          <wp:inline xmlns:a="http://schemas.openxmlformats.org/drawingml/2006/main" xmlns:pic="http://schemas.openxmlformats.org/drawingml/2006/picture">
            <wp:extent cx="5486400" cy="468863"/>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468863"/>
                    </a:xfrm>
                    <a:prstGeom prst="rect"/>
                  </pic:spPr>
                </pic:pic>
              </a:graphicData>
            </a:graphic>
          </wp:inline>
        </w:drawing>
      </w:r>
    </w:p>
    <w:p>
      <w:pPr>
        <w:pStyle w:val="H2"/>
        <w:numPr>
          <w:ilvl w:val="1"/>
          <w:numId w:val="1"/>
        </w:numPr>
      </w:pPr>
      <w:r>
        <w:t>Why SettleMint</w:t>
      </w:r>
    </w:p>
    <w:p>
      <w:r>
        <w:rPr>
          <w:rFonts w:ascii="Figtree" w:hAnsi="Figtree"/>
          <w:b w:val="0"/>
          <w:i w:val="0"/>
          <w:sz w:val="22"/>
        </w:rPr>
        <w:t>Nearly a decade of production experience. Sovereign-scale Middle East programmes (Saudi RER, IsDB). Multi-year regulated bank deployments (OCBC, Standard Chartered, SBI). Bond-specific credentials (Commerzbank, Mizuho). Multi-asset platform capability proven across 7 asset classes in production.</w:t>
      </w:r>
    </w:p>
    <w:p>
      <w:pPr>
        <w:pStyle w:val="H2"/>
        <w:numPr>
          <w:ilvl w:val="1"/>
          <w:numId w:val="1"/>
        </w:numPr>
      </w:pPr>
      <w:r>
        <w:t>Why DALP</w:t>
      </w:r>
    </w:p>
    <w:p>
      <w:r>
        <w:rPr>
          <w:rFonts w:ascii="Figtree" w:hAnsi="Figtree"/>
          <w:b w:val="0"/>
          <w:i w:val="0"/>
          <w:sz w:val="22"/>
        </w:rPr>
        <w:t>DALP uniquely provides multi-asset lifecycle coverage through a single platform. The 7 pre-built asset templates plus configurable token mean NBE can launch bonds first, then add deposits, equities, or funds using the same compliance engine, governance model, and operational tooling. This eliminates the need to procure separate platforms for each product type and ensures consistent compliance enforcement across all digital asset products.</w:t>
      </w:r>
    </w:p>
    <w:p>
      <w:pPr>
        <w:pStyle w:val="H2"/>
        <w:numPr>
          <w:ilvl w:val="1"/>
          <w:numId w:val="1"/>
        </w:numPr>
      </w:pPr>
      <w:r>
        <w:t>Reference Fit Snapshot</w:t>
      </w:r>
    </w:p>
    <w:p>
      <w:pPr>
        <w:pStyle w:val="ListParagraph"/>
        <w:numPr>
          <w:ilvl w:val="0"/>
          <w:numId w:val="4"/>
        </w:numPr>
      </w:pPr>
      <w:r>
        <w:rPr>
          <w:rFonts w:ascii="Figtree" w:hAnsi="Figtree"/>
          <w:b/>
          <w:i w:val="0"/>
          <w:sz w:val="22"/>
        </w:rPr>
        <w:t>Saudi RER</w:t>
      </w:r>
      <w:r>
        <w:rPr>
          <w:rFonts w:ascii="Figtree" w:hAnsi="Figtree"/>
          <w:b w:val="0"/>
          <w:i w:val="0"/>
          <w:sz w:val="22"/>
        </w:rPr>
        <w:t>: National-scale tokenization with deep government system integration, relevant to NBE's Egyptian public-sector context</w:t>
      </w:r>
    </w:p>
    <w:p>
      <w:pPr>
        <w:pStyle w:val="ListParagraph"/>
        <w:numPr>
          <w:ilvl w:val="0"/>
          <w:numId w:val="4"/>
        </w:numPr>
      </w:pPr>
      <w:r>
        <w:rPr>
          <w:rFonts w:ascii="Figtree" w:hAnsi="Figtree"/>
          <w:b/>
          <w:i w:val="0"/>
          <w:sz w:val="22"/>
        </w:rPr>
        <w:t>IsDB</w:t>
      </w:r>
      <w:r>
        <w:rPr>
          <w:rFonts w:ascii="Figtree" w:hAnsi="Figtree"/>
          <w:b w:val="0"/>
          <w:i w:val="0"/>
          <w:sz w:val="22"/>
        </w:rPr>
        <w:t>: Multi-country financial infrastructure serving 57 member countries, demonstrating scale and multi-jurisdictional governance</w:t>
      </w:r>
    </w:p>
    <w:p>
      <w:pPr>
        <w:pStyle w:val="ListParagraph"/>
        <w:numPr>
          <w:ilvl w:val="0"/>
          <w:numId w:val="4"/>
        </w:numPr>
      </w:pPr>
      <w:r>
        <w:rPr>
          <w:rFonts w:ascii="Figtree" w:hAnsi="Figtree"/>
          <w:b/>
          <w:i w:val="0"/>
          <w:sz w:val="22"/>
        </w:rPr>
        <w:t>OCBC Bank</w:t>
      </w:r>
      <w:r>
        <w:rPr>
          <w:rFonts w:ascii="Figtree" w:hAnsi="Figtree"/>
          <w:b w:val="0"/>
          <w:i w:val="0"/>
          <w:sz w:val="22"/>
        </w:rPr>
        <w:t>: Multi-asset security token engine for institutional distribution, demonstrating the core infrastructure use case</w:t>
      </w:r>
    </w:p>
    <w:p>
      <w:r>
        <w:br w:type="page"/>
      </w:r>
    </w:p>
    <w:p>
      <w:pPr>
        <w:pStyle w:val="H1"/>
        <w:numPr>
          <w:ilvl w:val="0"/>
          <w:numId w:val="1"/>
        </w:numPr>
      </w:pPr>
      <w:r>
        <w:t>About SettleMint</w:t>
      </w:r>
    </w:p>
    <w:p>
      <w:pPr>
        <w:pStyle w:val="H2"/>
        <w:numPr>
          <w:ilvl w:val="1"/>
          <w:numId w:val="1"/>
        </w:numPr>
      </w:pPr>
      <w:r>
        <w:t>Company Overview</w:t>
      </w:r>
    </w:p>
    <w:p>
      <w:r>
        <w:rPr>
          <w:rFonts w:ascii="Figtree" w:hAnsi="Figtree"/>
          <w:b w:val="0"/>
          <w:i w:val="0"/>
          <w:sz w:val="22"/>
        </w:rPr>
        <w:t>Production-grade digital asset lifecycle management company with nearly 10 years of focus and 7+ years of continuous production at regulated banks. Multi-year deployments across bonds, equities, deposits, stablecoins, real estate, and funds.</w:t>
      </w:r>
    </w:p>
    <w:p>
      <w:pPr>
        <w:pStyle w:val="H2"/>
        <w:numPr>
          <w:ilvl w:val="1"/>
          <w:numId w:val="1"/>
        </w:numPr>
      </w:pPr>
      <w:r>
        <w:t>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14"/>
        <w:gridCol w:w="565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4873"/>
            <w:vAlign w:val="center"/>
          </w:tcPr>
          <w:p>
            <w:pPr>
              <w:spacing w:line="276" w:lineRule="auto" w:before="0" w:after="0"/>
            </w:pPr>
            <w:r/>
            <w:r>
              <w:rPr>
                <w:rFonts w:ascii="Figtree" w:hAnsi="Figtree"/>
                <w:b w:val="0"/>
                <w:i w:val="0"/>
                <w:sz w:val="20"/>
              </w:rPr>
              <w:t>Market Validation</w:t>
            </w:r>
          </w:p>
        </w:tc>
        <w:tc>
          <w:tcPr>
            <w:tcW w:type="dxa" w:w="4873"/>
            <w:vAlign w:val="center"/>
          </w:tcPr>
          <w:p>
            <w:pPr>
              <w:spacing w:line="276" w:lineRule="auto" w:before="0" w:after="0"/>
            </w:pPr>
            <w:r/>
            <w:r>
              <w:rPr>
                <w:rFonts w:ascii="Figtree" w:hAnsi="Figtree"/>
                <w:b w:val="0"/>
                <w:i w:val="0"/>
                <w:sz w:val="20"/>
              </w:rPr>
              <w:t>Nearly 10 years; 7+ years production</w:t>
            </w:r>
          </w:p>
        </w:tc>
      </w:tr>
      <w:tr>
        <w:trPr>
          <w:trHeight w:val="425" w:hRule="atLeast"/>
        </w:trPr>
        <w:tc>
          <w:tcPr>
            <w:tcW w:type="dxa" w:w="4873"/>
            <w:vAlign w:val="center"/>
          </w:tcPr>
          <w:p>
            <w:pPr>
              <w:spacing w:line="276" w:lineRule="auto" w:before="0" w:after="0"/>
            </w:pPr>
            <w:r/>
            <w:r>
              <w:rPr>
                <w:rFonts w:ascii="Figtree" w:hAnsi="Figtree"/>
                <w:b w:val="0"/>
                <w:i w:val="0"/>
                <w:sz w:val="20"/>
              </w:rPr>
              <w:t>Operational Maturity</w:t>
            </w:r>
          </w:p>
        </w:tc>
        <w:tc>
          <w:tcPr>
            <w:tcW w:type="dxa" w:w="4873"/>
            <w:vAlign w:val="center"/>
          </w:tcPr>
          <w:p>
            <w:pPr>
              <w:spacing w:line="276" w:lineRule="auto" w:before="0" w:after="0"/>
            </w:pPr>
            <w:r/>
            <w:r>
              <w:rPr>
                <w:rFonts w:ascii="Figtree" w:hAnsi="Figtree"/>
                <w:b w:val="0"/>
                <w:i w:val="0"/>
                <w:sz w:val="20"/>
              </w:rPr>
              <w:t>7 asset classes in production</w:t>
            </w:r>
          </w:p>
        </w:tc>
      </w:tr>
      <w:tr>
        <w:trPr>
          <w:trHeight w:val="425" w:hRule="atLeast"/>
        </w:trPr>
        <w:tc>
          <w:tcPr>
            <w:tcW w:type="dxa" w:w="4873"/>
            <w:vAlign w:val="center"/>
          </w:tcPr>
          <w:p>
            <w:pPr>
              <w:spacing w:line="276" w:lineRule="auto" w:before="0" w:after="0"/>
            </w:pPr>
            <w:r/>
            <w:r>
              <w:rPr>
                <w:rFonts w:ascii="Figtree" w:hAnsi="Figtree"/>
                <w:b w:val="0"/>
                <w:i w:val="0"/>
                <w:sz w:val="20"/>
              </w:rPr>
              <w:t>Sovereign Credibility</w:t>
            </w:r>
          </w:p>
        </w:tc>
        <w:tc>
          <w:tcPr>
            <w:tcW w:type="dxa" w:w="4873"/>
            <w:vAlign w:val="center"/>
          </w:tcPr>
          <w:p>
            <w:pPr>
              <w:spacing w:line="276" w:lineRule="auto" w:before="0" w:after="0"/>
            </w:pPr>
            <w:r/>
            <w:r>
              <w:rPr>
                <w:rFonts w:ascii="Figtree" w:hAnsi="Figtree"/>
                <w:b w:val="0"/>
                <w:i w:val="0"/>
                <w:sz w:val="20"/>
              </w:rPr>
              <w:t>National-scale Middle East programmes</w:t>
            </w:r>
          </w:p>
        </w:tc>
      </w:tr>
      <w:tr>
        <w:trPr>
          <w:trHeight w:val="425" w:hRule="atLeast"/>
        </w:trPr>
        <w:tc>
          <w:tcPr>
            <w:tcW w:type="dxa" w:w="4873"/>
            <w:vAlign w:val="center"/>
          </w:tcPr>
          <w:p>
            <w:pPr>
              <w:spacing w:line="276" w:lineRule="auto" w:before="0" w:after="0"/>
            </w:pPr>
            <w:r/>
            <w:r>
              <w:rPr>
                <w:rFonts w:ascii="Figtree" w:hAnsi="Figtree"/>
                <w:b w:val="0"/>
                <w:i w:val="0"/>
                <w:sz w:val="20"/>
              </w:rPr>
              <w:t>Team Depth</w:t>
            </w:r>
          </w:p>
        </w:tc>
        <w:tc>
          <w:tcPr>
            <w:tcW w:type="dxa" w:w="4873"/>
            <w:vAlign w:val="center"/>
          </w:tcPr>
          <w:p>
            <w:pPr>
              <w:spacing w:line="276" w:lineRule="auto" w:before="0" w:after="0"/>
            </w:pPr>
            <w:r/>
            <w:r>
              <w:rPr>
                <w:rFonts w:ascii="Figtree" w:hAnsi="Figtree"/>
                <w:b w:val="0"/>
                <w:i w:val="0"/>
                <w:sz w:val="20"/>
              </w:rPr>
              <w:t>200+ years combined experience</w:t>
            </w:r>
          </w:p>
        </w:tc>
      </w:tr>
    </w:tbl>
    <w:p>
      <w:pPr>
        <w:spacing w:before="0" w:after="0" w:line="120" w:lineRule="exact"/>
      </w:pPr>
    </w:p>
    <w:p>
      <w:pPr>
        <w:pStyle w:val="H2"/>
        <w:numPr>
          <w:ilvl w:val="1"/>
          <w:numId w:val="1"/>
        </w:numPr>
      </w:pPr>
      <w:r>
        <w:t>Regulatory Readiness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97"/>
        <w:gridCol w:w="587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Jurisdiction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Support</w:t>
            </w:r>
          </w:p>
        </w:tc>
      </w:tr>
      <w:tr>
        <w:trPr>
          <w:trHeight w:val="425" w:hRule="atLeast"/>
        </w:trPr>
        <w:tc>
          <w:tcPr>
            <w:tcW w:type="dxa" w:w="4873"/>
            <w:vAlign w:val="center"/>
          </w:tcPr>
          <w:p>
            <w:pPr>
              <w:spacing w:line="276" w:lineRule="auto" w:before="0" w:after="0"/>
            </w:pPr>
            <w:r/>
            <w:r>
              <w:rPr>
                <w:rFonts w:ascii="Figtree" w:hAnsi="Figtree"/>
                <w:b w:val="0"/>
                <w:i w:val="0"/>
                <w:sz w:val="20"/>
              </w:rPr>
              <w:t>Egypt (CBE, FRA)</w:t>
            </w:r>
          </w:p>
        </w:tc>
        <w:tc>
          <w:tcPr>
            <w:tcW w:type="dxa" w:w="4873"/>
            <w:vAlign w:val="center"/>
          </w:tcPr>
          <w:p>
            <w:pPr>
              <w:spacing w:line="276" w:lineRule="auto" w:before="0" w:after="0"/>
            </w:pPr>
            <w:r/>
            <w:r>
              <w:rPr>
                <w:rFonts w:ascii="Figtree" w:hAnsi="Figtree"/>
                <w:b w:val="0"/>
                <w:i w:val="0"/>
                <w:sz w:val="20"/>
              </w:rPr>
              <w:t>Controls mapped; buyer interprets</w:t>
            </w:r>
          </w:p>
        </w:tc>
      </w:tr>
      <w:tr>
        <w:trPr>
          <w:trHeight w:val="425" w:hRule="atLeast"/>
        </w:trPr>
        <w:tc>
          <w:tcPr>
            <w:tcW w:type="dxa" w:w="4873"/>
            <w:vAlign w:val="center"/>
          </w:tcPr>
          <w:p>
            <w:pPr>
              <w:spacing w:line="276" w:lineRule="auto" w:before="0" w:after="0"/>
            </w:pPr>
            <w:r/>
            <w:r>
              <w:rPr>
                <w:rFonts w:ascii="Figtree" w:hAnsi="Figtree"/>
                <w:b w:val="0"/>
                <w:i w:val="0"/>
                <w:sz w:val="20"/>
              </w:rPr>
              <w:t>EU (MiCA)</w:t>
            </w:r>
          </w:p>
        </w:tc>
        <w:tc>
          <w:tcPr>
            <w:tcW w:type="dxa" w:w="4873"/>
            <w:vAlign w:val="center"/>
          </w:tcPr>
          <w:p>
            <w:pPr>
              <w:spacing w:line="276" w:lineRule="auto" w:before="0" w:after="0"/>
            </w:pPr>
            <w:r/>
            <w:r>
              <w:rPr>
                <w:rFonts w:ascii="Figtree" w:hAnsi="Figtree"/>
                <w:b w:val="0"/>
                <w:i w:val="0"/>
                <w:sz w:val="20"/>
              </w:rPr>
              <w:t>Native templates</w:t>
            </w:r>
          </w:p>
        </w:tc>
      </w:tr>
      <w:tr>
        <w:trPr>
          <w:trHeight w:val="425" w:hRule="atLeast"/>
        </w:trPr>
        <w:tc>
          <w:tcPr>
            <w:tcW w:type="dxa" w:w="4873"/>
            <w:vAlign w:val="center"/>
          </w:tcPr>
          <w:p>
            <w:pPr>
              <w:spacing w:line="276" w:lineRule="auto" w:before="0" w:after="0"/>
            </w:pPr>
            <w:r/>
            <w:r>
              <w:rPr>
                <w:rFonts w:ascii="Figtree" w:hAnsi="Figtree"/>
                <w:b w:val="0"/>
                <w:i w:val="0"/>
                <w:sz w:val="20"/>
              </w:rPr>
              <w:t>GCC</w:t>
            </w:r>
          </w:p>
        </w:tc>
        <w:tc>
          <w:tcPr>
            <w:tcW w:type="dxa" w:w="4873"/>
            <w:vAlign w:val="center"/>
          </w:tcPr>
          <w:p>
            <w:pPr>
              <w:spacing w:line="276" w:lineRule="auto" w:before="0" w:after="0"/>
            </w:pPr>
            <w:r/>
            <w:r>
              <w:rPr>
                <w:rFonts w:ascii="Figtree" w:hAnsi="Figtree"/>
                <w:b w:val="0"/>
                <w:i w:val="0"/>
                <w:sz w:val="20"/>
              </w:rPr>
              <w:t>Supported</w:t>
            </w:r>
          </w:p>
        </w:tc>
      </w:tr>
      <w:tr>
        <w:trPr>
          <w:trHeight w:val="425" w:hRule="atLeast"/>
        </w:trPr>
        <w:tc>
          <w:tcPr>
            <w:tcW w:type="dxa" w:w="4873"/>
            <w:vAlign w:val="center"/>
          </w:tcPr>
          <w:p>
            <w:pPr>
              <w:spacing w:line="276" w:lineRule="auto" w:before="0" w:after="0"/>
            </w:pPr>
            <w:r/>
            <w:r>
              <w:rPr>
                <w:rFonts w:ascii="Figtree" w:hAnsi="Figtree"/>
                <w:b w:val="0"/>
                <w:i w:val="0"/>
                <w:sz w:val="20"/>
              </w:rPr>
              <w:t>Singapore (MAS)</w:t>
            </w:r>
          </w:p>
        </w:tc>
        <w:tc>
          <w:tcPr>
            <w:tcW w:type="dxa" w:w="4873"/>
            <w:vAlign w:val="center"/>
          </w:tcPr>
          <w:p>
            <w:pPr>
              <w:spacing w:line="276" w:lineRule="auto" w:before="0" w:after="0"/>
            </w:pPr>
            <w:r/>
            <w:r>
              <w:rPr>
                <w:rFonts w:ascii="Figtree" w:hAnsi="Figtree"/>
                <w:b w:val="0"/>
                <w:i w:val="0"/>
                <w:sz w:val="20"/>
              </w:rPr>
              <w:t>Modules available</w:t>
            </w:r>
          </w:p>
        </w:tc>
      </w:tr>
    </w:tbl>
    <w:p>
      <w:pPr>
        <w:spacing w:before="0" w:after="0" w:line="120" w:lineRule="exact"/>
      </w:pPr>
    </w:p>
    <w:p>
      <w:pPr>
        <w:jc w:val="center"/>
      </w:pPr>
      <w:r>
        <w:drawing>
          <wp:inline xmlns:a="http://schemas.openxmlformats.org/drawingml/2006/main" xmlns:pic="http://schemas.openxmlformats.org/drawingml/2006/picture">
            <wp:extent cx="5486400" cy="169089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1690890"/>
                    </a:xfrm>
                    <a:prstGeom prst="rect"/>
                  </pic:spPr>
                </pic:pic>
              </a:graphicData>
            </a:graphic>
          </wp:inline>
        </w:drawing>
      </w:r>
    </w:p>
    <w:p>
      <w:r>
        <w:br w:type="page"/>
      </w:r>
    </w:p>
    <w:p>
      <w:pPr>
        <w:pStyle w:val="H1"/>
        <w:numPr>
          <w:ilvl w:val="0"/>
          <w:numId w:val="1"/>
        </w:numPr>
      </w:pPr>
      <w:r>
        <w:t>About DALP</w:t>
      </w:r>
    </w:p>
    <w:p>
      <w:pPr>
        <w:pStyle w:val="H2"/>
        <w:numPr>
          <w:ilvl w:val="1"/>
          <w:numId w:val="1"/>
        </w:numPr>
      </w:pPr>
      <w:r>
        <w:t>Platform Overview</w:t>
      </w:r>
    </w:p>
    <w:p>
      <w:r>
        <w:rPr>
          <w:rFonts w:ascii="Figtree" w:hAnsi="Figtree"/>
          <w:b w:val="0"/>
          <w:i w:val="0"/>
          <w:sz w:val="22"/>
        </w:rPr>
        <w:t>Full digital asset lifecycle from design through retirement. Multi-asset platform supporting 7 asset classes plus configurable tokens. For NBE, DALP provides the foundational infrastructure on which multiple digital asset products can be launched and operated under a single governance model.</w:t>
      </w:r>
    </w:p>
    <w:p>
      <w:pPr>
        <w:pStyle w:val="H2"/>
        <w:numPr>
          <w:ilvl w:val="1"/>
          <w:numId w:val="1"/>
        </w:numPr>
      </w:pPr>
      <w:r>
        <w:t>Core Lifecycle Pillars</w:t>
      </w:r>
    </w:p>
    <w:p>
      <w:pPr>
        <w:pStyle w:val="H3"/>
        <w:numPr>
          <w:ilvl w:val="2"/>
          <w:numId w:val="1"/>
        </w:numPr>
      </w:pPr>
      <w:r>
        <w:t>Issuance</w:t>
      </w:r>
    </w:p>
    <w:p>
      <w:r>
        <w:rPr>
          <w:rFonts w:ascii="Figtree" w:hAnsi="Figtree"/>
          <w:b w:val="0"/>
          <w:i w:val="0"/>
          <w:sz w:val="22"/>
        </w:rPr>
        <w:t>7 purpose-built asset templates (bonds, equities, funds, deposits, stablecoins, real estate, precious metals) plus configurable token with up to 32 pluggable features. Asset Designer wizard. Deterministic orchestration with paused-by-default governance.</w:t>
      </w:r>
    </w:p>
    <w:p>
      <w:pPr>
        <w:pStyle w:val="H3"/>
        <w:numPr>
          <w:ilvl w:val="2"/>
          <w:numId w:val="1"/>
        </w:numPr>
      </w:pPr>
      <w:r>
        <w:t>Compliance</w:t>
      </w:r>
    </w:p>
    <w:p>
      <w:r>
        <w:rPr>
          <w:rFonts w:ascii="Figtree" w:hAnsi="Figtree"/>
          <w:b w:val="0"/>
          <w:i w:val="0"/>
          <w:sz w:val="22"/>
        </w:rPr>
        <w:t>18 compliance module types with ex-ante enforcement. ERC-3643 (T-REX) with OnchainID. Multi-jurisdictional support for CBE, FRA, and international frameworks.</w:t>
      </w:r>
    </w:p>
    <w:p>
      <w:pPr>
        <w:pStyle w:val="H3"/>
        <w:numPr>
          <w:ilvl w:val="2"/>
          <w:numId w:val="1"/>
        </w:numPr>
      </w:pPr>
      <w:r>
        <w:t>Custody</w:t>
      </w:r>
    </w:p>
    <w:p>
      <w:r>
        <w:rPr>
          <w:rFonts w:ascii="Figtree" w:hAnsi="Figtree"/>
          <w:b w:val="0"/>
          <w:i w:val="0"/>
          <w:sz w:val="22"/>
        </w:rPr>
        <w:t>Key Guardian with Fireblocks and DFNS. Maker-checker workflows. Provider-delegated transaction broadcast.</w:t>
      </w:r>
    </w:p>
    <w:p>
      <w:pPr>
        <w:pStyle w:val="H3"/>
        <w:numPr>
          <w:ilvl w:val="2"/>
          <w:numId w:val="1"/>
        </w:numPr>
      </w:pPr>
      <w:r>
        <w:t>Settlement</w:t>
      </w:r>
    </w:p>
    <w:p>
      <w:r>
        <w:rPr>
          <w:rFonts w:ascii="Figtree" w:hAnsi="Figtree"/>
          <w:b w:val="0"/>
          <w:i w:val="0"/>
          <w:sz w:val="22"/>
        </w:rPr>
        <w:t>Atomic DvP/XvP with T+0 finality. ISO 20022 for SWIFT, SEPA, RTGS. HTLC cross-chain settlement.</w:t>
      </w:r>
    </w:p>
    <w:p>
      <w:pPr>
        <w:pStyle w:val="H3"/>
        <w:numPr>
          <w:ilvl w:val="2"/>
          <w:numId w:val="1"/>
        </w:numPr>
      </w:pPr>
      <w:r>
        <w:t>Servicing</w:t>
      </w:r>
    </w:p>
    <w:p>
      <w:r>
        <w:rPr>
          <w:rFonts w:ascii="Figtree" w:hAnsi="Figtree"/>
          <w:b w:val="0"/>
          <w:i w:val="0"/>
          <w:sz w:val="22"/>
        </w:rPr>
        <w:t>Automated coupons, dividends, interest, maturity, corporate actions. Complete audit trail for every lifecycle event.</w:t>
      </w:r>
    </w:p>
    <w:p>
      <w:pPr>
        <w:jc w:val="center"/>
      </w:pPr>
      <w:r>
        <w:drawing>
          <wp:inline xmlns:a="http://schemas.openxmlformats.org/drawingml/2006/main" xmlns:pic="http://schemas.openxmlformats.org/drawingml/2006/picture">
            <wp:extent cx="5486400" cy="4632649"/>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4632649"/>
                    </a:xfrm>
                    <a:prstGeom prst="rect"/>
                  </pic:spPr>
                </pic:pic>
              </a:graphicData>
            </a:graphic>
          </wp:inline>
        </w:drawing>
      </w:r>
    </w:p>
    <w:p>
      <w:pPr>
        <w:pStyle w:val="H2"/>
        <w:numPr>
          <w:ilvl w:val="1"/>
          <w:numId w:val="1"/>
        </w:numPr>
      </w:pPr>
      <w:r>
        <w:t>Platform Foundations</w:t>
      </w:r>
    </w:p>
    <w:p>
      <w:r>
        <w:rPr>
          <w:rFonts w:ascii="Figtree" w:hAnsi="Figtree"/>
          <w:b w:val="0"/>
          <w:i w:val="0"/>
          <w:sz w:val="22"/>
        </w:rPr>
        <w:t>Identity and access (OnchainID, 5-role RBAC, KYC/KYB), integration (REST, GraphQL, webhooks, oRPC, SDK, CLI, ISO 20022), observability (Grafana, VictoriaMetrics, Loki, Tempo, 534 error codes).</w:t>
      </w:r>
    </w:p>
    <w:p>
      <w:r>
        <w:br w:type="page"/>
      </w:r>
    </w:p>
    <w:p>
      <w:pPr>
        <w:pStyle w:val="H1"/>
        <w:numPr>
          <w:ilvl w:val="0"/>
          <w:numId w:val="1"/>
        </w:numPr>
      </w:pPr>
      <w:r>
        <w:t>Customer References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32"/>
        <w:gridCol w:w="3084"/>
        <w:gridCol w:w="1451"/>
        <w:gridCol w:w="290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Multi-asset security tokens</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Core infrastructure use case</w:t>
            </w:r>
          </w:p>
        </w:tc>
      </w:tr>
      <w:tr>
        <w:trPr>
          <w:trHeight w:val="425" w:hRule="atLeast"/>
        </w:trPr>
        <w:tc>
          <w:tcPr>
            <w:tcW w:type="dxa" w:w="2436"/>
            <w:vAlign w:val="center"/>
          </w:tcPr>
          <w:p>
            <w:pPr>
              <w:spacing w:line="276" w:lineRule="auto" w:before="0" w:after="0"/>
            </w:pPr>
            <w:r/>
            <w:r>
              <w:rPr>
                <w:rFonts w:ascii="Figtree" w:hAnsi="Figtree"/>
                <w:b w:val="0"/>
                <w:i w:val="0"/>
                <w:sz w:val="20"/>
              </w:rPr>
              <w:t>Saudi RER</w:t>
            </w:r>
          </w:p>
        </w:tc>
        <w:tc>
          <w:tcPr>
            <w:tcW w:type="dxa" w:w="2436"/>
            <w:vAlign w:val="center"/>
          </w:tcPr>
          <w:p>
            <w:pPr>
              <w:spacing w:line="276" w:lineRule="auto" w:before="0" w:after="0"/>
            </w:pPr>
            <w:r/>
            <w:r>
              <w:rPr>
                <w:rFonts w:ascii="Figtree" w:hAnsi="Figtree"/>
                <w:b w:val="0"/>
                <w:i w:val="0"/>
                <w:sz w:val="20"/>
              </w:rPr>
              <w:t>Country-scale tokenization</w:t>
            </w:r>
          </w:p>
        </w:tc>
        <w:tc>
          <w:tcPr>
            <w:tcW w:type="dxa" w:w="2436"/>
            <w:vAlign w:val="center"/>
          </w:tcPr>
          <w:p>
            <w:pPr>
              <w:spacing w:line="276" w:lineRule="auto" w:before="0" w:after="0"/>
            </w:pPr>
            <w:r/>
            <w:r>
              <w:rPr>
                <w:rFonts w:ascii="Figtree" w:hAnsi="Figtree"/>
                <w:b w:val="0"/>
                <w:i w:val="0"/>
                <w:sz w:val="20"/>
              </w:rPr>
              <w:t>KSA</w:t>
            </w:r>
          </w:p>
        </w:tc>
        <w:tc>
          <w:tcPr>
            <w:tcW w:type="dxa" w:w="2436"/>
            <w:vAlign w:val="center"/>
          </w:tcPr>
          <w:p>
            <w:pPr>
              <w:spacing w:line="276" w:lineRule="auto" w:before="0" w:after="0"/>
            </w:pPr>
            <w:r/>
            <w:r>
              <w:rPr>
                <w:rFonts w:ascii="Figtree" w:hAnsi="Figtree"/>
                <w:b w:val="0"/>
                <w:i w:val="0"/>
                <w:sz w:val="20"/>
              </w:rPr>
              <w:t>National-scale, Egyptian context</w:t>
            </w:r>
          </w:p>
        </w:tc>
      </w:tr>
      <w:tr>
        <w:trPr>
          <w:trHeight w:val="425" w:hRule="atLeast"/>
        </w:trPr>
        <w:tc>
          <w:tcPr>
            <w:tcW w:type="dxa" w:w="2436"/>
            <w:vAlign w:val="center"/>
          </w:tcPr>
          <w:p>
            <w:pPr>
              <w:spacing w:line="276" w:lineRule="auto" w:before="0" w:after="0"/>
            </w:pPr>
            <w:r/>
            <w:r>
              <w:rPr>
                <w:rFonts w:ascii="Figtree" w:hAnsi="Figtree"/>
                <w:b w:val="0"/>
                <w:i w:val="0"/>
                <w:sz w:val="20"/>
              </w:rPr>
              <w:t>IsDB</w:t>
            </w:r>
          </w:p>
        </w:tc>
        <w:tc>
          <w:tcPr>
            <w:tcW w:type="dxa" w:w="2436"/>
            <w:vAlign w:val="center"/>
          </w:tcPr>
          <w:p>
            <w:pPr>
              <w:spacing w:line="276" w:lineRule="auto" w:before="0" w:after="0"/>
            </w:pPr>
            <w:r/>
            <w:r>
              <w:rPr>
                <w:rFonts w:ascii="Figtree" w:hAnsi="Figtree"/>
                <w:b w:val="0"/>
                <w:i w:val="0"/>
                <w:sz w:val="20"/>
              </w:rPr>
              <w:t>Subsidy distribution, 57 countries</w:t>
            </w:r>
          </w:p>
        </w:tc>
        <w:tc>
          <w:tcPr>
            <w:tcW w:type="dxa" w:w="2436"/>
            <w:vAlign w:val="center"/>
          </w:tcPr>
          <w:p>
            <w:pPr>
              <w:spacing w:line="276" w:lineRule="auto" w:before="0" w:after="0"/>
            </w:pPr>
            <w:r/>
            <w:r>
              <w:rPr>
                <w:rFonts w:ascii="Figtree" w:hAnsi="Figtree"/>
                <w:b w:val="0"/>
                <w:i w:val="0"/>
                <w:sz w:val="20"/>
              </w:rPr>
              <w:t>Multi-region</w:t>
            </w:r>
          </w:p>
        </w:tc>
        <w:tc>
          <w:tcPr>
            <w:tcW w:type="dxa" w:w="2436"/>
            <w:vAlign w:val="center"/>
          </w:tcPr>
          <w:p>
            <w:pPr>
              <w:spacing w:line="276" w:lineRule="auto" w:before="0" w:after="0"/>
            </w:pPr>
            <w:r/>
            <w:r>
              <w:rPr>
                <w:rFonts w:ascii="Figtree" w:hAnsi="Figtree"/>
                <w:b w:val="0"/>
                <w:i w:val="0"/>
                <w:sz w:val="20"/>
              </w:rPr>
              <w:t>Multi-jurisdictional</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ETP issuance</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Fixed income</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w:t>
            </w:r>
          </w:p>
        </w:tc>
        <w:tc>
          <w:tcPr>
            <w:tcW w:type="dxa" w:w="2436"/>
            <w:vAlign w:val="center"/>
          </w:tcPr>
          <w:p>
            <w:pPr>
              <w:spacing w:line="276" w:lineRule="auto" w:before="0" w:after="0"/>
            </w:pPr>
            <w:r/>
            <w:r>
              <w:rPr>
                <w:rFonts w:ascii="Figtree" w:hAnsi="Figtree"/>
                <w:b w:val="0"/>
                <w:i w:val="0"/>
                <w:sz w:val="20"/>
              </w:rPr>
              <w:t>Digital exchange</w:t>
            </w:r>
          </w:p>
        </w:tc>
        <w:tc>
          <w:tcPr>
            <w:tcW w:type="dxa" w:w="2436"/>
            <w:vAlign w:val="center"/>
          </w:tcPr>
          <w:p>
            <w:pPr>
              <w:spacing w:line="276" w:lineRule="auto" w:before="0" w:after="0"/>
            </w:pPr>
            <w:r/>
            <w:r>
              <w:rPr>
                <w:rFonts w:ascii="Figtree" w:hAnsi="Figtree"/>
                <w:b w:val="0"/>
                <w:i w:val="0"/>
                <w:sz w:val="20"/>
              </w:rPr>
              <w:t>Asia, Africa, ME</w:t>
            </w:r>
          </w:p>
        </w:tc>
        <w:tc>
          <w:tcPr>
            <w:tcW w:type="dxa" w:w="2436"/>
            <w:vAlign w:val="center"/>
          </w:tcPr>
          <w:p>
            <w:pPr>
              <w:spacing w:line="276" w:lineRule="auto" w:before="0" w:after="0"/>
            </w:pPr>
            <w:r/>
            <w:r>
              <w:rPr>
                <w:rFonts w:ascii="Figtree" w:hAnsi="Figtree"/>
                <w:b w:val="0"/>
                <w:i w:val="0"/>
                <w:sz w:val="20"/>
              </w:rPr>
              <w:t>Multi-asset institutional</w:t>
            </w:r>
          </w:p>
        </w:tc>
      </w:tr>
      <w:tr>
        <w:trPr>
          <w:trHeight w:val="425" w:hRule="atLeast"/>
        </w:trPr>
        <w:tc>
          <w:tcPr>
            <w:tcW w:type="dxa" w:w="2436"/>
            <w:vAlign w:val="center"/>
          </w:tcPr>
          <w:p>
            <w:pPr>
              <w:spacing w:line="276" w:lineRule="auto" w:before="0" w:after="0"/>
            </w:pPr>
            <w:r/>
            <w:r>
              <w:rPr>
                <w:rFonts w:ascii="Figtree" w:hAnsi="Figtree"/>
                <w:b w:val="0"/>
                <w:i w:val="0"/>
                <w:sz w:val="20"/>
              </w:rPr>
              <w:t>SBI</w:t>
            </w:r>
          </w:p>
        </w:tc>
        <w:tc>
          <w:tcPr>
            <w:tcW w:type="dxa" w:w="2436"/>
            <w:vAlign w:val="center"/>
          </w:tcPr>
          <w:p>
            <w:pPr>
              <w:spacing w:line="276" w:lineRule="auto" w:before="0" w:after="0"/>
            </w:pPr>
            <w:r/>
            <w:r>
              <w:rPr>
                <w:rFonts w:ascii="Figtree" w:hAnsi="Figtree"/>
                <w:b w:val="0"/>
                <w:i w:val="0"/>
                <w:sz w:val="20"/>
              </w:rPr>
              <w:t>CBDC infrastructure</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National digital currency</w:t>
            </w:r>
          </w:p>
        </w:tc>
      </w:tr>
      <w:tr>
        <w:trPr>
          <w:trHeight w:val="425" w:hRule="atLeast"/>
        </w:trPr>
        <w:tc>
          <w:tcPr>
            <w:tcW w:type="dxa" w:w="2436"/>
            <w:vAlign w:val="center"/>
          </w:tcPr>
          <w:p>
            <w:pPr>
              <w:spacing w:line="276" w:lineRule="auto" w:before="0" w:after="0"/>
            </w:pPr>
            <w:r/>
            <w:r>
              <w:rPr>
                <w:rFonts w:ascii="Figtree" w:hAnsi="Figtree"/>
                <w:b w:val="0"/>
                <w:i w:val="0"/>
                <w:sz w:val="20"/>
              </w:rPr>
              <w:t>Mizuho</w:t>
            </w:r>
          </w:p>
        </w:tc>
        <w:tc>
          <w:tcPr>
            <w:tcW w:type="dxa" w:w="2436"/>
            <w:vAlign w:val="center"/>
          </w:tcPr>
          <w:p>
            <w:pPr>
              <w:spacing w:line="276" w:lineRule="auto" w:before="0" w:after="0"/>
            </w:pPr>
            <w:r/>
            <w:r>
              <w:rPr>
                <w:rFonts w:ascii="Figtree" w:hAnsi="Figtree"/>
                <w:b w:val="0"/>
                <w:i w:val="0"/>
                <w:sz w:val="20"/>
              </w:rPr>
              <w:t>Bond tokenization</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Fixed income</w:t>
            </w:r>
          </w:p>
        </w:tc>
      </w:tr>
      <w:tr>
        <w:trPr>
          <w:trHeight w:val="425" w:hRule="atLeast"/>
        </w:trPr>
        <w:tc>
          <w:tcPr>
            <w:tcW w:type="dxa" w:w="2436"/>
            <w:vAlign w:val="center"/>
          </w:tcPr>
          <w:p>
            <w:pPr>
              <w:spacing w:line="276" w:lineRule="auto" w:before="0" w:after="0"/>
            </w:pPr>
            <w:r/>
            <w:r>
              <w:rPr>
                <w:rFonts w:ascii="Figtree" w:hAnsi="Figtree"/>
                <w:b w:val="0"/>
                <w:i w:val="0"/>
                <w:sz w:val="20"/>
              </w:rPr>
              <w:t>Maybank</w:t>
            </w:r>
          </w:p>
        </w:tc>
        <w:tc>
          <w:tcPr>
            <w:tcW w:type="dxa" w:w="2436"/>
            <w:vAlign w:val="center"/>
          </w:tcPr>
          <w:p>
            <w:pPr>
              <w:spacing w:line="276" w:lineRule="auto" w:before="0" w:after="0"/>
            </w:pPr>
            <w:r/>
            <w:r>
              <w:rPr>
                <w:rFonts w:ascii="Figtree" w:hAnsi="Figtree"/>
                <w:b w:val="0"/>
                <w:i w:val="0"/>
                <w:sz w:val="20"/>
              </w:rPr>
              <w:t>FX tokenization</w:t>
            </w:r>
          </w:p>
        </w:tc>
        <w:tc>
          <w:tcPr>
            <w:tcW w:type="dxa" w:w="2436"/>
            <w:vAlign w:val="center"/>
          </w:tcPr>
          <w:p>
            <w:pPr>
              <w:spacing w:line="276" w:lineRule="auto" w:before="0" w:after="0"/>
            </w:pPr>
            <w:r/>
            <w:r>
              <w:rPr>
                <w:rFonts w:ascii="Figtree" w:hAnsi="Figtree"/>
                <w:b w:val="0"/>
                <w:i w:val="0"/>
                <w:sz w:val="20"/>
              </w:rPr>
              <w:t>Malaysia</w:t>
            </w:r>
          </w:p>
        </w:tc>
        <w:tc>
          <w:tcPr>
            <w:tcW w:type="dxa" w:w="2436"/>
            <w:vAlign w:val="center"/>
          </w:tcPr>
          <w:p>
            <w:pPr>
              <w:spacing w:line="276" w:lineRule="auto" w:before="0" w:after="0"/>
            </w:pPr>
            <w:r/>
            <w:r>
              <w:rPr>
                <w:rFonts w:ascii="Figtree" w:hAnsi="Figtree"/>
                <w:b w:val="0"/>
                <w:i w:val="0"/>
                <w:sz w:val="20"/>
              </w:rPr>
              <w:t>Cross-border</w:t>
            </w:r>
          </w:p>
        </w:tc>
      </w:tr>
      <w:tr>
        <w:trPr>
          <w:trHeight w:val="425" w:hRule="atLeast"/>
        </w:trPr>
        <w:tc>
          <w:tcPr>
            <w:tcW w:type="dxa" w:w="2436"/>
            <w:vAlign w:val="center"/>
          </w:tcPr>
          <w:p>
            <w:pPr>
              <w:spacing w:line="276" w:lineRule="auto" w:before="0" w:after="0"/>
            </w:pPr>
            <w:r/>
            <w:r>
              <w:rPr>
                <w:rFonts w:ascii="Figtree" w:hAnsi="Figtree"/>
                <w:b w:val="0"/>
                <w:i w:val="0"/>
                <w:sz w:val="20"/>
              </w:rPr>
              <w:t>Sony Bank</w:t>
            </w:r>
          </w:p>
        </w:tc>
        <w:tc>
          <w:tcPr>
            <w:tcW w:type="dxa" w:w="2436"/>
            <w:vAlign w:val="center"/>
          </w:tcPr>
          <w:p>
            <w:pPr>
              <w:spacing w:line="276" w:lineRule="auto" w:before="0" w:after="0"/>
            </w:pPr>
            <w:r/>
            <w:r>
              <w:rPr>
                <w:rFonts w:ascii="Figtree" w:hAnsi="Figtree"/>
                <w:b w:val="0"/>
                <w:i w:val="0"/>
                <w:sz w:val="20"/>
              </w:rPr>
              <w:t>Stablecoin</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Deposit/stablecoin</w:t>
            </w:r>
          </w:p>
        </w:tc>
      </w:tr>
      <w:tr>
        <w:trPr>
          <w:trHeight w:val="425" w:hRule="atLeast"/>
        </w:trPr>
        <w:tc>
          <w:tcPr>
            <w:tcW w:type="dxa" w:w="2436"/>
            <w:vAlign w:val="center"/>
          </w:tcPr>
          <w:p>
            <w:pPr>
              <w:spacing w:line="276" w:lineRule="auto" w:before="0" w:after="0"/>
            </w:pPr>
            <w:r/>
            <w:r>
              <w:rPr>
                <w:rFonts w:ascii="Figtree" w:hAnsi="Figtree"/>
                <w:b w:val="0"/>
                <w:i w:val="0"/>
                <w:sz w:val="20"/>
              </w:rPr>
              <w:t>KBC Securities</w:t>
            </w:r>
          </w:p>
        </w:tc>
        <w:tc>
          <w:tcPr>
            <w:tcW w:type="dxa" w:w="2436"/>
            <w:vAlign w:val="center"/>
          </w:tcPr>
          <w:p>
            <w:pPr>
              <w:spacing w:line="276" w:lineRule="auto" w:before="0" w:after="0"/>
            </w:pPr>
            <w:r/>
            <w:r>
              <w:rPr>
                <w:rFonts w:ascii="Figtree" w:hAnsi="Figtree"/>
                <w:b w:val="0"/>
                <w:i w:val="0"/>
                <w:sz w:val="20"/>
              </w:rPr>
              <w:t>Equity crowdfunding</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Multi-asset lifecycle</w:t>
            </w:r>
          </w:p>
        </w:tc>
      </w:tr>
    </w:tbl>
    <w:p>
      <w:pPr>
        <w:spacing w:before="0" w:after="0" w:line="120" w:lineRule="exact"/>
      </w:pPr>
    </w:p>
    <w:p>
      <w:pPr>
        <w:pStyle w:val="H2"/>
        <w:numPr>
          <w:ilvl w:val="1"/>
          <w:numId w:val="1"/>
        </w:numPr>
      </w:pPr>
      <w:r>
        <w:t>Expanded Reference: OCBC Bank</w:t>
      </w:r>
    </w:p>
    <w:p>
      <w:r>
        <w:rPr>
          <w:rFonts w:ascii="Figtree" w:hAnsi="Figtree"/>
          <w:b w:val="0"/>
          <w:i w:val="0"/>
          <w:sz w:val="22"/>
        </w:rPr>
        <w:t>OCBC Bank deployed SettleMint's security token engine for securitization, tokenization, and fractionalization of off-chain assets targeting HNWIs and HENRYs. The solution spans bonds, SPVs, stocks, and real estate with a secure end-user interface, order book management, and cash position tracking. This reference demonstrates the "core infrastructure" model NBE is seeking: a single platform supporting multiple asset types for institutional distribution.</w:t>
      </w:r>
    </w:p>
    <w:p>
      <w:pPr>
        <w:pStyle w:val="H2"/>
        <w:numPr>
          <w:ilvl w:val="1"/>
          <w:numId w:val="1"/>
        </w:numPr>
      </w:pPr>
      <w:r>
        <w:t>Expanded Reference: Saudi RER</w:t>
      </w:r>
    </w:p>
    <w:p>
      <w:r>
        <w:rPr>
          <w:rFonts w:ascii="Figtree" w:hAnsi="Figtree"/>
          <w:b w:val="0"/>
          <w:i w:val="0"/>
          <w:sz w:val="22"/>
        </w:rPr>
        <w:t>Country-scale blockchain infrastructure for real estate registration, fractionalization, and marketplace. Deep integration with government registry, billing, escrow, and administrative systems. Demonstrates national-scale delivery discipline relevant to NBE's position as Egypt's leading public-sector bank.</w:t>
      </w:r>
    </w:p>
    <w:p>
      <w:r>
        <w:br w:type="page"/>
      </w:r>
    </w:p>
    <w:p>
      <w:pPr>
        <w:pStyle w:val="H1"/>
        <w:numPr>
          <w:ilvl w:val="0"/>
          <w:numId w:val="1"/>
        </w:numPr>
      </w:pPr>
      <w:r>
        <w:t>Understanding of Requirements</w:t>
      </w:r>
    </w:p>
    <w:p>
      <w:pPr>
        <w:pStyle w:val="H2"/>
        <w:numPr>
          <w:ilvl w:val="1"/>
          <w:numId w:val="1"/>
        </w:numPr>
      </w:pPr>
      <w:r>
        <w:t>Requirement Domains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06"/>
        <w:gridCol w:w="4347"/>
        <w:gridCol w:w="311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NBE 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Multi-Asset Scope</w:t>
            </w:r>
          </w:p>
        </w:tc>
        <w:tc>
          <w:tcPr>
            <w:tcW w:type="dxa" w:w="3249"/>
            <w:vAlign w:val="center"/>
          </w:tcPr>
          <w:p>
            <w:pPr>
              <w:spacing w:line="276" w:lineRule="auto" w:before="0" w:after="0"/>
            </w:pPr>
            <w:r/>
            <w:r>
              <w:rPr>
                <w:rFonts w:ascii="Figtree" w:hAnsi="Figtree"/>
                <w:b w:val="0"/>
                <w:i w:val="0"/>
                <w:sz w:val="20"/>
              </w:rPr>
              <w:t>Core infrastructure for multiple product types</w:t>
            </w:r>
          </w:p>
        </w:tc>
        <w:tc>
          <w:tcPr>
            <w:tcW w:type="dxa" w:w="3249"/>
            <w:vAlign w:val="center"/>
          </w:tcPr>
          <w:p>
            <w:pPr>
              <w:spacing w:line="276" w:lineRule="auto" w:before="0" w:after="0"/>
            </w:pPr>
            <w:r/>
            <w:r>
              <w:rPr>
                <w:rFonts w:ascii="Figtree" w:hAnsi="Figtree"/>
                <w:b w:val="0"/>
                <w:i w:val="0"/>
                <w:sz w:val="20"/>
              </w:rPr>
              <w:t>7 templates + configurable token</w:t>
            </w:r>
          </w:p>
        </w:tc>
      </w:tr>
      <w:tr>
        <w:trPr>
          <w:trHeight w:val="425" w:hRule="atLeast"/>
        </w:trPr>
        <w:tc>
          <w:tcPr>
            <w:tcW w:type="dxa" w:w="3249"/>
            <w:vAlign w:val="center"/>
          </w:tcPr>
          <w:p>
            <w:pPr>
              <w:spacing w:line="276" w:lineRule="auto" w:before="0" w:after="0"/>
            </w:pPr>
            <w:r/>
            <w:r>
              <w:rPr>
                <w:rFonts w:ascii="Figtree" w:hAnsi="Figtree"/>
                <w:b w:val="0"/>
                <w:i w:val="0"/>
                <w:sz w:val="20"/>
              </w:rPr>
              <w:t>Identity</w:t>
            </w:r>
          </w:p>
        </w:tc>
        <w:tc>
          <w:tcPr>
            <w:tcW w:type="dxa" w:w="3249"/>
            <w:vAlign w:val="center"/>
          </w:tcPr>
          <w:p>
            <w:pPr>
              <w:spacing w:line="276" w:lineRule="auto" w:before="0" w:after="0"/>
            </w:pPr>
            <w:r/>
            <w:r>
              <w:rPr>
                <w:rFonts w:ascii="Figtree" w:hAnsi="Figtree"/>
                <w:b w:val="0"/>
                <w:i w:val="0"/>
                <w:sz w:val="20"/>
              </w:rPr>
              <w:t>Integration with NBE identity systems</w:t>
            </w:r>
          </w:p>
        </w:tc>
        <w:tc>
          <w:tcPr>
            <w:tcW w:type="dxa" w:w="3249"/>
            <w:vAlign w:val="center"/>
          </w:tcPr>
          <w:p>
            <w:pPr>
              <w:spacing w:line="276" w:lineRule="auto" w:before="0" w:after="0"/>
            </w:pPr>
            <w:r/>
            <w:r>
              <w:rPr>
                <w:rFonts w:ascii="Figtree" w:hAnsi="Figtree"/>
                <w:b w:val="0"/>
                <w:i w:val="0"/>
                <w:sz w:val="20"/>
              </w:rPr>
              <w:t>OnchainID, Identity Registry</w:t>
            </w:r>
          </w:p>
        </w:tc>
      </w:tr>
      <w:tr>
        <w:trPr>
          <w:trHeight w:val="425" w:hRule="atLeast"/>
        </w:trPr>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CBE/FRA requirements, multi-product controls</w:t>
            </w:r>
          </w:p>
        </w:tc>
        <w:tc>
          <w:tcPr>
            <w:tcW w:type="dxa" w:w="3249"/>
            <w:vAlign w:val="center"/>
          </w:tcPr>
          <w:p>
            <w:pPr>
              <w:spacing w:line="276" w:lineRule="auto" w:before="0" w:after="0"/>
            </w:pPr>
            <w:r/>
            <w:r>
              <w:rPr>
                <w:rFonts w:ascii="Figtree" w:hAnsi="Figtree"/>
                <w:b w:val="0"/>
                <w:i w:val="0"/>
                <w:sz w:val="20"/>
              </w:rPr>
              <w:t>18 modules, ex-ante enforcement</w:t>
            </w:r>
          </w:p>
        </w:tc>
      </w:tr>
      <w:tr>
        <w:trPr>
          <w:trHeight w:val="425" w:hRule="atLeast"/>
        </w:trPr>
        <w:tc>
          <w:tcPr>
            <w:tcW w:type="dxa" w:w="3249"/>
            <w:vAlign w:val="center"/>
          </w:tcPr>
          <w:p>
            <w:pPr>
              <w:spacing w:line="276" w:lineRule="auto" w:before="0" w:after="0"/>
            </w:pPr>
            <w:r/>
            <w:r>
              <w:rPr>
                <w:rFonts w:ascii="Figtree" w:hAnsi="Figtree"/>
                <w:b w:val="0"/>
                <w:i w:val="0"/>
                <w:sz w:val="20"/>
              </w:rPr>
              <w:t>Settlement</w:t>
            </w:r>
          </w:p>
        </w:tc>
        <w:tc>
          <w:tcPr>
            <w:tcW w:type="dxa" w:w="3249"/>
            <w:vAlign w:val="center"/>
          </w:tcPr>
          <w:p>
            <w:pPr>
              <w:spacing w:line="276" w:lineRule="auto" w:before="0" w:after="0"/>
            </w:pPr>
            <w:r/>
            <w:r>
              <w:rPr>
                <w:rFonts w:ascii="Figtree" w:hAnsi="Figtree"/>
                <w:b w:val="0"/>
                <w:i w:val="0"/>
                <w:sz w:val="20"/>
              </w:rPr>
              <w:t>Multi-asset settlement, payment integration</w:t>
            </w:r>
          </w:p>
        </w:tc>
        <w:tc>
          <w:tcPr>
            <w:tcW w:type="dxa" w:w="3249"/>
            <w:vAlign w:val="center"/>
          </w:tcPr>
          <w:p>
            <w:pPr>
              <w:spacing w:line="276" w:lineRule="auto" w:before="0" w:after="0"/>
            </w:pPr>
            <w:r/>
            <w:r>
              <w:rPr>
                <w:rFonts w:ascii="Figtree" w:hAnsi="Figtree"/>
                <w:b w:val="0"/>
                <w:i w:val="0"/>
                <w:sz w:val="20"/>
              </w:rPr>
              <w:t>DvP/XvP, ISO 20022</w:t>
            </w:r>
          </w:p>
        </w:tc>
      </w:tr>
      <w:tr>
        <w:trPr>
          <w:trHeight w:val="425" w:hRule="atLeast"/>
        </w:trPr>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Core banking, branch systems, reporting</w:t>
            </w:r>
          </w:p>
        </w:tc>
        <w:tc>
          <w:tcPr>
            <w:tcW w:type="dxa" w:w="3249"/>
            <w:vAlign w:val="center"/>
          </w:tcPr>
          <w:p>
            <w:pPr>
              <w:spacing w:line="276" w:lineRule="auto" w:before="0" w:after="0"/>
            </w:pPr>
            <w:r/>
            <w:r>
              <w:rPr>
                <w:rFonts w:ascii="Figtree" w:hAnsi="Figtree"/>
                <w:b w:val="0"/>
                <w:i w:val="0"/>
                <w:sz w:val="20"/>
              </w:rPr>
              <w:t>REST, GraphQL, webhooks, SDK, CLI</w:t>
            </w:r>
          </w:p>
        </w:tc>
      </w:tr>
      <w:tr>
        <w:trPr>
          <w:trHeight w:val="425" w:hRule="atLeast"/>
        </w:trPr>
        <w:tc>
          <w:tcPr>
            <w:tcW w:type="dxa" w:w="3249"/>
            <w:vAlign w:val="center"/>
          </w:tcPr>
          <w:p>
            <w:pPr>
              <w:spacing w:line="276" w:lineRule="auto" w:before="0" w:after="0"/>
            </w:pPr>
            <w:r/>
            <w:r>
              <w:rPr>
                <w:rFonts w:ascii="Figtree" w:hAnsi="Figtree"/>
                <w:b w:val="0"/>
                <w:i w:val="0"/>
                <w:sz w:val="20"/>
              </w:rPr>
              <w:t>Scalability</w:t>
            </w:r>
          </w:p>
        </w:tc>
        <w:tc>
          <w:tcPr>
            <w:tcW w:type="dxa" w:w="3249"/>
            <w:vAlign w:val="center"/>
          </w:tcPr>
          <w:p>
            <w:pPr>
              <w:spacing w:line="276" w:lineRule="auto" w:before="0" w:after="0"/>
            </w:pPr>
            <w:r/>
            <w:r>
              <w:rPr>
                <w:rFonts w:ascii="Figtree" w:hAnsi="Figtree"/>
                <w:b w:val="0"/>
                <w:i w:val="0"/>
                <w:sz w:val="20"/>
              </w:rPr>
              <w:t>Foundation for future product expansion</w:t>
            </w:r>
          </w:p>
        </w:tc>
        <w:tc>
          <w:tcPr>
            <w:tcW w:type="dxa" w:w="3249"/>
            <w:vAlign w:val="center"/>
          </w:tcPr>
          <w:p>
            <w:pPr>
              <w:spacing w:line="276" w:lineRule="auto" w:before="0" w:after="0"/>
            </w:pPr>
            <w:r/>
            <w:r>
              <w:rPr>
                <w:rFonts w:ascii="Figtree" w:hAnsi="Figtree"/>
                <w:b w:val="0"/>
                <w:i w:val="0"/>
                <w:sz w:val="20"/>
              </w:rPr>
              <w:t>Same platform, new configuration</w:t>
            </w:r>
          </w:p>
        </w:tc>
      </w:tr>
    </w:tbl>
    <w:p>
      <w:pPr>
        <w:spacing w:before="0" w:after="0" w:line="120" w:lineRule="exact"/>
      </w:pPr>
    </w:p>
    <w:p>
      <w:pPr>
        <w:jc w:val="center"/>
      </w:pPr>
      <w:r>
        <w:drawing>
          <wp:inline xmlns:a="http://schemas.openxmlformats.org/drawingml/2006/main" xmlns:pic="http://schemas.openxmlformats.org/drawingml/2006/picture">
            <wp:extent cx="4324350" cy="8162925"/>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4324350" cy="8162925"/>
                    </a:xfrm>
                    <a:prstGeom prst="rect"/>
                  </pic:spPr>
                </pic:pic>
              </a:graphicData>
            </a:graphic>
          </wp:inline>
        </w:drawing>
      </w:r>
    </w:p>
    <w:p>
      <w:r>
        <w:br w:type="page"/>
      </w:r>
    </w:p>
    <w:p>
      <w:pPr>
        <w:pStyle w:val="H1"/>
        <w:numPr>
          <w:ilvl w:val="0"/>
          <w:numId w:val="1"/>
        </w:numPr>
      </w:pPr>
      <w:r>
        <w:t>Proposed Solution</w:t>
      </w:r>
    </w:p>
    <w:p>
      <w:pPr>
        <w:pStyle w:val="H2"/>
        <w:numPr>
          <w:ilvl w:val="1"/>
          <w:numId w:val="1"/>
        </w:numPr>
      </w:pPr>
      <w:r>
        <w:t>Solution Overview</w:t>
      </w:r>
    </w:p>
    <w:p>
      <w:r>
        <w:rPr>
          <w:rFonts w:ascii="Figtree" w:hAnsi="Figtree"/>
          <w:b w:val="0"/>
          <w:i w:val="0"/>
          <w:sz w:val="22"/>
        </w:rPr>
        <w:t>DALP deploys as the core digital asset infrastructure within NBE's enterprise environment. Phase 1 focuses on bonds, with the architecture designed to support phased expansion into deposits, equities, funds, and custom products using the same platform, compliance engine, and governance model.</w:t>
      </w:r>
    </w:p>
    <w:p>
      <w:pPr>
        <w:jc w:val="center"/>
      </w:pPr>
      <w:r>
        <w:drawing>
          <wp:inline xmlns:a="http://schemas.openxmlformats.org/drawingml/2006/main" xmlns:pic="http://schemas.openxmlformats.org/drawingml/2006/picture">
            <wp:extent cx="5486400" cy="2918149"/>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918149"/>
                    </a:xfrm>
                    <a:prstGeom prst="rect"/>
                  </pic:spPr>
                </pic:pic>
              </a:graphicData>
            </a:graphic>
          </wp:inline>
        </w:drawing>
      </w:r>
    </w:p>
    <w:p>
      <w:pPr>
        <w:pStyle w:val="H2"/>
        <w:numPr>
          <w:ilvl w:val="1"/>
          <w:numId w:val="1"/>
        </w:numPr>
      </w:pPr>
      <w:r>
        <w:t>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38"/>
        <w:gridCol w:w="5366"/>
        <w:gridCol w:w="76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Multi-asset support</w:t>
            </w:r>
          </w:p>
        </w:tc>
        <w:tc>
          <w:tcPr>
            <w:tcW w:type="dxa" w:w="3249"/>
            <w:vAlign w:val="center"/>
          </w:tcPr>
          <w:p>
            <w:pPr>
              <w:spacing w:line="276" w:lineRule="auto" w:before="0" w:after="0"/>
            </w:pPr>
            <w:r/>
            <w:r>
              <w:rPr>
                <w:rFonts w:ascii="Figtree" w:hAnsi="Figtree"/>
                <w:b w:val="0"/>
                <w:i w:val="0"/>
                <w:sz w:val="20"/>
              </w:rPr>
              <w:t>7 templates + configurable token</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Environment segregation</w:t>
            </w:r>
          </w:p>
        </w:tc>
        <w:tc>
          <w:tcPr>
            <w:tcW w:type="dxa" w:w="3249"/>
            <w:vAlign w:val="center"/>
          </w:tcPr>
          <w:p>
            <w:pPr>
              <w:spacing w:line="276" w:lineRule="auto" w:before="0" w:after="0"/>
            </w:pPr>
            <w:r/>
            <w:r>
              <w:rPr>
                <w:rFonts w:ascii="Figtree" w:hAnsi="Figtree"/>
                <w:b w:val="0"/>
                <w:i w:val="0"/>
                <w:sz w:val="20"/>
              </w:rPr>
              <w:t>Dev, staging, UAT, DR, production</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API-first integration</w:t>
            </w:r>
          </w:p>
        </w:tc>
        <w:tc>
          <w:tcPr>
            <w:tcW w:type="dxa" w:w="3249"/>
            <w:vAlign w:val="center"/>
          </w:tcPr>
          <w:p>
            <w:pPr>
              <w:spacing w:line="276" w:lineRule="auto" w:before="0" w:after="0"/>
            </w:pPr>
            <w:r/>
            <w:r>
              <w:rPr>
                <w:rFonts w:ascii="Figtree" w:hAnsi="Figtree"/>
                <w:b w:val="0"/>
                <w:i w:val="0"/>
                <w:sz w:val="20"/>
              </w:rPr>
              <w:t>REST, GraphQL, webhooks, oRPC, SDK, CLI</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RBAC and audit</w:t>
            </w:r>
          </w:p>
        </w:tc>
        <w:tc>
          <w:tcPr>
            <w:tcW w:type="dxa" w:w="3249"/>
            <w:vAlign w:val="center"/>
          </w:tcPr>
          <w:p>
            <w:pPr>
              <w:spacing w:line="276" w:lineRule="auto" w:before="0" w:after="0"/>
            </w:pPr>
            <w:r/>
            <w:r>
              <w:rPr>
                <w:rFonts w:ascii="Figtree" w:hAnsi="Figtree"/>
                <w:b w:val="0"/>
                <w:i w:val="0"/>
                <w:sz w:val="20"/>
              </w:rPr>
              <w:t>5 roles, maker-checker, immutable trail</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Lifecycle management</w:t>
            </w:r>
          </w:p>
        </w:tc>
        <w:tc>
          <w:tcPr>
            <w:tcW w:type="dxa" w:w="3249"/>
            <w:vAlign w:val="center"/>
          </w:tcPr>
          <w:p>
            <w:pPr>
              <w:spacing w:line="276" w:lineRule="auto" w:before="0" w:after="0"/>
            </w:pPr>
            <w:r/>
            <w:r>
              <w:rPr>
                <w:rFonts w:ascii="Figtree" w:hAnsi="Figtree"/>
                <w:b w:val="0"/>
                <w:i w:val="0"/>
                <w:sz w:val="20"/>
              </w:rPr>
              <w:t>Templates, policies, governance gates</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Compliance enforcement</w:t>
            </w:r>
          </w:p>
        </w:tc>
        <w:tc>
          <w:tcPr>
            <w:tcW w:type="dxa" w:w="3249"/>
            <w:vAlign w:val="center"/>
          </w:tcPr>
          <w:p>
            <w:pPr>
              <w:spacing w:line="276" w:lineRule="auto" w:before="0" w:after="0"/>
            </w:pPr>
            <w:r/>
            <w:r>
              <w:rPr>
                <w:rFonts w:ascii="Figtree" w:hAnsi="Figtree"/>
                <w:b w:val="0"/>
                <w:i w:val="0"/>
                <w:sz w:val="20"/>
              </w:rPr>
              <w:t>18 modules, ex-ante, ERC-3643</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Settlement</w:t>
            </w:r>
          </w:p>
        </w:tc>
        <w:tc>
          <w:tcPr>
            <w:tcW w:type="dxa" w:w="3249"/>
            <w:vAlign w:val="center"/>
          </w:tcPr>
          <w:p>
            <w:pPr>
              <w:spacing w:line="276" w:lineRule="auto" w:before="0" w:after="0"/>
            </w:pPr>
            <w:r/>
            <w:r>
              <w:rPr>
                <w:rFonts w:ascii="Figtree" w:hAnsi="Figtree"/>
                <w:b w:val="0"/>
                <w:i w:val="0"/>
                <w:sz w:val="20"/>
              </w:rPr>
              <w:t>Atomic DvP/XvP, ISO 20022</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Servicing</w:t>
            </w:r>
          </w:p>
        </w:tc>
        <w:tc>
          <w:tcPr>
            <w:tcW w:type="dxa" w:w="3249"/>
            <w:vAlign w:val="center"/>
          </w:tcPr>
          <w:p>
            <w:pPr>
              <w:spacing w:line="276" w:lineRule="auto" w:before="0" w:after="0"/>
            </w:pPr>
            <w:r/>
            <w:r>
              <w:rPr>
                <w:rFonts w:ascii="Figtree" w:hAnsi="Figtree"/>
                <w:b w:val="0"/>
                <w:i w:val="0"/>
                <w:sz w:val="20"/>
              </w:rPr>
              <w:t>Automated coupons, maturity, distributions</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Resilience</w:t>
            </w:r>
          </w:p>
        </w:tc>
        <w:tc>
          <w:tcPr>
            <w:tcW w:type="dxa" w:w="3249"/>
            <w:vAlign w:val="center"/>
          </w:tcPr>
          <w:p>
            <w:pPr>
              <w:spacing w:line="276" w:lineRule="auto" w:before="0" w:after="0"/>
            </w:pPr>
            <w:r/>
            <w:r>
              <w:rPr>
                <w:rFonts w:ascii="Figtree" w:hAnsi="Figtree"/>
                <w:b w:val="0"/>
                <w:i w:val="0"/>
                <w:sz w:val="20"/>
              </w:rPr>
              <w:t>HA, DR, 3-pillar observability</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Evidence for audit</w:t>
            </w:r>
          </w:p>
        </w:tc>
        <w:tc>
          <w:tcPr>
            <w:tcW w:type="dxa" w:w="3249"/>
            <w:vAlign w:val="center"/>
          </w:tcPr>
          <w:p>
            <w:pPr>
              <w:spacing w:line="276" w:lineRule="auto" w:before="0" w:after="0"/>
            </w:pPr>
            <w:r/>
            <w:r>
              <w:rPr>
                <w:rFonts w:ascii="Figtree" w:hAnsi="Figtree"/>
                <w:b w:val="0"/>
                <w:i w:val="0"/>
                <w:sz w:val="20"/>
              </w:rPr>
              <w:t>534 error codes, compliance records</w:t>
            </w:r>
          </w:p>
        </w:tc>
        <w:tc>
          <w:tcPr>
            <w:tcW w:type="dxa" w:w="3249"/>
            <w:vAlign w:val="center"/>
          </w:tcPr>
          <w:p>
            <w:pPr>
              <w:spacing w:line="276" w:lineRule="auto" w:before="0" w:after="0"/>
            </w:pPr>
            <w:r/>
            <w:r>
              <w:rPr>
                <w:rFonts w:ascii="Figtree" w:hAnsi="Figtree"/>
                <w:b w:val="0"/>
                <w:i w:val="0"/>
                <w:sz w:val="20"/>
              </w:rPr>
              <w:t>Full</w:t>
            </w:r>
          </w:p>
        </w:tc>
      </w:tr>
    </w:tbl>
    <w:p>
      <w:pPr>
        <w:spacing w:before="0" w:after="0" w:line="120" w:lineRule="exact"/>
      </w:pPr>
    </w:p>
    <w:p>
      <w:r>
        <w:br w:type="page"/>
      </w:r>
    </w:p>
    <w:p>
      <w:pPr>
        <w:pStyle w:val="H1"/>
        <w:numPr>
          <w:ilvl w:val="0"/>
          <w:numId w:val="1"/>
        </w:numPr>
      </w:pPr>
      <w:r>
        <w:t>Technical Architecture</w:t>
      </w:r>
    </w:p>
    <w:p>
      <w:pPr>
        <w:pStyle w:val="H2"/>
        <w:numPr>
          <w:ilvl w:val="1"/>
          <w:numId w:val="1"/>
        </w:numPr>
      </w:pPr>
      <w:r>
        <w:t>Layered Architecture</w:t>
      </w:r>
    </w:p>
    <w:p>
      <w:pPr>
        <w:jc w:val="center"/>
      </w:pPr>
      <w:r>
        <w:drawing>
          <wp:inline xmlns:a="http://schemas.openxmlformats.org/drawingml/2006/main" xmlns:pic="http://schemas.openxmlformats.org/drawingml/2006/picture">
            <wp:extent cx="5486400" cy="7269480"/>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7269480"/>
                    </a:xfrm>
                    <a:prstGeom prst="rect"/>
                  </pic:spPr>
                </pic:pic>
              </a:graphicData>
            </a:graphic>
          </wp:inline>
        </w:drawing>
      </w:r>
    </w:p>
    <w:p>
      <w:pPr>
        <w:pStyle w:val="H2"/>
        <w:numPr>
          <w:ilvl w:val="1"/>
          <w:numId w:val="1"/>
        </w:numPr>
      </w:pPr>
      <w:r>
        <w:t>Transaction Pipeline</w:t>
      </w:r>
    </w:p>
    <w:p>
      <w:pPr>
        <w:jc w:val="center"/>
      </w:pPr>
      <w:r>
        <w:drawing>
          <wp:inline xmlns:a="http://schemas.openxmlformats.org/drawingml/2006/main" xmlns:pic="http://schemas.openxmlformats.org/drawingml/2006/picture">
            <wp:extent cx="2619375" cy="6067425"/>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2619375" cy="6067425"/>
                    </a:xfrm>
                    <a:prstGeom prst="rect"/>
                  </pic:spPr>
                </pic:pic>
              </a:graphicData>
            </a:graphic>
          </wp:inline>
        </w:drawing>
      </w:r>
    </w:p>
    <w:p>
      <w:r>
        <w:br w:type="page"/>
      </w:r>
    </w:p>
    <w:p>
      <w:pPr>
        <w:pStyle w:val="H1"/>
        <w:numPr>
          <w:ilvl w:val="0"/>
          <w:numId w:val="1"/>
        </w:numPr>
      </w:pPr>
      <w:r>
        <w:t>Security</w:t>
      </w:r>
    </w:p>
    <w:p>
      <w:r>
        <w:rPr>
          <w:rFonts w:ascii="Figtree" w:hAnsi="Figtree"/>
          <w:b w:val="0"/>
          <w:i w:val="0"/>
          <w:sz w:val="22"/>
        </w:rPr>
        <w:t>Three-domain trust model. Defense-in-depth. Two-endpoint authentication. 5-role RBAC. Key Guardian Tier 4 for production. Maker-checker. Emergency pause. Encrypted at rest and in transit. 534 error codes. Security testing in Phase 4.</w:t>
      </w:r>
    </w:p>
    <w:p>
      <w:r>
        <w:br w:type="page"/>
      </w:r>
    </w:p>
    <w:p>
      <w:pPr>
        <w:pStyle w:val="H1"/>
        <w:numPr>
          <w:ilvl w:val="0"/>
          <w:numId w:val="1"/>
        </w:numPr>
      </w:pPr>
      <w:r>
        <w:t>Implementation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74"/>
        <w:gridCol w:w="1144"/>
        <w:gridCol w:w="635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Weeks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Objective</w:t>
            </w:r>
          </w:p>
        </w:tc>
      </w:tr>
      <w:tr>
        <w:trPr>
          <w:trHeight w:val="425" w:hRule="atLeast"/>
        </w:trPr>
        <w:tc>
          <w:tcPr>
            <w:tcW w:type="dxa" w:w="3249"/>
            <w:vAlign w:val="center"/>
          </w:tcPr>
          <w:p>
            <w:pPr>
              <w:spacing w:line="276" w:lineRule="auto" w:before="0" w:after="0"/>
            </w:pPr>
            <w:r/>
            <w:r>
              <w:rPr>
                <w:rFonts w:ascii="Figtree" w:hAnsi="Figtree"/>
                <w:b w:val="0"/>
                <w:i w:val="0"/>
                <w:sz w:val="20"/>
              </w:rPr>
              <w:t>Discovery</w:t>
            </w:r>
          </w:p>
        </w:tc>
        <w:tc>
          <w:tcPr>
            <w:tcW w:type="dxa" w:w="3249"/>
            <w:vAlign w:val="center"/>
          </w:tcPr>
          <w:p>
            <w:pPr>
              <w:spacing w:line="276" w:lineRule="auto" w:before="0" w:after="0"/>
            </w:pPr>
            <w:r/>
            <w:r>
              <w:rPr>
                <w:rFonts w:ascii="Figtree" w:hAnsi="Figtree"/>
                <w:b w:val="0"/>
                <w:i w:val="0"/>
                <w:sz w:val="20"/>
              </w:rPr>
              <w:t>1 to 3</w:t>
            </w:r>
          </w:p>
        </w:tc>
        <w:tc>
          <w:tcPr>
            <w:tcW w:type="dxa" w:w="3249"/>
            <w:vAlign w:val="center"/>
          </w:tcPr>
          <w:p>
            <w:pPr>
              <w:spacing w:line="276" w:lineRule="auto" w:before="0" w:after="0"/>
            </w:pPr>
            <w:r/>
            <w:r>
              <w:rPr>
                <w:rFonts w:ascii="Figtree" w:hAnsi="Figtree"/>
                <w:b w:val="0"/>
                <w:i w:val="0"/>
                <w:sz w:val="20"/>
              </w:rPr>
              <w:t>Requirements, CBE/FRA mapping, multi-asset architecture</w:t>
            </w:r>
          </w:p>
        </w:tc>
      </w:tr>
      <w:tr>
        <w:trPr>
          <w:trHeight w:val="425" w:hRule="atLeast"/>
        </w:trPr>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4 to 7</w:t>
            </w:r>
          </w:p>
        </w:tc>
        <w:tc>
          <w:tcPr>
            <w:tcW w:type="dxa" w:w="3249"/>
            <w:vAlign w:val="center"/>
          </w:tcPr>
          <w:p>
            <w:pPr>
              <w:spacing w:line="276" w:lineRule="auto" w:before="0" w:after="0"/>
            </w:pPr>
            <w:r/>
            <w:r>
              <w:rPr>
                <w:rFonts w:ascii="Figtree" w:hAnsi="Figtree"/>
                <w:b w:val="0"/>
                <w:i w:val="0"/>
                <w:sz w:val="20"/>
              </w:rPr>
              <w:t>Environments, Phase 1 asset config, compliance</w:t>
            </w:r>
          </w:p>
        </w:tc>
      </w:tr>
      <w:tr>
        <w:trPr>
          <w:trHeight w:val="425" w:hRule="atLeast"/>
        </w:trPr>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8 to 11</w:t>
            </w:r>
          </w:p>
        </w:tc>
        <w:tc>
          <w:tcPr>
            <w:tcW w:type="dxa" w:w="3249"/>
            <w:vAlign w:val="center"/>
          </w:tcPr>
          <w:p>
            <w:pPr>
              <w:spacing w:line="276" w:lineRule="auto" w:before="0" w:after="0"/>
            </w:pPr>
            <w:r/>
            <w:r>
              <w:rPr>
                <w:rFonts w:ascii="Figtree" w:hAnsi="Figtree"/>
                <w:b w:val="0"/>
                <w:i w:val="0"/>
                <w:sz w:val="20"/>
              </w:rPr>
              <w:t>Core banking, identity, AML, reporting</w:t>
            </w:r>
          </w:p>
        </w:tc>
      </w:tr>
      <w:tr>
        <w:trPr>
          <w:trHeight w:val="425" w:hRule="atLeast"/>
        </w:trPr>
        <w:tc>
          <w:tcPr>
            <w:tcW w:type="dxa" w:w="3249"/>
            <w:vAlign w:val="center"/>
          </w:tcPr>
          <w:p>
            <w:pPr>
              <w:spacing w:line="276" w:lineRule="auto" w:before="0" w:after="0"/>
            </w:pPr>
            <w:r/>
            <w:r>
              <w:rPr>
                <w:rFonts w:ascii="Figtree" w:hAnsi="Figtree"/>
                <w:b w:val="0"/>
                <w:i w:val="0"/>
                <w:sz w:val="20"/>
              </w:rPr>
              <w:t>Testing</w:t>
            </w:r>
          </w:p>
        </w:tc>
        <w:tc>
          <w:tcPr>
            <w:tcW w:type="dxa" w:w="3249"/>
            <w:vAlign w:val="center"/>
          </w:tcPr>
          <w:p>
            <w:pPr>
              <w:spacing w:line="276" w:lineRule="auto" w:before="0" w:after="0"/>
            </w:pPr>
            <w:r/>
            <w:r>
              <w:rPr>
                <w:rFonts w:ascii="Figtree" w:hAnsi="Figtree"/>
                <w:b w:val="0"/>
                <w:i w:val="0"/>
                <w:sz w:val="20"/>
              </w:rPr>
              <w:t>12 to 15</w:t>
            </w:r>
          </w:p>
        </w:tc>
        <w:tc>
          <w:tcPr>
            <w:tcW w:type="dxa" w:w="3249"/>
            <w:vAlign w:val="center"/>
          </w:tcPr>
          <w:p>
            <w:pPr>
              <w:spacing w:line="276" w:lineRule="auto" w:before="0" w:after="0"/>
            </w:pPr>
            <w:r/>
            <w:r>
              <w:rPr>
                <w:rFonts w:ascii="Figtree" w:hAnsi="Figtree"/>
                <w:b w:val="0"/>
                <w:i w:val="0"/>
                <w:sz w:val="20"/>
              </w:rPr>
              <w:t>Functional, NFR, security, UAT</w:t>
            </w:r>
          </w:p>
        </w:tc>
      </w:tr>
      <w:tr>
        <w:trPr>
          <w:trHeight w:val="425" w:hRule="atLeast"/>
        </w:trPr>
        <w:tc>
          <w:tcPr>
            <w:tcW w:type="dxa" w:w="3249"/>
            <w:vAlign w:val="center"/>
          </w:tcPr>
          <w:p>
            <w:pPr>
              <w:spacing w:line="276" w:lineRule="auto" w:before="0" w:after="0"/>
            </w:pPr>
            <w:r/>
            <w:r>
              <w:rPr>
                <w:rFonts w:ascii="Figtree" w:hAnsi="Figtree"/>
                <w:b w:val="0"/>
                <w:i w:val="0"/>
                <w:sz w:val="20"/>
              </w:rPr>
              <w:t>Go-Live</w:t>
            </w:r>
          </w:p>
        </w:tc>
        <w:tc>
          <w:tcPr>
            <w:tcW w:type="dxa" w:w="3249"/>
            <w:vAlign w:val="center"/>
          </w:tcPr>
          <w:p>
            <w:pPr>
              <w:spacing w:line="276" w:lineRule="auto" w:before="0" w:after="0"/>
            </w:pPr>
            <w:r/>
            <w:r>
              <w:rPr>
                <w:rFonts w:ascii="Figtree" w:hAnsi="Figtree"/>
                <w:b w:val="0"/>
                <w:i w:val="0"/>
                <w:sz w:val="20"/>
              </w:rPr>
              <w:t>16 to 17</w:t>
            </w:r>
          </w:p>
        </w:tc>
        <w:tc>
          <w:tcPr>
            <w:tcW w:type="dxa" w:w="3249"/>
            <w:vAlign w:val="center"/>
          </w:tcPr>
          <w:p>
            <w:pPr>
              <w:spacing w:line="276" w:lineRule="auto" w:before="0" w:after="0"/>
            </w:pPr>
            <w:r/>
            <w:r>
              <w:rPr>
                <w:rFonts w:ascii="Figtree" w:hAnsi="Figtree"/>
                <w:b w:val="0"/>
                <w:i w:val="0"/>
                <w:sz w:val="20"/>
              </w:rPr>
              <w:t>Controlled cutover</w:t>
            </w:r>
          </w:p>
        </w:tc>
      </w:tr>
      <w:tr>
        <w:trPr>
          <w:trHeight w:val="425" w:hRule="atLeast"/>
        </w:trPr>
        <w:tc>
          <w:tcPr>
            <w:tcW w:type="dxa" w:w="3249"/>
            <w:vAlign w:val="center"/>
          </w:tcPr>
          <w:p>
            <w:pPr>
              <w:spacing w:line="276" w:lineRule="auto" w:before="0" w:after="0"/>
            </w:pPr>
            <w:r/>
            <w:r>
              <w:rPr>
                <w:rFonts w:ascii="Figtree" w:hAnsi="Figtree"/>
                <w:b w:val="0"/>
                <w:i w:val="0"/>
                <w:sz w:val="20"/>
              </w:rPr>
              <w:t>Hypercare</w:t>
            </w:r>
          </w:p>
        </w:tc>
        <w:tc>
          <w:tcPr>
            <w:tcW w:type="dxa" w:w="3249"/>
            <w:vAlign w:val="center"/>
          </w:tcPr>
          <w:p>
            <w:pPr>
              <w:spacing w:line="276" w:lineRule="auto" w:before="0" w:after="0"/>
            </w:pPr>
            <w:r/>
            <w:r>
              <w:rPr>
                <w:rFonts w:ascii="Figtree" w:hAnsi="Figtree"/>
                <w:b w:val="0"/>
                <w:i w:val="0"/>
                <w:sz w:val="20"/>
              </w:rPr>
              <w:t>18 to 21</w:t>
            </w:r>
          </w:p>
        </w:tc>
        <w:tc>
          <w:tcPr>
            <w:tcW w:type="dxa" w:w="3249"/>
            <w:vAlign w:val="center"/>
          </w:tcPr>
          <w:p>
            <w:pPr>
              <w:spacing w:line="276" w:lineRule="auto" w:before="0" w:after="0"/>
            </w:pPr>
            <w:r/>
            <w:r>
              <w:rPr>
                <w:rFonts w:ascii="Figtree" w:hAnsi="Figtree"/>
                <w:b w:val="0"/>
                <w:i w:val="0"/>
                <w:sz w:val="20"/>
              </w:rPr>
              <w:t>Monitoring and handover</w:t>
            </w:r>
          </w:p>
        </w:tc>
      </w:tr>
    </w:tbl>
    <w:p>
      <w:pPr>
        <w:spacing w:before="0" w:after="0" w:line="120" w:lineRule="exact"/>
      </w:pPr>
    </w:p>
    <w:p>
      <w:pPr>
        <w:jc w:val="center"/>
      </w:pPr>
      <w:r>
        <w:drawing>
          <wp:inline xmlns:a="http://schemas.openxmlformats.org/drawingml/2006/main" xmlns:pic="http://schemas.openxmlformats.org/drawingml/2006/picture">
            <wp:extent cx="5486400" cy="1707502"/>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1707502"/>
                    </a:xfrm>
                    <a:prstGeom prst="rect"/>
                  </pic:spPr>
                </pic:pic>
              </a:graphicData>
            </a:graphic>
          </wp:inline>
        </w:drawing>
      </w:r>
    </w:p>
    <w:p>
      <w:r>
        <w:br w:type="page"/>
      </w:r>
    </w:p>
    <w:p>
      <w:pPr>
        <w:pStyle w:val="H1"/>
        <w:numPr>
          <w:ilvl w:val="0"/>
          <w:numId w:val="1"/>
        </w:numPr>
      </w:pPr>
      <w:r>
        <w:t>Deployment</w:t>
      </w:r>
    </w:p>
    <w:p>
      <w:r>
        <w:rPr>
          <w:rFonts w:ascii="Figtree" w:hAnsi="Figtree"/>
          <w:b w:val="0"/>
          <w:i w:val="0"/>
          <w:sz w:val="22"/>
        </w:rPr>
        <w:t>Dedicated cloud, Egypt-resident. Multi-zone HA. All models deliver identical capabilities.</w:t>
      </w:r>
    </w:p>
    <w:p>
      <w:r>
        <w:br w:type="page"/>
      </w:r>
    </w:p>
    <w:p>
      <w:pPr>
        <w:pStyle w:val="H1"/>
        <w:numPr>
          <w:ilvl w:val="0"/>
          <w:numId w:val="1"/>
        </w:numPr>
      </w:pPr>
      <w:r>
        <w:t>Training, Support, and SLA</w:t>
      </w:r>
    </w:p>
    <w:p>
      <w:r>
        <w:rPr>
          <w:rFonts w:ascii="Figtree" w:hAnsi="Figtree"/>
          <w:b w:val="0"/>
          <w:i w:val="0"/>
          <w:sz w:val="22"/>
        </w:rPr>
        <w:t>Premium support recommended. Three training tracks. 99.95% uptime, 2-hour P1 response, dedicated engineer.</w:t>
      </w:r>
    </w:p>
    <w:p>
      <w:r>
        <w:br w:type="page"/>
      </w:r>
    </w:p>
    <w:p>
      <w:pPr>
        <w:pStyle w:val="H1"/>
        <w:numPr>
          <w:ilvl w:val="0"/>
          <w:numId w:val="1"/>
        </w:numPr>
      </w:pPr>
      <w:r>
        <w:t>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69"/>
        <w:gridCol w:w="1555"/>
        <w:gridCol w:w="414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3249"/>
            <w:vAlign w:val="center"/>
          </w:tcPr>
          <w:p>
            <w:pPr>
              <w:spacing w:line="276" w:lineRule="auto" w:before="0" w:after="0"/>
            </w:pPr>
            <w:r/>
            <w:r>
              <w:rPr>
                <w:rFonts w:ascii="Figtree" w:hAnsi="Figtree"/>
                <w:b w:val="0"/>
                <w:i w:val="0"/>
                <w:sz w:val="20"/>
              </w:rPr>
              <w:t>Multi-asset infrastructure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7 templates + configurable</w:t>
            </w:r>
          </w:p>
        </w:tc>
      </w:tr>
      <w:tr>
        <w:trPr>
          <w:trHeight w:val="425" w:hRule="atLeast"/>
        </w:trPr>
        <w:tc>
          <w:tcPr>
            <w:tcW w:type="dxa" w:w="3249"/>
            <w:vAlign w:val="center"/>
          </w:tcPr>
          <w:p>
            <w:pPr>
              <w:spacing w:line="276" w:lineRule="auto" w:before="0" w:after="0"/>
            </w:pPr>
            <w:r/>
            <w:r>
              <w:rPr>
                <w:rFonts w:ascii="Figtree" w:hAnsi="Figtree"/>
                <w:b w:val="0"/>
                <w:i w:val="0"/>
                <w:sz w:val="20"/>
              </w:rPr>
              <w:t>Environment segregation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Full environment set</w:t>
            </w:r>
          </w:p>
        </w:tc>
      </w:tr>
      <w:tr>
        <w:trPr>
          <w:trHeight w:val="425" w:hRule="atLeast"/>
        </w:trPr>
        <w:tc>
          <w:tcPr>
            <w:tcW w:type="dxa" w:w="3249"/>
            <w:vAlign w:val="center"/>
          </w:tcPr>
          <w:p>
            <w:pPr>
              <w:spacing w:line="276" w:lineRule="auto" w:before="0" w:after="0"/>
            </w:pPr>
            <w:r/>
            <w:r>
              <w:rPr>
                <w:rFonts w:ascii="Figtree" w:hAnsi="Figtree"/>
                <w:b w:val="0"/>
                <w:i w:val="0"/>
                <w:sz w:val="20"/>
              </w:rPr>
              <w:t>API-first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REST, GraphQL, webhooks, oRPC</w:t>
            </w:r>
          </w:p>
        </w:tc>
      </w:tr>
      <w:tr>
        <w:trPr>
          <w:trHeight w:val="425" w:hRule="atLeast"/>
        </w:trPr>
        <w:tc>
          <w:tcPr>
            <w:tcW w:type="dxa" w:w="3249"/>
            <w:vAlign w:val="center"/>
          </w:tcPr>
          <w:p>
            <w:pPr>
              <w:spacing w:line="276" w:lineRule="auto" w:before="0" w:after="0"/>
            </w:pPr>
            <w:r/>
            <w:r>
              <w:rPr>
                <w:rFonts w:ascii="Figtree" w:hAnsi="Figtree"/>
                <w:b w:val="0"/>
                <w:i w:val="0"/>
                <w:sz w:val="20"/>
              </w:rPr>
              <w:t>RBAC and audit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5 roles, immutable trail</w:t>
            </w:r>
          </w:p>
        </w:tc>
      </w:tr>
      <w:tr>
        <w:trPr>
          <w:trHeight w:val="425" w:hRule="atLeast"/>
        </w:trPr>
        <w:tc>
          <w:tcPr>
            <w:tcW w:type="dxa" w:w="3249"/>
            <w:vAlign w:val="center"/>
          </w:tcPr>
          <w:p>
            <w:pPr>
              <w:spacing w:line="276" w:lineRule="auto" w:before="0" w:after="0"/>
            </w:pPr>
            <w:r/>
            <w:r>
              <w:rPr>
                <w:rFonts w:ascii="Figtree" w:hAnsi="Figtree"/>
                <w:b w:val="0"/>
                <w:i w:val="0"/>
                <w:sz w:val="20"/>
              </w:rPr>
              <w:t>Lifecycle management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Templates, governance gates</w:t>
            </w:r>
          </w:p>
        </w:tc>
      </w:tr>
      <w:tr>
        <w:trPr>
          <w:trHeight w:val="425" w:hRule="atLeast"/>
        </w:trPr>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18 modules, ex-ante</w:t>
            </w:r>
          </w:p>
        </w:tc>
      </w:tr>
      <w:tr>
        <w:trPr>
          <w:trHeight w:val="425" w:hRule="atLeast"/>
        </w:trPr>
        <w:tc>
          <w:tcPr>
            <w:tcW w:type="dxa" w:w="3249"/>
            <w:vAlign w:val="center"/>
          </w:tcPr>
          <w:p>
            <w:pPr>
              <w:spacing w:line="276" w:lineRule="auto" w:before="0" w:after="0"/>
            </w:pPr>
            <w:r/>
            <w:r>
              <w:rPr>
                <w:rFonts w:ascii="Figtree" w:hAnsi="Figtree"/>
                <w:b w:val="0"/>
                <w:i w:val="0"/>
                <w:sz w:val="20"/>
              </w:rPr>
              <w:t>Settlement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DvP/XvP, ISO 20022</w:t>
            </w:r>
          </w:p>
        </w:tc>
      </w:tr>
      <w:tr>
        <w:trPr>
          <w:trHeight w:val="425" w:hRule="atLeast"/>
        </w:trPr>
        <w:tc>
          <w:tcPr>
            <w:tcW w:type="dxa" w:w="3249"/>
            <w:vAlign w:val="center"/>
          </w:tcPr>
          <w:p>
            <w:pPr>
              <w:spacing w:line="276" w:lineRule="auto" w:before="0" w:after="0"/>
            </w:pPr>
            <w:r/>
            <w:r>
              <w:rPr>
                <w:rFonts w:ascii="Figtree" w:hAnsi="Figtree"/>
                <w:b w:val="0"/>
                <w:i w:val="0"/>
                <w:sz w:val="20"/>
              </w:rPr>
              <w:t>Resilience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HA, 3-pillar observability</w:t>
            </w:r>
          </w:p>
        </w:tc>
      </w:tr>
      <w:tr>
        <w:trPr>
          <w:trHeight w:val="425" w:hRule="atLeast"/>
        </w:trPr>
        <w:tc>
          <w:tcPr>
            <w:tcW w:type="dxa" w:w="3249"/>
            <w:vAlign w:val="center"/>
          </w:tcPr>
          <w:p>
            <w:pPr>
              <w:spacing w:line="276" w:lineRule="auto" w:before="0" w:after="0"/>
            </w:pPr>
            <w:r/>
            <w:r>
              <w:rPr>
                <w:rFonts w:ascii="Figtree" w:hAnsi="Figtree"/>
                <w:b w:val="0"/>
                <w:i w:val="0"/>
                <w:sz w:val="20"/>
              </w:rPr>
              <w:t>Regulatory mapping</w:t>
            </w:r>
          </w:p>
        </w:tc>
        <w:tc>
          <w:tcPr>
            <w:tcW w:type="dxa" w:w="3249"/>
            <w:vAlign w:val="center"/>
          </w:tcPr>
          <w:p>
            <w:pPr>
              <w:spacing w:line="276" w:lineRule="auto" w:before="0" w:after="0"/>
            </w:pPr>
            <w:r/>
            <w:r>
              <w:rPr>
                <w:rFonts w:ascii="Figtree" w:hAnsi="Figtree"/>
                <w:b w:val="0"/>
                <w:i w:val="0"/>
                <w:sz w:val="20"/>
              </w:rPr>
              <w:t>Configurable</w:t>
            </w:r>
          </w:p>
        </w:tc>
        <w:tc>
          <w:tcPr>
            <w:tcW w:type="dxa" w:w="3249"/>
            <w:vAlign w:val="center"/>
          </w:tcPr>
          <w:p>
            <w:pPr>
              <w:spacing w:line="276" w:lineRule="auto" w:before="0" w:after="0"/>
            </w:pPr>
            <w:r/>
            <w:r>
              <w:rPr>
                <w:rFonts w:ascii="Figtree" w:hAnsi="Figtree"/>
                <w:b w:val="0"/>
                <w:i w:val="0"/>
                <w:sz w:val="20"/>
              </w:rPr>
              <w:t>Modules mapped; buyer interprets</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