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Executive Summary</w:t>
            <w:rPr>
              <w:sz w:val="22"/>
              <w:rFonts w:ascii="Figtree" w:hAnsi="Figtree"/>
            </w:rPr>
          </w:r>
        </w:p>
        <w:p>
          <w:pPr>
            <w:ind w:left="720"/>
          </w:pPr>
          <w:r>
            <w:t xml:space="preserve">Licensing Model</w:t>
            <w:rPr>
              <w:sz w:val="22"/>
              <w:rFonts w:ascii="Figtree" w:hAnsi="Figtree"/>
            </w:rPr>
          </w:r>
        </w:p>
        <w:p>
          <w:pPr>
            <w:ind w:left="1440"/>
          </w:pPr>
          <w:r>
            <w:t xml:space="preserve">Enterprise Tier Configuration</w:t>
            <w:rPr>
              <w:sz w:val="22"/>
              <w:rFonts w:ascii="Figtree" w:hAnsi="Figtree"/>
            </w:rPr>
          </w:r>
        </w:p>
        <w:p>
          <w:pPr>
            <w:ind w:left="720"/>
          </w:pPr>
          <w:r>
            <w:t xml:space="preserve">Implementation Pricing</w:t>
            <w:rPr>
              <w:sz w:val="22"/>
              <w:rFonts w:ascii="Figtree" w:hAnsi="Figtree"/>
            </w:rPr>
          </w:r>
        </w:p>
        <w:p>
          <w:pPr>
            <w:ind w:left="720"/>
          </w:pPr>
          <w:r>
            <w:t xml:space="preserve">Support Pricing</w:t>
            <w:rPr>
              <w:sz w:val="22"/>
              <w:rFonts w:ascii="Figtree" w:hAnsi="Figtree"/>
            </w:rPr>
          </w:r>
        </w:p>
        <w:p>
          <w:pPr>
            <w:ind w:left="720"/>
          </w:pPr>
          <w:r>
            <w:t xml:space="preserve">Total Cost of Ownership</w:t>
            <w:rPr>
              <w:sz w:val="22"/>
              <w:rFonts w:ascii="Figtree" w:hAnsi="Figtree"/>
            </w:rPr>
          </w:r>
        </w:p>
        <w:p>
          <w:pPr>
            <w:ind w:left="1440"/>
          </w:pPr>
          <w:r>
            <w:t xml:space="preserve">Exclusions</w:t>
            <w:rPr>
              <w:sz w:val="22"/>
              <w:rFonts w:ascii="Figtree" w:hAnsi="Figtree"/>
            </w:rPr>
          </w:r>
        </w:p>
        <w:p>
          <w:pPr>
            <w:ind w:left="720"/>
          </w:pPr>
          <w:r>
            <w:t xml:space="preserve">Commercial Terms</w:t>
            <w:rPr>
              <w:sz w:val="22"/>
              <w:rFonts w:ascii="Figtree" w:hAnsi="Figtree"/>
            </w:rPr>
          </w:r>
        </w:p>
        <w:p>
          <w:pPr>
            <w:ind w:left="720"/>
          </w:pPr>
          <w:r>
            <w:t xml:space="preserve">Reference Clients</w:t>
            <w:rPr>
              <w:sz w:val="22"/>
              <w:rFonts w:ascii="Figtree" w:hAnsi="Figtree"/>
            </w:rPr>
          </w:r>
        </w:p>
        <w:p>
          <w:pPr>
            <w:ind w:left="720"/>
          </w:pPr>
          <w:r>
            <w:t xml:space="preserve">Next Steps</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Commercial Proposal — Tokenized Fixed Income Origination and Investor Servicing</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Saudi National Bank</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SAUDI-NATIONAL-BANK-RFP-TOKENIZED-FIXED-INCOME-202603</w:t>
            </w:r>
          </w:p>
        </w:tc>
      </w:tr>
    </w:tbl>
    <w:p>
      <w:r>
        <w:br w:type="page"/>
      </w:r>
    </w:p>
    <w:p>
      <w:pPr>
        <w:pStyle w:val="H2"/>
        <w:numPr>
          <w:ilvl w:val="1"/>
          <w:numId w:val="1"/>
        </w:numPr>
      </w:pPr>
      <w:r>
        <w:t>Executive Summary</w:t>
      </w:r>
    </w:p>
    <w:p>
      <w:r>
        <w:rPr>
          <w:rFonts w:ascii="Figtree" w:hAnsi="Figtree"/>
          <w:b w:val="0"/>
          <w:i w:val="0"/>
          <w:sz w:val="22"/>
        </w:rPr>
        <w:t>Saudi National Bank requires a platform and delivery partner to bring tokenized fixed income origination and investor servicing to production. This commercial proposal presents SettleMint's licensing, implementation, and support model for DALP, structured for predictable costs, transparent assumptions, and clear TCO across a three-year horizon.</w:t>
      </w:r>
    </w:p>
    <w:p>
      <w:r>
        <w:rPr>
          <w:rFonts w:ascii="Figtree" w:hAnsi="Figtree"/>
          <w:b/>
          <w:i w:val="0"/>
          <w:sz w:val="22"/>
        </w:rPr>
        <w:t>Recommendation:</w:t>
      </w:r>
      <w:r>
        <w:rPr>
          <w:rFonts w:ascii="Figtree" w:hAnsi="Figtree"/>
          <w:b w:val="0"/>
          <w:i w:val="0"/>
          <w:sz w:val="22"/>
        </w:rPr>
        <w:t xml:space="preserve"> Enterprise license (Tier 2), dedicated cloud KSA-resident, 19-week implementation, Premium support (16x5, Sunday-Thursday alignment).</w:t>
      </w:r>
    </w:p>
    <w:p>
      <w:r>
        <w:rPr>
          <w:rFonts w:ascii="Figtree" w:hAnsi="Figtree"/>
          <w:b w:val="0"/>
          <w:i w:val="0"/>
          <w:sz w:val="22"/>
        </w:rPr>
        <w:t>The DALP licensing model charges a predictable annual subscription with no per-transaction, per-token, per-user, or per-instrument fees. SNB can scale issuance volume, instrument types, and investor base without incremental platform costs. Coupon distributions and compliance checks carry zero marginal licensing cost.</w:t>
      </w:r>
    </w:p>
    <w:p>
      <w:r>
        <w:br w:type="page"/>
      </w:r>
    </w:p>
    <w:p>
      <w:pPr>
        <w:pStyle w:val="H2"/>
        <w:numPr>
          <w:ilvl w:val="1"/>
          <w:numId w:val="1"/>
        </w:numPr>
      </w:pPr>
      <w:r>
        <w:t>Licensing Model</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Principle</w:t>
            </w:r>
          </w:p>
        </w:tc>
        <w:tc>
          <w:tcPr>
            <w:tcW w:type="dxa" w:w="4873"/>
            <w:vAlign w:val="center"/>
            <w:shd w:fill="000099" w:val="clear"/>
          </w:tcPr>
          <w:p>
            <w:r>
              <w:rPr>
                <w:b/>
                <w:color w:val="FFFFFF"/>
              </w:rPr>
            </w:r>
            <w:r>
              <w:rPr>
                <w:rFonts w:ascii="Figtree" w:hAnsi="Figtree"/>
                <w:b/>
                <w:i w:val="0"/>
                <w:color w:val="FFFFFF"/>
                <w:sz w:val="22"/>
              </w:rPr>
              <w:t>Benefit for SNB</w:t>
            </w:r>
          </w:p>
        </w:tc>
      </w:tr>
      <w:tr>
        <w:trPr>
          <w:trHeight w:val="454" w:hRule="atLeast"/>
        </w:trPr>
        <w:tc>
          <w:tcPr>
            <w:tcW w:type="dxa" w:w="4873"/>
            <w:vAlign w:val="center"/>
          </w:tcPr>
          <w:p>
            <w:r/>
            <w:r>
              <w:rPr>
                <w:rFonts w:ascii="Figtree" w:hAnsi="Figtree"/>
                <w:b w:val="0"/>
                <w:i w:val="0"/>
                <w:sz w:val="22"/>
              </w:rPr>
              <w:t>No per-transaction fees</w:t>
            </w:r>
          </w:p>
        </w:tc>
        <w:tc>
          <w:tcPr>
            <w:tcW w:type="dxa" w:w="4873"/>
            <w:vAlign w:val="center"/>
          </w:tcPr>
          <w:p>
            <w:r/>
            <w:r>
              <w:rPr>
                <w:rFonts w:ascii="Figtree" w:hAnsi="Figtree"/>
                <w:b w:val="0"/>
                <w:i w:val="0"/>
                <w:sz w:val="22"/>
              </w:rPr>
              <w:t>Every coupon distribution, compliance check, and settlement included</w:t>
            </w:r>
          </w:p>
        </w:tc>
      </w:tr>
      <w:tr>
        <w:trPr>
          <w:trHeight w:val="454" w:hRule="atLeast"/>
        </w:trPr>
        <w:tc>
          <w:tcPr>
            <w:tcW w:type="dxa" w:w="4873"/>
            <w:vAlign w:val="center"/>
          </w:tcPr>
          <w:p>
            <w:r/>
            <w:r>
              <w:rPr>
                <w:rFonts w:ascii="Figtree" w:hAnsi="Figtree"/>
                <w:b w:val="0"/>
                <w:i w:val="0"/>
                <w:sz w:val="22"/>
              </w:rPr>
              <w:t>No per-instrument fees</w:t>
            </w:r>
          </w:p>
        </w:tc>
        <w:tc>
          <w:tcPr>
            <w:tcW w:type="dxa" w:w="4873"/>
            <w:vAlign w:val="center"/>
          </w:tcPr>
          <w:p>
            <w:r/>
            <w:r>
              <w:rPr>
                <w:rFonts w:ascii="Figtree" w:hAnsi="Figtree"/>
                <w:b w:val="0"/>
                <w:i w:val="0"/>
                <w:sz w:val="22"/>
              </w:rPr>
              <w:t>Additional bond/sukuk types carry no license cost</w:t>
            </w:r>
          </w:p>
        </w:tc>
      </w:tr>
      <w:tr>
        <w:trPr>
          <w:trHeight w:val="454" w:hRule="atLeast"/>
        </w:trPr>
        <w:tc>
          <w:tcPr>
            <w:tcW w:type="dxa" w:w="4873"/>
            <w:vAlign w:val="center"/>
          </w:tcPr>
          <w:p>
            <w:r/>
            <w:r>
              <w:rPr>
                <w:rFonts w:ascii="Figtree" w:hAnsi="Figtree"/>
                <w:b w:val="0"/>
                <w:i w:val="0"/>
                <w:sz w:val="22"/>
              </w:rPr>
              <w:t>No per-investor fees</w:t>
            </w:r>
          </w:p>
        </w:tc>
        <w:tc>
          <w:tcPr>
            <w:tcW w:type="dxa" w:w="4873"/>
            <w:vAlign w:val="center"/>
          </w:tcPr>
          <w:p>
            <w:r/>
            <w:r>
              <w:rPr>
                <w:rFonts w:ascii="Figtree" w:hAnsi="Figtree"/>
                <w:b w:val="0"/>
                <w:i w:val="0"/>
                <w:sz w:val="22"/>
              </w:rPr>
              <w:t>Growing investor base is revenue, not cost</w:t>
            </w:r>
          </w:p>
        </w:tc>
      </w:tr>
      <w:tr>
        <w:trPr>
          <w:trHeight w:val="454" w:hRule="atLeast"/>
        </w:trPr>
        <w:tc>
          <w:tcPr>
            <w:tcW w:type="dxa" w:w="4873"/>
            <w:vAlign w:val="center"/>
          </w:tcPr>
          <w:p>
            <w:r/>
            <w:r>
              <w:rPr>
                <w:rFonts w:ascii="Figtree" w:hAnsi="Figtree"/>
                <w:b w:val="0"/>
                <w:i w:val="0"/>
                <w:sz w:val="22"/>
              </w:rPr>
              <w:t>Predictable subscription</w:t>
            </w:r>
          </w:p>
        </w:tc>
        <w:tc>
          <w:tcPr>
            <w:tcW w:type="dxa" w:w="4873"/>
            <w:vAlign w:val="center"/>
          </w:tcPr>
          <w:p>
            <w:r/>
            <w:r>
              <w:rPr>
                <w:rFonts w:ascii="Figtree" w:hAnsi="Figtree"/>
                <w:b w:val="0"/>
                <w:i w:val="0"/>
                <w:sz w:val="22"/>
              </w:rPr>
              <w:t>Budget certainty</w:t>
            </w:r>
          </w:p>
        </w:tc>
      </w:tr>
      <w:tr>
        <w:trPr>
          <w:trHeight w:val="454" w:hRule="atLeast"/>
        </w:trPr>
        <w:tc>
          <w:tcPr>
            <w:tcW w:type="dxa" w:w="4873"/>
            <w:vAlign w:val="center"/>
          </w:tcPr>
          <w:p>
            <w:r/>
            <w:r>
              <w:rPr>
                <w:rFonts w:ascii="Figtree" w:hAnsi="Figtree"/>
                <w:b w:val="0"/>
                <w:i w:val="0"/>
                <w:sz w:val="22"/>
              </w:rPr>
              <w:t>Full platform included</w:t>
            </w:r>
          </w:p>
        </w:tc>
        <w:tc>
          <w:tcPr>
            <w:tcW w:type="dxa" w:w="4873"/>
            <w:vAlign w:val="center"/>
          </w:tcPr>
          <w:p>
            <w:r/>
            <w:r>
              <w:rPr>
                <w:rFonts w:ascii="Figtree" w:hAnsi="Figtree"/>
                <w:b w:val="0"/>
                <w:i w:val="0"/>
                <w:sz w:val="22"/>
              </w:rPr>
              <w:t>All lifecycle pillars, compliance modules, API surface</w:t>
            </w:r>
          </w:p>
        </w:tc>
      </w:tr>
    </w:tbl>
    <w:p>
      <w:pPr>
        <w:pStyle w:val="H3"/>
        <w:numPr>
          <w:ilvl w:val="2"/>
          <w:numId w:val="1"/>
        </w:numPr>
      </w:pPr>
      <w:r>
        <w:t>Enterprise Tier Configuration</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Dimension</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Environments</w:t>
            </w:r>
          </w:p>
        </w:tc>
        <w:tc>
          <w:tcPr>
            <w:tcW w:type="dxa" w:w="4873"/>
            <w:vAlign w:val="center"/>
          </w:tcPr>
          <w:p>
            <w:r/>
            <w:r>
              <w:rPr>
                <w:rFonts w:ascii="Figtree" w:hAnsi="Figtree"/>
                <w:b w:val="0"/>
                <w:i w:val="0"/>
                <w:sz w:val="22"/>
              </w:rPr>
              <w:t>Dev + UAT + DR + Production</w:t>
            </w:r>
          </w:p>
        </w:tc>
      </w:tr>
      <w:tr>
        <w:trPr>
          <w:trHeight w:val="454" w:hRule="atLeast"/>
        </w:trPr>
        <w:tc>
          <w:tcPr>
            <w:tcW w:type="dxa" w:w="4873"/>
            <w:vAlign w:val="center"/>
          </w:tcPr>
          <w:p>
            <w:r/>
            <w:r>
              <w:rPr>
                <w:rFonts w:ascii="Figtree" w:hAnsi="Figtree"/>
                <w:b w:val="0"/>
                <w:i w:val="0"/>
                <w:sz w:val="22"/>
              </w:rPr>
              <w:t>Networks</w:t>
            </w:r>
          </w:p>
        </w:tc>
        <w:tc>
          <w:tcPr>
            <w:tcW w:type="dxa" w:w="4873"/>
            <w:vAlign w:val="center"/>
          </w:tcPr>
          <w:p>
            <w:r/>
            <w:r>
              <w:rPr>
                <w:rFonts w:ascii="Figtree" w:hAnsi="Figtree"/>
                <w:b w:val="0"/>
                <w:i w:val="0"/>
                <w:sz w:val="22"/>
              </w:rPr>
              <w:t>Permissioned Hyperledger Besu</w:t>
            </w:r>
          </w:p>
        </w:tc>
      </w:tr>
      <w:tr>
        <w:trPr>
          <w:trHeight w:val="454" w:hRule="atLeast"/>
        </w:trPr>
        <w:tc>
          <w:tcPr>
            <w:tcW w:type="dxa" w:w="4873"/>
            <w:vAlign w:val="center"/>
          </w:tcPr>
          <w:p>
            <w:r/>
            <w:r>
              <w:rPr>
                <w:rFonts w:ascii="Figtree" w:hAnsi="Figtree"/>
                <w:b w:val="0"/>
                <w:i w:val="0"/>
                <w:sz w:val="22"/>
              </w:rPr>
              <w:t>Custody</w:t>
            </w:r>
          </w:p>
        </w:tc>
        <w:tc>
          <w:tcPr>
            <w:tcW w:type="dxa" w:w="4873"/>
            <w:vAlign w:val="center"/>
          </w:tcPr>
          <w:p>
            <w:r/>
            <w:r>
              <w:rPr>
                <w:rFonts w:ascii="Figtree" w:hAnsi="Figtree"/>
                <w:b w:val="0"/>
                <w:i w:val="0"/>
                <w:sz w:val="22"/>
              </w:rPr>
              <w:t>DFNS or Fireblocks</w:t>
            </w:r>
          </w:p>
        </w:tc>
      </w:tr>
      <w:tr>
        <w:trPr>
          <w:trHeight w:val="454" w:hRule="atLeast"/>
        </w:trPr>
        <w:tc>
          <w:tcPr>
            <w:tcW w:type="dxa" w:w="4873"/>
            <w:vAlign w:val="center"/>
          </w:tcPr>
          <w:p>
            <w:r/>
            <w:r>
              <w:rPr>
                <w:rFonts w:ascii="Figtree" w:hAnsi="Figtree"/>
                <w:b w:val="0"/>
                <w:i w:val="0"/>
                <w:sz w:val="22"/>
              </w:rPr>
              <w:t>Support</w:t>
            </w:r>
          </w:p>
        </w:tc>
        <w:tc>
          <w:tcPr>
            <w:tcW w:type="dxa" w:w="4873"/>
            <w:vAlign w:val="center"/>
          </w:tcPr>
          <w:p>
            <w:r/>
            <w:r>
              <w:rPr>
                <w:rFonts w:ascii="Figtree" w:hAnsi="Figtree"/>
                <w:b w:val="0"/>
                <w:i w:val="0"/>
                <w:sz w:val="22"/>
              </w:rPr>
              <w:t>Premium (16x5, Sunday-Thursday)</w:t>
            </w:r>
          </w:p>
        </w:tc>
      </w:tr>
      <w:tr>
        <w:trPr>
          <w:trHeight w:val="454" w:hRule="atLeast"/>
        </w:trPr>
        <w:tc>
          <w:tcPr>
            <w:tcW w:type="dxa" w:w="4873"/>
            <w:vAlign w:val="center"/>
          </w:tcPr>
          <w:p>
            <w:r/>
            <w:r>
              <w:rPr>
                <w:rFonts w:ascii="Figtree" w:hAnsi="Figtree"/>
                <w:b w:val="0"/>
                <w:i w:val="0"/>
                <w:sz w:val="22"/>
              </w:rPr>
              <w:t>Instruments</w:t>
            </w:r>
          </w:p>
        </w:tc>
        <w:tc>
          <w:tcPr>
            <w:tcW w:type="dxa" w:w="4873"/>
            <w:vAlign w:val="center"/>
          </w:tcPr>
          <w:p>
            <w:r/>
            <w:r>
              <w:rPr>
                <w:rFonts w:ascii="Figtree" w:hAnsi="Figtree"/>
                <w:b w:val="0"/>
                <w:i w:val="0"/>
                <w:sz w:val="22"/>
              </w:rPr>
              <w:t>Bonds, sukuk, configurable fixed income</w:t>
            </w:r>
          </w:p>
        </w:tc>
      </w:tr>
    </w:tbl>
    <w:p>
      <w:r>
        <w:br w:type="page"/>
      </w:r>
    </w:p>
    <w:p>
      <w:pPr>
        <w:pStyle w:val="H2"/>
        <w:numPr>
          <w:ilvl w:val="1"/>
          <w:numId w:val="1"/>
        </w:numPr>
      </w:pPr>
      <w:r>
        <w:t>Implementation Pricing</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Phase</w:t>
            </w:r>
          </w:p>
        </w:tc>
        <w:tc>
          <w:tcPr>
            <w:tcW w:type="dxa" w:w="3249"/>
            <w:vAlign w:val="center"/>
            <w:shd w:fill="000099" w:val="clear"/>
          </w:tcPr>
          <w:p>
            <w:r>
              <w:rPr>
                <w:b/>
                <w:color w:val="FFFFFF"/>
              </w:rPr>
            </w:r>
            <w:r>
              <w:rPr>
                <w:rFonts w:ascii="Figtree" w:hAnsi="Figtree"/>
                <w:b/>
                <w:i w:val="0"/>
                <w:color w:val="FFFFFF"/>
                <w:sz w:val="22"/>
              </w:rPr>
              <w:t>Duration</w:t>
            </w:r>
          </w:p>
        </w:tc>
        <w:tc>
          <w:tcPr>
            <w:tcW w:type="dxa" w:w="3249"/>
            <w:vAlign w:val="center"/>
            <w:shd w:fill="000099" w:val="clear"/>
          </w:tcPr>
          <w:p>
            <w:r>
              <w:rPr>
                <w:b/>
                <w:color w:val="FFFFFF"/>
              </w:rPr>
            </w:r>
            <w:r>
              <w:rPr>
                <w:rFonts w:ascii="Figtree" w:hAnsi="Figtree"/>
                <w:b/>
                <w:i w:val="0"/>
                <w:color w:val="FFFFFF"/>
                <w:sz w:val="22"/>
              </w:rPr>
              <w:t>Pricing</w:t>
            </w:r>
          </w:p>
        </w:tc>
      </w:tr>
      <w:tr>
        <w:trPr>
          <w:trHeight w:val="454" w:hRule="atLeast"/>
        </w:trPr>
        <w:tc>
          <w:tcPr>
            <w:tcW w:type="dxa" w:w="3249"/>
            <w:vAlign w:val="center"/>
          </w:tcPr>
          <w:p>
            <w:r/>
            <w:r>
              <w:rPr>
                <w:rFonts w:ascii="Figtree" w:hAnsi="Figtree"/>
                <w:b w:val="0"/>
                <w:i w:val="0"/>
                <w:sz w:val="22"/>
              </w:rPr>
              <w:t>Discovery &amp; SAMA Mapping</w:t>
            </w:r>
          </w:p>
        </w:tc>
        <w:tc>
          <w:tcPr>
            <w:tcW w:type="dxa" w:w="3249"/>
            <w:vAlign w:val="center"/>
          </w:tcPr>
          <w:p>
            <w:r/>
            <w:r>
              <w:rPr>
                <w:rFonts w:ascii="Figtree" w:hAnsi="Figtree"/>
                <w:b w:val="0"/>
                <w:i w:val="0"/>
                <w:sz w:val="22"/>
              </w:rPr>
              <w:t>2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Foundation &amp; Setup</w:t>
            </w:r>
          </w:p>
        </w:tc>
        <w:tc>
          <w:tcPr>
            <w:tcW w:type="dxa" w:w="3249"/>
            <w:vAlign w:val="center"/>
          </w:tcPr>
          <w:p>
            <w:r/>
            <w:r>
              <w:rPr>
                <w:rFonts w:ascii="Figtree" w:hAnsi="Figtree"/>
                <w:b w:val="0"/>
                <w:i w:val="0"/>
                <w:sz w:val="22"/>
              </w:rPr>
              <w:t>3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Configuration &amp; Compliance</w:t>
            </w:r>
          </w:p>
        </w:tc>
        <w:tc>
          <w:tcPr>
            <w:tcW w:type="dxa" w:w="3249"/>
            <w:vAlign w:val="center"/>
          </w:tcPr>
          <w:p>
            <w:r/>
            <w:r>
              <w:rPr>
                <w:rFonts w:ascii="Figtree" w:hAnsi="Figtree"/>
                <w:b w:val="0"/>
                <w:i w:val="0"/>
                <w:sz w:val="22"/>
              </w:rPr>
              <w:t>4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Integration &amp; Testing</w:t>
            </w:r>
          </w:p>
        </w:tc>
        <w:tc>
          <w:tcPr>
            <w:tcW w:type="dxa" w:w="3249"/>
            <w:vAlign w:val="center"/>
          </w:tcPr>
          <w:p>
            <w:r/>
            <w:r>
              <w:rPr>
                <w:rFonts w:ascii="Figtree" w:hAnsi="Figtree"/>
                <w:b w:val="0"/>
                <w:i w:val="0"/>
                <w:sz w:val="22"/>
              </w:rPr>
              <w:t>4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Go-Live &amp; Hypercare</w:t>
            </w:r>
          </w:p>
        </w:tc>
        <w:tc>
          <w:tcPr>
            <w:tcW w:type="dxa" w:w="3249"/>
            <w:vAlign w:val="center"/>
          </w:tcPr>
          <w:p>
            <w:r/>
            <w:r>
              <w:rPr>
                <w:rFonts w:ascii="Figtree" w:hAnsi="Figtree"/>
                <w:b w:val="0"/>
                <w:i w:val="0"/>
                <w:sz w:val="22"/>
              </w:rPr>
              <w:t>6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i w:val="0"/>
                <w:sz w:val="22"/>
              </w:rPr>
              <w:t>Total</w:t>
            </w:r>
          </w:p>
        </w:tc>
        <w:tc>
          <w:tcPr>
            <w:tcW w:type="dxa" w:w="3249"/>
            <w:vAlign w:val="center"/>
          </w:tcPr>
          <w:p>
            <w:r/>
            <w:r>
              <w:rPr>
                <w:rFonts w:ascii="Figtree" w:hAnsi="Figtree"/>
                <w:b/>
                <w:i w:val="0"/>
                <w:sz w:val="22"/>
              </w:rPr>
              <w:t>19 weeks</w:t>
            </w:r>
          </w:p>
        </w:tc>
        <w:tc>
          <w:tcPr>
            <w:tcW w:type="dxa" w:w="3249"/>
            <w:vAlign w:val="center"/>
          </w:tcPr>
          <w:p>
            <w:r/>
            <w:r>
              <w:rPr>
                <w:rFonts w:ascii="Figtree" w:hAnsi="Figtree"/>
                <w:b/>
                <w:i w:val="0"/>
                <w:sz w:val="22"/>
              </w:rPr>
              <w:t>[CLIENT-SPECIFIC]</w:t>
            </w:r>
          </w:p>
        </w:tc>
      </w:tr>
    </w:tbl>
    <w:p>
      <w:r>
        <w:br w:type="page"/>
      </w:r>
    </w:p>
    <w:p>
      <w:pPr>
        <w:pStyle w:val="H2"/>
        <w:numPr>
          <w:ilvl w:val="1"/>
          <w:numId w:val="1"/>
        </w:numPr>
      </w:pPr>
      <w:r>
        <w:t>Support Pricing</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Severity</w:t>
            </w:r>
          </w:p>
        </w:tc>
        <w:tc>
          <w:tcPr>
            <w:tcW w:type="dxa" w:w="3249"/>
            <w:vAlign w:val="center"/>
            <w:shd w:fill="000099" w:val="clear"/>
          </w:tcPr>
          <w:p>
            <w:r>
              <w:rPr>
                <w:b/>
                <w:color w:val="FFFFFF"/>
              </w:rPr>
            </w:r>
            <w:r>
              <w:rPr>
                <w:rFonts w:ascii="Figtree" w:hAnsi="Figtree"/>
                <w:b/>
                <w:i w:val="0"/>
                <w:color w:val="FFFFFF"/>
                <w:sz w:val="22"/>
              </w:rPr>
              <w:t>Response</w:t>
            </w:r>
          </w:p>
        </w:tc>
        <w:tc>
          <w:tcPr>
            <w:tcW w:type="dxa" w:w="3249"/>
            <w:vAlign w:val="center"/>
            <w:shd w:fill="000099" w:val="clear"/>
          </w:tcPr>
          <w:p>
            <w:r>
              <w:rPr>
                <w:b/>
                <w:color w:val="FFFFFF"/>
              </w:rPr>
            </w:r>
            <w:r>
              <w:rPr>
                <w:rFonts w:ascii="Figtree" w:hAnsi="Figtree"/>
                <w:b/>
                <w:i w:val="0"/>
                <w:color w:val="FFFFFF"/>
                <w:sz w:val="22"/>
              </w:rPr>
              <w:t>Resolution</w:t>
            </w:r>
          </w:p>
        </w:tc>
      </w:tr>
      <w:tr>
        <w:trPr>
          <w:trHeight w:val="454" w:hRule="atLeast"/>
        </w:trPr>
        <w:tc>
          <w:tcPr>
            <w:tcW w:type="dxa" w:w="3249"/>
            <w:vAlign w:val="center"/>
          </w:tcPr>
          <w:p>
            <w:r/>
            <w:r>
              <w:rPr>
                <w:rFonts w:ascii="Figtree" w:hAnsi="Figtree"/>
                <w:b w:val="0"/>
                <w:i w:val="0"/>
                <w:sz w:val="22"/>
              </w:rPr>
              <w:t>P1 — Critical</w:t>
            </w:r>
          </w:p>
        </w:tc>
        <w:tc>
          <w:tcPr>
            <w:tcW w:type="dxa" w:w="3249"/>
            <w:vAlign w:val="center"/>
          </w:tcPr>
          <w:p>
            <w:r/>
            <w:r>
              <w:rPr>
                <w:rFonts w:ascii="Figtree" w:hAnsi="Figtree"/>
                <w:b w:val="0"/>
                <w:i w:val="0"/>
                <w:sz w:val="22"/>
              </w:rPr>
              <w:t>2 hours</w:t>
            </w:r>
          </w:p>
        </w:tc>
        <w:tc>
          <w:tcPr>
            <w:tcW w:type="dxa" w:w="3249"/>
            <w:vAlign w:val="center"/>
          </w:tcPr>
          <w:p>
            <w:r/>
            <w:r>
              <w:rPr>
                <w:rFonts w:ascii="Figtree" w:hAnsi="Figtree"/>
                <w:b w:val="0"/>
                <w:i w:val="0"/>
                <w:sz w:val="22"/>
              </w:rPr>
              <w:t>4 hours</w:t>
            </w:r>
          </w:p>
        </w:tc>
      </w:tr>
      <w:tr>
        <w:trPr>
          <w:trHeight w:val="454" w:hRule="atLeast"/>
        </w:trPr>
        <w:tc>
          <w:tcPr>
            <w:tcW w:type="dxa" w:w="3249"/>
            <w:vAlign w:val="center"/>
          </w:tcPr>
          <w:p>
            <w:r/>
            <w:r>
              <w:rPr>
                <w:rFonts w:ascii="Figtree" w:hAnsi="Figtree"/>
                <w:b w:val="0"/>
                <w:i w:val="0"/>
                <w:sz w:val="22"/>
              </w:rPr>
              <w:t>P2 — High</w:t>
            </w:r>
          </w:p>
        </w:tc>
        <w:tc>
          <w:tcPr>
            <w:tcW w:type="dxa" w:w="3249"/>
            <w:vAlign w:val="center"/>
          </w:tcPr>
          <w:p>
            <w:r/>
            <w:r>
              <w:rPr>
                <w:rFonts w:ascii="Figtree" w:hAnsi="Figtree"/>
                <w:b w:val="0"/>
                <w:i w:val="0"/>
                <w:sz w:val="22"/>
              </w:rPr>
              <w:t>4 hours</w:t>
            </w:r>
          </w:p>
        </w:tc>
        <w:tc>
          <w:tcPr>
            <w:tcW w:type="dxa" w:w="3249"/>
            <w:vAlign w:val="center"/>
          </w:tcPr>
          <w:p>
            <w:r/>
            <w:r>
              <w:rPr>
                <w:rFonts w:ascii="Figtree" w:hAnsi="Figtree"/>
                <w:b w:val="0"/>
                <w:i w:val="0"/>
                <w:sz w:val="22"/>
              </w:rPr>
              <w:t>8 hours</w:t>
            </w:r>
          </w:p>
        </w:tc>
      </w:tr>
      <w:tr>
        <w:trPr>
          <w:trHeight w:val="454" w:hRule="atLeast"/>
        </w:trPr>
        <w:tc>
          <w:tcPr>
            <w:tcW w:type="dxa" w:w="3249"/>
            <w:vAlign w:val="center"/>
          </w:tcPr>
          <w:p>
            <w:r/>
            <w:r>
              <w:rPr>
                <w:rFonts w:ascii="Figtree" w:hAnsi="Figtree"/>
                <w:b w:val="0"/>
                <w:i w:val="0"/>
                <w:sz w:val="22"/>
              </w:rPr>
              <w:t>P3 — Medium</w:t>
            </w:r>
          </w:p>
        </w:tc>
        <w:tc>
          <w:tcPr>
            <w:tcW w:type="dxa" w:w="3249"/>
            <w:vAlign w:val="center"/>
          </w:tcPr>
          <w:p>
            <w:r/>
            <w:r>
              <w:rPr>
                <w:rFonts w:ascii="Figtree" w:hAnsi="Figtree"/>
                <w:b w:val="0"/>
                <w:i w:val="0"/>
                <w:sz w:val="22"/>
              </w:rPr>
              <w:t>1 business day</w:t>
            </w:r>
          </w:p>
        </w:tc>
        <w:tc>
          <w:tcPr>
            <w:tcW w:type="dxa" w:w="3249"/>
            <w:vAlign w:val="center"/>
          </w:tcPr>
          <w:p>
            <w:r/>
            <w:r>
              <w:rPr>
                <w:rFonts w:ascii="Figtree" w:hAnsi="Figtree"/>
                <w:b w:val="0"/>
                <w:i w:val="0"/>
                <w:sz w:val="22"/>
              </w:rPr>
              <w:t>5 business days</w:t>
            </w:r>
          </w:p>
        </w:tc>
      </w:tr>
      <w:tr>
        <w:trPr>
          <w:trHeight w:val="454" w:hRule="atLeast"/>
        </w:trPr>
        <w:tc>
          <w:tcPr>
            <w:tcW w:type="dxa" w:w="3249"/>
            <w:vAlign w:val="center"/>
          </w:tcPr>
          <w:p>
            <w:r/>
            <w:r>
              <w:rPr>
                <w:rFonts w:ascii="Figtree" w:hAnsi="Figtree"/>
                <w:b w:val="0"/>
                <w:i w:val="0"/>
                <w:sz w:val="22"/>
              </w:rPr>
              <w:t>P4 — Low</w:t>
            </w:r>
          </w:p>
        </w:tc>
        <w:tc>
          <w:tcPr>
            <w:tcW w:type="dxa" w:w="3249"/>
            <w:vAlign w:val="center"/>
          </w:tcPr>
          <w:p>
            <w:r/>
            <w:r>
              <w:rPr>
                <w:rFonts w:ascii="Figtree" w:hAnsi="Figtree"/>
                <w:b w:val="0"/>
                <w:i w:val="0"/>
                <w:sz w:val="22"/>
              </w:rPr>
              <w:t>3 business days</w:t>
            </w:r>
          </w:p>
        </w:tc>
        <w:tc>
          <w:tcPr>
            <w:tcW w:type="dxa" w:w="3249"/>
            <w:vAlign w:val="center"/>
          </w:tcPr>
          <w:p>
            <w:r/>
            <w:r>
              <w:rPr>
                <w:rFonts w:ascii="Figtree" w:hAnsi="Figtree"/>
                <w:b w:val="0"/>
                <w:i w:val="0"/>
                <w:sz w:val="22"/>
              </w:rPr>
              <w:t>Next release</w:t>
            </w:r>
          </w:p>
        </w:tc>
      </w:tr>
    </w:tbl>
    <w:p>
      <w:r>
        <w:br w:type="page"/>
      </w:r>
    </w:p>
    <w:p>
      <w:pPr>
        <w:pStyle w:val="H2"/>
        <w:numPr>
          <w:ilvl w:val="1"/>
          <w:numId w:val="1"/>
        </w:numPr>
      </w:pPr>
      <w:r>
        <w:t>Total Cost of Ownership</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Component</w:t>
            </w:r>
          </w:p>
        </w:tc>
        <w:tc>
          <w:tcPr>
            <w:tcW w:type="dxa" w:w="1949"/>
            <w:vAlign w:val="center"/>
            <w:shd w:fill="000099" w:val="clear"/>
          </w:tcPr>
          <w:p>
            <w:r>
              <w:rPr>
                <w:b/>
                <w:color w:val="FFFFFF"/>
              </w:rPr>
            </w:r>
            <w:r>
              <w:rPr>
                <w:rFonts w:ascii="Figtree" w:hAnsi="Figtree"/>
                <w:b/>
                <w:i w:val="0"/>
                <w:color w:val="FFFFFF"/>
                <w:sz w:val="22"/>
              </w:rPr>
              <w:t>Year 1</w:t>
            </w:r>
          </w:p>
        </w:tc>
        <w:tc>
          <w:tcPr>
            <w:tcW w:type="dxa" w:w="1949"/>
            <w:vAlign w:val="center"/>
            <w:shd w:fill="000099" w:val="clear"/>
          </w:tcPr>
          <w:p>
            <w:r>
              <w:rPr>
                <w:b/>
                <w:color w:val="FFFFFF"/>
              </w:rPr>
            </w:r>
            <w:r>
              <w:rPr>
                <w:rFonts w:ascii="Figtree" w:hAnsi="Figtree"/>
                <w:b/>
                <w:i w:val="0"/>
                <w:color w:val="FFFFFF"/>
                <w:sz w:val="22"/>
              </w:rPr>
              <w:t>Year 2</w:t>
            </w:r>
          </w:p>
        </w:tc>
        <w:tc>
          <w:tcPr>
            <w:tcW w:type="dxa" w:w="1949"/>
            <w:vAlign w:val="center"/>
            <w:shd w:fill="000099" w:val="clear"/>
          </w:tcPr>
          <w:p>
            <w:r>
              <w:rPr>
                <w:b/>
                <w:color w:val="FFFFFF"/>
              </w:rPr>
            </w:r>
            <w:r>
              <w:rPr>
                <w:rFonts w:ascii="Figtree" w:hAnsi="Figtree"/>
                <w:b/>
                <w:i w:val="0"/>
                <w:color w:val="FFFFFF"/>
                <w:sz w:val="22"/>
              </w:rPr>
              <w:t>Year 3</w:t>
            </w:r>
          </w:p>
        </w:tc>
        <w:tc>
          <w:tcPr>
            <w:tcW w:type="dxa" w:w="1949"/>
            <w:vAlign w:val="center"/>
            <w:shd w:fill="000099" w:val="clear"/>
          </w:tcPr>
          <w:p>
            <w:r>
              <w:rPr>
                <w:b/>
                <w:color w:val="FFFFFF"/>
              </w:rPr>
            </w:r>
            <w:r>
              <w:rPr>
                <w:rFonts w:ascii="Figtree" w:hAnsi="Figtree"/>
                <w:b/>
                <w:i w:val="0"/>
                <w:color w:val="FFFFFF"/>
                <w:sz w:val="22"/>
              </w:rPr>
              <w:t>Total</w:t>
            </w:r>
          </w:p>
        </w:tc>
      </w:tr>
      <w:tr>
        <w:trPr>
          <w:trHeight w:val="454" w:hRule="atLeast"/>
        </w:trPr>
        <w:tc>
          <w:tcPr>
            <w:tcW w:type="dxa" w:w="1949"/>
            <w:vAlign w:val="center"/>
          </w:tcPr>
          <w:p>
            <w:r/>
            <w:r>
              <w:rPr>
                <w:rFonts w:ascii="Figtree" w:hAnsi="Figtree"/>
                <w:b w:val="0"/>
                <w:i w:val="0"/>
                <w:sz w:val="22"/>
              </w:rPr>
              <w:t>Platform license</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val="0"/>
                <w:i w:val="0"/>
                <w:sz w:val="22"/>
              </w:rPr>
              <w:t>Implementation</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w:t>
            </w:r>
          </w:p>
        </w:tc>
        <w:tc>
          <w:tcPr>
            <w:tcW w:type="dxa" w:w="1949"/>
            <w:vAlign w:val="center"/>
          </w:tcPr>
          <w:p>
            <w:r/>
            <w:r>
              <w:rPr>
                <w:rFonts w:ascii="Figtree" w:hAnsi="Figtree"/>
                <w:b w:val="0"/>
                <w:i w:val="0"/>
                <w:sz w:val="22"/>
              </w:rPr>
              <w:t>—</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val="0"/>
                <w:i w:val="0"/>
                <w:sz w:val="22"/>
              </w:rPr>
              <w:t>Premium support</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val="0"/>
                <w:i w:val="0"/>
                <w:sz w:val="22"/>
              </w:rPr>
              <w:t>Infrastructure</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i w:val="0"/>
                <w:sz w:val="22"/>
              </w:rPr>
              <w:t>Total</w:t>
            </w:r>
          </w:p>
        </w:tc>
        <w:tc>
          <w:tcPr>
            <w:tcW w:type="dxa" w:w="1949"/>
            <w:vAlign w:val="center"/>
          </w:tcPr>
          <w:p>
            <w:r/>
            <w:r>
              <w:rPr>
                <w:rFonts w:ascii="Figtree" w:hAnsi="Figtree"/>
                <w:b/>
                <w:i w:val="0"/>
                <w:sz w:val="22"/>
              </w:rPr>
              <w:t>[CLIENT-SPECIFIC]</w:t>
            </w:r>
          </w:p>
        </w:tc>
        <w:tc>
          <w:tcPr>
            <w:tcW w:type="dxa" w:w="1949"/>
            <w:vAlign w:val="center"/>
          </w:tcPr>
          <w:p>
            <w:r/>
            <w:r>
              <w:rPr>
                <w:rFonts w:ascii="Figtree" w:hAnsi="Figtree"/>
                <w:b/>
                <w:i w:val="0"/>
                <w:sz w:val="22"/>
              </w:rPr>
              <w:t>[CLIENT-SPECIFIC]</w:t>
            </w:r>
          </w:p>
        </w:tc>
        <w:tc>
          <w:tcPr>
            <w:tcW w:type="dxa" w:w="1949"/>
            <w:vAlign w:val="center"/>
          </w:tcPr>
          <w:p>
            <w:r/>
            <w:r>
              <w:rPr>
                <w:rFonts w:ascii="Figtree" w:hAnsi="Figtree"/>
                <w:b/>
                <w:i w:val="0"/>
                <w:sz w:val="22"/>
              </w:rPr>
              <w:t>[CLIENT-SPECIFIC]</w:t>
            </w:r>
          </w:p>
        </w:tc>
        <w:tc>
          <w:tcPr>
            <w:tcW w:type="dxa" w:w="1949"/>
            <w:vAlign w:val="center"/>
          </w:tcPr>
          <w:p>
            <w:r/>
            <w:r>
              <w:rPr>
                <w:rFonts w:ascii="Figtree" w:hAnsi="Figtree"/>
                <w:b/>
                <w:i w:val="0"/>
                <w:sz w:val="22"/>
              </w:rPr>
              <w:t>[CLIENT-SPECIFIC]</w:t>
            </w:r>
          </w:p>
        </w:tc>
      </w:tr>
    </w:tbl>
    <w:p>
      <w:pPr>
        <w:pStyle w:val="H3"/>
        <w:numPr>
          <w:ilvl w:val="2"/>
          <w:numId w:val="1"/>
        </w:numPr>
      </w:pPr>
      <w:r>
        <w:t>Exclusions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Exclusion</w:t>
            </w:r>
          </w:p>
        </w:tc>
        <w:tc>
          <w:tcPr>
            <w:tcW w:type="dxa" w:w="4873"/>
            <w:vAlign w:val="center"/>
            <w:shd w:fill="000099" w:val="clear"/>
          </w:tcPr>
          <w:p>
            <w:r>
              <w:rPr>
                <w:b/>
                <w:color w:val="FFFFFF"/>
              </w:rPr>
            </w:r>
            <w:r>
              <w:rPr>
                <w:rFonts w:ascii="Figtree" w:hAnsi="Figtree"/>
                <w:b/>
                <w:i w:val="0"/>
                <w:color w:val="FFFFFF"/>
                <w:sz w:val="22"/>
              </w:rPr>
              <w:t>Responsibility</w:t>
            </w:r>
          </w:p>
        </w:tc>
      </w:tr>
      <w:tr>
        <w:trPr>
          <w:trHeight w:val="454" w:hRule="atLeast"/>
        </w:trPr>
        <w:tc>
          <w:tcPr>
            <w:tcW w:type="dxa" w:w="4873"/>
            <w:vAlign w:val="center"/>
          </w:tcPr>
          <w:p>
            <w:r/>
            <w:r>
              <w:rPr>
                <w:rFonts w:ascii="Figtree" w:hAnsi="Figtree"/>
                <w:b w:val="0"/>
                <w:i w:val="0"/>
                <w:sz w:val="22"/>
              </w:rPr>
              <w:t>Cloud infrastructure</w:t>
            </w:r>
          </w:p>
        </w:tc>
        <w:tc>
          <w:tcPr>
            <w:tcW w:type="dxa" w:w="4873"/>
            <w:vAlign w:val="center"/>
          </w:tcPr>
          <w:p>
            <w:r/>
            <w:r>
              <w:rPr>
                <w:rFonts w:ascii="Figtree" w:hAnsi="Figtree"/>
                <w:b w:val="0"/>
                <w:i w:val="0"/>
                <w:sz w:val="22"/>
              </w:rPr>
              <w:t>SNB</w:t>
            </w:r>
          </w:p>
        </w:tc>
      </w:tr>
      <w:tr>
        <w:trPr>
          <w:trHeight w:val="454" w:hRule="atLeast"/>
        </w:trPr>
        <w:tc>
          <w:tcPr>
            <w:tcW w:type="dxa" w:w="4873"/>
            <w:vAlign w:val="center"/>
          </w:tcPr>
          <w:p>
            <w:r/>
            <w:r>
              <w:rPr>
                <w:rFonts w:ascii="Figtree" w:hAnsi="Figtree"/>
                <w:b w:val="0"/>
                <w:i w:val="0"/>
                <w:sz w:val="22"/>
              </w:rPr>
              <w:t>Custody provider fees</w:t>
            </w:r>
          </w:p>
        </w:tc>
        <w:tc>
          <w:tcPr>
            <w:tcW w:type="dxa" w:w="4873"/>
            <w:vAlign w:val="center"/>
          </w:tcPr>
          <w:p>
            <w:r/>
            <w:r>
              <w:rPr>
                <w:rFonts w:ascii="Figtree" w:hAnsi="Figtree"/>
                <w:b w:val="0"/>
                <w:i w:val="0"/>
                <w:sz w:val="22"/>
              </w:rPr>
              <w:t>SNB (direct)</w:t>
            </w:r>
          </w:p>
        </w:tc>
      </w:tr>
      <w:tr>
        <w:trPr>
          <w:trHeight w:val="454" w:hRule="atLeast"/>
        </w:trPr>
        <w:tc>
          <w:tcPr>
            <w:tcW w:type="dxa" w:w="4873"/>
            <w:vAlign w:val="center"/>
          </w:tcPr>
          <w:p>
            <w:r/>
            <w:r>
              <w:rPr>
                <w:rFonts w:ascii="Figtree" w:hAnsi="Figtree"/>
                <w:b w:val="0"/>
                <w:i w:val="0"/>
                <w:sz w:val="22"/>
              </w:rPr>
              <w:t>Treasury system integration development</w:t>
            </w:r>
          </w:p>
        </w:tc>
        <w:tc>
          <w:tcPr>
            <w:tcW w:type="dxa" w:w="4873"/>
            <w:vAlign w:val="center"/>
          </w:tcPr>
          <w:p>
            <w:r/>
            <w:r>
              <w:rPr>
                <w:rFonts w:ascii="Figtree" w:hAnsi="Figtree"/>
                <w:b w:val="0"/>
                <w:i w:val="0"/>
                <w:sz w:val="22"/>
              </w:rPr>
              <w:t>SNB</w:t>
            </w:r>
          </w:p>
        </w:tc>
      </w:tr>
      <w:tr>
        <w:trPr>
          <w:trHeight w:val="454" w:hRule="atLeast"/>
        </w:trPr>
        <w:tc>
          <w:tcPr>
            <w:tcW w:type="dxa" w:w="4873"/>
            <w:vAlign w:val="center"/>
          </w:tcPr>
          <w:p>
            <w:r/>
            <w:r>
              <w:rPr>
                <w:rFonts w:ascii="Figtree" w:hAnsi="Figtree"/>
                <w:b w:val="0"/>
                <w:i w:val="0"/>
                <w:sz w:val="22"/>
              </w:rPr>
              <w:t>SAMA/CMA filing fees</w:t>
            </w:r>
          </w:p>
        </w:tc>
        <w:tc>
          <w:tcPr>
            <w:tcW w:type="dxa" w:w="4873"/>
            <w:vAlign w:val="center"/>
          </w:tcPr>
          <w:p>
            <w:r/>
            <w:r>
              <w:rPr>
                <w:rFonts w:ascii="Figtree" w:hAnsi="Figtree"/>
                <w:b w:val="0"/>
                <w:i w:val="0"/>
                <w:sz w:val="22"/>
              </w:rPr>
              <w:t>SNB</w:t>
            </w:r>
          </w:p>
        </w:tc>
      </w:tr>
      <w:tr>
        <w:trPr>
          <w:trHeight w:val="454" w:hRule="atLeast"/>
        </w:trPr>
        <w:tc>
          <w:tcPr>
            <w:tcW w:type="dxa" w:w="4873"/>
            <w:vAlign w:val="center"/>
          </w:tcPr>
          <w:p>
            <w:r/>
            <w:r>
              <w:rPr>
                <w:rFonts w:ascii="Figtree" w:hAnsi="Figtree"/>
                <w:b w:val="0"/>
                <w:i w:val="0"/>
                <w:sz w:val="22"/>
              </w:rPr>
              <w:t>Sharia board compensation</w:t>
            </w:r>
          </w:p>
        </w:tc>
        <w:tc>
          <w:tcPr>
            <w:tcW w:type="dxa" w:w="4873"/>
            <w:vAlign w:val="center"/>
          </w:tcPr>
          <w:p>
            <w:r/>
            <w:r>
              <w:rPr>
                <w:rFonts w:ascii="Figtree" w:hAnsi="Figtree"/>
                <w:b w:val="0"/>
                <w:i w:val="0"/>
                <w:sz w:val="22"/>
              </w:rPr>
              <w:t>SNB</w:t>
            </w:r>
          </w:p>
        </w:tc>
      </w:tr>
    </w:tbl>
    <w:p>
      <w:r>
        <w:br w:type="page"/>
      </w:r>
    </w:p>
    <w:p>
      <w:pPr>
        <w:pStyle w:val="H2"/>
        <w:numPr>
          <w:ilvl w:val="1"/>
          <w:numId w:val="1"/>
        </w:numPr>
      </w:pPr>
      <w:r>
        <w:t>Commercial Terms</w:t>
      </w:r>
    </w:p>
    <w:p>
      <w:pPr>
        <w:pStyle w:val="ListParagraph"/>
        <w:numPr>
          <w:ilvl w:val="0"/>
          <w:numId w:val="4"/>
        </w:numPr>
      </w:pPr>
      <w:r>
        <w:rPr>
          <w:rFonts w:ascii="Figtree" w:hAnsi="Figtree"/>
          <w:b/>
          <w:i w:val="0"/>
          <w:sz w:val="22"/>
        </w:rPr>
        <w:t>Payment:</w:t>
      </w:r>
      <w:r>
        <w:rPr>
          <w:rFonts w:ascii="Figtree" w:hAnsi="Figtree"/>
          <w:b w:val="0"/>
          <w:i w:val="0"/>
          <w:sz w:val="22"/>
        </w:rPr>
        <w:t xml:space="preserve"> Milestone-based (implementation); annual in advance (license, support)</w:t>
      </w:r>
    </w:p>
    <w:p>
      <w:pPr>
        <w:pStyle w:val="ListParagraph"/>
        <w:numPr>
          <w:ilvl w:val="0"/>
          <w:numId w:val="4"/>
        </w:numPr>
      </w:pPr>
      <w:r>
        <w:rPr>
          <w:rFonts w:ascii="Figtree" w:hAnsi="Figtree"/>
          <w:b/>
          <w:i w:val="0"/>
          <w:sz w:val="22"/>
        </w:rPr>
        <w:t>Term:</w:t>
      </w:r>
      <w:r>
        <w:rPr>
          <w:rFonts w:ascii="Figtree" w:hAnsi="Figtree"/>
          <w:b w:val="0"/>
          <w:i w:val="0"/>
          <w:sz w:val="22"/>
        </w:rPr>
        <w:t xml:space="preserve"> Initial three-year with annual renewal</w:t>
      </w:r>
    </w:p>
    <w:p>
      <w:pPr>
        <w:pStyle w:val="ListParagraph"/>
        <w:numPr>
          <w:ilvl w:val="0"/>
          <w:numId w:val="4"/>
        </w:numPr>
      </w:pPr>
      <w:r>
        <w:rPr>
          <w:rFonts w:ascii="Figtree" w:hAnsi="Figtree"/>
          <w:b/>
          <w:i w:val="0"/>
          <w:sz w:val="22"/>
        </w:rPr>
        <w:t>Exit support:</w:t>
      </w:r>
      <w:r>
        <w:rPr>
          <w:rFonts w:ascii="Figtree" w:hAnsi="Figtree"/>
          <w:b w:val="0"/>
          <w:i w:val="0"/>
          <w:sz w:val="22"/>
        </w:rPr>
        <w:t xml:space="preserve"> 90-day transition, data export, documentation</w:t>
      </w:r>
    </w:p>
    <w:p>
      <w:pPr>
        <w:pStyle w:val="ListParagraph"/>
        <w:numPr>
          <w:ilvl w:val="0"/>
          <w:numId w:val="4"/>
        </w:numPr>
      </w:pPr>
      <w:r>
        <w:rPr>
          <w:rFonts w:ascii="Figtree" w:hAnsi="Figtree"/>
          <w:b/>
          <w:i w:val="0"/>
          <w:sz w:val="22"/>
        </w:rPr>
        <w:t>Audit rights:</w:t>
      </w:r>
      <w:r>
        <w:rPr>
          <w:rFonts w:ascii="Figtree" w:hAnsi="Figtree"/>
          <w:b w:val="0"/>
          <w:i w:val="0"/>
          <w:sz w:val="22"/>
        </w:rPr>
        <w:t xml:space="preserve"> Annual audit of security and service delivery</w:t>
      </w:r>
    </w:p>
    <w:p>
      <w:r>
        <w:br w:type="page"/>
      </w:r>
    </w:p>
    <w:p>
      <w:pPr>
        <w:pStyle w:val="H2"/>
        <w:numPr>
          <w:ilvl w:val="1"/>
          <w:numId w:val="1"/>
        </w:numPr>
      </w:pPr>
      <w:r>
        <w:t>Reference Clients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Client</w:t>
            </w:r>
          </w:p>
        </w:tc>
        <w:tc>
          <w:tcPr>
            <w:tcW w:type="dxa" w:w="2436"/>
            <w:vAlign w:val="center"/>
            <w:shd w:fill="000099" w:val="clear"/>
          </w:tcPr>
          <w:p>
            <w:r>
              <w:rPr>
                <w:b/>
                <w:color w:val="FFFFFF"/>
              </w:rPr>
            </w:r>
            <w:r>
              <w:rPr>
                <w:rFonts w:ascii="Figtree" w:hAnsi="Figtree"/>
                <w:b/>
                <w:i w:val="0"/>
                <w:color w:val="FFFFFF"/>
                <w:sz w:val="22"/>
              </w:rPr>
              <w:t>Geography</w:t>
            </w:r>
          </w:p>
        </w:tc>
        <w:tc>
          <w:tcPr>
            <w:tcW w:type="dxa" w:w="2436"/>
            <w:vAlign w:val="center"/>
            <w:shd w:fill="000099" w:val="clear"/>
          </w:tcPr>
          <w:p>
            <w:r>
              <w:rPr>
                <w:b/>
                <w:color w:val="FFFFFF"/>
              </w:rPr>
            </w:r>
            <w:r>
              <w:rPr>
                <w:rFonts w:ascii="Figtree" w:hAnsi="Figtree"/>
                <w:b/>
                <w:i w:val="0"/>
                <w:color w:val="FFFFFF"/>
                <w:sz w:val="22"/>
              </w:rPr>
              <w:t>Use Case</w:t>
            </w:r>
          </w:p>
        </w:tc>
        <w:tc>
          <w:tcPr>
            <w:tcW w:type="dxa" w:w="2436"/>
            <w:vAlign w:val="center"/>
            <w:shd w:fill="000099" w:val="clear"/>
          </w:tcPr>
          <w:p>
            <w:r>
              <w:rPr>
                <w:b/>
                <w:color w:val="FFFFFF"/>
              </w:rPr>
            </w:r>
            <w:r>
              <w:rPr>
                <w:rFonts w:ascii="Figtree" w:hAnsi="Figtree"/>
                <w:b/>
                <w:i w:val="0"/>
                <w:color w:val="FFFFFF"/>
                <w:sz w:val="22"/>
              </w:rPr>
              <w:t>Relevance</w:t>
            </w:r>
          </w:p>
        </w:tc>
      </w:tr>
      <w:tr>
        <w:trPr>
          <w:trHeight w:val="454" w:hRule="atLeast"/>
        </w:trPr>
        <w:tc>
          <w:tcPr>
            <w:tcW w:type="dxa" w:w="2436"/>
            <w:vAlign w:val="center"/>
          </w:tcPr>
          <w:p>
            <w:r/>
            <w:r>
              <w:rPr>
                <w:rFonts w:ascii="Figtree" w:hAnsi="Figtree"/>
                <w:b w:val="0"/>
                <w:i w:val="0"/>
                <w:sz w:val="22"/>
              </w:rPr>
              <w:t>Commerzbank</w:t>
            </w:r>
          </w:p>
        </w:tc>
        <w:tc>
          <w:tcPr>
            <w:tcW w:type="dxa" w:w="2436"/>
            <w:vAlign w:val="center"/>
          </w:tcPr>
          <w:p>
            <w:r/>
            <w:r>
              <w:rPr>
                <w:rFonts w:ascii="Figtree" w:hAnsi="Figtree"/>
                <w:b w:val="0"/>
                <w:i w:val="0"/>
                <w:sz w:val="22"/>
              </w:rPr>
              <w:t>Germany</w:t>
            </w:r>
          </w:p>
        </w:tc>
        <w:tc>
          <w:tcPr>
            <w:tcW w:type="dxa" w:w="2436"/>
            <w:vAlign w:val="center"/>
          </w:tcPr>
          <w:p>
            <w:r/>
            <w:r>
              <w:rPr>
                <w:rFonts w:ascii="Figtree" w:hAnsi="Figtree"/>
                <w:b w:val="0"/>
                <w:i w:val="0"/>
                <w:sz w:val="22"/>
              </w:rPr>
              <w:t>ETPs</w:t>
            </w:r>
          </w:p>
        </w:tc>
        <w:tc>
          <w:tcPr>
            <w:tcW w:type="dxa" w:w="2436"/>
            <w:vAlign w:val="center"/>
          </w:tcPr>
          <w:p>
            <w:r/>
            <w:r>
              <w:rPr>
                <w:rFonts w:ascii="Figtree" w:hAnsi="Figtree"/>
                <w:b w:val="0"/>
                <w:i w:val="0"/>
                <w:sz w:val="22"/>
              </w:rPr>
              <w:t>Regulated exchange, &lt;10s settlement</w:t>
            </w:r>
          </w:p>
        </w:tc>
      </w:tr>
      <w:tr>
        <w:trPr>
          <w:trHeight w:val="454" w:hRule="atLeast"/>
        </w:trPr>
        <w:tc>
          <w:tcPr>
            <w:tcW w:type="dxa" w:w="2436"/>
            <w:vAlign w:val="center"/>
          </w:tcPr>
          <w:p>
            <w:r/>
            <w:r>
              <w:rPr>
                <w:rFonts w:ascii="Figtree" w:hAnsi="Figtree"/>
                <w:b w:val="0"/>
                <w:i w:val="0"/>
                <w:sz w:val="22"/>
              </w:rPr>
              <w:t>Mizuho Bank</w:t>
            </w:r>
          </w:p>
        </w:tc>
        <w:tc>
          <w:tcPr>
            <w:tcW w:type="dxa" w:w="2436"/>
            <w:vAlign w:val="center"/>
          </w:tcPr>
          <w:p>
            <w:r/>
            <w:r>
              <w:rPr>
                <w:rFonts w:ascii="Figtree" w:hAnsi="Figtree"/>
                <w:b w:val="0"/>
                <w:i w:val="0"/>
                <w:sz w:val="22"/>
              </w:rPr>
              <w:t>Japan</w:t>
            </w:r>
          </w:p>
        </w:tc>
        <w:tc>
          <w:tcPr>
            <w:tcW w:type="dxa" w:w="2436"/>
            <w:vAlign w:val="center"/>
          </w:tcPr>
          <w:p>
            <w:r/>
            <w:r>
              <w:rPr>
                <w:rFonts w:ascii="Figtree" w:hAnsi="Figtree"/>
                <w:b w:val="0"/>
                <w:i w:val="0"/>
                <w:sz w:val="22"/>
              </w:rPr>
              <w:t>Bond Tokenization</w:t>
            </w:r>
          </w:p>
        </w:tc>
        <w:tc>
          <w:tcPr>
            <w:tcW w:type="dxa" w:w="2436"/>
            <w:vAlign w:val="center"/>
          </w:tcPr>
          <w:p>
            <w:r/>
            <w:r>
              <w:rPr>
                <w:rFonts w:ascii="Figtree" w:hAnsi="Figtree"/>
                <w:b w:val="0"/>
                <w:i w:val="0"/>
                <w:sz w:val="22"/>
              </w:rPr>
              <w:t>Fixed income lifecycle</w:t>
            </w:r>
          </w:p>
        </w:tc>
      </w:tr>
      <w:tr>
        <w:trPr>
          <w:trHeight w:val="454" w:hRule="atLeast"/>
        </w:trPr>
        <w:tc>
          <w:tcPr>
            <w:tcW w:type="dxa" w:w="2436"/>
            <w:vAlign w:val="center"/>
          </w:tcPr>
          <w:p>
            <w:r/>
            <w:r>
              <w:rPr>
                <w:rFonts w:ascii="Figtree" w:hAnsi="Figtree"/>
                <w:b w:val="0"/>
                <w:i w:val="0"/>
                <w:sz w:val="22"/>
              </w:rPr>
              <w:t>Islamic Development Bank</w:t>
            </w:r>
          </w:p>
        </w:tc>
        <w:tc>
          <w:tcPr>
            <w:tcW w:type="dxa" w:w="2436"/>
            <w:vAlign w:val="center"/>
          </w:tcPr>
          <w:p>
            <w:r/>
            <w:r>
              <w:rPr>
                <w:rFonts w:ascii="Figtree" w:hAnsi="Figtree"/>
                <w:b w:val="0"/>
                <w:i w:val="0"/>
                <w:sz w:val="22"/>
              </w:rPr>
              <w:t>57 countries</w:t>
            </w:r>
          </w:p>
        </w:tc>
        <w:tc>
          <w:tcPr>
            <w:tcW w:type="dxa" w:w="2436"/>
            <w:vAlign w:val="center"/>
          </w:tcPr>
          <w:p>
            <w:r/>
            <w:r>
              <w:rPr>
                <w:rFonts w:ascii="Figtree" w:hAnsi="Figtree"/>
                <w:b w:val="0"/>
                <w:i w:val="0"/>
                <w:sz w:val="22"/>
              </w:rPr>
              <w:t>Subsidy Distribution</w:t>
            </w:r>
          </w:p>
        </w:tc>
        <w:tc>
          <w:tcPr>
            <w:tcW w:type="dxa" w:w="2436"/>
            <w:vAlign w:val="center"/>
          </w:tcPr>
          <w:p>
            <w:r/>
            <w:r>
              <w:rPr>
                <w:rFonts w:ascii="Figtree" w:hAnsi="Figtree"/>
                <w:b w:val="0"/>
                <w:i w:val="0"/>
                <w:sz w:val="22"/>
              </w:rPr>
              <w:t>Sharia-compliant, sovereign</w:t>
            </w:r>
          </w:p>
        </w:tc>
      </w:tr>
      <w:tr>
        <w:trPr>
          <w:trHeight w:val="454" w:hRule="atLeast"/>
        </w:trPr>
        <w:tc>
          <w:tcPr>
            <w:tcW w:type="dxa" w:w="2436"/>
            <w:vAlign w:val="center"/>
          </w:tcPr>
          <w:p>
            <w:r/>
            <w:r>
              <w:rPr>
                <w:rFonts w:ascii="Figtree" w:hAnsi="Figtree"/>
                <w:b w:val="0"/>
                <w:i w:val="0"/>
                <w:sz w:val="22"/>
              </w:rPr>
              <w:t>Saudi Arabia RER</w:t>
            </w:r>
          </w:p>
        </w:tc>
        <w:tc>
          <w:tcPr>
            <w:tcW w:type="dxa" w:w="2436"/>
            <w:vAlign w:val="center"/>
          </w:tcPr>
          <w:p>
            <w:r/>
            <w:r>
              <w:rPr>
                <w:rFonts w:ascii="Figtree" w:hAnsi="Figtree"/>
                <w:b w:val="0"/>
                <w:i w:val="0"/>
                <w:sz w:val="22"/>
              </w:rPr>
              <w:t>KSA</w:t>
            </w:r>
          </w:p>
        </w:tc>
        <w:tc>
          <w:tcPr>
            <w:tcW w:type="dxa" w:w="2436"/>
            <w:vAlign w:val="center"/>
          </w:tcPr>
          <w:p>
            <w:r/>
            <w:r>
              <w:rPr>
                <w:rFonts w:ascii="Figtree" w:hAnsi="Figtree"/>
                <w:b w:val="0"/>
                <w:i w:val="0"/>
                <w:sz w:val="22"/>
              </w:rPr>
              <w:t>Real Estate Registry</w:t>
            </w:r>
          </w:p>
        </w:tc>
        <w:tc>
          <w:tcPr>
            <w:tcW w:type="dxa" w:w="2436"/>
            <w:vAlign w:val="center"/>
          </w:tcPr>
          <w:p>
            <w:r/>
            <w:r>
              <w:rPr>
                <w:rFonts w:ascii="Figtree" w:hAnsi="Figtree"/>
                <w:b w:val="0"/>
                <w:i w:val="0"/>
                <w:sz w:val="22"/>
              </w:rPr>
              <w:t>Country-scale, Vision 2030</w:t>
            </w:r>
          </w:p>
        </w:tc>
      </w:tr>
      <w:tr>
        <w:trPr>
          <w:trHeight w:val="454" w:hRule="atLeast"/>
        </w:trPr>
        <w:tc>
          <w:tcPr>
            <w:tcW w:type="dxa" w:w="2436"/>
            <w:vAlign w:val="center"/>
          </w:tcPr>
          <w:p>
            <w:r/>
            <w:r>
              <w:rPr>
                <w:rFonts w:ascii="Figtree" w:hAnsi="Figtree"/>
                <w:b w:val="0"/>
                <w:i w:val="0"/>
                <w:sz w:val="22"/>
              </w:rPr>
              <w:t>Standard Chartered</w:t>
            </w:r>
          </w:p>
        </w:tc>
        <w:tc>
          <w:tcPr>
            <w:tcW w:type="dxa" w:w="2436"/>
            <w:vAlign w:val="center"/>
          </w:tcPr>
          <w:p>
            <w:r/>
            <w:r>
              <w:rPr>
                <w:rFonts w:ascii="Figtree" w:hAnsi="Figtree"/>
                <w:b w:val="0"/>
                <w:i w:val="0"/>
                <w:sz w:val="22"/>
              </w:rPr>
              <w:t>Asia, Africa, ME</w:t>
            </w:r>
          </w:p>
        </w:tc>
        <w:tc>
          <w:tcPr>
            <w:tcW w:type="dxa" w:w="2436"/>
            <w:vAlign w:val="center"/>
          </w:tcPr>
          <w:p>
            <w:r/>
            <w:r>
              <w:rPr>
                <w:rFonts w:ascii="Figtree" w:hAnsi="Figtree"/>
                <w:b w:val="0"/>
                <w:i w:val="0"/>
                <w:sz w:val="22"/>
              </w:rPr>
              <w:t>Digital Virtual Exchange</w:t>
            </w:r>
          </w:p>
        </w:tc>
        <w:tc>
          <w:tcPr>
            <w:tcW w:type="dxa" w:w="2436"/>
            <w:vAlign w:val="center"/>
          </w:tcPr>
          <w:p>
            <w:r/>
            <w:r>
              <w:rPr>
                <w:rFonts w:ascii="Figtree" w:hAnsi="Figtree"/>
                <w:b w:val="0"/>
                <w:i w:val="0"/>
                <w:sz w:val="22"/>
              </w:rPr>
              <w:t>Institutional distribution</w:t>
            </w:r>
          </w:p>
        </w:tc>
      </w:tr>
    </w:tbl>
    <w:p>
      <w:r>
        <w:br w:type="page"/>
      </w:r>
    </w:p>
    <w:p>
      <w:pPr>
        <w:pStyle w:val="H2"/>
        <w:numPr>
          <w:ilvl w:val="1"/>
          <w:numId w:val="1"/>
        </w:numPr>
      </w:pPr>
      <w:r>
        <w:t>Next Steps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Step</w:t>
            </w:r>
          </w:p>
        </w:tc>
        <w:tc>
          <w:tcPr>
            <w:tcW w:type="dxa" w:w="2436"/>
            <w:vAlign w:val="center"/>
            <w:shd w:fill="000099" w:val="clear"/>
          </w:tcPr>
          <w:p>
            <w:r>
              <w:rPr>
                <w:b/>
                <w:color w:val="FFFFFF"/>
              </w:rPr>
            </w:r>
            <w:r>
              <w:rPr>
                <w:rFonts w:ascii="Figtree" w:hAnsi="Figtree"/>
                <w:b/>
                <w:i w:val="0"/>
                <w:color w:val="FFFFFF"/>
                <w:sz w:val="22"/>
              </w:rPr>
              <w:t>Owner</w:t>
            </w:r>
          </w:p>
        </w:tc>
        <w:tc>
          <w:tcPr>
            <w:tcW w:type="dxa" w:w="2436"/>
            <w:vAlign w:val="center"/>
            <w:shd w:fill="000099" w:val="clear"/>
          </w:tcPr>
          <w:p>
            <w:r>
              <w:rPr>
                <w:b/>
                <w:color w:val="FFFFFF"/>
              </w:rPr>
            </w:r>
            <w:r>
              <w:rPr>
                <w:rFonts w:ascii="Figtree" w:hAnsi="Figtree"/>
                <w:b/>
                <w:i w:val="0"/>
                <w:color w:val="FFFFFF"/>
                <w:sz w:val="22"/>
              </w:rPr>
              <w:t>Target</w:t>
            </w:r>
          </w:p>
        </w:tc>
        <w:tc>
          <w:tcPr>
            <w:tcW w:type="dxa" w:w="2436"/>
            <w:vAlign w:val="center"/>
            <w:shd w:fill="000099" w:val="clear"/>
          </w:tcPr>
          <w:p>
            <w:r>
              <w:rPr>
                <w:b/>
                <w:color w:val="FFFFFF"/>
              </w:rPr>
            </w:r>
            <w:r>
              <w:rPr>
                <w:rFonts w:ascii="Figtree" w:hAnsi="Figtree"/>
                <w:b/>
                <w:i w:val="0"/>
                <w:color w:val="FFFFFF"/>
                <w:sz w:val="22"/>
              </w:rPr>
              <w:t>Output</w:t>
            </w:r>
          </w:p>
        </w:tc>
      </w:tr>
      <w:tr>
        <w:trPr>
          <w:trHeight w:val="454" w:hRule="atLeast"/>
        </w:trPr>
        <w:tc>
          <w:tcPr>
            <w:tcW w:type="dxa" w:w="2436"/>
            <w:vAlign w:val="center"/>
          </w:tcPr>
          <w:p>
            <w:r/>
            <w:r>
              <w:rPr>
                <w:rFonts w:ascii="Figtree" w:hAnsi="Figtree"/>
                <w:b w:val="0"/>
                <w:i w:val="0"/>
                <w:sz w:val="22"/>
              </w:rPr>
              <w:t>Commercial discussion</w:t>
            </w:r>
          </w:p>
        </w:tc>
        <w:tc>
          <w:tcPr>
            <w:tcW w:type="dxa" w:w="2436"/>
            <w:vAlign w:val="center"/>
          </w:tcPr>
          <w:p>
            <w:r/>
            <w:r>
              <w:rPr>
                <w:rFonts w:ascii="Figtree" w:hAnsi="Figtree"/>
                <w:b w:val="0"/>
                <w:i w:val="0"/>
                <w:sz w:val="22"/>
              </w:rPr>
              <w:t>Joint</w:t>
            </w:r>
          </w:p>
        </w:tc>
        <w:tc>
          <w:tcPr>
            <w:tcW w:type="dxa" w:w="2436"/>
            <w:vAlign w:val="center"/>
          </w:tcPr>
          <w:p>
            <w:r/>
            <w:r>
              <w:rPr>
                <w:rFonts w:ascii="Figtree" w:hAnsi="Figtree"/>
                <w:b w:val="0"/>
                <w:i w:val="0"/>
                <w:sz w:val="22"/>
              </w:rPr>
              <w:t>Week 1</w:t>
            </w:r>
          </w:p>
        </w:tc>
        <w:tc>
          <w:tcPr>
            <w:tcW w:type="dxa" w:w="2436"/>
            <w:vAlign w:val="center"/>
          </w:tcPr>
          <w:p>
            <w:r/>
            <w:r>
              <w:rPr>
                <w:rFonts w:ascii="Figtree" w:hAnsi="Figtree"/>
                <w:b w:val="0"/>
                <w:i w:val="0"/>
                <w:sz w:val="22"/>
              </w:rPr>
              <w:t>Validated pricing</w:t>
            </w:r>
          </w:p>
        </w:tc>
      </w:tr>
      <w:tr>
        <w:trPr>
          <w:trHeight w:val="454" w:hRule="atLeast"/>
        </w:trPr>
        <w:tc>
          <w:tcPr>
            <w:tcW w:type="dxa" w:w="2436"/>
            <w:vAlign w:val="center"/>
          </w:tcPr>
          <w:p>
            <w:r/>
            <w:r>
              <w:rPr>
                <w:rFonts w:ascii="Figtree" w:hAnsi="Figtree"/>
                <w:b w:val="0"/>
                <w:i w:val="0"/>
                <w:sz w:val="22"/>
              </w:rPr>
              <w:t>SAMA/CMA regulatory workshop</w:t>
            </w:r>
          </w:p>
        </w:tc>
        <w:tc>
          <w:tcPr>
            <w:tcW w:type="dxa" w:w="2436"/>
            <w:vAlign w:val="center"/>
          </w:tcPr>
          <w:p>
            <w:r/>
            <w:r>
              <w:rPr>
                <w:rFonts w:ascii="Figtree" w:hAnsi="Figtree"/>
                <w:b w:val="0"/>
                <w:i w:val="0"/>
                <w:sz w:val="22"/>
              </w:rPr>
              <w:t>Joint</w:t>
            </w:r>
          </w:p>
        </w:tc>
        <w:tc>
          <w:tcPr>
            <w:tcW w:type="dxa" w:w="2436"/>
            <w:vAlign w:val="center"/>
          </w:tcPr>
          <w:p>
            <w:r/>
            <w:r>
              <w:rPr>
                <w:rFonts w:ascii="Figtree" w:hAnsi="Figtree"/>
                <w:b w:val="0"/>
                <w:i w:val="0"/>
                <w:sz w:val="22"/>
              </w:rPr>
              <w:t>Week 2</w:t>
            </w:r>
          </w:p>
        </w:tc>
        <w:tc>
          <w:tcPr>
            <w:tcW w:type="dxa" w:w="2436"/>
            <w:vAlign w:val="center"/>
          </w:tcPr>
          <w:p>
            <w:r/>
            <w:r>
              <w:rPr>
                <w:rFonts w:ascii="Figtree" w:hAnsi="Figtree"/>
                <w:b w:val="0"/>
                <w:i w:val="0"/>
                <w:sz w:val="22"/>
              </w:rPr>
              <w:t>Regulatory alignment</w:t>
            </w:r>
          </w:p>
        </w:tc>
      </w:tr>
      <w:tr>
        <w:trPr>
          <w:trHeight w:val="454" w:hRule="atLeast"/>
        </w:trPr>
        <w:tc>
          <w:tcPr>
            <w:tcW w:type="dxa" w:w="2436"/>
            <w:vAlign w:val="center"/>
          </w:tcPr>
          <w:p>
            <w:r/>
            <w:r>
              <w:rPr>
                <w:rFonts w:ascii="Figtree" w:hAnsi="Figtree"/>
                <w:b w:val="0"/>
                <w:i w:val="0"/>
                <w:sz w:val="22"/>
              </w:rPr>
              <w:t>Custody provider selection</w:t>
            </w:r>
          </w:p>
        </w:tc>
        <w:tc>
          <w:tcPr>
            <w:tcW w:type="dxa" w:w="2436"/>
            <w:vAlign w:val="center"/>
          </w:tcPr>
          <w:p>
            <w:r/>
            <w:r>
              <w:rPr>
                <w:rFonts w:ascii="Figtree" w:hAnsi="Figtree"/>
                <w:b w:val="0"/>
                <w:i w:val="0"/>
                <w:sz w:val="22"/>
              </w:rPr>
              <w:t>SNB</w:t>
            </w:r>
          </w:p>
        </w:tc>
        <w:tc>
          <w:tcPr>
            <w:tcW w:type="dxa" w:w="2436"/>
            <w:vAlign w:val="center"/>
          </w:tcPr>
          <w:p>
            <w:r/>
            <w:r>
              <w:rPr>
                <w:rFonts w:ascii="Figtree" w:hAnsi="Figtree"/>
                <w:b w:val="0"/>
                <w:i w:val="0"/>
                <w:sz w:val="22"/>
              </w:rPr>
              <w:t>Week 3</w:t>
            </w:r>
          </w:p>
        </w:tc>
        <w:tc>
          <w:tcPr>
            <w:tcW w:type="dxa" w:w="2436"/>
            <w:vAlign w:val="center"/>
          </w:tcPr>
          <w:p>
            <w:r/>
            <w:r>
              <w:rPr>
                <w:rFonts w:ascii="Figtree" w:hAnsi="Figtree"/>
                <w:b w:val="0"/>
                <w:i w:val="0"/>
                <w:sz w:val="22"/>
              </w:rPr>
              <w:t>Provider decision</w:t>
            </w:r>
          </w:p>
        </w:tc>
      </w:tr>
      <w:tr>
        <w:trPr>
          <w:trHeight w:val="454" w:hRule="atLeast"/>
        </w:trPr>
        <w:tc>
          <w:tcPr>
            <w:tcW w:type="dxa" w:w="2436"/>
            <w:vAlign w:val="center"/>
          </w:tcPr>
          <w:p>
            <w:r/>
            <w:r>
              <w:rPr>
                <w:rFonts w:ascii="Figtree" w:hAnsi="Figtree"/>
                <w:b w:val="0"/>
                <w:i w:val="0"/>
                <w:sz w:val="22"/>
              </w:rPr>
              <w:t>Contract execution</w:t>
            </w:r>
          </w:p>
        </w:tc>
        <w:tc>
          <w:tcPr>
            <w:tcW w:type="dxa" w:w="2436"/>
            <w:vAlign w:val="center"/>
          </w:tcPr>
          <w:p>
            <w:r/>
            <w:r>
              <w:rPr>
                <w:rFonts w:ascii="Figtree" w:hAnsi="Figtree"/>
                <w:b w:val="0"/>
                <w:i w:val="0"/>
                <w:sz w:val="22"/>
              </w:rPr>
              <w:t>Joint</w:t>
            </w:r>
          </w:p>
        </w:tc>
        <w:tc>
          <w:tcPr>
            <w:tcW w:type="dxa" w:w="2436"/>
            <w:vAlign w:val="center"/>
          </w:tcPr>
          <w:p>
            <w:r/>
            <w:r>
              <w:rPr>
                <w:rFonts w:ascii="Figtree" w:hAnsi="Figtree"/>
                <w:b w:val="0"/>
                <w:i w:val="0"/>
                <w:sz w:val="22"/>
              </w:rPr>
              <w:t>Week 4</w:t>
            </w:r>
          </w:p>
        </w:tc>
        <w:tc>
          <w:tcPr>
            <w:tcW w:type="dxa" w:w="2436"/>
            <w:vAlign w:val="center"/>
          </w:tcPr>
          <w:p>
            <w:r/>
            <w:r>
              <w:rPr>
                <w:rFonts w:ascii="Figtree" w:hAnsi="Figtree"/>
                <w:b w:val="0"/>
                <w:i w:val="0"/>
                <w:sz w:val="22"/>
              </w:rPr>
              <w:t>Signed agreements</w:t>
            </w:r>
          </w:p>
        </w:tc>
      </w:tr>
      <w:tr>
        <w:trPr>
          <w:trHeight w:val="454" w:hRule="atLeast"/>
        </w:trPr>
        <w:tc>
          <w:tcPr>
            <w:tcW w:type="dxa" w:w="2436"/>
            <w:vAlign w:val="center"/>
          </w:tcPr>
          <w:p>
            <w:r/>
            <w:r>
              <w:rPr>
                <w:rFonts w:ascii="Figtree" w:hAnsi="Figtree"/>
                <w:b w:val="0"/>
                <w:i w:val="0"/>
                <w:sz w:val="22"/>
              </w:rPr>
              <w:t>Phase 1 kickoff</w:t>
            </w:r>
          </w:p>
        </w:tc>
        <w:tc>
          <w:tcPr>
            <w:tcW w:type="dxa" w:w="2436"/>
            <w:vAlign w:val="center"/>
          </w:tcPr>
          <w:p>
            <w:r/>
            <w:r>
              <w:rPr>
                <w:rFonts w:ascii="Figtree" w:hAnsi="Figtree"/>
                <w:b w:val="0"/>
                <w:i w:val="0"/>
                <w:sz w:val="22"/>
              </w:rPr>
              <w:t>Joint</w:t>
            </w:r>
          </w:p>
        </w:tc>
        <w:tc>
          <w:tcPr>
            <w:tcW w:type="dxa" w:w="2436"/>
            <w:vAlign w:val="center"/>
          </w:tcPr>
          <w:p>
            <w:r/>
            <w:r>
              <w:rPr>
                <w:rFonts w:ascii="Figtree" w:hAnsi="Figtree"/>
                <w:b w:val="0"/>
                <w:i w:val="0"/>
                <w:sz w:val="22"/>
              </w:rPr>
              <w:t>Week 5</w:t>
            </w:r>
          </w:p>
        </w:tc>
        <w:tc>
          <w:tcPr>
            <w:tcW w:type="dxa" w:w="2436"/>
            <w:vAlign w:val="center"/>
          </w:tcPr>
          <w:p>
            <w:r/>
            <w:r>
              <w:rPr>
                <w:rFonts w:ascii="Figtree" w:hAnsi="Figtree"/>
                <w:b w:val="0"/>
                <w:i w:val="0"/>
                <w:sz w:val="22"/>
              </w:rPr>
              <w:t>Mobilization</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