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Licensing Model</w:t>
          </w:r>
          <w:r>
            <w:tab/>
          </w:r>
          <w:r>
            <w:t xml:space="preserve">4</w:t>
          </w:r>
        </w:p>
        <w:p>
          <w:pPr>
            <w:pStyle w:val="TOC3"/>
            <w:tabs>
              <w:tab w:val="right" w:leader="dot" w:pos="9072"/>
            </w:tabs>
          </w:pPr>
          <w:r>
            <w:t xml:space="preserve">Platform Licensing Philosophy</w:t>
          </w:r>
          <w:r>
            <w:tab/>
          </w:r>
          <w:r>
            <w:t xml:space="preserve">5</w:t>
          </w:r>
        </w:p>
        <w:p>
          <w:pPr>
            <w:pStyle w:val="TOC3"/>
            <w:tabs>
              <w:tab w:val="right" w:leader="dot" w:pos="9072"/>
            </w:tabs>
          </w:pPr>
          <w:r>
            <w:t xml:space="preserve">What the License Includes</w:t>
          </w:r>
          <w:r>
            <w:tab/>
          </w:r>
          <w:r>
            <w:t xml:space="preserve">6</w:t>
          </w:r>
        </w:p>
        <w:p>
          <w:pPr>
            <w:pStyle w:val="TOC3"/>
            <w:tabs>
              <w:tab w:val="right" w:leader="dot" w:pos="9072"/>
            </w:tabs>
          </w:pPr>
          <w:r>
            <w:t xml:space="preserve">Recommended Tier: Enterprise (Tier 2)</w:t>
          </w:r>
          <w:r>
            <w:tab/>
          </w:r>
          <w:r>
            <w:t xml:space="preserve">7</w:t>
          </w:r>
        </w:p>
        <w:p>
          <w:pPr>
            <w:pStyle w:val="TOC2"/>
            <w:tabs>
              <w:tab w:val="right" w:leader="dot" w:pos="9072"/>
            </w:tabs>
          </w:pPr>
          <w:r>
            <w:t xml:space="preserve">Implementation Pricing</w:t>
          </w:r>
          <w:r>
            <w:tab/>
          </w:r>
          <w:r>
            <w:t xml:space="preserve">8</w:t>
          </w:r>
        </w:p>
        <w:p>
          <w:pPr>
            <w:pStyle w:val="TOC3"/>
            <w:tabs>
              <w:tab w:val="right" w:leader="dot" w:pos="9072"/>
            </w:tabs>
          </w:pPr>
          <w:r>
            <w:t xml:space="preserve">Pricing Structure</w:t>
          </w:r>
          <w:r>
            <w:tab/>
          </w:r>
          <w:r>
            <w:t xml:space="preserve">9</w:t>
          </w:r>
        </w:p>
        <w:p>
          <w:pPr>
            <w:pStyle w:val="TOC3"/>
            <w:tabs>
              <w:tab w:val="right" w:leader="dot" w:pos="9072"/>
            </w:tabs>
          </w:pPr>
          <w:r>
            <w:t xml:space="preserve">Implementation Team</w:t>
          </w:r>
          <w:r>
            <w:tab/>
          </w:r>
          <w:r>
            <w:t xml:space="preserve">10</w:t>
          </w:r>
        </w:p>
        <w:p>
          <w:pPr>
            <w:pStyle w:val="TOC3"/>
            <w:tabs>
              <w:tab w:val="right" w:leader="dot" w:pos="9072"/>
            </w:tabs>
          </w:pPr>
          <w:r>
            <w:t xml:space="preserve">Client Effort Assumptions</w:t>
          </w:r>
          <w:r>
            <w:tab/>
          </w:r>
          <w:r>
            <w:t xml:space="preserve">11</w:t>
          </w:r>
        </w:p>
        <w:p>
          <w:pPr>
            <w:pStyle w:val="TOC2"/>
            <w:tabs>
              <w:tab w:val="right" w:leader="dot" w:pos="9072"/>
            </w:tabs>
          </w:pPr>
          <w:r>
            <w:t xml:space="preserve">Support Pricing</w:t>
          </w:r>
          <w:r>
            <w:tab/>
          </w:r>
          <w:r>
            <w:t xml:space="preserve">12</w:t>
          </w:r>
        </w:p>
        <w:p>
          <w:pPr>
            <w:pStyle w:val="TOC3"/>
            <w:tabs>
              <w:tab w:val="right" w:leader="dot" w:pos="9072"/>
            </w:tabs>
          </w:pPr>
          <w:r>
            <w:t xml:space="preserve">Recommended: Premium Support</w:t>
          </w:r>
          <w:r>
            <w:tab/>
          </w:r>
          <w:r>
            <w:t xml:space="preserve">13</w:t>
          </w:r>
        </w:p>
        <w:p>
          <w:pPr>
            <w:pStyle w:val="TOC3"/>
            <w:tabs>
              <w:tab w:val="right" w:leader="dot" w:pos="9072"/>
            </w:tabs>
          </w:pPr>
          <w:r>
            <w:t xml:space="preserve">Support Escalation Model</w:t>
          </w:r>
          <w:r>
            <w:tab/>
          </w:r>
          <w:r>
            <w:t xml:space="preserve">14</w:t>
          </w:r>
        </w:p>
        <w:p>
          <w:pPr>
            <w:pStyle w:val="TOC2"/>
            <w:tabs>
              <w:tab w:val="right" w:leader="dot" w:pos="9072"/>
            </w:tabs>
          </w:pPr>
          <w:r>
            <w:t xml:space="preserve">Total Cost of Ownership</w:t>
          </w:r>
          <w:r>
            <w:tab/>
          </w:r>
          <w:r>
            <w:t xml:space="preserve">15</w:t>
          </w:r>
        </w:p>
        <w:p>
          <w:pPr>
            <w:pStyle w:val="TOC3"/>
            <w:tabs>
              <w:tab w:val="right" w:leader="dot" w:pos="9072"/>
            </w:tabs>
          </w:pPr>
          <w:r>
            <w:t xml:space="preserve">Three-Year TCO Components</w:t>
          </w:r>
          <w:r>
            <w:tab/>
          </w:r>
          <w:r>
            <w:t xml:space="preserve">16</w:t>
          </w:r>
        </w:p>
        <w:p>
          <w:pPr>
            <w:pStyle w:val="TOC3"/>
            <w:tabs>
              <w:tab w:val="right" w:leader="dot" w:pos="9072"/>
            </w:tabs>
          </w:pPr>
          <w:r>
            <w:t xml:space="preserve">What Is Not Included (Exclusions)</w:t>
          </w:r>
          <w:r>
            <w:tab/>
          </w:r>
          <w:r>
            <w:t xml:space="preserve">17</w:t>
          </w:r>
        </w:p>
        <w:p>
          <w:pPr>
            <w:pStyle w:val="TOC3"/>
            <w:tabs>
              <w:tab w:val="right" w:leader="dot" w:pos="9072"/>
            </w:tabs>
          </w:pPr>
          <w:r>
            <w:t xml:space="preserve">Scaling Economics</w:t>
          </w:r>
          <w:r>
            <w:tab/>
          </w:r>
          <w:r>
            <w:t xml:space="preserve">18</w:t>
          </w:r>
        </w:p>
        <w:p>
          <w:pPr>
            <w:pStyle w:val="TOC2"/>
            <w:tabs>
              <w:tab w:val="right" w:leader="dot" w:pos="9072"/>
            </w:tabs>
          </w:pPr>
          <w:r>
            <w:t xml:space="preserve">Contractual Framework</w:t>
          </w:r>
          <w:r>
            <w:tab/>
          </w:r>
          <w:r>
            <w:t xml:space="preserve">19</w:t>
          </w:r>
        </w:p>
        <w:p>
          <w:pPr>
            <w:pStyle w:val="TOC3"/>
            <w:tabs>
              <w:tab w:val="right" w:leader="dot" w:pos="9072"/>
            </w:tabs>
          </w:pPr>
          <w:r>
            <w:t xml:space="preserve">Contract Components</w:t>
          </w:r>
          <w:r>
            <w:tab/>
          </w:r>
          <w:r>
            <w:t xml:space="preserve">20</w:t>
          </w:r>
        </w:p>
        <w:p>
          <w:pPr>
            <w:pStyle w:val="TOC3"/>
            <w:tabs>
              <w:tab w:val="right" w:leader="dot" w:pos="9072"/>
            </w:tabs>
          </w:pPr>
          <w:r>
            <w:t xml:space="preserve">Key Commercial Terms</w:t>
          </w:r>
          <w:r>
            <w:tab/>
          </w:r>
          <w:r>
            <w:t xml:space="preserve">21</w:t>
          </w:r>
        </w:p>
        <w:p>
          <w:pPr>
            <w:pStyle w:val="TOC3"/>
            <w:tabs>
              <w:tab w:val="right" w:leader="dot" w:pos="9072"/>
            </w:tabs>
          </w:pPr>
          <w:r>
            <w:t xml:space="preserve">Financial Stability</w:t>
          </w:r>
          <w:r>
            <w:tab/>
          </w:r>
          <w:r>
            <w:t xml:space="preserve">22</w:t>
          </w:r>
        </w:p>
        <w:p>
          <w:pPr>
            <w:pStyle w:val="TOC2"/>
            <w:tabs>
              <w:tab w:val="right" w:leader="dot" w:pos="9072"/>
            </w:tabs>
          </w:pPr>
          <w:r>
            <w:t xml:space="preserve">Commercial Decision Summary</w:t>
          </w:r>
          <w:r>
            <w:tab/>
          </w:r>
          <w:r>
            <w:t xml:space="preserve">23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72"/>
        <w:gridCol w:w="709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Tokenized Securities Issuance and Settlement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Standard Bank (South Africa)</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STANDARD-BANK-RFP-TOKENIZED-SECURITIES-202603</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Standard Bank requires a platform and delivery partner capable of bringing a tokenized securities issuance and settlement platform to production with the discipline, transparency, and governance expected of Africa's largest bank by assets, operating under South African Reserve Bank (SARB), Financial Sector Conduct Authority (FSCA), and Johannesburg Stock Exchange (JSE) regulatory oversight. This commercial proposal presents SettleMint's licensing, implementation, and support model for the Digital Asset Lifecycle Platform (DALP) — structured to provide predictable costs, transparent assumptions, and a clear total cost of ownership across a three-year horizon.</w:t>
      </w:r>
    </w:p>
    <w:p>
      <w:r>
        <w:rPr>
          <w:rFonts w:ascii="Figtree" w:hAnsi="Figtree"/>
          <w:b/>
          <w:i w:val="0"/>
          <w:sz w:val="22"/>
        </w:rPr>
        <w:t>Commercial recommendation:</w:t>
      </w:r>
    </w:p>
    <w:p>
      <w:pPr>
        <w:pStyle w:val="ListParagraph"/>
        <w:numPr>
          <w:ilvl w:val="0"/>
          <w:numId w:val="4"/>
        </w:numPr>
      </w:pPr>
      <w:r>
        <w:rPr>
          <w:rFonts w:ascii="Figtree" w:hAnsi="Figtree"/>
          <w:b/>
          <w:i w:val="0"/>
          <w:sz w:val="22"/>
        </w:rPr>
        <w:t>License tier:</w:t>
      </w:r>
      <w:r>
        <w:rPr>
          <w:rFonts w:ascii="Figtree" w:hAnsi="Figtree"/>
          <w:b w:val="0"/>
          <w:i w:val="0"/>
          <w:sz w:val="22"/>
        </w:rPr>
        <w:t xml:space="preserve"> Enterprise (Tier 2) — supporting multiple securities types, environments, and custody provider integrations</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Dedicated cloud, South Africa-resident infrastructure</w:t>
      </w:r>
    </w:p>
    <w:p>
      <w:pPr>
        <w:pStyle w:val="ListParagraph"/>
        <w:numPr>
          <w:ilvl w:val="0"/>
          <w:numId w:val="4"/>
        </w:numPr>
      </w:pPr>
      <w:r>
        <w:rPr>
          <w:rFonts w:ascii="Figtree" w:hAnsi="Figtree"/>
          <w:b/>
          <w:i w:val="0"/>
          <w:sz w:val="22"/>
        </w:rPr>
        <w:t>Implementation:</w:t>
      </w:r>
      <w:r>
        <w:rPr>
          <w:rFonts w:ascii="Figtree" w:hAnsi="Figtree"/>
          <w:b w:val="0"/>
          <w:i w:val="0"/>
          <w:sz w:val="22"/>
        </w:rPr>
        <w:t xml:space="preserve"> 19-week phase-gated delivery with five formal gate reviews</w:t>
      </w:r>
    </w:p>
    <w:p>
      <w:pPr>
        <w:pStyle w:val="ListParagraph"/>
        <w:numPr>
          <w:ilvl w:val="0"/>
          <w:numId w:val="4"/>
        </w:numPr>
      </w:pPr>
      <w:r>
        <w:rPr>
          <w:rFonts w:ascii="Figtree" w:hAnsi="Figtree"/>
          <w:b/>
          <w:i w:val="0"/>
          <w:sz w:val="22"/>
        </w:rPr>
        <w:t>Support tier:</w:t>
      </w:r>
      <w:r>
        <w:rPr>
          <w:rFonts w:ascii="Figtree" w:hAnsi="Figtree"/>
          <w:b w:val="0"/>
          <w:i w:val="0"/>
          <w:sz w:val="22"/>
        </w:rPr>
        <w:t xml:space="preserve"> Premium — 16×5 coverage, 2-hour P1 response, dedicated support engineer</w:t>
      </w:r>
    </w:p>
    <w:p>
      <w:pPr>
        <w:pStyle w:val="ListParagraph"/>
        <w:numPr>
          <w:ilvl w:val="0"/>
          <w:numId w:val="4"/>
        </w:numPr>
      </w:pPr>
      <w:r>
        <w:rPr>
          <w:rFonts w:ascii="Figtree" w:hAnsi="Figtree"/>
          <w:b/>
          <w:i w:val="0"/>
          <w:sz w:val="22"/>
        </w:rPr>
        <w:t>Estimated three-year TCO:</w:t>
      </w:r>
      <w:r>
        <w:rPr>
          <w:rFonts w:ascii="Figtree" w:hAnsi="Figtree"/>
          <w:b w:val="0"/>
          <w:i w:val="0"/>
          <w:sz w:val="22"/>
        </w:rPr>
        <w:t xml:space="preserve"> [CLIENT-SPECIFIC — to be finalized during commercial discussions]</w:t>
      </w:r>
    </w:p>
    <w:p>
      <w:r>
        <w:rPr>
          <w:rFonts w:ascii="Figtree" w:hAnsi="Figtree"/>
          <w:b w:val="0"/>
          <w:i w:val="0"/>
          <w:sz w:val="22"/>
        </w:rPr>
        <w:t>The DALP licensing model uses predictable annual subscription pricing with no per-transaction, per-token, per-user, or per-settlement fees. Standard Bank can scale issuance volume, securities types, and investor distribution without incurring incremental platform costs. Settlement operations, corporate actions, and compliance checks — which occur at high frequency in securities markets — carry zero marginal licensing cost.</w:t>
      </w:r>
    </w:p>
    <w:p>
      <w:r>
        <w:br w:type="page"/>
      </w:r>
    </w:p>
    <w:p>
      <w:pPr>
        <w:pStyle w:val="H2"/>
        <w:numPr>
          <w:ilvl w:val="1"/>
          <w:numId w:val="1"/>
        </w:numPr>
      </w:pPr>
      <w:r>
        <w:t>Licensing Model</w:t>
      </w:r>
    </w:p>
    <w:p>
      <w:pPr>
        <w:pStyle w:val="H3"/>
        <w:numPr>
          <w:ilvl w:val="2"/>
          <w:numId w:val="1"/>
        </w:numPr>
      </w:pPr>
      <w:r>
        <w:t>Platform Licensing Philosophy</w:t>
      </w:r>
    </w:p>
    <w:p>
      <w:r>
        <w:rPr>
          <w:rFonts w:ascii="Figtree" w:hAnsi="Figtree"/>
          <w:b w:val="0"/>
          <w:i w:val="0"/>
          <w:sz w:val="22"/>
        </w:rPr>
        <w:t xml:space="preserve">DALP uses a </w:t>
      </w:r>
      <w:r>
        <w:rPr>
          <w:rFonts w:ascii="Figtree" w:hAnsi="Figtree"/>
          <w:b/>
          <w:i w:val="0"/>
          <w:sz w:val="22"/>
        </w:rPr>
        <w:t>platform licensing model</w:t>
      </w:r>
      <w:r>
        <w:rPr>
          <w:rFonts w:ascii="Figtree" w:hAnsi="Figtree"/>
          <w:b w:val="0"/>
          <w:i w:val="0"/>
          <w:sz w:val="22"/>
        </w:rPr>
        <w:t>. Key principles: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77"/>
        <w:gridCol w:w="649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Principle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What It Means for Standard Bank</w:t>
            </w:r>
          </w:p>
        </w:tc>
      </w:tr>
      <w:tr>
        <w:trPr>
          <w:trHeight w:val="425" w:hRule="atLeast"/>
        </w:trPr>
        <w:tc>
          <w:tcPr>
            <w:tcW w:type="dxa" w:w="4873"/>
            <w:vAlign w:val="center"/>
          </w:tcPr>
          <w:p>
            <w:pPr>
              <w:spacing w:line="276" w:lineRule="auto" w:before="0" w:after="0"/>
            </w:pPr>
            <w:r/>
            <w:r>
              <w:rPr>
                <w:rFonts w:ascii="Figtree" w:hAnsi="Figtree"/>
                <w:b w:val="0"/>
                <w:i w:val="0"/>
                <w:sz w:val="20"/>
              </w:rPr>
              <w:t>No per-transaction fees</w:t>
            </w:r>
          </w:p>
        </w:tc>
        <w:tc>
          <w:tcPr>
            <w:tcW w:type="dxa" w:w="4873"/>
            <w:vAlign w:val="center"/>
          </w:tcPr>
          <w:p>
            <w:pPr>
              <w:spacing w:line="276" w:lineRule="auto" w:before="0" w:after="0"/>
            </w:pPr>
            <w:r/>
            <w:r>
              <w:rPr>
                <w:rFonts w:ascii="Figtree" w:hAnsi="Figtree"/>
                <w:b w:val="0"/>
                <w:i w:val="0"/>
                <w:sz w:val="20"/>
              </w:rPr>
              <w:t>Every compliance check, settlement, corporate action, and transfer is included. No cost anxiety as volumes grow.</w:t>
            </w:r>
          </w:p>
        </w:tc>
      </w:tr>
      <w:tr>
        <w:trPr>
          <w:trHeight w:val="425" w:hRule="atLeast"/>
        </w:trPr>
        <w:tc>
          <w:tcPr>
            <w:tcW w:type="dxa" w:w="4873"/>
            <w:vAlign w:val="center"/>
          </w:tcPr>
          <w:p>
            <w:pPr>
              <w:spacing w:line="276" w:lineRule="auto" w:before="0" w:after="0"/>
            </w:pPr>
            <w:r/>
            <w:r>
              <w:rPr>
                <w:rFonts w:ascii="Figtree" w:hAnsi="Figtree"/>
                <w:b w:val="0"/>
                <w:i w:val="0"/>
                <w:sz w:val="20"/>
              </w:rPr>
              <w:t>No per-token fees</w:t>
            </w:r>
          </w:p>
        </w:tc>
        <w:tc>
          <w:tcPr>
            <w:tcW w:type="dxa" w:w="4873"/>
            <w:vAlign w:val="center"/>
          </w:tcPr>
          <w:p>
            <w:pPr>
              <w:spacing w:line="276" w:lineRule="auto" w:before="0" w:after="0"/>
            </w:pPr>
            <w:r/>
            <w:r>
              <w:rPr>
                <w:rFonts w:ascii="Figtree" w:hAnsi="Figtree"/>
                <w:b w:val="0"/>
                <w:i w:val="0"/>
                <w:sz w:val="20"/>
              </w:rPr>
              <w:t>Additional securities types (bonds, equities, funds) carry no incremental license cost.</w:t>
            </w:r>
          </w:p>
        </w:tc>
      </w:tr>
      <w:tr>
        <w:trPr>
          <w:trHeight w:val="425" w:hRule="atLeast"/>
        </w:trPr>
        <w:tc>
          <w:tcPr>
            <w:tcW w:type="dxa" w:w="4873"/>
            <w:vAlign w:val="center"/>
          </w:tcPr>
          <w:p>
            <w:pPr>
              <w:spacing w:line="276" w:lineRule="auto" w:before="0" w:after="0"/>
            </w:pPr>
            <w:r/>
            <w:r>
              <w:rPr>
                <w:rFonts w:ascii="Figtree" w:hAnsi="Figtree"/>
                <w:b w:val="0"/>
                <w:i w:val="0"/>
                <w:sz w:val="20"/>
              </w:rPr>
              <w:t>No per-user fees for investors</w:t>
            </w:r>
          </w:p>
        </w:tc>
        <w:tc>
          <w:tcPr>
            <w:tcW w:type="dxa" w:w="4873"/>
            <w:vAlign w:val="center"/>
          </w:tcPr>
          <w:p>
            <w:pPr>
              <w:spacing w:line="276" w:lineRule="auto" w:before="0" w:after="0"/>
            </w:pPr>
            <w:r/>
            <w:r>
              <w:rPr>
                <w:rFonts w:ascii="Figtree" w:hAnsi="Figtree"/>
                <w:b w:val="0"/>
                <w:i w:val="0"/>
                <w:sz w:val="20"/>
              </w:rPr>
              <w:t>Growing the investor base across South Africa and pan-African markets is a business outcome, not a cost driver.</w:t>
            </w:r>
          </w:p>
        </w:tc>
      </w:tr>
      <w:tr>
        <w:trPr>
          <w:trHeight w:val="425" w:hRule="atLeast"/>
        </w:trPr>
        <w:tc>
          <w:tcPr>
            <w:tcW w:type="dxa" w:w="4873"/>
            <w:vAlign w:val="center"/>
          </w:tcPr>
          <w:p>
            <w:pPr>
              <w:spacing w:line="276" w:lineRule="auto" w:before="0" w:after="0"/>
            </w:pPr>
            <w:r/>
            <w:r>
              <w:rPr>
                <w:rFonts w:ascii="Figtree" w:hAnsi="Figtree"/>
                <w:b w:val="0"/>
                <w:i w:val="0"/>
                <w:sz w:val="20"/>
              </w:rPr>
              <w:t>Predictable annual subscription</w:t>
            </w:r>
          </w:p>
        </w:tc>
        <w:tc>
          <w:tcPr>
            <w:tcW w:type="dxa" w:w="4873"/>
            <w:vAlign w:val="center"/>
          </w:tcPr>
          <w:p>
            <w:pPr>
              <w:spacing w:line="276" w:lineRule="auto" w:before="0" w:after="0"/>
            </w:pPr>
            <w:r/>
            <w:r>
              <w:rPr>
                <w:rFonts w:ascii="Figtree" w:hAnsi="Figtree"/>
                <w:b w:val="0"/>
                <w:i w:val="0"/>
                <w:sz w:val="20"/>
              </w:rPr>
              <w:t>Budget certainty for multi-year planning.</w:t>
            </w:r>
          </w:p>
        </w:tc>
      </w:tr>
      <w:tr>
        <w:trPr>
          <w:trHeight w:val="425" w:hRule="atLeast"/>
        </w:trPr>
        <w:tc>
          <w:tcPr>
            <w:tcW w:type="dxa" w:w="4873"/>
            <w:vAlign w:val="center"/>
          </w:tcPr>
          <w:p>
            <w:pPr>
              <w:spacing w:line="276" w:lineRule="auto" w:before="0" w:after="0"/>
            </w:pPr>
            <w:r/>
            <w:r>
              <w:rPr>
                <w:rFonts w:ascii="Figtree" w:hAnsi="Figtree"/>
                <w:b w:val="0"/>
                <w:i w:val="0"/>
                <w:sz w:val="20"/>
              </w:rPr>
              <w:t>Full platform capabilities included</w:t>
            </w:r>
          </w:p>
        </w:tc>
        <w:tc>
          <w:tcPr>
            <w:tcW w:type="dxa" w:w="4873"/>
            <w:vAlign w:val="center"/>
          </w:tcPr>
          <w:p>
            <w:pPr>
              <w:spacing w:line="276" w:lineRule="auto" w:before="0" w:after="0"/>
            </w:pPr>
            <w:r/>
            <w:r>
              <w:rPr>
                <w:rFonts w:ascii="Figtree" w:hAnsi="Figtree"/>
                <w:b w:val="0"/>
                <w:i w:val="0"/>
                <w:sz w:val="20"/>
              </w:rPr>
              <w:t>All lifecycle pillars, compliance modules, API surface, and observability tools.</w:t>
            </w:r>
          </w:p>
        </w:tc>
      </w:tr>
    </w:tbl>
    <w:p>
      <w:pPr>
        <w:spacing w:before="0" w:after="0" w:line="120" w:lineRule="exact"/>
      </w:pPr>
    </w:p>
    <w:p>
      <w:pPr>
        <w:pStyle w:val="H3"/>
        <w:numPr>
          <w:ilvl w:val="2"/>
          <w:numId w:val="1"/>
        </w:numPr>
      </w:pPr>
      <w:r>
        <w:t>What the License Includes</w:t>
      </w:r>
    </w:p>
    <w:p>
      <w:r>
        <w:rPr>
          <w:rFonts w:ascii="Figtree" w:hAnsi="Figtree"/>
          <w:b w:val="0"/>
          <w:i w:val="0"/>
          <w:sz w:val="22"/>
        </w:rPr>
        <w:t>The Enterprise license provides access to:</w:t>
      </w:r>
    </w:p>
    <w:p>
      <w:pPr>
        <w:pStyle w:val="ListParagraph"/>
        <w:numPr>
          <w:ilvl w:val="0"/>
          <w:numId w:val="4"/>
        </w:numPr>
      </w:pPr>
      <w:r>
        <w:rPr>
          <w:rFonts w:ascii="Figtree" w:hAnsi="Figtree"/>
          <w:b w:val="0"/>
          <w:i w:val="0"/>
          <w:sz w:val="22"/>
        </w:rPr>
        <w:t>All five lifecycle pillars: Issuance, Compliance, Custody Integration, Settlement, and Servicing</w:t>
      </w:r>
    </w:p>
    <w:p>
      <w:pPr>
        <w:pStyle w:val="ListParagraph"/>
        <w:numPr>
          <w:ilvl w:val="0"/>
          <w:numId w:val="4"/>
        </w:numPr>
      </w:pPr>
      <w:r>
        <w:rPr>
          <w:rFonts w:ascii="Figtree" w:hAnsi="Figtree"/>
          <w:b w:val="0"/>
          <w:i w:val="0"/>
          <w:sz w:val="22"/>
        </w:rPr>
        <w:t>All seven asset classes (bonds, equities, funds, stablecoins, deposits, real estate, precious metals) plus Configurable Token</w:t>
      </w:r>
    </w:p>
    <w:p>
      <w:pPr>
        <w:pStyle w:val="ListParagraph"/>
        <w:numPr>
          <w:ilvl w:val="0"/>
          <w:numId w:val="4"/>
        </w:numPr>
      </w:pPr>
      <w:r>
        <w:rPr>
          <w:rFonts w:ascii="Figtree" w:hAnsi="Figtree"/>
          <w:b w:val="0"/>
          <w:i w:val="0"/>
          <w:sz w:val="22"/>
        </w:rPr>
        <w:t>All 18 compliance module types — no per-module licensing</w:t>
      </w:r>
    </w:p>
    <w:p>
      <w:pPr>
        <w:pStyle w:val="ListParagraph"/>
        <w:numPr>
          <w:ilvl w:val="0"/>
          <w:numId w:val="4"/>
        </w:numPr>
      </w:pPr>
      <w:r>
        <w:rPr>
          <w:rFonts w:ascii="Figtree" w:hAnsi="Figtree"/>
          <w:b w:val="0"/>
          <w:i w:val="0"/>
          <w:sz w:val="22"/>
        </w:rPr>
        <w:t>Full API surface: REST API v2, GraphQL, webhooks, TypeScript SDK, CLI (301 commands)</w:t>
      </w:r>
    </w:p>
    <w:p>
      <w:pPr>
        <w:pStyle w:val="ListParagraph"/>
        <w:numPr>
          <w:ilvl w:val="0"/>
          <w:numId w:val="4"/>
        </w:numPr>
      </w:pPr>
      <w:r>
        <w:rPr>
          <w:rFonts w:ascii="Figtree" w:hAnsi="Figtree"/>
          <w:b w:val="0"/>
          <w:i w:val="0"/>
          <w:sz w:val="22"/>
        </w:rPr>
        <w:t>Addon capabilities: XvP settlement, vault management, token sales, airdrop, yield schedules</w:t>
      </w:r>
    </w:p>
    <w:p>
      <w:pPr>
        <w:pStyle w:val="ListParagraph"/>
        <w:numPr>
          <w:ilvl w:val="0"/>
          <w:numId w:val="4"/>
        </w:numPr>
      </w:pPr>
      <w:r>
        <w:rPr>
          <w:rFonts w:ascii="Figtree" w:hAnsi="Figtree"/>
          <w:b w:val="0"/>
          <w:i w:val="0"/>
          <w:sz w:val="22"/>
        </w:rPr>
        <w:t>Observability stack: Grafana dashboards, metrics, logs, traces, automated alerting</w:t>
      </w:r>
    </w:p>
    <w:p>
      <w:pPr>
        <w:pStyle w:val="ListParagraph"/>
        <w:numPr>
          <w:ilvl w:val="0"/>
          <w:numId w:val="4"/>
        </w:numPr>
      </w:pPr>
      <w:r>
        <w:rPr>
          <w:rFonts w:ascii="Figtree" w:hAnsi="Figtree"/>
          <w:b w:val="0"/>
          <w:i w:val="0"/>
          <w:sz w:val="22"/>
        </w:rPr>
        <w:t>Platform updates and security patches during the license term</w:t>
      </w:r>
    </w:p>
    <w:p>
      <w:pPr>
        <w:pStyle w:val="H3"/>
        <w:numPr>
          <w:ilvl w:val="2"/>
          <w:numId w:val="1"/>
        </w:numPr>
      </w:pPr>
      <w:r>
        <w:t>Recommended Tier: Enterprise (Tier 2)</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44"/>
        <w:gridCol w:w="732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Configuration for Standard Bank</w:t>
            </w:r>
          </w:p>
        </w:tc>
      </w:tr>
      <w:tr>
        <w:trPr>
          <w:trHeight w:val="425" w:hRule="atLeast"/>
        </w:trPr>
        <w:tc>
          <w:tcPr>
            <w:tcW w:type="dxa" w:w="4873"/>
            <w:vAlign w:val="center"/>
          </w:tcPr>
          <w:p>
            <w:pPr>
              <w:spacing w:line="276" w:lineRule="auto" w:before="0" w:after="0"/>
            </w:pPr>
            <w:r/>
            <w:r>
              <w:rPr>
                <w:rFonts w:ascii="Figtree" w:hAnsi="Figtree"/>
                <w:b w:val="0"/>
                <w:i w:val="0"/>
                <w:sz w:val="20"/>
              </w:rPr>
              <w:t>Environments</w:t>
            </w:r>
          </w:p>
        </w:tc>
        <w:tc>
          <w:tcPr>
            <w:tcW w:type="dxa" w:w="4873"/>
            <w:vAlign w:val="center"/>
          </w:tcPr>
          <w:p>
            <w:pPr>
              <w:spacing w:line="276" w:lineRule="auto" w:before="0" w:after="0"/>
            </w:pPr>
            <w:r/>
            <w:r>
              <w:rPr>
                <w:rFonts w:ascii="Figtree" w:hAnsi="Figtree"/>
                <w:b w:val="0"/>
                <w:i w:val="0"/>
                <w:sz w:val="20"/>
              </w:rPr>
              <w:t>Development + UAT/Staging + DR + Production</w:t>
            </w:r>
          </w:p>
        </w:tc>
      </w:tr>
      <w:tr>
        <w:trPr>
          <w:trHeight w:val="425" w:hRule="atLeast"/>
        </w:trPr>
        <w:tc>
          <w:tcPr>
            <w:tcW w:type="dxa" w:w="4873"/>
            <w:vAlign w:val="center"/>
          </w:tcPr>
          <w:p>
            <w:pPr>
              <w:spacing w:line="276" w:lineRule="auto" w:before="0" w:after="0"/>
            </w:pPr>
            <w:r/>
            <w:r>
              <w:rPr>
                <w:rFonts w:ascii="Figtree" w:hAnsi="Figtree"/>
                <w:b w:val="0"/>
                <w:i w:val="0"/>
                <w:sz w:val="20"/>
              </w:rPr>
              <w:t>Networks</w:t>
            </w:r>
          </w:p>
        </w:tc>
        <w:tc>
          <w:tcPr>
            <w:tcW w:type="dxa" w:w="4873"/>
            <w:vAlign w:val="center"/>
          </w:tcPr>
          <w:p>
            <w:pPr>
              <w:spacing w:line="276" w:lineRule="auto" w:before="0" w:after="0"/>
            </w:pPr>
            <w:r/>
            <w:r>
              <w:rPr>
                <w:rFonts w:ascii="Figtree" w:hAnsi="Figtree"/>
                <w:b w:val="0"/>
                <w:i w:val="0"/>
                <w:sz w:val="20"/>
              </w:rPr>
              <w:t>Permissioned Hyperledger Besu (recommended)</w:t>
            </w:r>
          </w:p>
        </w:tc>
      </w:tr>
      <w:tr>
        <w:trPr>
          <w:trHeight w:val="425" w:hRule="atLeast"/>
        </w:trPr>
        <w:tc>
          <w:tcPr>
            <w:tcW w:type="dxa" w:w="4873"/>
            <w:vAlign w:val="center"/>
          </w:tcPr>
          <w:p>
            <w:pPr>
              <w:spacing w:line="276" w:lineRule="auto" w:before="0" w:after="0"/>
            </w:pPr>
            <w:r/>
            <w:r>
              <w:rPr>
                <w:rFonts w:ascii="Figtree" w:hAnsi="Figtree"/>
                <w:b w:val="0"/>
                <w:i w:val="0"/>
                <w:sz w:val="20"/>
              </w:rPr>
              <w:t>Custody</w:t>
            </w:r>
          </w:p>
        </w:tc>
        <w:tc>
          <w:tcPr>
            <w:tcW w:type="dxa" w:w="4873"/>
            <w:vAlign w:val="center"/>
          </w:tcPr>
          <w:p>
            <w:pPr>
              <w:spacing w:line="276" w:lineRule="auto" w:before="0" w:after="0"/>
            </w:pPr>
            <w:r/>
            <w:r>
              <w:rPr>
                <w:rFonts w:ascii="Figtree" w:hAnsi="Figtree"/>
                <w:b w:val="0"/>
                <w:i w:val="0"/>
                <w:sz w:val="20"/>
              </w:rPr>
              <w:t>DFNS or Fireblocks integration (decision during Phase 1)</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Premium tier (16×5, 2-hour P1 response)</w:t>
            </w:r>
          </w:p>
        </w:tc>
      </w:tr>
      <w:tr>
        <w:trPr>
          <w:trHeight w:val="425" w:hRule="atLeast"/>
        </w:trPr>
        <w:tc>
          <w:tcPr>
            <w:tcW w:type="dxa" w:w="4873"/>
            <w:vAlign w:val="center"/>
          </w:tcPr>
          <w:p>
            <w:pPr>
              <w:spacing w:line="276" w:lineRule="auto" w:before="0" w:after="0"/>
            </w:pPr>
            <w:r/>
            <w:r>
              <w:rPr>
                <w:rFonts w:ascii="Figtree" w:hAnsi="Figtree"/>
                <w:b w:val="0"/>
                <w:i w:val="0"/>
                <w:sz w:val="20"/>
              </w:rPr>
              <w:t>Asset classes</w:t>
            </w:r>
          </w:p>
        </w:tc>
        <w:tc>
          <w:tcPr>
            <w:tcW w:type="dxa" w:w="4873"/>
            <w:vAlign w:val="center"/>
          </w:tcPr>
          <w:p>
            <w:pPr>
              <w:spacing w:line="276" w:lineRule="auto" w:before="0" w:after="0"/>
            </w:pPr>
            <w:r/>
            <w:r>
              <w:rPr>
                <w:rFonts w:ascii="Figtree" w:hAnsi="Figtree"/>
                <w:b w:val="0"/>
                <w:i w:val="0"/>
                <w:sz w:val="20"/>
              </w:rPr>
              <w:t>Bonds, equities — with expansion to funds and deposits via DALPAsset templates</w:t>
            </w:r>
          </w:p>
        </w:tc>
      </w:tr>
    </w:tbl>
    <w:p>
      <w:pPr>
        <w:spacing w:before="0" w:after="0" w:line="120" w:lineRule="exact"/>
      </w:pPr>
    </w:p>
    <w:p>
      <w:r>
        <w:rPr>
          <w:rFonts w:ascii="Figtree" w:hAnsi="Figtree"/>
          <w:b/>
          <w:i w:val="0"/>
          <w:sz w:val="22"/>
        </w:rPr>
        <w:t>Annual license fee:</w:t>
      </w:r>
      <w:r>
        <w:rPr>
          <w:rFonts w:ascii="Figtree" w:hAnsi="Figtree"/>
          <w:b w:val="0"/>
          <w:i w:val="0"/>
          <w:sz w:val="22"/>
        </w:rPr>
        <w:t xml:space="preserve"> [CLIENT-SPECIFIC]</w:t>
      </w:r>
    </w:p>
    <w:p>
      <w:r>
        <w:br w:type="page"/>
      </w:r>
    </w:p>
    <w:p>
      <w:pPr>
        <w:pStyle w:val="H2"/>
        <w:numPr>
          <w:ilvl w:val="1"/>
          <w:numId w:val="1"/>
        </w:numPr>
      </w:pPr>
      <w:r>
        <w:t>Implementation Pricing</w:t>
      </w:r>
    </w:p>
    <w:p>
      <w:pPr>
        <w:pStyle w:val="H3"/>
        <w:numPr>
          <w:ilvl w:val="2"/>
          <w:numId w:val="1"/>
        </w:numPr>
      </w:pPr>
      <w:r>
        <w:t>Pricing Structure</w:t>
      </w:r>
    </w:p>
    <w:p>
      <w:r>
        <w:rPr>
          <w:rFonts w:ascii="Figtree" w:hAnsi="Figtree"/>
          <w:b w:val="0"/>
          <w:i w:val="0"/>
          <w:sz w:val="22"/>
        </w:rPr>
        <w:t>Implementation is priced as a fixed-fee engagement across the five delivery phases: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69"/>
        <w:gridCol w:w="812"/>
        <w:gridCol w:w="4468"/>
        <w:gridCol w:w="142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Pricing Basis</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 &amp; Requirements</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regulatory mapping, architecture design</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 &amp; Setup</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Environment provisioning, network, identity framework</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 &amp; Compliance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Securities configuration, compliance modules, JSE/Strate workflows</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 &amp; Testing</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System integration, security/UAT/performance testing</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 &amp;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Production deployment, knowledge transfer, hypercare</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Implementation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99"/>
        <w:gridCol w:w="2924"/>
        <w:gridCol w:w="46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3249"/>
            <w:vAlign w:val="center"/>
          </w:tcPr>
          <w:p>
            <w:pPr>
              <w:spacing w:line="276" w:lineRule="auto" w:before="0" w:after="0"/>
            </w:pPr>
            <w:r/>
            <w:r>
              <w:rPr>
                <w:rFonts w:ascii="Figtree" w:hAnsi="Figtree"/>
                <w:b w:val="0"/>
                <w:i w:val="0"/>
                <w:sz w:val="20"/>
              </w:rPr>
              <w:t>Delivery Lead</w:t>
            </w:r>
          </w:p>
        </w:tc>
        <w:tc>
          <w:tcPr>
            <w:tcW w:type="dxa" w:w="3249"/>
            <w:vAlign w:val="center"/>
          </w:tcPr>
          <w:p>
            <w:pPr>
              <w:spacing w:line="276" w:lineRule="auto" w:before="0" w:after="0"/>
            </w:pPr>
            <w:r/>
            <w:r>
              <w:rPr>
                <w:rFonts w:ascii="Figtree" w:hAnsi="Figtree"/>
                <w:b w:val="0"/>
                <w:i w:val="0"/>
                <w:sz w:val="20"/>
              </w:rPr>
              <w:t>Full-time (19 weeks)</w:t>
            </w:r>
          </w:p>
        </w:tc>
        <w:tc>
          <w:tcPr>
            <w:tcW w:type="dxa" w:w="3249"/>
            <w:vAlign w:val="center"/>
          </w:tcPr>
          <w:p>
            <w:pPr>
              <w:spacing w:line="276" w:lineRule="auto" w:before="0" w:after="0"/>
            </w:pPr>
            <w:r/>
            <w:r>
              <w:rPr>
                <w:rFonts w:ascii="Figtree" w:hAnsi="Figtree"/>
                <w:b w:val="0"/>
                <w:i w:val="0"/>
                <w:sz w:val="20"/>
              </w:rPr>
              <w:t>Programme management, gate reviews, stakeholder alignment</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w:t>
            </w:r>
          </w:p>
        </w:tc>
        <w:tc>
          <w:tcPr>
            <w:tcW w:type="dxa" w:w="3249"/>
            <w:vAlign w:val="center"/>
          </w:tcPr>
          <w:p>
            <w:pPr>
              <w:spacing w:line="276" w:lineRule="auto" w:before="0" w:after="0"/>
            </w:pPr>
            <w:r/>
            <w:r>
              <w:rPr>
                <w:rFonts w:ascii="Figtree" w:hAnsi="Figtree"/>
                <w:b w:val="0"/>
                <w:i w:val="0"/>
                <w:sz w:val="20"/>
              </w:rPr>
              <w:t>Full-time (Weeks 1–13), on-call (14–19)</w:t>
            </w:r>
          </w:p>
        </w:tc>
        <w:tc>
          <w:tcPr>
            <w:tcW w:type="dxa" w:w="3249"/>
            <w:vAlign w:val="center"/>
          </w:tcPr>
          <w:p>
            <w:pPr>
              <w:spacing w:line="276" w:lineRule="auto" w:before="0" w:after="0"/>
            </w:pPr>
            <w:r/>
            <w:r>
              <w:rPr>
                <w:rFonts w:ascii="Figtree" w:hAnsi="Figtree"/>
                <w:b w:val="0"/>
                <w:i w:val="0"/>
                <w:sz w:val="20"/>
              </w:rPr>
              <w:t>Architecture design, integration patterns, technical decisions</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Full-time (Weeks 3–17)</w:t>
            </w:r>
          </w:p>
        </w:tc>
        <w:tc>
          <w:tcPr>
            <w:tcW w:type="dxa" w:w="3249"/>
            <w:vAlign w:val="center"/>
          </w:tcPr>
          <w:p>
            <w:pPr>
              <w:spacing w:line="276" w:lineRule="auto" w:before="0" w:after="0"/>
            </w:pPr>
            <w:r/>
            <w:r>
              <w:rPr>
                <w:rFonts w:ascii="Figtree" w:hAnsi="Figtree"/>
                <w:b w:val="0"/>
                <w:i w:val="0"/>
                <w:sz w:val="20"/>
              </w:rPr>
              <w:t>Environment setup, configuration, deployment</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Full-time (Weeks 6–13)</w:t>
            </w:r>
          </w:p>
        </w:tc>
        <w:tc>
          <w:tcPr>
            <w:tcW w:type="dxa" w:w="3249"/>
            <w:vAlign w:val="center"/>
          </w:tcPr>
          <w:p>
            <w:pPr>
              <w:spacing w:line="276" w:lineRule="auto" w:before="0" w:after="0"/>
            </w:pPr>
            <w:r/>
            <w:r>
              <w:rPr>
                <w:rFonts w:ascii="Figtree" w:hAnsi="Figtree"/>
                <w:b w:val="0"/>
                <w:i w:val="0"/>
                <w:sz w:val="20"/>
              </w:rPr>
              <w:t>Enterprise system integration, JSE/Strate connectivity</w:t>
            </w:r>
          </w:p>
        </w:tc>
      </w:tr>
      <w:tr>
        <w:trPr>
          <w:trHeight w:val="425" w:hRule="atLeast"/>
        </w:trPr>
        <w:tc>
          <w:tcPr>
            <w:tcW w:type="dxa" w:w="3249"/>
            <w:vAlign w:val="center"/>
          </w:tcPr>
          <w:p>
            <w:pPr>
              <w:spacing w:line="276" w:lineRule="auto" w:before="0" w:after="0"/>
            </w:pPr>
            <w:r/>
            <w:r>
              <w:rPr>
                <w:rFonts w:ascii="Figtree" w:hAnsi="Figtree"/>
                <w:b w:val="0"/>
                <w:i w:val="0"/>
                <w:sz w:val="20"/>
              </w:rPr>
              <w:t>QA Engineer</w:t>
            </w:r>
          </w:p>
        </w:tc>
        <w:tc>
          <w:tcPr>
            <w:tcW w:type="dxa" w:w="3249"/>
            <w:vAlign w:val="center"/>
          </w:tcPr>
          <w:p>
            <w:pPr>
              <w:spacing w:line="276" w:lineRule="auto" w:before="0" w:after="0"/>
            </w:pPr>
            <w:r/>
            <w:r>
              <w:rPr>
                <w:rFonts w:ascii="Figtree" w:hAnsi="Figtree"/>
                <w:b w:val="0"/>
                <w:i w:val="0"/>
                <w:sz w:val="20"/>
              </w:rPr>
              <w:t>Full-time (Weeks 10–15)</w:t>
            </w:r>
          </w:p>
        </w:tc>
        <w:tc>
          <w:tcPr>
            <w:tcW w:type="dxa" w:w="3249"/>
            <w:vAlign w:val="center"/>
          </w:tcPr>
          <w:p>
            <w:pPr>
              <w:spacing w:line="276" w:lineRule="auto" w:before="0" w:after="0"/>
            </w:pPr>
            <w:r/>
            <w:r>
              <w:rPr>
                <w:rFonts w:ascii="Figtree" w:hAnsi="Figtree"/>
                <w:b w:val="0"/>
                <w:i w:val="0"/>
                <w:sz w:val="20"/>
              </w:rPr>
              <w:t>Test planning, execution, defect management</w:t>
            </w:r>
          </w:p>
        </w:tc>
      </w:tr>
    </w:tbl>
    <w:p>
      <w:pPr>
        <w:spacing w:before="0" w:after="0" w:line="120" w:lineRule="exact"/>
      </w:pPr>
    </w:p>
    <w:p>
      <w:pPr>
        <w:pStyle w:val="H3"/>
        <w:numPr>
          <w:ilvl w:val="2"/>
          <w:numId w:val="1"/>
        </w:numPr>
      </w:pPr>
      <w:r>
        <w:t>Client Effort Assumptions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727"/>
        <w:gridCol w:w="2938"/>
        <w:gridCol w:w="140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Client Effort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When</w:t>
            </w:r>
          </w:p>
        </w:tc>
      </w:tr>
      <w:tr>
        <w:trPr>
          <w:trHeight w:val="425" w:hRule="atLeast"/>
        </w:trPr>
        <w:tc>
          <w:tcPr>
            <w:tcW w:type="dxa" w:w="3249"/>
            <w:vAlign w:val="center"/>
          </w:tcPr>
          <w:p>
            <w:pPr>
              <w:spacing w:line="276" w:lineRule="auto" w:before="0" w:after="0"/>
            </w:pPr>
            <w:r/>
            <w:r>
              <w:rPr>
                <w:rFonts w:ascii="Figtree" w:hAnsi="Figtree"/>
                <w:b w:val="0"/>
                <w:i w:val="0"/>
                <w:sz w:val="20"/>
              </w:rPr>
              <w:t>Stakeholder interviews</w:t>
            </w:r>
          </w:p>
        </w:tc>
        <w:tc>
          <w:tcPr>
            <w:tcW w:type="dxa" w:w="3249"/>
            <w:vAlign w:val="center"/>
          </w:tcPr>
          <w:p>
            <w:pPr>
              <w:spacing w:line="276" w:lineRule="auto" w:before="0" w:after="0"/>
            </w:pPr>
            <w:r/>
            <w:r>
              <w:rPr>
                <w:rFonts w:ascii="Figtree" w:hAnsi="Figtree"/>
                <w:b w:val="0"/>
                <w:i w:val="0"/>
                <w:sz w:val="20"/>
              </w:rPr>
              <w:t>20 person-days</w:t>
            </w:r>
          </w:p>
        </w:tc>
        <w:tc>
          <w:tcPr>
            <w:tcW w:type="dxa" w:w="3249"/>
            <w:vAlign w:val="center"/>
          </w:tcPr>
          <w:p>
            <w:pPr>
              <w:spacing w:line="276" w:lineRule="auto" w:before="0" w:after="0"/>
            </w:pPr>
            <w:r/>
            <w:r>
              <w:rPr>
                <w:rFonts w:ascii="Figtree" w:hAnsi="Figtree"/>
                <w:b w:val="0"/>
                <w:i w:val="0"/>
                <w:sz w:val="20"/>
              </w:rPr>
              <w:t>Weeks 1–2</w:t>
            </w:r>
          </w:p>
        </w:tc>
      </w:tr>
      <w:tr>
        <w:trPr>
          <w:trHeight w:val="425" w:hRule="atLeast"/>
        </w:trPr>
        <w:tc>
          <w:tcPr>
            <w:tcW w:type="dxa" w:w="3249"/>
            <w:vAlign w:val="center"/>
          </w:tcPr>
          <w:p>
            <w:pPr>
              <w:spacing w:line="276" w:lineRule="auto" w:before="0" w:after="0"/>
            </w:pPr>
            <w:r/>
            <w:r>
              <w:rPr>
                <w:rFonts w:ascii="Figtree" w:hAnsi="Figtree"/>
                <w:b w:val="0"/>
                <w:i w:val="0"/>
                <w:sz w:val="20"/>
              </w:rPr>
              <w:t>SARB/FSCA regulatory alignment</w:t>
            </w:r>
          </w:p>
        </w:tc>
        <w:tc>
          <w:tcPr>
            <w:tcW w:type="dxa" w:w="3249"/>
            <w:vAlign w:val="center"/>
          </w:tcPr>
          <w:p>
            <w:pPr>
              <w:spacing w:line="276" w:lineRule="auto" w:before="0" w:after="0"/>
            </w:pPr>
            <w:r/>
            <w:r>
              <w:rPr>
                <w:rFonts w:ascii="Figtree" w:hAnsi="Figtree"/>
                <w:b w:val="0"/>
                <w:i w:val="0"/>
                <w:sz w:val="20"/>
              </w:rPr>
              <w:t>10 person-days</w:t>
            </w:r>
          </w:p>
        </w:tc>
        <w:tc>
          <w:tcPr>
            <w:tcW w:type="dxa" w:w="3249"/>
            <w:vAlign w:val="center"/>
          </w:tcPr>
          <w:p>
            <w:pPr>
              <w:spacing w:line="276" w:lineRule="auto" w:before="0" w:after="0"/>
            </w:pPr>
            <w:r/>
            <w:r>
              <w:rPr>
                <w:rFonts w:ascii="Figtree" w:hAnsi="Figtree"/>
                <w:b w:val="0"/>
                <w:i w:val="0"/>
                <w:sz w:val="20"/>
              </w:rPr>
              <w:t>Weeks 6–9</w:t>
            </w:r>
          </w:p>
        </w:tc>
      </w:tr>
      <w:tr>
        <w:trPr>
          <w:trHeight w:val="425" w:hRule="atLeast"/>
        </w:trPr>
        <w:tc>
          <w:tcPr>
            <w:tcW w:type="dxa" w:w="3249"/>
            <w:vAlign w:val="center"/>
          </w:tcPr>
          <w:p>
            <w:pPr>
              <w:spacing w:line="276" w:lineRule="auto" w:before="0" w:after="0"/>
            </w:pPr>
            <w:r/>
            <w:r>
              <w:rPr>
                <w:rFonts w:ascii="Figtree" w:hAnsi="Figtree"/>
                <w:b w:val="0"/>
                <w:i w:val="0"/>
                <w:sz w:val="20"/>
              </w:rPr>
              <w:t>Core banking and JSE API provisioning</w:t>
            </w:r>
          </w:p>
        </w:tc>
        <w:tc>
          <w:tcPr>
            <w:tcW w:type="dxa" w:w="3249"/>
            <w:vAlign w:val="center"/>
          </w:tcPr>
          <w:p>
            <w:pPr>
              <w:spacing w:line="276" w:lineRule="auto" w:before="0" w:after="0"/>
            </w:pPr>
            <w:r/>
            <w:r>
              <w:rPr>
                <w:rFonts w:ascii="Figtree" w:hAnsi="Figtree"/>
                <w:b w:val="0"/>
                <w:i w:val="0"/>
                <w:sz w:val="20"/>
              </w:rPr>
              <w:t>15 person-days</w:t>
            </w:r>
          </w:p>
        </w:tc>
        <w:tc>
          <w:tcPr>
            <w:tcW w:type="dxa" w:w="3249"/>
            <w:vAlign w:val="center"/>
          </w:tcPr>
          <w:p>
            <w:pPr>
              <w:spacing w:line="276" w:lineRule="auto" w:before="0" w:after="0"/>
            </w:pPr>
            <w:r/>
            <w:r>
              <w:rPr>
                <w:rFonts w:ascii="Figtree" w:hAnsi="Figtree"/>
                <w:b w:val="0"/>
                <w:i w:val="0"/>
                <w:sz w:val="20"/>
              </w:rPr>
              <w:t>Weeks 3–9</w:t>
            </w:r>
          </w:p>
        </w:tc>
      </w:tr>
      <w:tr>
        <w:trPr>
          <w:trHeight w:val="425" w:hRule="atLeast"/>
        </w:trPr>
        <w:tc>
          <w:tcPr>
            <w:tcW w:type="dxa" w:w="3249"/>
            <w:vAlign w:val="center"/>
          </w:tcPr>
          <w:p>
            <w:pPr>
              <w:spacing w:line="276" w:lineRule="auto" w:before="0" w:after="0"/>
            </w:pPr>
            <w:r/>
            <w:r>
              <w:rPr>
                <w:rFonts w:ascii="Figtree" w:hAnsi="Figtree"/>
                <w:b w:val="0"/>
                <w:i w:val="0"/>
                <w:sz w:val="20"/>
              </w:rPr>
              <w:t>UAT execution</w:t>
            </w:r>
          </w:p>
        </w:tc>
        <w:tc>
          <w:tcPr>
            <w:tcW w:type="dxa" w:w="3249"/>
            <w:vAlign w:val="center"/>
          </w:tcPr>
          <w:p>
            <w:pPr>
              <w:spacing w:line="276" w:lineRule="auto" w:before="0" w:after="0"/>
            </w:pPr>
            <w:r/>
            <w:r>
              <w:rPr>
                <w:rFonts w:ascii="Figtree" w:hAnsi="Figtree"/>
                <w:b w:val="0"/>
                <w:i w:val="0"/>
                <w:sz w:val="20"/>
              </w:rPr>
              <w:t>20 person-days</w:t>
            </w:r>
          </w:p>
        </w:tc>
        <w:tc>
          <w:tcPr>
            <w:tcW w:type="dxa" w:w="3249"/>
            <w:vAlign w:val="center"/>
          </w:tcPr>
          <w:p>
            <w:pPr>
              <w:spacing w:line="276" w:lineRule="auto" w:before="0" w:after="0"/>
            </w:pPr>
            <w:r/>
            <w:r>
              <w:rPr>
                <w:rFonts w:ascii="Figtree" w:hAnsi="Figtree"/>
                <w:b w:val="0"/>
                <w:i w:val="0"/>
                <w:sz w:val="20"/>
              </w:rPr>
              <w:t>Weeks 10–13</w:t>
            </w:r>
          </w:p>
        </w:tc>
      </w:tr>
      <w:tr>
        <w:trPr>
          <w:trHeight w:val="425" w:hRule="atLeast"/>
        </w:trPr>
        <w:tc>
          <w:tcPr>
            <w:tcW w:type="dxa" w:w="3249"/>
            <w:vAlign w:val="center"/>
          </w:tcPr>
          <w:p>
            <w:pPr>
              <w:spacing w:line="276" w:lineRule="auto" w:before="0" w:after="0"/>
            </w:pPr>
            <w:r/>
            <w:r>
              <w:rPr>
                <w:rFonts w:ascii="Figtree" w:hAnsi="Figtree"/>
                <w:b w:val="0"/>
                <w:i w:val="0"/>
                <w:sz w:val="20"/>
              </w:rPr>
              <w:t>Operations readiness</w:t>
            </w:r>
          </w:p>
        </w:tc>
        <w:tc>
          <w:tcPr>
            <w:tcW w:type="dxa" w:w="3249"/>
            <w:vAlign w:val="center"/>
          </w:tcPr>
          <w:p>
            <w:pPr>
              <w:spacing w:line="276" w:lineRule="auto" w:before="0" w:after="0"/>
            </w:pPr>
            <w:r/>
            <w:r>
              <w:rPr>
                <w:rFonts w:ascii="Figtree" w:hAnsi="Figtree"/>
                <w:b w:val="0"/>
                <w:i w:val="0"/>
                <w:sz w:val="20"/>
              </w:rPr>
              <w:t>10 person-days</w:t>
            </w:r>
          </w:p>
        </w:tc>
        <w:tc>
          <w:tcPr>
            <w:tcW w:type="dxa" w:w="3249"/>
            <w:vAlign w:val="center"/>
          </w:tcPr>
          <w:p>
            <w:pPr>
              <w:spacing w:line="276" w:lineRule="auto" w:before="0" w:after="0"/>
            </w:pPr>
            <w:r/>
            <w:r>
              <w:rPr>
                <w:rFonts w:ascii="Figtree" w:hAnsi="Figtree"/>
                <w:b w:val="0"/>
                <w:i w:val="0"/>
                <w:sz w:val="20"/>
              </w:rPr>
              <w:t>Weeks 14–19</w:t>
            </w:r>
          </w:p>
        </w:tc>
      </w:tr>
      <w:tr>
        <w:trPr>
          <w:trHeight w:val="425" w:hRule="atLeast"/>
        </w:trPr>
        <w:tc>
          <w:tcPr>
            <w:tcW w:type="dxa" w:w="3249"/>
            <w:vAlign w:val="center"/>
          </w:tcPr>
          <w:p>
            <w:pPr>
              <w:spacing w:line="276" w:lineRule="auto" w:before="0" w:after="0"/>
            </w:pPr>
            <w:r/>
            <w:r>
              <w:rPr>
                <w:rFonts w:ascii="Figtree" w:hAnsi="Figtree"/>
                <w:b/>
                <w:i w:val="0"/>
                <w:sz w:val="20"/>
              </w:rPr>
              <w:t>Total estimated client effort</w:t>
            </w:r>
          </w:p>
        </w:tc>
        <w:tc>
          <w:tcPr>
            <w:tcW w:type="dxa" w:w="3249"/>
            <w:vAlign w:val="center"/>
          </w:tcPr>
          <w:p>
            <w:pPr>
              <w:spacing w:line="276" w:lineRule="auto" w:before="0" w:after="0"/>
            </w:pPr>
            <w:r/>
            <w:r>
              <w:rPr>
                <w:rFonts w:ascii="Figtree" w:hAnsi="Figtree"/>
                <w:b/>
                <w:i w:val="0"/>
                <w:sz w:val="20"/>
              </w:rPr>
              <w:t>75 person-days</w:t>
            </w:r>
          </w:p>
        </w:tc>
        <w:tc>
          <w:tcPr>
            <w:tcW w:type="dxa" w:w="3249"/>
            <w:vAlign w:val="center"/>
          </w:tcPr>
          <w:p>
            <w:pPr>
              <w:spacing w:line="276" w:lineRule="auto" w:before="0" w:after="0"/>
            </w:pPr>
            <w:r/>
          </w:p>
        </w:tc>
      </w:tr>
    </w:tbl>
    <w:p>
      <w:pPr>
        <w:spacing w:before="0" w:after="0" w:line="120" w:lineRule="exact"/>
      </w:pPr>
    </w:p>
    <w:p>
      <w:r>
        <w:br w:type="page"/>
      </w:r>
    </w:p>
    <w:p>
      <w:pPr>
        <w:pStyle w:val="H2"/>
        <w:numPr>
          <w:ilvl w:val="1"/>
          <w:numId w:val="1"/>
        </w:numPr>
      </w:pPr>
      <w:r>
        <w:t>Support Pricing</w:t>
      </w:r>
    </w:p>
    <w:p>
      <w:pPr>
        <w:pStyle w:val="H3"/>
        <w:numPr>
          <w:ilvl w:val="2"/>
          <w:numId w:val="1"/>
        </w:numPr>
      </w:pPr>
      <w:r>
        <w:t>Recommended: Premium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31"/>
        <w:gridCol w:w="51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Premium Support for Standard Bank</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16×5 (Monday–Friday, SAST-aligned)</w:t>
            </w:r>
          </w:p>
        </w:tc>
      </w:tr>
      <w:tr>
        <w:trPr>
          <w:trHeight w:val="425" w:hRule="atLeast"/>
        </w:trPr>
        <w:tc>
          <w:tcPr>
            <w:tcW w:type="dxa" w:w="4873"/>
            <w:vAlign w:val="center"/>
          </w:tcPr>
          <w:p>
            <w:pPr>
              <w:spacing w:line="276" w:lineRule="auto" w:before="0" w:after="0"/>
            </w:pPr>
            <w:r/>
            <w:r>
              <w:rPr>
                <w:rFonts w:ascii="Figtree" w:hAnsi="Figtree"/>
                <w:b w:val="0"/>
                <w:i w:val="0"/>
                <w:sz w:val="20"/>
              </w:rPr>
              <w:t>P1 response time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time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P3 response time</w:t>
            </w:r>
          </w:p>
        </w:tc>
        <w:tc>
          <w:tcPr>
            <w:tcW w:type="dxa" w:w="4873"/>
            <w:vAlign w:val="center"/>
          </w:tcPr>
          <w:p>
            <w:pPr>
              <w:spacing w:line="276" w:lineRule="auto" w:before="0" w:after="0"/>
            </w:pPr>
            <w:r/>
            <w:r>
              <w:rPr>
                <w:rFonts w:ascii="Figtree" w:hAnsi="Figtree"/>
                <w:b w:val="0"/>
                <w:i w:val="0"/>
                <w:sz w:val="20"/>
              </w:rPr>
              <w:t>1 business day</w:t>
            </w:r>
          </w:p>
        </w:tc>
      </w:tr>
      <w:tr>
        <w:trPr>
          <w:trHeight w:val="425" w:hRule="atLeast"/>
        </w:trPr>
        <w:tc>
          <w:tcPr>
            <w:tcW w:type="dxa" w:w="4873"/>
            <w:vAlign w:val="center"/>
          </w:tcPr>
          <w:p>
            <w:pPr>
              <w:spacing w:line="276" w:lineRule="auto" w:before="0" w:after="0"/>
            </w:pPr>
            <w:r/>
            <w:r>
              <w:rPr>
                <w:rFonts w:ascii="Figtree" w:hAnsi="Figtree"/>
                <w:b w:val="0"/>
                <w:i w:val="0"/>
                <w:sz w:val="20"/>
              </w:rPr>
              <w:t>P4 response time</w:t>
            </w:r>
          </w:p>
        </w:tc>
        <w:tc>
          <w:tcPr>
            <w:tcW w:type="dxa" w:w="4873"/>
            <w:vAlign w:val="center"/>
          </w:tcPr>
          <w:p>
            <w:pPr>
              <w:spacing w:line="276" w:lineRule="auto" w:before="0" w:after="0"/>
            </w:pPr>
            <w:r/>
            <w:r>
              <w:rPr>
                <w:rFonts w:ascii="Figtree" w:hAnsi="Figtree"/>
                <w:b w:val="0"/>
                <w:i w:val="0"/>
                <w:sz w:val="20"/>
              </w:rPr>
              <w:t>3 business days</w:t>
            </w:r>
          </w:p>
        </w:tc>
      </w:tr>
      <w:tr>
        <w:trPr>
          <w:trHeight w:val="425" w:hRule="atLeast"/>
        </w:trPr>
        <w:tc>
          <w:tcPr>
            <w:tcW w:type="dxa" w:w="4873"/>
            <w:vAlign w:val="center"/>
          </w:tcPr>
          <w:p>
            <w:pPr>
              <w:spacing w:line="276" w:lineRule="auto" w:before="0" w:after="0"/>
            </w:pPr>
            <w:r/>
            <w:r>
              <w:rPr>
                <w:rFonts w:ascii="Figtree" w:hAnsi="Figtree"/>
                <w:b w:val="0"/>
                <w:i w:val="0"/>
                <w:sz w:val="20"/>
              </w:rPr>
              <w:t>Dedicated support engineer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Quarterly business reviews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Platform health checks</w:t>
            </w:r>
          </w:p>
        </w:tc>
        <w:tc>
          <w:tcPr>
            <w:tcW w:type="dxa" w:w="4873"/>
            <w:vAlign w:val="center"/>
          </w:tcPr>
          <w:p>
            <w:pPr>
              <w:spacing w:line="276" w:lineRule="auto" w:before="0" w:after="0"/>
            </w:pPr>
            <w:r/>
            <w:r>
              <w:rPr>
                <w:rFonts w:ascii="Figtree" w:hAnsi="Figtree"/>
                <w:b w:val="0"/>
                <w:i w:val="0"/>
                <w:sz w:val="20"/>
              </w:rPr>
              <w:t>Monthly</w:t>
            </w:r>
          </w:p>
        </w:tc>
      </w:tr>
      <w:tr>
        <w:trPr>
          <w:trHeight w:val="425" w:hRule="atLeast"/>
        </w:trPr>
        <w:tc>
          <w:tcPr>
            <w:tcW w:type="dxa" w:w="4873"/>
            <w:vAlign w:val="center"/>
          </w:tcPr>
          <w:p>
            <w:pPr>
              <w:spacing w:line="276" w:lineRule="auto" w:before="0" w:after="0"/>
            </w:pPr>
            <w:r/>
            <w:r>
              <w:rPr>
                <w:rFonts w:ascii="Figtree" w:hAnsi="Figtree"/>
                <w:b w:val="0"/>
                <w:i w:val="0"/>
                <w:sz w:val="20"/>
              </w:rPr>
              <w:t>Emergency patches</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i w:val="0"/>
                <w:sz w:val="20"/>
              </w:rPr>
              <w:t>Annual support fee</w:t>
            </w:r>
          </w:p>
        </w:tc>
        <w:tc>
          <w:tcPr>
            <w:tcW w:type="dxa" w:w="4873"/>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Support Escalation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71"/>
        <w:gridCol w:w="4325"/>
        <w:gridCol w:w="1582"/>
        <w:gridCol w:w="179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 Critical</w:t>
            </w:r>
          </w:p>
        </w:tc>
        <w:tc>
          <w:tcPr>
            <w:tcW w:type="dxa" w:w="2436"/>
            <w:vAlign w:val="center"/>
          </w:tcPr>
          <w:p>
            <w:pPr>
              <w:spacing w:line="276" w:lineRule="auto" w:before="0" w:after="0"/>
            </w:pPr>
            <w:r/>
            <w:r>
              <w:rPr>
                <w:rFonts w:ascii="Figtree" w:hAnsi="Figtree"/>
                <w:b w:val="0"/>
                <w:i w:val="0"/>
                <w:sz w:val="20"/>
              </w:rPr>
              <w:t>Production down, no workaround</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 — High</w:t>
            </w:r>
          </w:p>
        </w:tc>
        <w:tc>
          <w:tcPr>
            <w:tcW w:type="dxa" w:w="2436"/>
            <w:vAlign w:val="center"/>
          </w:tcPr>
          <w:p>
            <w:pPr>
              <w:spacing w:line="276" w:lineRule="auto" w:before="0" w:after="0"/>
            </w:pPr>
            <w:r/>
            <w:r>
              <w:rPr>
                <w:rFonts w:ascii="Figtree" w:hAnsi="Figtree"/>
                <w:b w:val="0"/>
                <w:i w:val="0"/>
                <w:sz w:val="20"/>
              </w:rPr>
              <w:t>Major feature impaired, workaround exists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8 hours</w:t>
            </w:r>
          </w:p>
        </w:tc>
      </w:tr>
      <w:tr>
        <w:trPr>
          <w:trHeight w:val="425" w:hRule="atLeast"/>
        </w:trPr>
        <w:tc>
          <w:tcPr>
            <w:tcW w:type="dxa" w:w="2436"/>
            <w:vAlign w:val="center"/>
          </w:tcPr>
          <w:p>
            <w:pPr>
              <w:spacing w:line="276" w:lineRule="auto" w:before="0" w:after="0"/>
            </w:pPr>
            <w:r/>
            <w:r>
              <w:rPr>
                <w:rFonts w:ascii="Figtree" w:hAnsi="Figtree"/>
                <w:b w:val="0"/>
                <w:i w:val="0"/>
                <w:sz w:val="20"/>
              </w:rPr>
              <w:t>P3 — Medium</w:t>
            </w:r>
          </w:p>
        </w:tc>
        <w:tc>
          <w:tcPr>
            <w:tcW w:type="dxa" w:w="2436"/>
            <w:vAlign w:val="center"/>
          </w:tcPr>
          <w:p>
            <w:pPr>
              <w:spacing w:line="276" w:lineRule="auto" w:before="0" w:after="0"/>
            </w:pPr>
            <w:r/>
            <w:r>
              <w:rPr>
                <w:rFonts w:ascii="Figtree" w:hAnsi="Figtree"/>
                <w:b w:val="0"/>
                <w:i w:val="0"/>
                <w:sz w:val="20"/>
              </w:rPr>
              <w:t>Non-critical issue, limited impact</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5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 Low</w:t>
            </w:r>
          </w:p>
        </w:tc>
        <w:tc>
          <w:tcPr>
            <w:tcW w:type="dxa" w:w="2436"/>
            <w:vAlign w:val="center"/>
          </w:tcPr>
          <w:p>
            <w:pPr>
              <w:spacing w:line="276" w:lineRule="auto" w:before="0" w:after="0"/>
            </w:pPr>
            <w:r/>
            <w:r>
              <w:rPr>
                <w:rFonts w:ascii="Figtree" w:hAnsi="Figtree"/>
                <w:b w:val="0"/>
                <w:i w:val="0"/>
                <w:sz w:val="20"/>
              </w:rPr>
              <w:t>Enhancement request, cosmetic issue</w:t>
            </w:r>
          </w:p>
        </w:tc>
        <w:tc>
          <w:tcPr>
            <w:tcW w:type="dxa" w:w="2436"/>
            <w:vAlign w:val="center"/>
          </w:tcPr>
          <w:p>
            <w:pPr>
              <w:spacing w:line="276" w:lineRule="auto" w:before="0" w:after="0"/>
            </w:pPr>
            <w:r/>
            <w:r>
              <w:rPr>
                <w:rFonts w:ascii="Figtree" w:hAnsi="Figtree"/>
                <w:b w:val="0"/>
                <w:i w:val="0"/>
                <w:sz w:val="20"/>
              </w:rPr>
              <w:t>3 business days</w:t>
            </w:r>
          </w:p>
        </w:tc>
        <w:tc>
          <w:tcPr>
            <w:tcW w:type="dxa" w:w="2436"/>
            <w:vAlign w:val="center"/>
          </w:tcPr>
          <w:p>
            <w:pPr>
              <w:spacing w:line="276" w:lineRule="auto" w:before="0" w:after="0"/>
            </w:pPr>
            <w:r/>
            <w:r>
              <w:rPr>
                <w:rFonts w:ascii="Figtree" w:hAnsi="Figtree"/>
                <w:b w:val="0"/>
                <w:i w:val="0"/>
                <w:sz w:val="20"/>
              </w:rPr>
              <w:t>Next release</w:t>
            </w:r>
          </w:p>
        </w:tc>
      </w:tr>
    </w:tbl>
    <w:p>
      <w:pPr>
        <w:spacing w:before="0" w:after="0" w:line="120" w:lineRule="exact"/>
      </w:pPr>
    </w:p>
    <w:p>
      <w:r>
        <w:br w:type="page"/>
      </w:r>
    </w:p>
    <w:p>
      <w:pPr>
        <w:pStyle w:val="H2"/>
        <w:numPr>
          <w:ilvl w:val="1"/>
          <w:numId w:val="1"/>
        </w:numPr>
      </w:pPr>
      <w:r>
        <w:t>Total Cost of Ownership</w:t>
      </w:r>
    </w:p>
    <w:p>
      <w:pPr>
        <w:pStyle w:val="H3"/>
        <w:numPr>
          <w:ilvl w:val="2"/>
          <w:numId w:val="1"/>
        </w:numPr>
      </w:pPr>
      <w:r>
        <w:t>Three-Year TCO Components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87"/>
        <w:gridCol w:w="1671"/>
        <w:gridCol w:w="1671"/>
        <w:gridCol w:w="1671"/>
        <w:gridCol w:w="167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Component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Three-Year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Premium support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(cloud hosting)</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What Is Not Included (Exclusions)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0"/>
        <w:gridCol w:w="1728"/>
        <w:gridCol w:w="423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Exclusion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Cloud infrastructure costs</w:t>
            </w:r>
          </w:p>
        </w:tc>
        <w:tc>
          <w:tcPr>
            <w:tcW w:type="dxa" w:w="3249"/>
            <w:vAlign w:val="center"/>
          </w:tcPr>
          <w:p>
            <w:pPr>
              <w:spacing w:line="276" w:lineRule="auto" w:before="0" w:after="0"/>
            </w:pPr>
            <w:r/>
            <w:r>
              <w:rPr>
                <w:rFonts w:ascii="Figtree" w:hAnsi="Figtree"/>
                <w:b w:val="0"/>
                <w:i w:val="0"/>
                <w:sz w:val="20"/>
              </w:rPr>
              <w:t>Standard Bank</w:t>
            </w:r>
          </w:p>
        </w:tc>
        <w:tc>
          <w:tcPr>
            <w:tcW w:type="dxa" w:w="3249"/>
            <w:vAlign w:val="center"/>
          </w:tcPr>
          <w:p>
            <w:pPr>
              <w:spacing w:line="276" w:lineRule="auto" w:before="0" w:after="0"/>
            </w:pPr>
            <w:r/>
            <w:r>
              <w:rPr>
                <w:rFonts w:ascii="Figtree" w:hAnsi="Figtree"/>
                <w:b w:val="0"/>
                <w:i w:val="0"/>
                <w:sz w:val="20"/>
              </w:rPr>
              <w:t>South Africa-resident infrastructure provisioning</w:t>
            </w:r>
          </w:p>
        </w:tc>
      </w:tr>
      <w:tr>
        <w:trPr>
          <w:trHeight w:val="425" w:hRule="atLeast"/>
        </w:trPr>
        <w:tc>
          <w:tcPr>
            <w:tcW w:type="dxa" w:w="3249"/>
            <w:vAlign w:val="center"/>
          </w:tcPr>
          <w:p>
            <w:pPr>
              <w:spacing w:line="276" w:lineRule="auto" w:before="0" w:after="0"/>
            </w:pPr>
            <w:r/>
            <w:r>
              <w:rPr>
                <w:rFonts w:ascii="Figtree" w:hAnsi="Figtree"/>
                <w:b w:val="0"/>
                <w:i w:val="0"/>
                <w:sz w:val="20"/>
              </w:rPr>
              <w:t>Core banking integration development</w:t>
            </w:r>
          </w:p>
        </w:tc>
        <w:tc>
          <w:tcPr>
            <w:tcW w:type="dxa" w:w="3249"/>
            <w:vAlign w:val="center"/>
          </w:tcPr>
          <w:p>
            <w:pPr>
              <w:spacing w:line="276" w:lineRule="auto" w:before="0" w:after="0"/>
            </w:pPr>
            <w:r/>
            <w:r>
              <w:rPr>
                <w:rFonts w:ascii="Figtree" w:hAnsi="Figtree"/>
                <w:b w:val="0"/>
                <w:i w:val="0"/>
                <w:sz w:val="20"/>
              </w:rPr>
              <w:t>Standard Bank</w:t>
            </w:r>
          </w:p>
        </w:tc>
        <w:tc>
          <w:tcPr>
            <w:tcW w:type="dxa" w:w="3249"/>
            <w:vAlign w:val="center"/>
          </w:tcPr>
          <w:p>
            <w:pPr>
              <w:spacing w:line="276" w:lineRule="auto" w:before="0" w:after="0"/>
            </w:pPr>
            <w:r/>
            <w:r>
              <w:rPr>
                <w:rFonts w:ascii="Figtree" w:hAnsi="Figtree"/>
                <w:b w:val="0"/>
                <w:i w:val="0"/>
                <w:sz w:val="20"/>
              </w:rPr>
              <w:t>API readiness on client side</w:t>
            </w:r>
          </w:p>
        </w:tc>
      </w:tr>
      <w:tr>
        <w:trPr>
          <w:trHeight w:val="425" w:hRule="atLeast"/>
        </w:trPr>
        <w:tc>
          <w:tcPr>
            <w:tcW w:type="dxa" w:w="3249"/>
            <w:vAlign w:val="center"/>
          </w:tcPr>
          <w:p>
            <w:pPr>
              <w:spacing w:line="276" w:lineRule="auto" w:before="0" w:after="0"/>
            </w:pPr>
            <w:r/>
            <w:r>
              <w:rPr>
                <w:rFonts w:ascii="Figtree" w:hAnsi="Figtree"/>
                <w:b w:val="0"/>
                <w:i w:val="0"/>
                <w:sz w:val="20"/>
              </w:rPr>
              <w:t>JSE/Strate connectivity fees</w:t>
            </w:r>
          </w:p>
        </w:tc>
        <w:tc>
          <w:tcPr>
            <w:tcW w:type="dxa" w:w="3249"/>
            <w:vAlign w:val="center"/>
          </w:tcPr>
          <w:p>
            <w:pPr>
              <w:spacing w:line="276" w:lineRule="auto" w:before="0" w:after="0"/>
            </w:pPr>
            <w:r/>
            <w:r>
              <w:rPr>
                <w:rFonts w:ascii="Figtree" w:hAnsi="Figtree"/>
                <w:b w:val="0"/>
                <w:i w:val="0"/>
                <w:sz w:val="20"/>
              </w:rPr>
              <w:t>Standard Bank</w:t>
            </w:r>
          </w:p>
        </w:tc>
        <w:tc>
          <w:tcPr>
            <w:tcW w:type="dxa" w:w="3249"/>
            <w:vAlign w:val="center"/>
          </w:tcPr>
          <w:p>
            <w:pPr>
              <w:spacing w:line="276" w:lineRule="auto" w:before="0" w:after="0"/>
            </w:pPr>
            <w:r/>
            <w:r>
              <w:rPr>
                <w:rFonts w:ascii="Figtree" w:hAnsi="Figtree"/>
                <w:b w:val="0"/>
                <w:i w:val="0"/>
                <w:sz w:val="20"/>
              </w:rPr>
              <w:t>Market infrastructure agreements</w:t>
            </w:r>
          </w:p>
        </w:tc>
      </w:tr>
      <w:tr>
        <w:trPr>
          <w:trHeight w:val="425" w:hRule="atLeast"/>
        </w:trPr>
        <w:tc>
          <w:tcPr>
            <w:tcW w:type="dxa" w:w="3249"/>
            <w:vAlign w:val="center"/>
          </w:tcPr>
          <w:p>
            <w:pPr>
              <w:spacing w:line="276" w:lineRule="auto" w:before="0" w:after="0"/>
            </w:pPr>
            <w:r/>
            <w:r>
              <w:rPr>
                <w:rFonts w:ascii="Figtree" w:hAnsi="Figtree"/>
                <w:b w:val="0"/>
                <w:i w:val="0"/>
                <w:sz w:val="20"/>
              </w:rPr>
              <w:t>Custody provider fees</w:t>
            </w:r>
          </w:p>
        </w:tc>
        <w:tc>
          <w:tcPr>
            <w:tcW w:type="dxa" w:w="3249"/>
            <w:vAlign w:val="center"/>
          </w:tcPr>
          <w:p>
            <w:pPr>
              <w:spacing w:line="276" w:lineRule="auto" w:before="0" w:after="0"/>
            </w:pPr>
            <w:r/>
            <w:r>
              <w:rPr>
                <w:rFonts w:ascii="Figtree" w:hAnsi="Figtree"/>
                <w:b w:val="0"/>
                <w:i w:val="0"/>
                <w:sz w:val="20"/>
              </w:rPr>
              <w:t>Direct with provider</w:t>
            </w:r>
          </w:p>
        </w:tc>
        <w:tc>
          <w:tcPr>
            <w:tcW w:type="dxa" w:w="3249"/>
            <w:vAlign w:val="center"/>
          </w:tcPr>
          <w:p>
            <w:pPr>
              <w:spacing w:line="276" w:lineRule="auto" w:before="0" w:after="0"/>
            </w:pPr>
            <w:r/>
            <w:r>
              <w:rPr>
                <w:rFonts w:ascii="Figtree" w:hAnsi="Figtree"/>
                <w:b w:val="0"/>
                <w:i w:val="0"/>
                <w:sz w:val="20"/>
              </w:rPr>
              <w:t>DFNS or Fireblocks subscription</w:t>
            </w:r>
          </w:p>
        </w:tc>
      </w:tr>
      <w:tr>
        <w:trPr>
          <w:trHeight w:val="425" w:hRule="atLeast"/>
        </w:trPr>
        <w:tc>
          <w:tcPr>
            <w:tcW w:type="dxa" w:w="3249"/>
            <w:vAlign w:val="center"/>
          </w:tcPr>
          <w:p>
            <w:pPr>
              <w:spacing w:line="276" w:lineRule="auto" w:before="0" w:after="0"/>
            </w:pPr>
            <w:r/>
            <w:r>
              <w:rPr>
                <w:rFonts w:ascii="Figtree" w:hAnsi="Figtree"/>
                <w:b w:val="0"/>
                <w:i w:val="0"/>
                <w:sz w:val="20"/>
              </w:rPr>
              <w:t>Regulatory filing fees</w:t>
            </w:r>
          </w:p>
        </w:tc>
        <w:tc>
          <w:tcPr>
            <w:tcW w:type="dxa" w:w="3249"/>
            <w:vAlign w:val="center"/>
          </w:tcPr>
          <w:p>
            <w:pPr>
              <w:spacing w:line="276" w:lineRule="auto" w:before="0" w:after="0"/>
            </w:pPr>
            <w:r/>
            <w:r>
              <w:rPr>
                <w:rFonts w:ascii="Figtree" w:hAnsi="Figtree"/>
                <w:b w:val="0"/>
                <w:i w:val="0"/>
                <w:sz w:val="20"/>
              </w:rPr>
              <w:t>Standard Bank</w:t>
            </w:r>
          </w:p>
        </w:tc>
        <w:tc>
          <w:tcPr>
            <w:tcW w:type="dxa" w:w="3249"/>
            <w:vAlign w:val="center"/>
          </w:tcPr>
          <w:p>
            <w:pPr>
              <w:spacing w:line="276" w:lineRule="auto" w:before="0" w:after="0"/>
            </w:pPr>
            <w:r/>
            <w:r>
              <w:rPr>
                <w:rFonts w:ascii="Figtree" w:hAnsi="Figtree"/>
                <w:b w:val="0"/>
                <w:i w:val="0"/>
                <w:sz w:val="20"/>
              </w:rPr>
              <w:t>SARB/FSCA fees</w:t>
            </w:r>
          </w:p>
        </w:tc>
      </w:tr>
      <w:tr>
        <w:trPr>
          <w:trHeight w:val="425" w:hRule="atLeast"/>
        </w:trPr>
        <w:tc>
          <w:tcPr>
            <w:tcW w:type="dxa" w:w="3249"/>
            <w:vAlign w:val="center"/>
          </w:tcPr>
          <w:p>
            <w:pPr>
              <w:spacing w:line="276" w:lineRule="auto" w:before="0" w:after="0"/>
            </w:pPr>
            <w:r/>
            <w:r>
              <w:rPr>
                <w:rFonts w:ascii="Figtree" w:hAnsi="Figtree"/>
                <w:b w:val="0"/>
                <w:i w:val="0"/>
                <w:sz w:val="20"/>
              </w:rPr>
              <w:t>Pan-African market extensions</w:t>
            </w:r>
          </w:p>
        </w:tc>
        <w:tc>
          <w:tcPr>
            <w:tcW w:type="dxa" w:w="3249"/>
            <w:vAlign w:val="center"/>
          </w:tcPr>
          <w:p>
            <w:pPr>
              <w:spacing w:line="276" w:lineRule="auto" w:before="0" w:after="0"/>
            </w:pPr>
            <w:r/>
            <w:r>
              <w:rPr>
                <w:rFonts w:ascii="Figtree" w:hAnsi="Figtree"/>
                <w:b w:val="0"/>
                <w:i w:val="0"/>
                <w:sz w:val="20"/>
              </w:rPr>
              <w:t>Additional scope</w:t>
            </w:r>
          </w:p>
        </w:tc>
        <w:tc>
          <w:tcPr>
            <w:tcW w:type="dxa" w:w="3249"/>
            <w:vAlign w:val="center"/>
          </w:tcPr>
          <w:p>
            <w:pPr>
              <w:spacing w:line="276" w:lineRule="auto" w:before="0" w:after="0"/>
            </w:pPr>
            <w:r/>
            <w:r>
              <w:rPr>
                <w:rFonts w:ascii="Figtree" w:hAnsi="Figtree"/>
                <w:b w:val="0"/>
                <w:i w:val="0"/>
                <w:sz w:val="20"/>
              </w:rPr>
              <w:t>Per-market extension priced separately</w:t>
            </w:r>
          </w:p>
        </w:tc>
      </w:tr>
    </w:tbl>
    <w:p>
      <w:pPr>
        <w:spacing w:before="0" w:after="0" w:line="120" w:lineRule="exact"/>
      </w:pPr>
    </w:p>
    <w:p>
      <w:pPr>
        <w:pStyle w:val="H3"/>
        <w:numPr>
          <w:ilvl w:val="2"/>
          <w:numId w:val="1"/>
        </w:numPr>
      </w:pPr>
      <w:r>
        <w:t>Scaling Economics</w:t>
      </w:r>
    </w:p>
    <w:p>
      <w:r>
        <w:rPr>
          <w:rFonts w:ascii="Figtree" w:hAnsi="Figtree"/>
          <w:b w:val="0"/>
          <w:i w:val="0"/>
          <w:sz w:val="22"/>
        </w:rPr>
        <w:t>DALP's platform licensing means Standard Bank's costs do not scale with:</w:t>
      </w:r>
    </w:p>
    <w:p>
      <w:pPr>
        <w:pStyle w:val="ListParagraph"/>
        <w:numPr>
          <w:ilvl w:val="0"/>
          <w:numId w:val="4"/>
        </w:numPr>
      </w:pPr>
      <w:r>
        <w:rPr>
          <w:rFonts w:ascii="Figtree" w:hAnsi="Figtree"/>
          <w:b w:val="0"/>
          <w:i w:val="0"/>
          <w:sz w:val="22"/>
        </w:rPr>
        <w:t>Number of securities issued</w:t>
      </w:r>
    </w:p>
    <w:p>
      <w:pPr>
        <w:pStyle w:val="ListParagraph"/>
        <w:numPr>
          <w:ilvl w:val="0"/>
          <w:numId w:val="4"/>
        </w:numPr>
      </w:pPr>
      <w:r>
        <w:rPr>
          <w:rFonts w:ascii="Figtree" w:hAnsi="Figtree"/>
          <w:b w:val="0"/>
          <w:i w:val="0"/>
          <w:sz w:val="22"/>
        </w:rPr>
        <w:t>Number of investors onboarded across South Africa and pan-African markets</w:t>
      </w:r>
    </w:p>
    <w:p>
      <w:pPr>
        <w:pStyle w:val="ListParagraph"/>
        <w:numPr>
          <w:ilvl w:val="0"/>
          <w:numId w:val="4"/>
        </w:numPr>
      </w:pPr>
      <w:r>
        <w:rPr>
          <w:rFonts w:ascii="Figtree" w:hAnsi="Figtree"/>
          <w:b w:val="0"/>
          <w:i w:val="0"/>
          <w:sz w:val="22"/>
        </w:rPr>
        <w:t>Volume of settlements processed</w:t>
      </w:r>
    </w:p>
    <w:p>
      <w:pPr>
        <w:pStyle w:val="ListParagraph"/>
        <w:numPr>
          <w:ilvl w:val="0"/>
          <w:numId w:val="4"/>
        </w:numPr>
      </w:pPr>
      <w:r>
        <w:rPr>
          <w:rFonts w:ascii="Figtree" w:hAnsi="Figtree"/>
          <w:b w:val="0"/>
          <w:i w:val="0"/>
          <w:sz w:val="22"/>
        </w:rPr>
        <w:t>Number of compliance checks executed</w:t>
      </w:r>
    </w:p>
    <w:p>
      <w:pPr>
        <w:pStyle w:val="ListParagraph"/>
        <w:numPr>
          <w:ilvl w:val="0"/>
          <w:numId w:val="4"/>
        </w:numPr>
      </w:pPr>
      <w:r>
        <w:rPr>
          <w:rFonts w:ascii="Figtree" w:hAnsi="Figtree"/>
          <w:b w:val="0"/>
          <w:i w:val="0"/>
          <w:sz w:val="22"/>
        </w:rPr>
        <w:t>Number of corporate actions (coupon payments, dividends, stock splits, voting)</w:t>
      </w:r>
    </w:p>
    <w:p>
      <w:r>
        <w:rPr>
          <w:rFonts w:ascii="Figtree" w:hAnsi="Figtree"/>
          <w:b w:val="0"/>
          <w:i w:val="0"/>
          <w:sz w:val="22"/>
        </w:rPr>
        <w:t>This is critical for a securities platform where settlement, corporate action, and compliance volumes grow with market adoption. A per-transaction pricing model would create misaligned incentives as Standard Bank scales.</w:t>
      </w:r>
    </w:p>
    <w:p>
      <w:r>
        <w:br w:type="page"/>
      </w:r>
    </w:p>
    <w:p>
      <w:pPr>
        <w:pStyle w:val="H2"/>
        <w:numPr>
          <w:ilvl w:val="1"/>
          <w:numId w:val="1"/>
        </w:numPr>
      </w:pPr>
      <w:r>
        <w:t>Contractual Framework</w:t>
      </w:r>
    </w:p>
    <w:p>
      <w:pPr>
        <w:pStyle w:val="H3"/>
        <w:numPr>
          <w:ilvl w:val="2"/>
          <w:numId w:val="1"/>
        </w:numPr>
      </w:pPr>
      <w:r>
        <w:t>Contract Components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71"/>
        <w:gridCol w:w="570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 Agreement</w:t>
            </w:r>
          </w:p>
        </w:tc>
        <w:tc>
          <w:tcPr>
            <w:tcW w:type="dxa" w:w="4873"/>
            <w:vAlign w:val="center"/>
          </w:tcPr>
          <w:p>
            <w:pPr>
              <w:spacing w:line="276" w:lineRule="auto" w:before="0" w:after="0"/>
            </w:pPr>
            <w:r/>
            <w:r>
              <w:rPr>
                <w:rFonts w:ascii="Figtree" w:hAnsi="Figtree"/>
                <w:b w:val="0"/>
                <w:i w:val="0"/>
                <w:sz w:val="20"/>
              </w:rPr>
              <w:t>Annual subscription, renewal terms, update entitlements</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Agreement</w:t>
            </w:r>
          </w:p>
        </w:tc>
        <w:tc>
          <w:tcPr>
            <w:tcW w:type="dxa" w:w="4873"/>
            <w:vAlign w:val="center"/>
          </w:tcPr>
          <w:p>
            <w:pPr>
              <w:spacing w:line="276" w:lineRule="auto" w:before="0" w:after="0"/>
            </w:pPr>
            <w:r/>
            <w:r>
              <w:rPr>
                <w:rFonts w:ascii="Figtree" w:hAnsi="Figtree"/>
                <w:b w:val="0"/>
                <w:i w:val="0"/>
                <w:sz w:val="20"/>
              </w:rPr>
              <w:t>Fixed scope, milestones, acceptance criteria, change control</w:t>
            </w:r>
          </w:p>
        </w:tc>
      </w:tr>
      <w:tr>
        <w:trPr>
          <w:trHeight w:val="425" w:hRule="atLeast"/>
        </w:trPr>
        <w:tc>
          <w:tcPr>
            <w:tcW w:type="dxa" w:w="4873"/>
            <w:vAlign w:val="center"/>
          </w:tcPr>
          <w:p>
            <w:pPr>
              <w:spacing w:line="276" w:lineRule="auto" w:before="0" w:after="0"/>
            </w:pPr>
            <w:r/>
            <w:r>
              <w:rPr>
                <w:rFonts w:ascii="Figtree" w:hAnsi="Figtree"/>
                <w:b w:val="0"/>
                <w:i w:val="0"/>
                <w:sz w:val="20"/>
              </w:rPr>
              <w:t>Support Services Agreement</w:t>
            </w:r>
          </w:p>
        </w:tc>
        <w:tc>
          <w:tcPr>
            <w:tcW w:type="dxa" w:w="4873"/>
            <w:vAlign w:val="center"/>
          </w:tcPr>
          <w:p>
            <w:pPr>
              <w:spacing w:line="276" w:lineRule="auto" w:before="0" w:after="0"/>
            </w:pPr>
            <w:r/>
            <w:r>
              <w:rPr>
                <w:rFonts w:ascii="Figtree" w:hAnsi="Figtree"/>
                <w:b w:val="0"/>
                <w:i w:val="0"/>
                <w:sz w:val="20"/>
              </w:rPr>
              <w:t>SLA commitments, escalation procedures, coverage hours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 Agreement</w:t>
            </w:r>
          </w:p>
        </w:tc>
        <w:tc>
          <w:tcPr>
            <w:tcW w:type="dxa" w:w="4873"/>
            <w:vAlign w:val="center"/>
          </w:tcPr>
          <w:p>
            <w:pPr>
              <w:spacing w:line="276" w:lineRule="auto" w:before="0" w:after="0"/>
            </w:pPr>
            <w:r/>
            <w:r>
              <w:rPr>
                <w:rFonts w:ascii="Figtree" w:hAnsi="Figtree"/>
                <w:b w:val="0"/>
                <w:i w:val="0"/>
                <w:sz w:val="20"/>
              </w:rPr>
              <w:t>Data handling, residency (South Africa), retention, deletion</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 Agreement</w:t>
            </w:r>
          </w:p>
        </w:tc>
        <w:tc>
          <w:tcPr>
            <w:tcW w:type="dxa" w:w="4873"/>
            <w:vAlign w:val="center"/>
          </w:tcPr>
          <w:p>
            <w:pPr>
              <w:spacing w:line="276" w:lineRule="auto" w:before="0" w:after="0"/>
            </w:pPr>
            <w:r/>
            <w:r>
              <w:rPr>
                <w:rFonts w:ascii="Figtree" w:hAnsi="Figtree"/>
                <w:b w:val="0"/>
                <w:i w:val="0"/>
                <w:sz w:val="20"/>
              </w:rPr>
              <w:t>Mutual NDA covering proposal and engagement materials</w:t>
            </w:r>
          </w:p>
        </w:tc>
      </w:tr>
    </w:tbl>
    <w:p>
      <w:pPr>
        <w:spacing w:before="0" w:after="0" w:line="120" w:lineRule="exact"/>
      </w:pPr>
    </w:p>
    <w:p>
      <w:pPr>
        <w:pStyle w:val="H3"/>
        <w:numPr>
          <w:ilvl w:val="2"/>
          <w:numId w:val="1"/>
        </w:numPr>
      </w:pPr>
      <w:r>
        <w:t>Key Commercial Terms</w:t>
      </w:r>
    </w:p>
    <w:p>
      <w:pPr>
        <w:pStyle w:val="ListParagraph"/>
        <w:numPr>
          <w:ilvl w:val="0"/>
          <w:numId w:val="4"/>
        </w:numPr>
      </w:pPr>
      <w:r>
        <w:rPr>
          <w:rFonts w:ascii="Figtree" w:hAnsi="Figtree"/>
          <w:b/>
          <w:i w:val="0"/>
          <w:sz w:val="22"/>
        </w:rPr>
        <w:t>Payment terms:</w:t>
      </w:r>
      <w:r>
        <w:rPr>
          <w:rFonts w:ascii="Figtree" w:hAnsi="Figtree"/>
          <w:b w:val="0"/>
          <w:i w:val="0"/>
          <w:sz w:val="22"/>
        </w:rPr>
        <w:t xml:space="preserve"> Milestone-based for implementation; annual in advance for license and support</w:t>
      </w:r>
    </w:p>
    <w:p>
      <w:pPr>
        <w:pStyle w:val="ListParagraph"/>
        <w:numPr>
          <w:ilvl w:val="0"/>
          <w:numId w:val="4"/>
        </w:numPr>
      </w:pPr>
      <w:r>
        <w:rPr>
          <w:rFonts w:ascii="Figtree" w:hAnsi="Figtree"/>
          <w:b/>
          <w:i w:val="0"/>
          <w:sz w:val="22"/>
        </w:rPr>
        <w:t>Contract term:</w:t>
      </w:r>
      <w:r>
        <w:rPr>
          <w:rFonts w:ascii="Figtree" w:hAnsi="Figtree"/>
          <w:b w:val="0"/>
          <w:i w:val="0"/>
          <w:sz w:val="22"/>
        </w:rPr>
        <w:t xml:space="preserve"> Initial three-year term with annual renewal option</w:t>
      </w:r>
    </w:p>
    <w:p>
      <w:pPr>
        <w:pStyle w:val="ListParagraph"/>
        <w:numPr>
          <w:ilvl w:val="0"/>
          <w:numId w:val="4"/>
        </w:numPr>
      </w:pPr>
      <w:r>
        <w:rPr>
          <w:rFonts w:ascii="Figtree" w:hAnsi="Figtree"/>
          <w:b/>
          <w:i w:val="0"/>
          <w:sz w:val="22"/>
        </w:rPr>
        <w:t>Price escalation:</w:t>
      </w:r>
      <w:r>
        <w:rPr>
          <w:rFonts w:ascii="Figtree" w:hAnsi="Figtree"/>
          <w:b w:val="0"/>
          <w:i w:val="0"/>
          <w:sz w:val="22"/>
        </w:rPr>
        <w:t xml:space="preserve"> Capped at [CLIENT-SPECIFIC]% annually after initial term</w:t>
      </w:r>
    </w:p>
    <w:p>
      <w:pPr>
        <w:pStyle w:val="ListParagraph"/>
        <w:numPr>
          <w:ilvl w:val="0"/>
          <w:numId w:val="4"/>
        </w:numPr>
      </w:pPr>
      <w:r>
        <w:rPr>
          <w:rFonts w:ascii="Figtree" w:hAnsi="Figtree"/>
          <w:b/>
          <w:i w:val="0"/>
          <w:sz w:val="22"/>
        </w:rPr>
        <w:t>Exit support:</w:t>
      </w:r>
      <w:r>
        <w:rPr>
          <w:rFonts w:ascii="Figtree" w:hAnsi="Figtree"/>
          <w:b w:val="0"/>
          <w:i w:val="0"/>
          <w:sz w:val="22"/>
        </w:rPr>
        <w:t xml:space="preserve"> 90-day transition assistance, data export in standard formats, documentation handover</w:t>
      </w:r>
    </w:p>
    <w:p>
      <w:pPr>
        <w:pStyle w:val="ListParagraph"/>
        <w:numPr>
          <w:ilvl w:val="0"/>
          <w:numId w:val="4"/>
        </w:numPr>
      </w:pPr>
      <w:r>
        <w:rPr>
          <w:rFonts w:ascii="Figtree" w:hAnsi="Figtree"/>
          <w:b/>
          <w:i w:val="0"/>
          <w:sz w:val="22"/>
        </w:rPr>
        <w:t>Audit rights:</w:t>
      </w:r>
      <w:r>
        <w:rPr>
          <w:rFonts w:ascii="Figtree" w:hAnsi="Figtree"/>
          <w:b w:val="0"/>
          <w:i w:val="0"/>
          <w:sz w:val="22"/>
        </w:rPr>
        <w:t xml:space="preserve"> Standard Bank retains the right to audit SettleMint's security controls, data handling, and service delivery annually</w:t>
      </w:r>
    </w:p>
    <w:p>
      <w:pPr>
        <w:pStyle w:val="ListParagraph"/>
        <w:numPr>
          <w:ilvl w:val="0"/>
          <w:numId w:val="4"/>
        </w:numPr>
      </w:pPr>
      <w:r>
        <w:rPr>
          <w:rFonts w:ascii="Figtree" w:hAnsi="Figtree"/>
          <w:b/>
          <w:i w:val="0"/>
          <w:sz w:val="22"/>
        </w:rPr>
        <w:t>Subcontracting:</w:t>
      </w:r>
      <w:r>
        <w:rPr>
          <w:rFonts w:ascii="Figtree" w:hAnsi="Figtree"/>
          <w:b w:val="0"/>
          <w:i w:val="0"/>
          <w:sz w:val="22"/>
        </w:rPr>
        <w:t xml:space="preserve"> Any subcontractors disclosed in advance; Standard Bank retains approval rights</w:t>
      </w:r>
    </w:p>
    <w:p>
      <w:pPr>
        <w:pStyle w:val="ListParagraph"/>
        <w:numPr>
          <w:ilvl w:val="0"/>
          <w:numId w:val="4"/>
        </w:numPr>
      </w:pPr>
      <w:r>
        <w:rPr>
          <w:rFonts w:ascii="Figtree" w:hAnsi="Figtree"/>
          <w:b/>
          <w:i w:val="0"/>
          <w:sz w:val="22"/>
        </w:rPr>
        <w:t>Change control:</w:t>
      </w:r>
      <w:r>
        <w:rPr>
          <w:rFonts w:ascii="Figtree" w:hAnsi="Figtree"/>
          <w:b w:val="0"/>
          <w:i w:val="0"/>
          <w:sz w:val="22"/>
        </w:rPr>
        <w:t xml:space="preserve"> Formal change request process for scope modifications with impact assessment before approval</w:t>
      </w:r>
    </w:p>
    <w:p>
      <w:pPr>
        <w:pStyle w:val="H3"/>
        <w:numPr>
          <w:ilvl w:val="2"/>
          <w:numId w:val="1"/>
        </w:numPr>
      </w:pPr>
      <w:r>
        <w:t>Financial Stability</w:t>
      </w:r>
    </w:p>
    <w:p>
      <w:r>
        <w:rPr>
          <w:rFonts w:ascii="Figtree" w:hAnsi="Figtree"/>
          <w:b w:val="0"/>
          <w:i w:val="0"/>
          <w:sz w:val="22"/>
        </w:rPr>
        <w:t>SettleMint NV is incorporated in Belgium, operating since 2016. Key financial stability indicators:</w:t>
      </w:r>
    </w:p>
    <w:p>
      <w:pPr>
        <w:pStyle w:val="ListParagraph"/>
        <w:numPr>
          <w:ilvl w:val="0"/>
          <w:numId w:val="4"/>
        </w:numPr>
      </w:pPr>
      <w:r>
        <w:rPr>
          <w:rFonts w:ascii="Figtree" w:hAnsi="Figtree"/>
          <w:b w:val="0"/>
          <w:i w:val="0"/>
          <w:sz w:val="22"/>
        </w:rPr>
        <w:t>10 years of continuous operation</w:t>
      </w:r>
    </w:p>
    <w:p>
      <w:pPr>
        <w:pStyle w:val="ListParagraph"/>
        <w:numPr>
          <w:ilvl w:val="0"/>
          <w:numId w:val="4"/>
        </w:numPr>
      </w:pPr>
      <w:r>
        <w:rPr>
          <w:rFonts w:ascii="Figtree" w:hAnsi="Figtree"/>
          <w:b w:val="0"/>
          <w:i w:val="0"/>
          <w:sz w:val="22"/>
        </w:rPr>
        <w:t>Series A funded by leading European and Middle Eastern investors</w:t>
      </w:r>
    </w:p>
    <w:p>
      <w:pPr>
        <w:pStyle w:val="ListParagraph"/>
        <w:numPr>
          <w:ilvl w:val="0"/>
          <w:numId w:val="4"/>
        </w:numPr>
      </w:pPr>
      <w:r>
        <w:rPr>
          <w:rFonts w:ascii="Figtree" w:hAnsi="Figtree"/>
          <w:b w:val="0"/>
          <w:i w:val="0"/>
          <w:sz w:val="22"/>
        </w:rPr>
        <w:t>Active production engagements across Europe, Middle East, and Asia-Pacific</w:t>
      </w:r>
    </w:p>
    <w:p>
      <w:pPr>
        <w:pStyle w:val="ListParagraph"/>
        <w:numPr>
          <w:ilvl w:val="0"/>
          <w:numId w:val="4"/>
        </w:numPr>
      </w:pPr>
      <w:r>
        <w:rPr>
          <w:rFonts w:ascii="Figtree" w:hAnsi="Figtree"/>
          <w:b w:val="0"/>
          <w:i w:val="0"/>
          <w:sz w:val="22"/>
        </w:rPr>
        <w:t>No material litigation, sanctions exposure, or regulatory constraints affecting delivery capability</w:t>
      </w:r>
    </w:p>
    <w:p>
      <w:pPr>
        <w:pStyle w:val="ListParagraph"/>
        <w:numPr>
          <w:ilvl w:val="0"/>
          <w:numId w:val="4"/>
        </w:numPr>
      </w:pPr>
      <w:r>
        <w:rPr>
          <w:rFonts w:ascii="Figtree" w:hAnsi="Figtree"/>
          <w:b w:val="0"/>
          <w:i w:val="0"/>
          <w:sz w:val="22"/>
        </w:rPr>
        <w:t>Multi-year contracts with sovereign and tier-1 bank clients providing revenue stability</w:t>
      </w:r>
    </w:p>
    <w:p>
      <w:r>
        <w:br w:type="page"/>
      </w:r>
    </w:p>
    <w:p>
      <w:pPr>
        <w:pStyle w:val="H2"/>
        <w:numPr>
          <w:ilvl w:val="1"/>
          <w:numId w:val="1"/>
        </w:numPr>
      </w:pPr>
      <w:r>
        <w:t>Commercial Decision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51"/>
        <w:gridCol w:w="642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Decision Factor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SettleMint DALP Position</w:t>
            </w:r>
          </w:p>
        </w:tc>
      </w:tr>
      <w:tr>
        <w:trPr>
          <w:trHeight w:val="425" w:hRule="atLeast"/>
        </w:trPr>
        <w:tc>
          <w:tcPr>
            <w:tcW w:type="dxa" w:w="4873"/>
            <w:vAlign w:val="center"/>
          </w:tcPr>
          <w:p>
            <w:pPr>
              <w:spacing w:line="276" w:lineRule="auto" w:before="0" w:after="0"/>
            </w:pPr>
            <w:r/>
            <w:r>
              <w:rPr>
                <w:rFonts w:ascii="Figtree" w:hAnsi="Figtree"/>
                <w:b w:val="0"/>
                <w:i w:val="0"/>
                <w:sz w:val="20"/>
              </w:rPr>
              <w:t>Pricing predictability</w:t>
            </w:r>
          </w:p>
        </w:tc>
        <w:tc>
          <w:tcPr>
            <w:tcW w:type="dxa" w:w="4873"/>
            <w:vAlign w:val="center"/>
          </w:tcPr>
          <w:p>
            <w:pPr>
              <w:spacing w:line="276" w:lineRule="auto" w:before="0" w:after="0"/>
            </w:pPr>
            <w:r/>
            <w:r>
              <w:rPr>
                <w:rFonts w:ascii="Figtree" w:hAnsi="Figtree"/>
                <w:b w:val="0"/>
                <w:i w:val="0"/>
                <w:sz w:val="20"/>
              </w:rPr>
              <w:t>Platform licensing with zero per-transaction/per-token fees</w:t>
            </w:r>
          </w:p>
        </w:tc>
      </w:tr>
      <w:tr>
        <w:trPr>
          <w:trHeight w:val="425" w:hRule="atLeast"/>
        </w:trPr>
        <w:tc>
          <w:tcPr>
            <w:tcW w:type="dxa" w:w="4873"/>
            <w:vAlign w:val="center"/>
          </w:tcPr>
          <w:p>
            <w:pPr>
              <w:spacing w:line="276" w:lineRule="auto" w:before="0" w:after="0"/>
            </w:pPr>
            <w:r/>
            <w:r>
              <w:rPr>
                <w:rFonts w:ascii="Figtree" w:hAnsi="Figtree"/>
                <w:b w:val="0"/>
                <w:i w:val="0"/>
                <w:sz w:val="20"/>
              </w:rPr>
              <w:t>Securities market capability</w:t>
            </w:r>
          </w:p>
        </w:tc>
        <w:tc>
          <w:tcPr>
            <w:tcW w:type="dxa" w:w="4873"/>
            <w:vAlign w:val="center"/>
          </w:tcPr>
          <w:p>
            <w:pPr>
              <w:spacing w:line="276" w:lineRule="auto" w:before="0" w:after="0"/>
            </w:pPr>
            <w:r/>
            <w:r>
              <w:rPr>
                <w:rFonts w:ascii="Figtree" w:hAnsi="Figtree"/>
                <w:b w:val="0"/>
                <w:i w:val="0"/>
                <w:sz w:val="20"/>
              </w:rPr>
              <w:t>Multi-asset bonds and equities with corporate action automation</w:t>
            </w:r>
          </w:p>
        </w:tc>
      </w:tr>
      <w:tr>
        <w:trPr>
          <w:trHeight w:val="425" w:hRule="atLeast"/>
        </w:trPr>
        <w:tc>
          <w:tcPr>
            <w:tcW w:type="dxa" w:w="4873"/>
            <w:vAlign w:val="center"/>
          </w:tcPr>
          <w:p>
            <w:pPr>
              <w:spacing w:line="276" w:lineRule="auto" w:before="0" w:after="0"/>
            </w:pPr>
            <w:r/>
            <w:r>
              <w:rPr>
                <w:rFonts w:ascii="Figtree" w:hAnsi="Figtree"/>
                <w:b w:val="0"/>
                <w:i w:val="0"/>
                <w:sz w:val="20"/>
              </w:rPr>
              <w:t>Africa presence</w:t>
            </w:r>
          </w:p>
        </w:tc>
        <w:tc>
          <w:tcPr>
            <w:tcW w:type="dxa" w:w="4873"/>
            <w:vAlign w:val="center"/>
          </w:tcPr>
          <w:p>
            <w:pPr>
              <w:spacing w:line="276" w:lineRule="auto" w:before="0" w:after="0"/>
            </w:pPr>
            <w:r/>
            <w:r>
              <w:rPr>
                <w:rFonts w:ascii="Figtree" w:hAnsi="Figtree"/>
                <w:b w:val="0"/>
                <w:i w:val="0"/>
                <w:sz w:val="20"/>
              </w:rPr>
              <w:t>Standard Chartered Bank reference across Africa; Saudi RER sovereign-scale deployment</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risk</w:t>
            </w:r>
          </w:p>
        </w:tc>
        <w:tc>
          <w:tcPr>
            <w:tcW w:type="dxa" w:w="4873"/>
            <w:vAlign w:val="center"/>
          </w:tcPr>
          <w:p>
            <w:pPr>
              <w:spacing w:line="276" w:lineRule="auto" w:before="0" w:after="0"/>
            </w:pPr>
            <w:r/>
            <w:r>
              <w:rPr>
                <w:rFonts w:ascii="Figtree" w:hAnsi="Figtree"/>
                <w:b w:val="0"/>
                <w:i w:val="0"/>
                <w:sz w:val="20"/>
              </w:rPr>
              <w:t>Fixed-fee, phase-gated, 19-week proven methodology</w:t>
            </w:r>
          </w:p>
        </w:tc>
      </w:tr>
      <w:tr>
        <w:trPr>
          <w:trHeight w:val="425" w:hRule="atLeast"/>
        </w:trPr>
        <w:tc>
          <w:tcPr>
            <w:tcW w:type="dxa" w:w="4873"/>
            <w:vAlign w:val="center"/>
          </w:tcPr>
          <w:p>
            <w:pPr>
              <w:spacing w:line="276" w:lineRule="auto" w:before="0" w:after="0"/>
            </w:pPr>
            <w:r/>
            <w:r>
              <w:rPr>
                <w:rFonts w:ascii="Figtree" w:hAnsi="Figtree"/>
                <w:b w:val="0"/>
                <w:i w:val="0"/>
                <w:sz w:val="20"/>
              </w:rPr>
              <w:t>Scaling economics</w:t>
            </w:r>
          </w:p>
        </w:tc>
        <w:tc>
          <w:tcPr>
            <w:tcW w:type="dxa" w:w="4873"/>
            <w:vAlign w:val="center"/>
          </w:tcPr>
          <w:p>
            <w:pPr>
              <w:spacing w:line="276" w:lineRule="auto" w:before="0" w:after="0"/>
            </w:pPr>
            <w:r/>
            <w:r>
              <w:rPr>
                <w:rFonts w:ascii="Figtree" w:hAnsi="Figtree"/>
                <w:b w:val="0"/>
                <w:i w:val="0"/>
                <w:sz w:val="20"/>
              </w:rPr>
              <w:t>Costs flat as securities, investors, and settlement volumes grow</w:t>
            </w:r>
          </w:p>
        </w:tc>
      </w:tr>
      <w:tr>
        <w:trPr>
          <w:trHeight w:val="425" w:hRule="atLeast"/>
        </w:trPr>
        <w:tc>
          <w:tcPr>
            <w:tcW w:type="dxa" w:w="4873"/>
            <w:vAlign w:val="center"/>
          </w:tcPr>
          <w:p>
            <w:pPr>
              <w:spacing w:line="276" w:lineRule="auto" w:before="0" w:after="0"/>
            </w:pPr>
            <w:r/>
            <w:r>
              <w:rPr>
                <w:rFonts w:ascii="Figtree" w:hAnsi="Figtree"/>
                <w:b w:val="0"/>
                <w:i w:val="0"/>
                <w:sz w:val="20"/>
              </w:rPr>
              <w:t>Support maturity</w:t>
            </w:r>
          </w:p>
        </w:tc>
        <w:tc>
          <w:tcPr>
            <w:tcW w:type="dxa" w:w="4873"/>
            <w:vAlign w:val="center"/>
          </w:tcPr>
          <w:p>
            <w:pPr>
              <w:spacing w:line="276" w:lineRule="auto" w:before="0" w:after="0"/>
            </w:pPr>
            <w:r/>
            <w:r>
              <w:rPr>
                <w:rFonts w:ascii="Figtree" w:hAnsi="Figtree"/>
                <w:b w:val="0"/>
                <w:i w:val="0"/>
                <w:sz w:val="20"/>
              </w:rPr>
              <w:t>ISO 27001 and SOC 2 Type II certified operations</w:t>
            </w:r>
          </w:p>
        </w:tc>
      </w:tr>
      <w:tr>
        <w:trPr>
          <w:trHeight w:val="425" w:hRule="atLeast"/>
        </w:trPr>
        <w:tc>
          <w:tcPr>
            <w:tcW w:type="dxa" w:w="4873"/>
            <w:vAlign w:val="center"/>
          </w:tcPr>
          <w:p>
            <w:pPr>
              <w:spacing w:line="276" w:lineRule="auto" w:before="0" w:after="0"/>
            </w:pPr>
            <w:r/>
            <w:r>
              <w:rPr>
                <w:rFonts w:ascii="Figtree" w:hAnsi="Figtree"/>
                <w:b w:val="0"/>
                <w:i w:val="0"/>
                <w:sz w:val="20"/>
              </w:rPr>
              <w:t>Contractual clarity</w:t>
            </w:r>
          </w:p>
        </w:tc>
        <w:tc>
          <w:tcPr>
            <w:tcW w:type="dxa" w:w="4873"/>
            <w:vAlign w:val="center"/>
          </w:tcPr>
          <w:p>
            <w:pPr>
              <w:spacing w:line="276" w:lineRule="auto" w:before="0" w:after="0"/>
            </w:pPr>
            <w:r/>
            <w:r>
              <w:rPr>
                <w:rFonts w:ascii="Figtree" w:hAnsi="Figtree"/>
                <w:b w:val="0"/>
                <w:i w:val="0"/>
                <w:sz w:val="20"/>
              </w:rPr>
              <w:t>Transparent pricing, defined assumptions, exit support included</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