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t xml:space="preserve">Response to Mashreq Bank: Digital Asset Lifecycle Management Platform</w:t>
      </w:r>
    </w:p>
    <w:p>
      <w:pPr/>
      <w:r>
        <w:rPr>
          <w:rFonts w:ascii="Figtree" w:hAnsi="Figtree" w:eastAsia="Figtree"/>
          <w:b/>
          <w:sz w:val="22"/>
        </w:rPr>
        <w:t xml:space="preserve">Prepared by:</w:t>
      </w:r>
      <w:r>
        <w:rPr>
          <w:rFonts w:ascii="Figtree" w:hAnsi="Figtree" w:eastAsia="Figtree"/>
          <w:sz w:val="22"/>
        </w:rPr>
        <w:t xml:space="preserve"> SettleMint NV</w:t>
      </w:r>
    </w:p>
    <w:p>
      <w:pPr/>
      <w:r>
        <w:rPr>
          <w:rFonts w:ascii="Figtree" w:hAnsi="Figtree" w:eastAsia="Figtree"/>
          <w:b/>
          <w:sz w:val="22"/>
        </w:rPr>
        <w:t xml:space="preserve">Date:</w:t>
      </w:r>
      <w:r>
        <w:rPr>
          <w:rFonts w:ascii="Figtree" w:hAnsi="Figtree" w:eastAsia="Figtree"/>
          <w:sz w:val="22"/>
        </w:rPr>
        <w:t xml:space="preserve"> April 2026</w:t>
      </w:r>
    </w:p>
    <w:p>
      <w:pPr/>
      <w:r>
        <w:rPr>
          <w:rFonts w:ascii="Figtree" w:hAnsi="Figtree" w:eastAsia="Figtree"/>
          <w:b/>
          <w:sz w:val="22"/>
        </w:rPr>
        <w:t xml:space="preserve">Classification:</w:t>
      </w:r>
      <w:r>
        <w:rPr>
          <w:rFonts w:ascii="Figtree" w:hAnsi="Figtree" w:eastAsia="Figtree"/>
          <w:sz w:val="22"/>
        </w:rPr>
        <w:t xml:space="preserve"> Confidential</w:t>
      </w:r>
    </w:p>
    <w:p>
      <w:pPr/>
      <w:r>
        <w:rPr>
          <w:rFonts w:ascii="Figtree" w:hAnsi="Figtree" w:eastAsia="Figtree"/>
          <w:b/>
          <w:sz w:val="22"/>
        </w:rPr>
        <w:t xml:space="preserve">Version:</w:t>
      </w:r>
      <w:r>
        <w:rPr>
          <w:rFonts w:ascii="Figtree" w:hAnsi="Figtree" w:eastAsia="Figtree"/>
          <w:sz w:val="22"/>
        </w:rPr>
        <w:t xml:space="preserve"> 1.0</w:t>
      </w:r>
    </w:p>
    <w:p>
      <w:r>
        <w:br w:type="page"/>
      </w:r>
    </w:p>
    <w:p>
      <w:pPr>
        <w:pStyle w:val="H2"/>
        <w:numPr>
          <w:ilvl w:val="1"/>
          <w:numId w:val="1"/>
        </w:numPr>
      </w:pPr>
      <w:r>
        <w:rPr/>
        <w:t xml:space="preserve">1. Executive Summary</w:t>
      </w:r>
    </w:p>
    <w:p>
      <w:pPr/>
      <w:r>
        <w:rPr>
          <w:rFonts w:ascii="Figtree" w:hAnsi="Figtree" w:eastAsia="Figtree"/>
          <w:sz w:val="22"/>
        </w:rPr>
        <w:t xml:space="preserve">Mashreq Bank stands at an inflection point. As the UAE's oldest privately owned bank and one of its most digitally progressive financial institutions, Mashreq has consistently demonstrated a commitment to technology-led transformation, from its pioneering NEO digital banking platform to its investments in blockchain infrastructure, AI-driven operations, and platform-based banking strategies. The bank's leadership has publicly articulated a vision where blockchain-based tokenization of real assets becomes a serious financial infrastructure shift, particularly for wealth management, capital markets, and cross-border operations.</w:t>
      </w:r>
    </w:p>
    <w:p>
      <w:pPr/>
      <w:r>
        <w:rPr>
          <w:rFonts w:ascii="Figtree" w:hAnsi="Figtree" w:eastAsia="Figtree"/>
          <w:sz w:val="22"/>
        </w:rPr>
        <w:t xml:space="preserve">The UAE's regulatory environment is accelerating this trajectory. The Central Bank of the UAE (CBUAE) has introduced comprehensive frameworks for digital asset oversight, the Virtual Assets Regulatory Authority (VARA) in Dubai has established one of the world's most detailed licensing regimes for virtual asset service providers, and the Dubai Financial Services Authority (DFSA) has extended its regulatory perimeter to cover security tokens and digital assets within the DIFC. The Securities and Commodities Authority (SCA) continues to refine guidelines for tokenized securities issuance and distribution. Together, these regulatory bodies have created a clear, multi-layered framework that gives institutions like Mashreq Bank the certainty needed to move from strategic evaluation to operational deployment.</w:t>
      </w:r>
    </w:p>
    <w:p>
      <w:pPr/>
      <w:r>
        <w:rPr>
          <w:rFonts w:ascii="Figtree" w:hAnsi="Figtree" w:eastAsia="Figtree"/>
          <w:sz w:val="22"/>
        </w:rPr>
        <w:t xml:space="preserve">SettleMint proposes the </w:t>
      </w:r>
      <w:r>
        <w:rPr>
          <w:rFonts w:ascii="Figtree" w:hAnsi="Figtree" w:eastAsia="Figtree"/>
          <w:b/>
          <w:sz w:val="22"/>
        </w:rPr>
        <w:t xml:space="preserve">Digital Asset Lifecycle Platform (DALP)</w:t>
      </w:r>
      <w:r>
        <w:rPr>
          <w:rFonts w:ascii="Figtree" w:hAnsi="Figtree" w:eastAsia="Figtree"/>
          <w:sz w:val="22"/>
        </w:rPr>
        <w:t xml:space="preserve"> as the foundation for Mashreq Bank's institutional digital asset operations. DALP is not a tokenization toolkit or a point solution for issuance. It is a complete lifecycle platform that unifies asset issuance, compliance enforcement, custody integration, atomic settlement, and ongoing servicing under a single governance model, security posture, and operating framework.</w:t>
      </w:r>
    </w:p>
    <w:p>
      <w:pPr>
        <w:pStyle w:val="H3"/>
        <w:numPr>
          <w:ilvl w:val="2"/>
          <w:numId w:val="1"/>
        </w:numPr>
      </w:pPr>
      <w:r>
        <w:rPr/>
        <w:t xml:space="preserve">Key Differentiators for Mashreq Bank</w:t>
      </w:r>
    </w:p>
    <w:p>
      <w:pPr>
        <w:pStyle w:val="List Paragraph"/>
      </w:pPr>
      <w:r>
        <w:rPr>
          <w:rFonts w:ascii="Figtree" w:hAnsi="Figtree" w:eastAsia="Figtree"/>
          <w:b/>
          <w:sz w:val="22"/>
        </w:rPr>
        <w:t xml:space="preserve">Full lifecycle coverage in one platform:</w:t>
      </w:r>
      <w:r>
        <w:rPr>
          <w:rFonts w:ascii="Figtree" w:hAnsi="Figtree" w:eastAsia="Figtree"/>
          <w:sz w:val="22"/>
        </w:rPr>
        <w:t xml:space="preserve"> Issuance, compliance, custody orchestration, settlement, and servicing on a single control plane with a unified registry. No vendor sprawl, no integration gaps between issuance and post-trade operations.</w:t>
      </w:r>
    </w:p>
    <w:p>
      <w:pPr>
        <w:pStyle w:val="List Paragraph"/>
      </w:pPr>
      <w:r>
        <w:rPr>
          <w:rFonts w:ascii="Figtree" w:hAnsi="Figtree" w:eastAsia="Figtree"/>
          <w:b/>
          <w:sz w:val="22"/>
        </w:rPr>
        <w:t xml:space="preserve">Ex-ante compliance enforcement:</w:t>
      </w:r>
      <w:r>
        <w:rPr>
          <w:rFonts w:ascii="Figtree" w:hAnsi="Figtree" w:eastAsia="Figtree"/>
          <w:sz w:val="22"/>
        </w:rPr>
        <w:t xml:space="preserve"> Every transfer is validated against eligibility rules, identity claims, and jurisdictional constraints before execution. This is not retrospective monitoring; it is deterministic prevention of non-compliant transactions at the smart contract layer.</w:t>
      </w:r>
    </w:p>
    <w:p>
      <w:pPr>
        <w:pStyle w:val="List Paragraph"/>
      </w:pPr>
      <w:r>
        <w:rPr>
          <w:rFonts w:ascii="Figtree" w:hAnsi="Figtree" w:eastAsia="Figtree"/>
          <w:b/>
          <w:sz w:val="22"/>
        </w:rPr>
        <w:t xml:space="preserve">Atomic DvP/XvP settlement:</w:t>
      </w:r>
      <w:r>
        <w:rPr>
          <w:rFonts w:ascii="Figtree" w:hAnsi="Figtree" w:eastAsia="Figtree"/>
          <w:sz w:val="22"/>
        </w:rPr>
        <w:t xml:space="preserve"> Both asset and cash legs complete together or revert together, eliminating counterparty risk and reconciliation overhead. Extends to multi-party settlement scenarios.</w:t>
      </w:r>
    </w:p>
    <w:p>
      <w:pPr>
        <w:pStyle w:val="List Paragraph"/>
      </w:pPr>
      <w:r>
        <w:rPr>
          <w:rFonts w:ascii="Figtree" w:hAnsi="Figtree" w:eastAsia="Figtree"/>
          <w:b/>
          <w:sz w:val="22"/>
        </w:rPr>
        <w:t xml:space="preserve">UAE regulatory alignment:</w:t>
      </w:r>
      <w:r>
        <w:rPr>
          <w:rFonts w:ascii="Figtree" w:hAnsi="Figtree" w:eastAsia="Figtree"/>
          <w:sz w:val="22"/>
        </w:rPr>
        <w:t xml:space="preserve"> Compliance module architecture supports CBUAE requirements, VARA guidelines, DFSA frameworks, and SCA directives through configurable policy templates, not custom code.</w:t>
      </w:r>
    </w:p>
    <w:p>
      <w:pPr>
        <w:pStyle w:val="List Paragraph"/>
      </w:pPr>
      <w:r>
        <w:rPr>
          <w:rFonts w:ascii="Figtree" w:hAnsi="Figtree" w:eastAsia="Figtree"/>
          <w:b/>
          <w:sz w:val="22"/>
        </w:rPr>
        <w:t xml:space="preserve">On-premises deployment:</w:t>
      </w:r>
      <w:r>
        <w:rPr>
          <w:rFonts w:ascii="Figtree" w:hAnsi="Figtree" w:eastAsia="Figtree"/>
          <w:sz w:val="22"/>
        </w:rPr>
        <w:t xml:space="preserve"> Full deployment within Mashreq Bank's UAE data center infrastructure with Kubernetes orchestration, meeting data residency and sovereignty requirements.</w:t>
      </w:r>
    </w:p>
    <w:p>
      <w:pPr>
        <w:pStyle w:val="List Paragraph"/>
      </w:pPr>
      <w:r>
        <w:rPr>
          <w:rFonts w:ascii="Figtree" w:hAnsi="Figtree" w:eastAsia="Figtree"/>
          <w:b/>
          <w:sz w:val="22"/>
        </w:rPr>
        <w:t xml:space="preserve">Institutional custody integration:</w:t>
      </w:r>
      <w:r>
        <w:rPr>
          <w:rFonts w:ascii="Figtree" w:hAnsi="Figtree" w:eastAsia="Figtree"/>
          <w:sz w:val="22"/>
        </w:rPr>
        <w:t xml:space="preserve"> Bring-your-own-custodian model with native Fireblocks and DFNS integrations, maker-checker approval workflows, and HSM-compatible key management.</w:t>
      </w:r>
    </w:p>
    <w:p>
      <w:pPr>
        <w:pStyle w:val="H3"/>
        <w:numPr>
          <w:ilvl w:val="2"/>
          <w:numId w:val="1"/>
        </w:numPr>
      </w:pPr>
      <w:r>
        <w:rPr/>
        <w:t xml:space="preserve">Engagement Summary</w:t>
      </w:r>
    </w:p>
    <w:p>
      <w:pPr/>
      <w:r>
        <w:rPr>
          <w:rFonts w:ascii="Figtree" w:hAnsi="Figtree" w:eastAsia="Figtree"/>
          <w:sz w:val="22"/>
        </w:rPr>
        <w:t xml:space="preserve">SettleMint proposes a three-phase, twelve-month implementation:</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Phase</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Focus</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Duration</w:t>
            </w:r>
          </w:p>
        </w:tc>
      </w:tr>
      <w:tr>
        <w:tc>
          <w:tcPr/>
          <w:p>
            <w:pPr>
              <w:spacing w:after="0" w:line="240" w:lineRule="auto"/>
              <w:rPr>
                <w:rFonts w:ascii="Figtree" w:hAnsi="Figtree" w:eastAsia="Figtree"/>
                <w:sz w:val="20"/>
              </w:rPr>
            </w:pPr>
            <w:r>
              <w:rPr>
                <w:rFonts w:ascii="Figtree" w:hAnsi="Figtree" w:eastAsia="Figtree"/>
                <w:sz w:val="20"/>
              </w:rPr>
              <w:t xml:space="preserve">Phase 1</w:t>
            </w:r>
          </w:p>
        </w:tc>
        <w:tc>
          <w:tcPr/>
          <w:p>
            <w:pPr>
              <w:spacing w:after="0" w:line="240" w:lineRule="auto"/>
              <w:rPr>
                <w:rFonts w:ascii="Figtree" w:hAnsi="Figtree" w:eastAsia="Figtree"/>
                <w:sz w:val="20"/>
              </w:rPr>
            </w:pPr>
            <w:r>
              <w:rPr>
                <w:rFonts w:ascii="Figtree" w:hAnsi="Figtree" w:eastAsia="Figtree"/>
                <w:sz w:val="20"/>
              </w:rPr>
              <w:t xml:space="preserve">Foundation and Bond Lifecycle</w:t>
            </w:r>
          </w:p>
        </w:tc>
        <w:tc>
          <w:tcPr/>
          <w:p>
            <w:pPr>
              <w:spacing w:after="0" w:line="240" w:lineRule="auto"/>
              <w:rPr>
                <w:rFonts w:ascii="Figtree" w:hAnsi="Figtree" w:eastAsia="Figtree"/>
                <w:sz w:val="20"/>
              </w:rPr>
            </w:pPr>
            <w:r>
              <w:rPr>
                <w:rFonts w:ascii="Figtree" w:hAnsi="Figtree" w:eastAsia="Figtree"/>
                <w:sz w:val="20"/>
              </w:rPr>
              <w:t xml:space="preserve">Months 1-4</w:t>
            </w:r>
          </w:p>
        </w:tc>
      </w:tr>
      <w:tr>
        <w:tc>
          <w:tcPr/>
          <w:p>
            <w:pPr>
              <w:spacing w:after="0" w:line="240" w:lineRule="auto"/>
              <w:rPr>
                <w:rFonts w:ascii="Figtree" w:hAnsi="Figtree" w:eastAsia="Figtree"/>
                <w:sz w:val="20"/>
              </w:rPr>
            </w:pPr>
            <w:r>
              <w:rPr>
                <w:rFonts w:ascii="Figtree" w:hAnsi="Figtree" w:eastAsia="Figtree"/>
                <w:sz w:val="20"/>
              </w:rPr>
              <w:t xml:space="preserve">Phase 2</w:t>
            </w:r>
          </w:p>
        </w:tc>
        <w:tc>
          <w:tcPr/>
          <w:p>
            <w:pPr>
              <w:spacing w:after="0" w:line="240" w:lineRule="auto"/>
              <w:rPr>
                <w:rFonts w:ascii="Figtree" w:hAnsi="Figtree" w:eastAsia="Figtree"/>
                <w:sz w:val="20"/>
              </w:rPr>
            </w:pPr>
            <w:r>
              <w:rPr>
                <w:rFonts w:ascii="Figtree" w:hAnsi="Figtree" w:eastAsia="Figtree"/>
                <w:sz w:val="20"/>
              </w:rPr>
              <w:t xml:space="preserve">Multi-Asset Expansion</w:t>
            </w:r>
          </w:p>
        </w:tc>
        <w:tc>
          <w:tcPr/>
          <w:p>
            <w:pPr>
              <w:spacing w:after="0" w:line="240" w:lineRule="auto"/>
              <w:rPr>
                <w:rFonts w:ascii="Figtree" w:hAnsi="Figtree" w:eastAsia="Figtree"/>
                <w:sz w:val="20"/>
              </w:rPr>
            </w:pPr>
            <w:r>
              <w:rPr>
                <w:rFonts w:ascii="Figtree" w:hAnsi="Figtree" w:eastAsia="Figtree"/>
                <w:sz w:val="20"/>
              </w:rPr>
              <w:t xml:space="preserve">Months 5-8</w:t>
            </w:r>
          </w:p>
        </w:tc>
      </w:tr>
      <w:tr>
        <w:tc>
          <w:tcPr/>
          <w:p>
            <w:pPr>
              <w:spacing w:after="0" w:line="240" w:lineRule="auto"/>
              <w:rPr>
                <w:rFonts w:ascii="Figtree" w:hAnsi="Figtree" w:eastAsia="Figtree"/>
                <w:sz w:val="20"/>
              </w:rPr>
            </w:pPr>
            <w:r>
              <w:rPr>
                <w:rFonts w:ascii="Figtree" w:hAnsi="Figtree" w:eastAsia="Figtree"/>
                <w:sz w:val="20"/>
              </w:rPr>
              <w:t xml:space="preserve">Phase 3</w:t>
            </w:r>
          </w:p>
        </w:tc>
        <w:tc>
          <w:tcPr/>
          <w:p>
            <w:pPr>
              <w:spacing w:after="0" w:line="240" w:lineRule="auto"/>
              <w:rPr>
                <w:rFonts w:ascii="Figtree" w:hAnsi="Figtree" w:eastAsia="Figtree"/>
                <w:sz w:val="20"/>
              </w:rPr>
            </w:pPr>
            <w:r>
              <w:rPr>
                <w:rFonts w:ascii="Figtree" w:hAnsi="Figtree" w:eastAsia="Figtree"/>
                <w:sz w:val="20"/>
              </w:rPr>
              <w:t xml:space="preserve">Advanced Settlement and Cross-Border</w:t>
            </w:r>
          </w:p>
        </w:tc>
        <w:tc>
          <w:tcPr/>
          <w:p>
            <w:pPr>
              <w:spacing w:after="0" w:line="240" w:lineRule="auto"/>
              <w:rPr>
                <w:rFonts w:ascii="Figtree" w:hAnsi="Figtree" w:eastAsia="Figtree"/>
                <w:sz w:val="20"/>
              </w:rPr>
            </w:pPr>
            <w:r>
              <w:rPr>
                <w:rFonts w:ascii="Figtree" w:hAnsi="Figtree" w:eastAsia="Figtree"/>
                <w:sz w:val="20"/>
              </w:rPr>
              <w:t xml:space="preserve">Months 9-12</w:t>
            </w:r>
          </w:p>
        </w:tc>
      </w:tr>
    </w:tbl>
    <w:p>
      <w:pPr/>
      <w:r>
        <w:rPr>
          <w:rFonts w:ascii="Figtree" w:hAnsi="Figtree" w:eastAsia="Figtree"/>
          <w:sz w:val="22"/>
        </w:rPr>
        <w:t xml:space="preserve">This phased approach delivers production value from Phase 1 while building toward Mashreq Bank's full digital asset operating model.</w:t>
      </w:r>
    </w:p>
    <w:p>
      <w:r>
        <w:br w:type="page"/>
      </w:r>
    </w:p>
    <w:p>
      <w:pPr>
        <w:pStyle w:val="H2"/>
        <w:numPr>
          <w:ilvl w:val="1"/>
          <w:numId w:val="1"/>
        </w:numPr>
      </w:pPr>
      <w:r>
        <w:rPr/>
        <w:t xml:space="preserve">2. About SettleMint</w:t>
      </w:r>
    </w:p>
    <w:p>
      <w:pPr>
        <w:pStyle w:val="H3"/>
        <w:numPr>
          <w:ilvl w:val="2"/>
          <w:numId w:val="1"/>
        </w:numPr>
      </w:pPr>
      <w:r>
        <w:rPr/>
        <w:t xml:space="preserve">Company Overview</w:t>
      </w:r>
    </w:p>
    <w:p>
      <w:pPr/>
      <w:r>
        <w:rPr>
          <w:rFonts w:ascii="Figtree" w:hAnsi="Figtree" w:eastAsia="Figtree"/>
          <w:sz w:val="22"/>
        </w:rPr>
        <w:t xml:space="preserve">SettleMint is the digital asset lifecycle management company for regulated financial markets and sovereign use cases. Founded in 2016 with a singular focus on building blockchain infrastructure for enterprises and regulated institutions, SettleMint has spent nearly a decade refining the technology, processes, and domain expertise required to operate tokenized assets at institutional scale.</w:t>
      </w:r>
    </w:p>
    <w:p>
      <w:pPr/>
      <w:r>
        <w:rPr>
          <w:rFonts w:ascii="Figtree" w:hAnsi="Figtree" w:eastAsia="Figtree"/>
          <w:sz w:val="22"/>
        </w:rPr>
        <w:t xml:space="preserve">The company is headquartered in Belgium with operations spanning Europe, the Middle East, and Asia-Pacific. SettleMint serves financial institutions, market infrastructure providers, and sovereign entities who require compliant, secure, and scalable digital asset infrastructure.</w:t>
      </w:r>
    </w:p>
    <w:p>
      <w:pPr>
        <w:pStyle w:val="H3"/>
        <w:numPr>
          <w:ilvl w:val="2"/>
          <w:numId w:val="1"/>
        </w:numPr>
      </w:pPr>
      <w:r>
        <w:rPr/>
        <w:t xml:space="preserve">Focus on Regulated Markets</w:t>
      </w:r>
    </w:p>
    <w:p>
      <w:pPr/>
      <w:r>
        <w:rPr>
          <w:rFonts w:ascii="Figtree" w:hAnsi="Figtree" w:eastAsia="Figtree"/>
          <w:sz w:val="22"/>
        </w:rPr>
        <w:t xml:space="preserve">Unlike blockchain vendors that serve broad markets or focus on retail and DeFi applications, SettleMint has maintained an exclusive focus on regulated environments from its founding. This means every architectural decision, every compliance control, and every operational workflow has been designed for institutions where regulatory scrutiny, audit requirements, and operational resilience are non-negotiable.</w:t>
      </w:r>
    </w:p>
    <w:p>
      <w:pPr/>
      <w:r>
        <w:rPr>
          <w:rFonts w:ascii="Figtree" w:hAnsi="Figtree" w:eastAsia="Figtree"/>
          <w:sz w:val="22"/>
        </w:rPr>
        <w:t xml:space="preserve">This focus is reflected in the platform's core capabilities:</w:t>
      </w:r>
    </w:p>
    <w:p>
      <w:pPr>
        <w:pStyle w:val="List Paragraph"/>
      </w:pPr>
      <w:r>
        <w:rPr>
          <w:rFonts w:ascii="Figtree" w:hAnsi="Figtree" w:eastAsia="Figtree"/>
          <w:b/>
          <w:sz w:val="22"/>
        </w:rPr>
        <w:t xml:space="preserve">Maker-checker custody approvals</w:t>
      </w:r>
      <w:r>
        <w:rPr>
          <w:rFonts w:ascii="Figtree" w:hAnsi="Figtree" w:eastAsia="Figtree"/>
          <w:sz w:val="22"/>
        </w:rPr>
        <w:t xml:space="preserve"> aligned with institutional governance requirements</w:t>
      </w:r>
    </w:p>
    <w:p>
      <w:pPr>
        <w:pStyle w:val="List Paragraph"/>
      </w:pPr>
      <w:r>
        <w:rPr>
          <w:rFonts w:ascii="Figtree" w:hAnsi="Figtree" w:eastAsia="Figtree"/>
          <w:b/>
          <w:sz w:val="22"/>
        </w:rPr>
        <w:t xml:space="preserve">Ex-ante compliance enforcement</w:t>
      </w:r>
      <w:r>
        <w:rPr>
          <w:rFonts w:ascii="Figtree" w:hAnsi="Figtree" w:eastAsia="Figtree"/>
          <w:sz w:val="22"/>
        </w:rPr>
        <w:t xml:space="preserve"> through ERC-3643 regulated token standards</w:t>
      </w:r>
    </w:p>
    <w:p>
      <w:pPr>
        <w:pStyle w:val="List Paragraph"/>
      </w:pPr>
      <w:r>
        <w:rPr>
          <w:rFonts w:ascii="Figtree" w:hAnsi="Figtree" w:eastAsia="Figtree"/>
          <w:b/>
          <w:sz w:val="22"/>
        </w:rPr>
        <w:t xml:space="preserve">Atomic DvP/XvP settlement</w:t>
      </w:r>
      <w:r>
        <w:rPr>
          <w:rFonts w:ascii="Figtree" w:hAnsi="Figtree" w:eastAsia="Figtree"/>
          <w:sz w:val="22"/>
        </w:rPr>
        <w:t xml:space="preserve"> with deterministic finality</w:t>
      </w:r>
    </w:p>
    <w:p>
      <w:pPr>
        <w:pStyle w:val="List Paragraph"/>
      </w:pPr>
      <w:r>
        <w:rPr>
          <w:rFonts w:ascii="Figtree" w:hAnsi="Figtree" w:eastAsia="Figtree"/>
          <w:b/>
          <w:sz w:val="22"/>
        </w:rPr>
        <w:t xml:space="preserve">HSM-compatible key management</w:t>
      </w:r>
      <w:r>
        <w:rPr>
          <w:rFonts w:ascii="Figtree" w:hAnsi="Figtree" w:eastAsia="Figtree"/>
          <w:sz w:val="22"/>
        </w:rPr>
        <w:t xml:space="preserve"> across multiple custody providers</w:t>
      </w:r>
    </w:p>
    <w:p>
      <w:pPr>
        <w:pStyle w:val="List Paragraph"/>
      </w:pPr>
      <w:r>
        <w:rPr>
          <w:rFonts w:ascii="Figtree" w:hAnsi="Figtree" w:eastAsia="Figtree"/>
          <w:b/>
          <w:sz w:val="22"/>
        </w:rPr>
        <w:t xml:space="preserve">Full audit logging</w:t>
      </w:r>
      <w:r>
        <w:rPr>
          <w:rFonts w:ascii="Figtree" w:hAnsi="Figtree" w:eastAsia="Figtree"/>
          <w:sz w:val="22"/>
        </w:rPr>
        <w:t xml:space="preserve"> with structured, queryable event history</w:t>
      </w:r>
    </w:p>
    <w:p>
      <w:pPr>
        <w:pStyle w:val="H3"/>
        <w:numPr>
          <w:ilvl w:val="2"/>
          <w:numId w:val="1"/>
        </w:numPr>
      </w:pPr>
      <w:r>
        <w:rPr/>
        <w:t xml:space="preserve">Client Base and Deployments</w:t>
      </w:r>
    </w:p>
    <w:p>
      <w:pPr/>
      <w:r>
        <w:rPr>
          <w:rFonts w:ascii="Figtree" w:hAnsi="Figtree" w:eastAsia="Figtree"/>
          <w:sz w:val="22"/>
        </w:rPr>
        <w:t xml:space="preserve">SettleMint's client base spans three regions:</w:t>
      </w:r>
    </w:p>
    <w:p>
      <w:pPr>
        <w:pStyle w:val="List Paragraph"/>
      </w:pPr>
      <w:r>
        <w:rPr>
          <w:rFonts w:ascii="Figtree" w:hAnsi="Figtree" w:eastAsia="Figtree"/>
          <w:b/>
          <w:sz w:val="22"/>
        </w:rPr>
        <w:t xml:space="preserve">Europe:</w:t>
      </w:r>
      <w:r>
        <w:rPr>
          <w:rFonts w:ascii="Figtree" w:hAnsi="Figtree" w:eastAsia="Figtree"/>
          <w:sz w:val="22"/>
        </w:rPr>
        <w:t xml:space="preserve"> Multi-year continuous production deployments with regulated banks, including live bond issuance and lifecycle management programs. Active engagement with European regulatory frameworks including MiCA.</w:t>
      </w:r>
    </w:p>
    <w:p>
      <w:pPr>
        <w:pStyle w:val="List Paragraph"/>
      </w:pPr>
      <w:r>
        <w:rPr>
          <w:rFonts w:ascii="Figtree" w:hAnsi="Figtree" w:eastAsia="Figtree"/>
          <w:b/>
          <w:sz w:val="22"/>
        </w:rPr>
        <w:t xml:space="preserve">MENA:</w:t>
      </w:r>
      <w:r>
        <w:rPr>
          <w:rFonts w:ascii="Figtree" w:hAnsi="Figtree" w:eastAsia="Figtree"/>
          <w:sz w:val="22"/>
        </w:rPr>
        <w:t xml:space="preserve"> Active sovereign-scale programs, including national real estate tokenization initiatives and sovereign-backed digital asset infrastructure. Deep familiarity with GCC regulatory frameworks and deployment requirements.</w:t>
      </w:r>
    </w:p>
    <w:p>
      <w:pPr>
        <w:pStyle w:val="List Paragraph"/>
      </w:pPr>
      <w:r>
        <w:rPr>
          <w:rFonts w:ascii="Figtree" w:hAnsi="Figtree" w:eastAsia="Figtree"/>
          <w:b/>
          <w:sz w:val="22"/>
        </w:rPr>
        <w:t xml:space="preserve">Asia-Pacific:</w:t>
      </w:r>
      <w:r>
        <w:rPr>
          <w:rFonts w:ascii="Figtree" w:hAnsi="Figtree" w:eastAsia="Figtree"/>
          <w:sz w:val="22"/>
        </w:rPr>
        <w:t xml:space="preserve"> Live production deployments with tier-1 banks, including bond fractionalization and corporate bond programs. Experience with MAS, JFSA, and regional regulatory diversity.</w:t>
      </w:r>
    </w:p>
    <w:p>
      <w:pPr>
        <w:pStyle w:val="H3"/>
        <w:numPr>
          <w:ilvl w:val="2"/>
          <w:numId w:val="1"/>
        </w:numPr>
      </w:pPr>
      <w:r>
        <w:rPr/>
        <w:t xml:space="preserve">Sovereign Programs</w:t>
      </w:r>
    </w:p>
    <w:p>
      <w:pPr/>
      <w:r>
        <w:rPr>
          <w:rFonts w:ascii="Figtree" w:hAnsi="Figtree" w:eastAsia="Figtree"/>
          <w:sz w:val="22"/>
        </w:rPr>
        <w:t xml:space="preserve">SettleMint is one of a very small number of platforms powering country-scale tokenization initiatives. These include national real estate registry tokenization programs and sovereign-backed capital markets infrastructure in the Middle East. This sovereign-scale credibility is directly relevant to Mashreq Bank's ambitions within the UAE's national digital asset strategy.</w:t>
      </w:r>
    </w:p>
    <w:p>
      <w:pPr>
        <w:pStyle w:val="H3"/>
        <w:numPr>
          <w:ilvl w:val="2"/>
          <w:numId w:val="1"/>
        </w:numPr>
      </w:pPr>
      <w:r>
        <w:rPr/>
        <w:t xml:space="preserve">Team Expertise</w:t>
      </w:r>
    </w:p>
    <w:p>
      <w:pPr/>
      <w:r>
        <w:rPr>
          <w:rFonts w:ascii="Figtree" w:hAnsi="Figtree" w:eastAsia="Figtree"/>
          <w:sz w:val="22"/>
        </w:rPr>
        <w:t xml:space="preserve">The SettleMint team brings together over 200 years of combined experience across:</w:t>
      </w:r>
    </w:p>
    <w:p>
      <w:pPr>
        <w:pStyle w:val="List Paragraph"/>
      </w:pPr>
      <w:r>
        <w:rPr>
          <w:rFonts w:ascii="Figtree" w:hAnsi="Figtree" w:eastAsia="Figtree"/>
          <w:b/>
          <w:sz w:val="22"/>
        </w:rPr>
        <w:t xml:space="preserve">Transaction banking and capital markets:</w:t>
      </w:r>
      <w:r>
        <w:rPr>
          <w:rFonts w:ascii="Figtree" w:hAnsi="Figtree" w:eastAsia="Figtree"/>
          <w:sz w:val="22"/>
        </w:rPr>
        <w:t xml:space="preserve"> Deep understanding of settlement flows, custody models, and post-trade operations</w:t>
      </w:r>
    </w:p>
    <w:p>
      <w:pPr>
        <w:pStyle w:val="List Paragraph"/>
      </w:pPr>
      <w:r>
        <w:rPr>
          <w:rFonts w:ascii="Figtree" w:hAnsi="Figtree" w:eastAsia="Figtree"/>
          <w:b/>
          <w:sz w:val="22"/>
        </w:rPr>
        <w:t xml:space="preserve">Blockchain engineering:</w:t>
      </w:r>
      <w:r>
        <w:rPr>
          <w:rFonts w:ascii="Figtree" w:hAnsi="Figtree" w:eastAsia="Figtree"/>
          <w:sz w:val="22"/>
        </w:rPr>
        <w:t xml:space="preserve"> Protocol-level expertise from the early enterprise adoption wave through current institutional-grade architectures</w:t>
      </w:r>
    </w:p>
    <w:p>
      <w:pPr>
        <w:pStyle w:val="List Paragraph"/>
      </w:pPr>
      <w:r>
        <w:rPr>
          <w:rFonts w:ascii="Figtree" w:hAnsi="Figtree" w:eastAsia="Figtree"/>
          <w:b/>
          <w:sz w:val="22"/>
        </w:rPr>
        <w:t xml:space="preserve">Regulatory compliance:</w:t>
      </w:r>
      <w:r>
        <w:rPr>
          <w:rFonts w:ascii="Figtree" w:hAnsi="Figtree" w:eastAsia="Figtree"/>
          <w:sz w:val="22"/>
        </w:rPr>
        <w:t xml:space="preserve"> Practical experience navigating MiCA, MAS, JFSA, CBUAE, VARA, and DFSA frameworks</w:t>
      </w:r>
    </w:p>
    <w:p>
      <w:pPr>
        <w:pStyle w:val="List Paragraph"/>
      </w:pPr>
      <w:r>
        <w:rPr>
          <w:rFonts w:ascii="Figtree" w:hAnsi="Figtree" w:eastAsia="Figtree"/>
          <w:b/>
          <w:sz w:val="22"/>
        </w:rPr>
        <w:t xml:space="preserve">Enterprise delivery:</w:t>
      </w:r>
      <w:r>
        <w:rPr>
          <w:rFonts w:ascii="Figtree" w:hAnsi="Figtree" w:eastAsia="Figtree"/>
          <w:sz w:val="22"/>
        </w:rPr>
        <w:t xml:space="preserve"> Governance, change management, and integration with legacy infrastructure at tier-1 financial institutions</w:t>
      </w:r>
    </w:p>
    <w:p>
      <w:pPr/>
      <w:r>
        <w:rPr>
          <w:rFonts w:ascii="Figtree" w:hAnsi="Figtree" w:eastAsia="Figtree"/>
          <w:sz w:val="22"/>
        </w:rPr>
        <w:t xml:space="preserve">Dedicated solution architects, delivery leads, and customer success teams have implemented tokenization solutions across multiple jurisdictions, navigating security reviews, vendor onboarding processes, and change control procedures with large institutions.</w:t>
      </w:r>
    </w:p>
    <w:p>
      <w:r>
        <w:br w:type="page"/>
      </w:r>
    </w:p>
    <w:p>
      <w:pPr>
        <w:pStyle w:val="H2"/>
        <w:numPr>
          <w:ilvl w:val="1"/>
          <w:numId w:val="1"/>
        </w:numPr>
      </w:pPr>
      <w:r>
        <w:rPr/>
        <w:t xml:space="preserve">3. Understanding Mashreq Bank's Requirements</w:t>
      </w:r>
    </w:p>
    <w:p>
      <w:pPr>
        <w:pStyle w:val="H3"/>
        <w:numPr>
          <w:ilvl w:val="2"/>
          <w:numId w:val="1"/>
        </w:numPr>
      </w:pPr>
      <w:r>
        <w:rPr/>
        <w:t xml:space="preserve">Mashreq's Digital Strategy and UAE Market Context</w:t>
      </w:r>
    </w:p>
    <w:p>
      <w:pPr/>
      <w:r>
        <w:rPr>
          <w:rFonts w:ascii="Figtree" w:hAnsi="Figtree" w:eastAsia="Figtree"/>
          <w:sz w:val="22"/>
        </w:rPr>
        <w:t xml:space="preserve">Mashreq Bank's digital transformation strategy is among the most ambitious in the Gulf region. Under the leadership of Group CEO Ahmed Abdelaal, the bank has articulated a clear vision of evolving into a platform-based banking model, embedding financial services across digital customer journeys. The bank's NEO and NeoBiz platforms serve as the consumer-facing expression of this strategy, while investments in blockchain, AI, and fintech partnerships signal a commitment to infrastructure-level transformation.</w:t>
      </w:r>
    </w:p>
    <w:p>
      <w:pPr/>
      <w:r>
        <w:rPr>
          <w:rFonts w:ascii="Figtree" w:hAnsi="Figtree" w:eastAsia="Figtree"/>
          <w:sz w:val="22"/>
        </w:rPr>
        <w:t xml:space="preserve">The bank has identified blockchain-based tokenization as a serious financial infrastructure shift. This is not an innovation exercise; it is a strategic infrastructure investment aligned with the UAE's national objectives:</w:t>
      </w:r>
    </w:p>
    <w:p>
      <w:pPr>
        <w:pStyle w:val="List Paragraph"/>
      </w:pPr>
      <w:r>
        <w:rPr>
          <w:rFonts w:ascii="Figtree" w:hAnsi="Figtree" w:eastAsia="Figtree"/>
          <w:b/>
          <w:sz w:val="22"/>
        </w:rPr>
        <w:t xml:space="preserve">UAE Blockchain Strategy:</w:t>
      </w:r>
      <w:r>
        <w:rPr>
          <w:rFonts w:ascii="Figtree" w:hAnsi="Figtree" w:eastAsia="Figtree"/>
          <w:sz w:val="22"/>
        </w:rPr>
        <w:t xml:space="preserve"> Positions the country as a global leader in blockchain adoption across government and financial services</w:t>
      </w:r>
    </w:p>
    <w:p>
      <w:pPr>
        <w:pStyle w:val="List Paragraph"/>
      </w:pPr>
      <w:r>
        <w:rPr>
          <w:rFonts w:ascii="Figtree" w:hAnsi="Figtree" w:eastAsia="Figtree"/>
          <w:b/>
          <w:sz w:val="22"/>
        </w:rPr>
        <w:t xml:space="preserve">Dubai Tokenization Strategy:</w:t>
      </w:r>
      <w:r>
        <w:rPr>
          <w:rFonts w:ascii="Figtree" w:hAnsi="Figtree" w:eastAsia="Figtree"/>
          <w:sz w:val="22"/>
        </w:rPr>
        <w:t xml:space="preserve"> Aims to tokenize a significant portion of Dubai's real estate and financial assets</w:t>
      </w:r>
    </w:p>
    <w:p>
      <w:pPr>
        <w:pStyle w:val="List Paragraph"/>
      </w:pPr>
      <w:r>
        <w:rPr>
          <w:rFonts w:ascii="Figtree" w:hAnsi="Figtree" w:eastAsia="Figtree"/>
          <w:b/>
          <w:sz w:val="22"/>
        </w:rPr>
        <w:t xml:space="preserve">CBUAE Digital Currency Initiative:</w:t>
      </w:r>
      <w:r>
        <w:rPr>
          <w:rFonts w:ascii="Figtree" w:hAnsi="Figtree" w:eastAsia="Figtree"/>
          <w:sz w:val="22"/>
        </w:rPr>
        <w:t xml:space="preserve"> Central bank digital currency exploration and digital payment infrastructure modernization</w:t>
      </w:r>
    </w:p>
    <w:p>
      <w:pPr>
        <w:pStyle w:val="List Paragraph"/>
      </w:pPr>
      <w:r>
        <w:rPr>
          <w:rFonts w:ascii="Figtree" w:hAnsi="Figtree" w:eastAsia="Figtree"/>
          <w:b/>
          <w:sz w:val="22"/>
        </w:rPr>
        <w:t xml:space="preserve">DIFC Innovation Hub:</w:t>
      </w:r>
      <w:r>
        <w:rPr>
          <w:rFonts w:ascii="Figtree" w:hAnsi="Figtree" w:eastAsia="Figtree"/>
          <w:sz w:val="22"/>
        </w:rPr>
        <w:t xml:space="preserve"> Regulatory sandbox and production frameworks for digital asset businesses</w:t>
      </w:r>
    </w:p>
    <w:p>
      <w:pPr/>
      <w:r>
        <w:rPr>
          <w:rFonts w:ascii="Figtree" w:hAnsi="Figtree" w:eastAsia="Figtree"/>
          <w:sz w:val="22"/>
        </w:rPr>
        <w:t xml:space="preserve">Mashreq Bank's position as the UAE's oldest privately owned bank, combined with its digital-first operating model, creates a unique opportunity to lead institutional adoption of digital assets in the region.</w:t>
      </w:r>
    </w:p>
    <w:p>
      <w:pPr>
        <w:pStyle w:val="H3"/>
        <w:numPr>
          <w:ilvl w:val="2"/>
          <w:numId w:val="1"/>
        </w:numPr>
      </w:pPr>
      <w:r>
        <w:rPr/>
        <w:t xml:space="preserve">Operational Challenges</w:t>
      </w:r>
    </w:p>
    <w:p>
      <w:pPr/>
      <w:r>
        <w:rPr>
          <w:rFonts w:ascii="Figtree" w:hAnsi="Figtree" w:eastAsia="Figtree"/>
          <w:sz w:val="22"/>
        </w:rPr>
        <w:t xml:space="preserve">As Mashreq Bank evaluates its digital asset infrastructure requirements, several operational challenges must be addressed:</w:t>
      </w:r>
    </w:p>
    <w:p>
      <w:pPr>
        <w:pStyle w:val="List Paragraph"/>
      </w:pPr>
      <w:r>
        <w:rPr>
          <w:rFonts w:ascii="Figtree" w:hAnsi="Figtree" w:eastAsia="Figtree"/>
          <w:b/>
          <w:sz w:val="22"/>
        </w:rPr>
        <w:t xml:space="preserve">Disconnected workflows across asset types:</w:t>
      </w:r>
      <w:r>
        <w:rPr>
          <w:rFonts w:ascii="Figtree" w:hAnsi="Figtree" w:eastAsia="Figtree"/>
          <w:sz w:val="22"/>
        </w:rPr>
        <w:t xml:space="preserve"> Without a unified platform, each new digital asset initiative requires separate tooling, separate compliance configurations, and separate operational procedures. This multiplies cost and risk with each new asset class.</w:t>
      </w:r>
    </w:p>
    <w:p>
      <w:pPr>
        <w:pStyle w:val="List Paragraph"/>
      </w:pPr>
      <w:r>
        <w:rPr>
          <w:rFonts w:ascii="Figtree" w:hAnsi="Figtree" w:eastAsia="Figtree"/>
          <w:b/>
          <w:sz w:val="22"/>
        </w:rPr>
        <w:t xml:space="preserve">Manual compliance processes:</w:t>
      </w:r>
      <w:r>
        <w:rPr>
          <w:rFonts w:ascii="Figtree" w:hAnsi="Figtree" w:eastAsia="Figtree"/>
          <w:sz w:val="22"/>
        </w:rPr>
        <w:t xml:space="preserve"> Retrospective compliance checking creates regulatory exposure. When transfers execute before validation, non-compliant transactions create immutable on-chain evidence of policy violations.</w:t>
      </w:r>
    </w:p>
    <w:p>
      <w:pPr>
        <w:pStyle w:val="List Paragraph"/>
      </w:pPr>
      <w:r>
        <w:rPr>
          <w:rFonts w:ascii="Figtree" w:hAnsi="Figtree" w:eastAsia="Figtree"/>
          <w:b/>
          <w:sz w:val="22"/>
        </w:rPr>
        <w:t xml:space="preserve">Settlement fragmentation:</w:t>
      </w:r>
      <w:r>
        <w:rPr>
          <w:rFonts w:ascii="Figtree" w:hAnsi="Figtree" w:eastAsia="Figtree"/>
          <w:sz w:val="22"/>
        </w:rPr>
        <w:t xml:space="preserve"> Tokens may settle on-chain while cash clears through traditional rails on different timelines. Without atomic settlement, counterparty risk persists and reconciliation overhead grows.</w:t>
      </w:r>
    </w:p>
    <w:p>
      <w:pPr>
        <w:pStyle w:val="List Paragraph"/>
      </w:pPr>
      <w:r>
        <w:rPr>
          <w:rFonts w:ascii="Figtree" w:hAnsi="Figtree" w:eastAsia="Figtree"/>
          <w:b/>
          <w:sz w:val="22"/>
        </w:rPr>
        <w:t xml:space="preserve">Custody complexity:</w:t>
      </w:r>
      <w:r>
        <w:rPr>
          <w:rFonts w:ascii="Figtree" w:hAnsi="Figtree" w:eastAsia="Figtree"/>
          <w:sz w:val="22"/>
        </w:rPr>
        <w:t xml:space="preserve"> Managing institutional key management across multiple providers without unified governance, maker-checker approvals, and recovery procedures introduces operational risk that boards and risk committees will not tolerate.</w:t>
      </w:r>
    </w:p>
    <w:p>
      <w:pPr>
        <w:pStyle w:val="List Paragraph"/>
      </w:pPr>
      <w:r>
        <w:rPr>
          <w:rFonts w:ascii="Figtree" w:hAnsi="Figtree" w:eastAsia="Figtree"/>
          <w:b/>
          <w:sz w:val="22"/>
        </w:rPr>
        <w:t xml:space="preserve">Scaling constraints:</w:t>
      </w:r>
      <w:r>
        <w:rPr>
          <w:rFonts w:ascii="Figtree" w:hAnsi="Figtree" w:eastAsia="Figtree"/>
          <w:sz w:val="22"/>
        </w:rPr>
        <w:t xml:space="preserve"> Point solutions that support individual use cases cannot scale to a multi-asset, multi-jurisdiction operating model without significant re-architecture.</w:t>
      </w:r>
    </w:p>
    <w:p>
      <w:pPr>
        <w:pStyle w:val="H3"/>
        <w:numPr>
          <w:ilvl w:val="2"/>
          <w:numId w:val="1"/>
        </w:numPr>
      </w:pPr>
      <w:r>
        <w:rPr/>
        <w:t xml:space="preserve">Regulatory Landscape</w:t>
      </w:r>
    </w:p>
    <w:p>
      <w:pPr/>
      <w:r>
        <w:rPr>
          <w:rFonts w:ascii="Figtree" w:hAnsi="Figtree" w:eastAsia="Figtree"/>
          <w:sz w:val="22"/>
        </w:rPr>
        <w:t xml:space="preserve">Mashreq Bank operates within a multi-layered regulatory environment:</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Regulator</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Jurisdiction</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Scope</w:t>
            </w:r>
          </w:p>
        </w:tc>
      </w:tr>
      <w:tr>
        <w:tc>
          <w:tcPr/>
          <w:p>
            <w:pPr>
              <w:spacing w:after="0" w:line="240" w:lineRule="auto"/>
              <w:rPr>
                <w:rFonts w:ascii="Figtree" w:hAnsi="Figtree" w:eastAsia="Figtree"/>
                <w:sz w:val="20"/>
              </w:rPr>
            </w:pPr>
            <w:r>
              <w:rPr>
                <w:rFonts w:ascii="Figtree" w:hAnsi="Figtree" w:eastAsia="Figtree"/>
                <w:sz w:val="20"/>
              </w:rPr>
              <w:t xml:space="preserve">CBUAE</w:t>
            </w:r>
          </w:p>
        </w:tc>
        <w:tc>
          <w:tcPr/>
          <w:p>
            <w:pPr>
              <w:spacing w:after="0" w:line="240" w:lineRule="auto"/>
              <w:rPr>
                <w:rFonts w:ascii="Figtree" w:hAnsi="Figtree" w:eastAsia="Figtree"/>
                <w:sz w:val="20"/>
              </w:rPr>
            </w:pPr>
            <w:r>
              <w:rPr>
                <w:rFonts w:ascii="Figtree" w:hAnsi="Figtree" w:eastAsia="Figtree"/>
                <w:sz w:val="20"/>
              </w:rPr>
              <w:t xml:space="preserve">UAE-wide</w:t>
            </w:r>
          </w:p>
        </w:tc>
        <w:tc>
          <w:tcPr/>
          <w:p>
            <w:pPr>
              <w:spacing w:after="0" w:line="240" w:lineRule="auto"/>
              <w:rPr>
                <w:rFonts w:ascii="Figtree" w:hAnsi="Figtree" w:eastAsia="Figtree"/>
                <w:sz w:val="20"/>
              </w:rPr>
            </w:pPr>
            <w:r>
              <w:rPr>
                <w:rFonts w:ascii="Figtree" w:hAnsi="Figtree" w:eastAsia="Figtree"/>
                <w:sz w:val="20"/>
              </w:rPr>
              <w:t xml:space="preserve">Payment tokens, stored value, deposit tokens, banking supervision</w:t>
            </w:r>
          </w:p>
        </w:tc>
      </w:tr>
      <w:tr>
        <w:tc>
          <w:tcPr/>
          <w:p>
            <w:pPr>
              <w:spacing w:after="0" w:line="240" w:lineRule="auto"/>
              <w:rPr>
                <w:rFonts w:ascii="Figtree" w:hAnsi="Figtree" w:eastAsia="Figtree"/>
                <w:sz w:val="20"/>
              </w:rPr>
            </w:pPr>
            <w:r>
              <w:rPr>
                <w:rFonts w:ascii="Figtree" w:hAnsi="Figtree" w:eastAsia="Figtree"/>
                <w:sz w:val="20"/>
              </w:rPr>
              <w:t xml:space="preserve">VARA</w:t>
            </w:r>
          </w:p>
        </w:tc>
        <w:tc>
          <w:tcPr/>
          <w:p>
            <w:pPr>
              <w:spacing w:after="0" w:line="240" w:lineRule="auto"/>
              <w:rPr>
                <w:rFonts w:ascii="Figtree" w:hAnsi="Figtree" w:eastAsia="Figtree"/>
                <w:sz w:val="20"/>
              </w:rPr>
            </w:pPr>
            <w:r>
              <w:rPr>
                <w:rFonts w:ascii="Figtree" w:hAnsi="Figtree" w:eastAsia="Figtree"/>
                <w:sz w:val="20"/>
              </w:rPr>
              <w:t xml:space="preserve">Dubai</w:t>
            </w:r>
          </w:p>
        </w:tc>
        <w:tc>
          <w:tcPr/>
          <w:p>
            <w:pPr>
              <w:spacing w:after="0" w:line="240" w:lineRule="auto"/>
              <w:rPr>
                <w:rFonts w:ascii="Figtree" w:hAnsi="Figtree" w:eastAsia="Figtree"/>
                <w:sz w:val="20"/>
              </w:rPr>
            </w:pPr>
            <w:r>
              <w:rPr>
                <w:rFonts w:ascii="Figtree" w:hAnsi="Figtree" w:eastAsia="Figtree"/>
                <w:sz w:val="20"/>
              </w:rPr>
              <w:t xml:space="preserve">Virtual asset service provider licensing, comprehensive activity-based regulation</w:t>
            </w:r>
          </w:p>
        </w:tc>
      </w:tr>
      <w:tr>
        <w:tc>
          <w:tcPr/>
          <w:p>
            <w:pPr>
              <w:spacing w:after="0" w:line="240" w:lineRule="auto"/>
              <w:rPr>
                <w:rFonts w:ascii="Figtree" w:hAnsi="Figtree" w:eastAsia="Figtree"/>
                <w:sz w:val="20"/>
              </w:rPr>
            </w:pPr>
            <w:r>
              <w:rPr>
                <w:rFonts w:ascii="Figtree" w:hAnsi="Figtree" w:eastAsia="Figtree"/>
                <w:sz w:val="20"/>
              </w:rPr>
              <w:t xml:space="preserve">DFSA</w:t>
            </w:r>
          </w:p>
        </w:tc>
        <w:tc>
          <w:tcPr/>
          <w:p>
            <w:pPr>
              <w:spacing w:after="0" w:line="240" w:lineRule="auto"/>
              <w:rPr>
                <w:rFonts w:ascii="Figtree" w:hAnsi="Figtree" w:eastAsia="Figtree"/>
                <w:sz w:val="20"/>
              </w:rPr>
            </w:pPr>
            <w:r>
              <w:rPr>
                <w:rFonts w:ascii="Figtree" w:hAnsi="Figtree" w:eastAsia="Figtree"/>
                <w:sz w:val="20"/>
              </w:rPr>
              <w:t xml:space="preserve">DIFC</w:t>
            </w:r>
          </w:p>
        </w:tc>
        <w:tc>
          <w:tcPr/>
          <w:p>
            <w:pPr>
              <w:spacing w:after="0" w:line="240" w:lineRule="auto"/>
              <w:rPr>
                <w:rFonts w:ascii="Figtree" w:hAnsi="Figtree" w:eastAsia="Figtree"/>
                <w:sz w:val="20"/>
              </w:rPr>
            </w:pPr>
            <w:r>
              <w:rPr>
                <w:rFonts w:ascii="Figtree" w:hAnsi="Figtree" w:eastAsia="Figtree"/>
                <w:sz w:val="20"/>
              </w:rPr>
              <w:t xml:space="preserve">Security tokens, investment tokens, regulated digital assets within the DIFC</w:t>
            </w:r>
          </w:p>
        </w:tc>
      </w:tr>
      <w:tr>
        <w:tc>
          <w:tcPr/>
          <w:p>
            <w:pPr>
              <w:spacing w:after="0" w:line="240" w:lineRule="auto"/>
              <w:rPr>
                <w:rFonts w:ascii="Figtree" w:hAnsi="Figtree" w:eastAsia="Figtree"/>
                <w:sz w:val="20"/>
              </w:rPr>
            </w:pPr>
            <w:r>
              <w:rPr>
                <w:rFonts w:ascii="Figtree" w:hAnsi="Figtree" w:eastAsia="Figtree"/>
                <w:sz w:val="20"/>
              </w:rPr>
              <w:t xml:space="preserve">SCA</w:t>
            </w:r>
          </w:p>
        </w:tc>
        <w:tc>
          <w:tcPr/>
          <w:p>
            <w:pPr>
              <w:spacing w:after="0" w:line="240" w:lineRule="auto"/>
              <w:rPr>
                <w:rFonts w:ascii="Figtree" w:hAnsi="Figtree" w:eastAsia="Figtree"/>
                <w:sz w:val="20"/>
              </w:rPr>
            </w:pPr>
            <w:r>
              <w:rPr>
                <w:rFonts w:ascii="Figtree" w:hAnsi="Figtree" w:eastAsia="Figtree"/>
                <w:sz w:val="20"/>
              </w:rPr>
              <w:t xml:space="preserve">UAE Federal</w:t>
            </w:r>
          </w:p>
        </w:tc>
        <w:tc>
          <w:tcPr/>
          <w:p>
            <w:pPr>
              <w:spacing w:after="0" w:line="240" w:lineRule="auto"/>
              <w:rPr>
                <w:rFonts w:ascii="Figtree" w:hAnsi="Figtree" w:eastAsia="Figtree"/>
                <w:sz w:val="20"/>
              </w:rPr>
            </w:pPr>
            <w:r>
              <w:rPr>
                <w:rFonts w:ascii="Figtree" w:hAnsi="Figtree" w:eastAsia="Figtree"/>
                <w:sz w:val="20"/>
              </w:rPr>
              <w:t xml:space="preserve">Securities regulation, tokenized securities issuance and distribution</w:t>
            </w:r>
          </w:p>
        </w:tc>
      </w:tr>
      <w:tr>
        <w:tc>
          <w:tcPr/>
          <w:p>
            <w:pPr>
              <w:spacing w:after="0" w:line="240" w:lineRule="auto"/>
              <w:rPr>
                <w:rFonts w:ascii="Figtree" w:hAnsi="Figtree" w:eastAsia="Figtree"/>
                <w:sz w:val="20"/>
              </w:rPr>
            </w:pPr>
            <w:r>
              <w:rPr>
                <w:rFonts w:ascii="Figtree" w:hAnsi="Figtree" w:eastAsia="Figtree"/>
                <w:sz w:val="20"/>
              </w:rPr>
              <w:t xml:space="preserve">ADGM/FSRA</w:t>
            </w:r>
          </w:p>
        </w:tc>
        <w:tc>
          <w:tcPr/>
          <w:p>
            <w:pPr>
              <w:spacing w:after="0" w:line="240" w:lineRule="auto"/>
              <w:rPr>
                <w:rFonts w:ascii="Figtree" w:hAnsi="Figtree" w:eastAsia="Figtree"/>
                <w:sz w:val="20"/>
              </w:rPr>
            </w:pPr>
            <w:r>
              <w:rPr>
                <w:rFonts w:ascii="Figtree" w:hAnsi="Figtree" w:eastAsia="Figtree"/>
                <w:sz w:val="20"/>
              </w:rPr>
              <w:t xml:space="preserve">Abu Dhabi Global Market</w:t>
            </w:r>
          </w:p>
        </w:tc>
        <w:tc>
          <w:tcPr/>
          <w:p>
            <w:pPr>
              <w:spacing w:after="0" w:line="240" w:lineRule="auto"/>
              <w:rPr>
                <w:rFonts w:ascii="Figtree" w:hAnsi="Figtree" w:eastAsia="Figtree"/>
                <w:sz w:val="20"/>
              </w:rPr>
            </w:pPr>
            <w:r>
              <w:rPr>
                <w:rFonts w:ascii="Figtree" w:hAnsi="Figtree" w:eastAsia="Figtree"/>
                <w:sz w:val="20"/>
              </w:rPr>
              <w:t xml:space="preserve">Digital asset frameworks for ADGM-registered entities</w:t>
            </w:r>
          </w:p>
        </w:tc>
      </w:tr>
    </w:tbl>
    <w:p>
      <w:pPr/>
      <w:r>
        <w:rPr>
          <w:rFonts w:ascii="Figtree" w:hAnsi="Figtree" w:eastAsia="Figtree"/>
          <w:sz w:val="22"/>
        </w:rPr>
        <w:t xml:space="preserve">DALP's compliance architecture is designed to operate across these jurisdictions simultaneously, with configurable policy modules that encode the specific requirements of each regulatory body.</w:t>
      </w:r>
    </w:p>
    <w:p>
      <w:pPr>
        <w:pStyle w:val="H3"/>
        <w:numPr>
          <w:ilvl w:val="2"/>
          <w:numId w:val="1"/>
        </w:numPr>
      </w:pPr>
      <w:r>
        <w:rPr/>
        <w:t xml:space="preserve">Strategic Objectives Mapped to Platform Capabilities</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Mashreq Objective</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DALP Capability</w:t>
            </w:r>
          </w:p>
        </w:tc>
      </w:tr>
      <w:tr>
        <w:tc>
          <w:tcPr/>
          <w:p>
            <w:pPr>
              <w:spacing w:after="0" w:line="240" w:lineRule="auto"/>
              <w:rPr>
                <w:rFonts w:ascii="Figtree" w:hAnsi="Figtree" w:eastAsia="Figtree"/>
                <w:sz w:val="20"/>
              </w:rPr>
            </w:pPr>
            <w:r>
              <w:rPr>
                <w:rFonts w:ascii="Figtree" w:hAnsi="Figtree" w:eastAsia="Figtree"/>
                <w:sz w:val="20"/>
              </w:rPr>
              <w:t xml:space="preserve">Unified digital asset operating model</w:t>
            </w:r>
          </w:p>
        </w:tc>
        <w:tc>
          <w:tcPr/>
          <w:p>
            <w:pPr>
              <w:spacing w:after="0" w:line="240" w:lineRule="auto"/>
              <w:rPr>
                <w:rFonts w:ascii="Figtree" w:hAnsi="Figtree" w:eastAsia="Figtree"/>
                <w:sz w:val="20"/>
              </w:rPr>
            </w:pPr>
            <w:r>
              <w:rPr>
                <w:rFonts w:ascii="Figtree" w:hAnsi="Figtree" w:eastAsia="Figtree"/>
                <w:sz w:val="20"/>
              </w:rPr>
              <w:t xml:space="preserve">Single platform with unified registry, governance, and control plane</w:t>
            </w:r>
          </w:p>
        </w:tc>
      </w:tr>
      <w:tr>
        <w:tc>
          <w:tcPr/>
          <w:p>
            <w:pPr>
              <w:spacing w:after="0" w:line="240" w:lineRule="auto"/>
              <w:rPr>
                <w:rFonts w:ascii="Figtree" w:hAnsi="Figtree" w:eastAsia="Figtree"/>
                <w:sz w:val="20"/>
              </w:rPr>
            </w:pPr>
            <w:r>
              <w:rPr>
                <w:rFonts w:ascii="Figtree" w:hAnsi="Figtree" w:eastAsia="Figtree"/>
                <w:sz w:val="20"/>
              </w:rPr>
              <w:t xml:space="preserve">Multi-asset support (bonds, deposits, funds, sukuk)</w:t>
            </w:r>
          </w:p>
        </w:tc>
        <w:tc>
          <w:tcPr/>
          <w:p>
            <w:pPr>
              <w:spacing w:after="0" w:line="240" w:lineRule="auto"/>
              <w:rPr>
                <w:rFonts w:ascii="Figtree" w:hAnsi="Figtree" w:eastAsia="Figtree"/>
                <w:sz w:val="20"/>
              </w:rPr>
            </w:pPr>
            <w:r>
              <w:rPr>
                <w:rFonts w:ascii="Figtree" w:hAnsi="Figtree" w:eastAsia="Figtree"/>
                <w:sz w:val="20"/>
              </w:rPr>
              <w:t xml:space="preserve">Seven pre-built asset templates with configurable lifecycle logic</w:t>
            </w:r>
          </w:p>
        </w:tc>
      </w:tr>
      <w:tr>
        <w:tc>
          <w:tcPr/>
          <w:p>
            <w:pPr>
              <w:spacing w:after="0" w:line="240" w:lineRule="auto"/>
              <w:rPr>
                <w:rFonts w:ascii="Figtree" w:hAnsi="Figtree" w:eastAsia="Figtree"/>
                <w:sz w:val="20"/>
              </w:rPr>
            </w:pPr>
            <w:r>
              <w:rPr>
                <w:rFonts w:ascii="Figtree" w:hAnsi="Figtree" w:eastAsia="Figtree"/>
                <w:sz w:val="20"/>
              </w:rPr>
              <w:t xml:space="preserve">Regulatory compliance across UAE jurisdictions</w:t>
            </w:r>
          </w:p>
        </w:tc>
        <w:tc>
          <w:tcPr/>
          <w:p>
            <w:pPr>
              <w:spacing w:after="0" w:line="240" w:lineRule="auto"/>
              <w:rPr>
                <w:rFonts w:ascii="Figtree" w:hAnsi="Figtree" w:eastAsia="Figtree"/>
                <w:sz w:val="20"/>
              </w:rPr>
            </w:pPr>
            <w:r>
              <w:rPr>
                <w:rFonts w:ascii="Figtree" w:hAnsi="Figtree" w:eastAsia="Figtree"/>
                <w:sz w:val="20"/>
              </w:rPr>
              <w:t xml:space="preserve">18 compliance module types with jurisdictional templates</w:t>
            </w:r>
          </w:p>
        </w:tc>
      </w:tr>
      <w:tr>
        <w:tc>
          <w:tcPr/>
          <w:p>
            <w:pPr>
              <w:spacing w:after="0" w:line="240" w:lineRule="auto"/>
              <w:rPr>
                <w:rFonts w:ascii="Figtree" w:hAnsi="Figtree" w:eastAsia="Figtree"/>
                <w:sz w:val="20"/>
              </w:rPr>
            </w:pPr>
            <w:r>
              <w:rPr>
                <w:rFonts w:ascii="Figtree" w:hAnsi="Figtree" w:eastAsia="Figtree"/>
                <w:sz w:val="20"/>
              </w:rPr>
              <w:t xml:space="preserve">Institutional custody and key management</w:t>
            </w:r>
          </w:p>
        </w:tc>
        <w:tc>
          <w:tcPr/>
          <w:p>
            <w:pPr>
              <w:spacing w:after="0" w:line="240" w:lineRule="auto"/>
              <w:rPr>
                <w:rFonts w:ascii="Figtree" w:hAnsi="Figtree" w:eastAsia="Figtree"/>
                <w:sz w:val="20"/>
              </w:rPr>
            </w:pPr>
            <w:r>
              <w:rPr>
                <w:rFonts w:ascii="Figtree" w:hAnsi="Figtree" w:eastAsia="Figtree"/>
                <w:sz w:val="20"/>
              </w:rPr>
              <w:t xml:space="preserve">Bring-your-own-custodian with Fireblocks/DFNS, maker-checker approvals</w:t>
            </w:r>
          </w:p>
        </w:tc>
      </w:tr>
      <w:tr>
        <w:tc>
          <w:tcPr/>
          <w:p>
            <w:pPr>
              <w:spacing w:after="0" w:line="240" w:lineRule="auto"/>
              <w:rPr>
                <w:rFonts w:ascii="Figtree" w:hAnsi="Figtree" w:eastAsia="Figtree"/>
                <w:sz w:val="20"/>
              </w:rPr>
            </w:pPr>
            <w:r>
              <w:rPr>
                <w:rFonts w:ascii="Figtree" w:hAnsi="Figtree" w:eastAsia="Figtree"/>
                <w:sz w:val="20"/>
              </w:rPr>
              <w:t xml:space="preserve">Atomic settlement</w:t>
            </w:r>
          </w:p>
        </w:tc>
        <w:tc>
          <w:tcPr/>
          <w:p>
            <w:pPr>
              <w:spacing w:after="0" w:line="240" w:lineRule="auto"/>
              <w:rPr>
                <w:rFonts w:ascii="Figtree" w:hAnsi="Figtree" w:eastAsia="Figtree"/>
                <w:sz w:val="20"/>
              </w:rPr>
            </w:pPr>
            <w:r>
              <w:rPr>
                <w:rFonts w:ascii="Figtree" w:hAnsi="Figtree" w:eastAsia="Figtree"/>
                <w:sz w:val="20"/>
              </w:rPr>
              <w:t xml:space="preserve">DvP/XvP with deterministic finality</w:t>
            </w:r>
          </w:p>
        </w:tc>
      </w:tr>
      <w:tr>
        <w:tc>
          <w:tcPr/>
          <w:p>
            <w:pPr>
              <w:spacing w:after="0" w:line="240" w:lineRule="auto"/>
              <w:rPr>
                <w:rFonts w:ascii="Figtree" w:hAnsi="Figtree" w:eastAsia="Figtree"/>
                <w:sz w:val="20"/>
              </w:rPr>
            </w:pPr>
            <w:r>
              <w:rPr>
                <w:rFonts w:ascii="Figtree" w:hAnsi="Figtree" w:eastAsia="Figtree"/>
                <w:sz w:val="20"/>
              </w:rPr>
              <w:t xml:space="preserve">Integration with existing banking infrastructure</w:t>
            </w:r>
          </w:p>
        </w:tc>
        <w:tc>
          <w:tcPr/>
          <w:p>
            <w:pPr>
              <w:spacing w:after="0" w:line="240" w:lineRule="auto"/>
              <w:rPr>
                <w:rFonts w:ascii="Figtree" w:hAnsi="Figtree" w:eastAsia="Figtree"/>
                <w:sz w:val="20"/>
              </w:rPr>
            </w:pPr>
            <w:r>
              <w:rPr>
                <w:rFonts w:ascii="Figtree" w:hAnsi="Figtree" w:eastAsia="Figtree"/>
                <w:sz w:val="20"/>
              </w:rPr>
              <w:t xml:space="preserve">REST, GraphQL, webhooks, ISO 20022 connectivity</w:t>
            </w:r>
          </w:p>
        </w:tc>
      </w:tr>
      <w:tr>
        <w:tc>
          <w:tcPr/>
          <w:p>
            <w:pPr>
              <w:spacing w:after="0" w:line="240" w:lineRule="auto"/>
              <w:rPr>
                <w:rFonts w:ascii="Figtree" w:hAnsi="Figtree" w:eastAsia="Figtree"/>
                <w:sz w:val="20"/>
              </w:rPr>
            </w:pPr>
            <w:r>
              <w:rPr>
                <w:rFonts w:ascii="Figtree" w:hAnsi="Figtree" w:eastAsia="Figtree"/>
                <w:sz w:val="20"/>
              </w:rPr>
              <w:t xml:space="preserve">On-premises deployment</w:t>
            </w:r>
          </w:p>
        </w:tc>
        <w:tc>
          <w:tcPr/>
          <w:p>
            <w:pPr>
              <w:spacing w:after="0" w:line="240" w:lineRule="auto"/>
              <w:rPr>
                <w:rFonts w:ascii="Figtree" w:hAnsi="Figtree" w:eastAsia="Figtree"/>
                <w:sz w:val="20"/>
              </w:rPr>
            </w:pPr>
            <w:r>
              <w:rPr>
                <w:rFonts w:ascii="Figtree" w:hAnsi="Figtree" w:eastAsia="Figtree"/>
                <w:sz w:val="20"/>
              </w:rPr>
              <w:t xml:space="preserve">Kubernetes-native with full data residency control</w:t>
            </w:r>
          </w:p>
        </w:tc>
      </w:tr>
    </w:tbl>
    <w:p>
      <w:r>
        <w:br w:type="page"/>
      </w:r>
    </w:p>
    <w:p>
      <w:pPr>
        <w:pStyle w:val="H2"/>
        <w:numPr>
          <w:ilvl w:val="1"/>
          <w:numId w:val="1"/>
        </w:numPr>
      </w:pPr>
      <w:r>
        <w:rPr/>
        <w:t xml:space="preserve">4. DALP Platform Overview</w:t>
      </w:r>
    </w:p>
    <w:p>
      <w:pPr>
        <w:pStyle w:val="H3"/>
        <w:numPr>
          <w:ilvl w:val="2"/>
          <w:numId w:val="1"/>
        </w:numPr>
      </w:pPr>
      <w:r>
        <w:rPr/>
        <w:t xml:space="preserve">Architecture Overview</w:t>
      </w:r>
    </w:p>
    <w:p>
      <w:pPr/>
      <w:r>
        <w:rPr>
          <w:rFonts w:ascii="Figtree" w:hAnsi="Figtree" w:eastAsia="Figtree"/>
          <w:sz w:val="22"/>
        </w:rPr>
        <w:t xml:space="preserve">DALP is built on three architectural principles that distinguish it from tokenization toolkits and point solutions:</w:t>
      </w:r>
    </w:p>
    <w:p>
      <w:pPr/>
      <w:r>
        <w:rPr>
          <w:rFonts w:ascii="Figtree" w:hAnsi="Figtree" w:eastAsia="Figtree"/>
          <w:b/>
          <w:sz w:val="22"/>
        </w:rPr>
        <w:t xml:space="preserve">1. EVM-Native Execution</w:t>
      </w:r>
    </w:p>
    <w:p>
      <w:pPr/>
      <w:r>
        <w:rPr>
          <w:rFonts w:ascii="Figtree" w:hAnsi="Figtree" w:eastAsia="Figtree"/>
          <w:sz w:val="22"/>
        </w:rPr>
        <w:t xml:space="preserve">All asset logic, compliance enforcement, and settlement operations execute on EVM-compatible blockchain networks. This is not a layer of abstraction over multiple heterogeneous chains; it is deep, native integration with the Ethereum Virtual Machine and its ecosystem of standards, tooling, and institutional adoption. DALP operates on any blockchain implementing the Ethereum JSON-RPC specification: Hyperledger Besu with IBFT 2.0 or QBFT consensus for private networks, Ethereum mainnet, Polygon, Arbitrum, Base, and other public L1/L2 networks.</w:t>
      </w:r>
    </w:p>
    <w:p>
      <w:pPr/>
      <w:r>
        <w:rPr>
          <w:rFonts w:ascii="Figtree" w:hAnsi="Figtree" w:eastAsia="Figtree"/>
          <w:b/>
          <w:sz w:val="22"/>
        </w:rPr>
        <w:t xml:space="preserve">2. Gateway Isolation</w:t>
      </w:r>
    </w:p>
    <w:p>
      <w:pPr/>
      <w:r>
        <w:rPr>
          <w:rFonts w:ascii="Figtree" w:hAnsi="Figtree" w:eastAsia="Figtree"/>
          <w:sz w:val="22"/>
        </w:rPr>
        <w:t xml:space="preserve">Every external dependency is isolated behind internal abstraction boundaries. Three gateway components handle this isolation:</w:t>
      </w:r>
    </w:p>
    <w:p>
      <w:pPr>
        <w:pStyle w:val="List Paragraph"/>
      </w:pPr>
      <w:r>
        <w:rPr>
          <w:rFonts w:ascii="Figtree" w:hAnsi="Figtree" w:eastAsia="Figtree"/>
          <w:b/>
          <w:sz w:val="22"/>
        </w:rPr>
        <w:t xml:space="preserve">Key Guardian:</w:t>
      </w:r>
      <w:r>
        <w:rPr>
          <w:rFonts w:ascii="Figtree" w:hAnsi="Figtree" w:eastAsia="Figtree"/>
          <w:sz w:val="22"/>
        </w:rPr>
        <w:t xml:space="preserve"> Abstracts custody providers (Fireblocks, DFNS, local HSM, cloud secret managers) behind a unified signing and key management interface</w:t>
      </w:r>
    </w:p>
    <w:p>
      <w:pPr>
        <w:pStyle w:val="List Paragraph"/>
      </w:pPr>
      <w:r>
        <w:rPr>
          <w:rFonts w:ascii="Figtree" w:hAnsi="Figtree" w:eastAsia="Figtree"/>
          <w:b/>
          <w:sz w:val="22"/>
        </w:rPr>
        <w:t xml:space="preserve">Chain Gateway:</w:t>
      </w:r>
      <w:r>
        <w:rPr>
          <w:rFonts w:ascii="Figtree" w:hAnsi="Figtree" w:eastAsia="Figtree"/>
          <w:sz w:val="22"/>
        </w:rPr>
        <w:t xml:space="preserve"> Normalizes blockchain network interactions across public and private chains</w:t>
      </w:r>
    </w:p>
    <w:p>
      <w:pPr>
        <w:pStyle w:val="List Paragraph"/>
      </w:pPr>
      <w:r>
        <w:rPr>
          <w:rFonts w:ascii="Figtree" w:hAnsi="Figtree" w:eastAsia="Figtree"/>
          <w:b/>
          <w:sz w:val="22"/>
        </w:rPr>
        <w:t xml:space="preserve">Feeds System:</w:t>
      </w:r>
      <w:r>
        <w:rPr>
          <w:rFonts w:ascii="Figtree" w:hAnsi="Figtree" w:eastAsia="Figtree"/>
          <w:sz w:val="22"/>
        </w:rPr>
        <w:t xml:space="preserve"> Isolates market data, price feeds, and oracle integrations</w:t>
      </w:r>
    </w:p>
    <w:p>
      <w:pPr/>
      <w:r>
        <w:rPr>
          <w:rFonts w:ascii="Figtree" w:hAnsi="Figtree" w:eastAsia="Figtree"/>
          <w:sz w:val="22"/>
        </w:rPr>
        <w:t xml:space="preserve">No business logic makes direct external calls. All external system interactions route through dedicated gateway components with retry handling, circuit breaking, and observability.</w:t>
      </w:r>
    </w:p>
    <w:p>
      <w:pPr/>
      <w:r>
        <w:rPr>
          <w:rFonts w:ascii="Figtree" w:hAnsi="Figtree" w:eastAsia="Figtree"/>
          <w:b/>
          <w:sz w:val="22"/>
        </w:rPr>
        <w:t xml:space="preserve">3. Durable Workflow Execution</w:t>
      </w:r>
    </w:p>
    <w:p>
      <w:pPr/>
      <w:r>
        <w:rPr>
          <w:rFonts w:ascii="Figtree" w:hAnsi="Figtree" w:eastAsia="Figtree"/>
          <w:sz w:val="22"/>
        </w:rPr>
        <w:t xml:space="preserve">All multi-step operations, from asset issuance to corporate actions to settlement, execute as durable workflows powered by Restate. These workflows survive process restarts and infrastructure failures. If a node goes down during a coupon payment distribution, the workflow resumes exactly where it left off when infrastructure recovers. This is not eventual consistency; it is deterministic execution with guaranteed completion.</w:t>
      </w:r>
    </w:p>
    <w:p>
      <w:pPr>
        <w:pStyle w:val="H3"/>
        <w:numPr>
          <w:ilvl w:val="2"/>
          <w:numId w:val="1"/>
        </w:numPr>
      </w:pPr>
      <w:r>
        <w:rPr/>
        <w:t xml:space="preserve">Seven Asset Templates</w:t>
      </w:r>
    </w:p>
    <w:p>
      <w:pPr/>
      <w:r>
        <w:rPr>
          <w:rFonts w:ascii="Figtree" w:hAnsi="Figtree" w:eastAsia="Figtree"/>
          <w:sz w:val="22"/>
        </w:rPr>
        <w:t xml:space="preserve">DALP ships with seven purpose-built asset templates, each carrying the operational logic its lifecycle demands:</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Asset Template</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Key Lifecycle Features</w:t>
            </w:r>
          </w:p>
        </w:tc>
      </w:tr>
      <w:tr>
        <w:tc>
          <w:tcPr/>
          <w:p>
            <w:pPr>
              <w:spacing w:after="0" w:line="240" w:lineRule="auto"/>
              <w:rPr>
                <w:rFonts w:ascii="Figtree" w:hAnsi="Figtree" w:eastAsia="Figtree"/>
                <w:sz w:val="20"/>
              </w:rPr>
            </w:pPr>
            <w:r>
              <w:rPr>
                <w:rFonts w:ascii="Figtree" w:hAnsi="Figtree" w:eastAsia="Figtree"/>
                <w:sz w:val="20"/>
              </w:rPr>
              <w:t xml:space="preserve">Bonds</w:t>
            </w:r>
          </w:p>
        </w:tc>
        <w:tc>
          <w:tcPr/>
          <w:p>
            <w:pPr>
              <w:spacing w:after="0" w:line="240" w:lineRule="auto"/>
              <w:rPr>
                <w:rFonts w:ascii="Figtree" w:hAnsi="Figtree" w:eastAsia="Figtree"/>
                <w:sz w:val="20"/>
              </w:rPr>
            </w:pPr>
            <w:r>
              <w:rPr>
                <w:rFonts w:ascii="Figtree" w:hAnsi="Figtree" w:eastAsia="Figtree"/>
                <w:sz w:val="20"/>
              </w:rPr>
              <w:t xml:space="preserve">Configurable coupon schedules, maturity processing, call/put options, face value management, automated redemption</w:t>
            </w:r>
          </w:p>
        </w:tc>
      </w:tr>
      <w:tr>
        <w:tc>
          <w:tcPr/>
          <w:p>
            <w:pPr>
              <w:spacing w:after="0" w:line="240" w:lineRule="auto"/>
              <w:rPr>
                <w:rFonts w:ascii="Figtree" w:hAnsi="Figtree" w:eastAsia="Figtree"/>
                <w:sz w:val="20"/>
              </w:rPr>
            </w:pPr>
            <w:r>
              <w:rPr>
                <w:rFonts w:ascii="Figtree" w:hAnsi="Figtree" w:eastAsia="Figtree"/>
                <w:sz w:val="20"/>
              </w:rPr>
              <w:t xml:space="preserve">Equity</w:t>
            </w:r>
          </w:p>
        </w:tc>
        <w:tc>
          <w:tcPr/>
          <w:p>
            <w:pPr>
              <w:spacing w:after="0" w:line="240" w:lineRule="auto"/>
              <w:rPr>
                <w:rFonts w:ascii="Figtree" w:hAnsi="Figtree" w:eastAsia="Figtree"/>
                <w:sz w:val="20"/>
              </w:rPr>
            </w:pPr>
            <w:r>
              <w:rPr>
                <w:rFonts w:ascii="Figtree" w:hAnsi="Figtree" w:eastAsia="Figtree"/>
                <w:sz w:val="20"/>
              </w:rPr>
              <w:t xml:space="preserve">Dividend distribution, voting rights (ERC-5805), corporate action processing, shareholder registry</w:t>
            </w:r>
          </w:p>
        </w:tc>
      </w:tr>
      <w:tr>
        <w:tc>
          <w:tcPr/>
          <w:p>
            <w:pPr>
              <w:spacing w:after="0" w:line="240" w:lineRule="auto"/>
              <w:rPr>
                <w:rFonts w:ascii="Figtree" w:hAnsi="Figtree" w:eastAsia="Figtree"/>
                <w:sz w:val="20"/>
              </w:rPr>
            </w:pPr>
            <w:r>
              <w:rPr>
                <w:rFonts w:ascii="Figtree" w:hAnsi="Figtree" w:eastAsia="Figtree"/>
                <w:sz w:val="20"/>
              </w:rPr>
              <w:t xml:space="preserve">Funds</w:t>
            </w:r>
          </w:p>
        </w:tc>
        <w:tc>
          <w:tcPr/>
          <w:p>
            <w:pPr>
              <w:spacing w:after="0" w:line="240" w:lineRule="auto"/>
              <w:rPr>
                <w:rFonts w:ascii="Figtree" w:hAnsi="Figtree" w:eastAsia="Figtree"/>
                <w:sz w:val="20"/>
              </w:rPr>
            </w:pPr>
            <w:r>
              <w:rPr>
                <w:rFonts w:ascii="Figtree" w:hAnsi="Figtree" w:eastAsia="Figtree"/>
                <w:sz w:val="20"/>
              </w:rPr>
              <w:t xml:space="preserve">NAV integration, subscription/redemption automation, management fee calculation, fractional units</w:t>
            </w:r>
          </w:p>
        </w:tc>
      </w:tr>
      <w:tr>
        <w:tc>
          <w:tcPr/>
          <w:p>
            <w:pPr>
              <w:spacing w:after="0" w:line="240" w:lineRule="auto"/>
              <w:rPr>
                <w:rFonts w:ascii="Figtree" w:hAnsi="Figtree" w:eastAsia="Figtree"/>
                <w:sz w:val="20"/>
              </w:rPr>
            </w:pPr>
            <w:r>
              <w:rPr>
                <w:rFonts w:ascii="Figtree" w:hAnsi="Figtree" w:eastAsia="Figtree"/>
                <w:sz w:val="20"/>
              </w:rPr>
              <w:t xml:space="preserve">Stablecoins</w:t>
            </w:r>
          </w:p>
        </w:tc>
        <w:tc>
          <w:tcPr/>
          <w:p>
            <w:pPr>
              <w:spacing w:after="0" w:line="240" w:lineRule="auto"/>
              <w:rPr>
                <w:rFonts w:ascii="Figtree" w:hAnsi="Figtree" w:eastAsia="Figtree"/>
                <w:sz w:val="20"/>
              </w:rPr>
            </w:pPr>
            <w:r>
              <w:rPr>
                <w:rFonts w:ascii="Figtree" w:hAnsi="Figtree" w:eastAsia="Figtree"/>
                <w:sz w:val="20"/>
              </w:rPr>
              <w:t xml:space="preserve">Reserve monitoring, minting/burning controls, transaction limits, regulatory reporting</w:t>
            </w:r>
          </w:p>
        </w:tc>
      </w:tr>
      <w:tr>
        <w:tc>
          <w:tcPr/>
          <w:p>
            <w:pPr>
              <w:spacing w:after="0" w:line="240" w:lineRule="auto"/>
              <w:rPr>
                <w:rFonts w:ascii="Figtree" w:hAnsi="Figtree" w:eastAsia="Figtree"/>
                <w:sz w:val="20"/>
              </w:rPr>
            </w:pPr>
            <w:r>
              <w:rPr>
                <w:rFonts w:ascii="Figtree" w:hAnsi="Figtree" w:eastAsia="Figtree"/>
                <w:sz w:val="20"/>
              </w:rPr>
              <w:t xml:space="preserve">Deposits</w:t>
            </w:r>
          </w:p>
        </w:tc>
        <w:tc>
          <w:tcPr/>
          <w:p>
            <w:pPr>
              <w:spacing w:after="0" w:line="240" w:lineRule="auto"/>
              <w:rPr>
                <w:rFonts w:ascii="Figtree" w:hAnsi="Figtree" w:eastAsia="Figtree"/>
                <w:sz w:val="20"/>
              </w:rPr>
            </w:pPr>
            <w:r>
              <w:rPr>
                <w:rFonts w:ascii="Figtree" w:hAnsi="Figtree" w:eastAsia="Figtree"/>
                <w:sz w:val="20"/>
              </w:rPr>
              <w:t xml:space="preserve">Interest calculation, maturity management, withdrawal rules, bridge functionality</w:t>
            </w:r>
          </w:p>
        </w:tc>
      </w:tr>
      <w:tr>
        <w:tc>
          <w:tcPr/>
          <w:p>
            <w:pPr>
              <w:spacing w:after="0" w:line="240" w:lineRule="auto"/>
              <w:rPr>
                <w:rFonts w:ascii="Figtree" w:hAnsi="Figtree" w:eastAsia="Figtree"/>
                <w:sz w:val="20"/>
              </w:rPr>
            </w:pPr>
            <w:r>
              <w:rPr>
                <w:rFonts w:ascii="Figtree" w:hAnsi="Figtree" w:eastAsia="Figtree"/>
                <w:sz w:val="20"/>
              </w:rPr>
              <w:t xml:space="preserve">Real Estate</w:t>
            </w:r>
          </w:p>
        </w:tc>
        <w:tc>
          <w:tcPr/>
          <w:p>
            <w:pPr>
              <w:spacing w:after="0" w:line="240" w:lineRule="auto"/>
              <w:rPr>
                <w:rFonts w:ascii="Figtree" w:hAnsi="Figtree" w:eastAsia="Figtree"/>
                <w:sz w:val="20"/>
              </w:rPr>
            </w:pPr>
            <w:r>
              <w:rPr>
                <w:rFonts w:ascii="Figtree" w:hAnsi="Figtree" w:eastAsia="Figtree"/>
                <w:sz w:val="20"/>
              </w:rPr>
              <w:t xml:space="preserve">Property title tokenization, rental distribution, fractional ownership, provenance tracking</w:t>
            </w:r>
          </w:p>
        </w:tc>
      </w:tr>
      <w:tr>
        <w:tc>
          <w:tcPr/>
          <w:p>
            <w:pPr>
              <w:spacing w:after="0" w:line="240" w:lineRule="auto"/>
              <w:rPr>
                <w:rFonts w:ascii="Figtree" w:hAnsi="Figtree" w:eastAsia="Figtree"/>
                <w:sz w:val="20"/>
              </w:rPr>
            </w:pPr>
            <w:r>
              <w:rPr>
                <w:rFonts w:ascii="Figtree" w:hAnsi="Figtree" w:eastAsia="Figtree"/>
                <w:sz w:val="20"/>
              </w:rPr>
              <w:t xml:space="preserve">Precious Metals</w:t>
            </w:r>
          </w:p>
        </w:tc>
        <w:tc>
          <w:tcPr/>
          <w:p>
            <w:pPr>
              <w:spacing w:after="0" w:line="240" w:lineRule="auto"/>
              <w:rPr>
                <w:rFonts w:ascii="Figtree" w:hAnsi="Figtree" w:eastAsia="Figtree"/>
                <w:sz w:val="20"/>
              </w:rPr>
            </w:pPr>
            <w:r>
              <w:rPr>
                <w:rFonts w:ascii="Figtree" w:hAnsi="Figtree" w:eastAsia="Figtree"/>
                <w:sz w:val="20"/>
              </w:rPr>
              <w:t xml:space="preserve">Custody verification, provenance chain, fractional ownership, responsible sourcing compliance</w:t>
            </w:r>
          </w:p>
        </w:tc>
      </w:tr>
    </w:tbl>
    <w:p>
      <w:pPr/>
      <w:r>
        <w:rPr>
          <w:rFonts w:ascii="Figtree" w:hAnsi="Figtree" w:eastAsia="Figtree"/>
          <w:sz w:val="22"/>
        </w:rPr>
        <w:t xml:space="preserve">Beyond these seven templates, a </w:t>
      </w:r>
      <w:r>
        <w:rPr>
          <w:rFonts w:ascii="Figtree" w:hAnsi="Figtree" w:eastAsia="Figtree"/>
          <w:b/>
          <w:sz w:val="22"/>
        </w:rPr>
        <w:t xml:space="preserve">Configurable Token</w:t>
      </w:r>
      <w:r>
        <w:rPr>
          <w:rFonts w:ascii="Figtree" w:hAnsi="Figtree" w:eastAsia="Figtree"/>
          <w:sz w:val="22"/>
        </w:rPr>
        <w:t xml:space="preserve"> template enables digitization of any asset class using a composable, feature-rich architecture. The SMART Configurable extension system supports up to 32 pluggable features per token, added or reordered post-deployment without redeploying the token itself. Eleven pre-built feature types are available: AUM fees, conversion, external transaction fees, fixed treasury yield, historical balances, maturity redemption, EIP-2612 permits, transaction fees, transaction fee accounting, and voting power.</w:t>
      </w:r>
    </w:p>
    <w:p>
      <w:pPr>
        <w:pStyle w:val="H3"/>
        <w:numPr>
          <w:ilvl w:val="2"/>
          <w:numId w:val="1"/>
        </w:numPr>
      </w:pPr>
      <w:r>
        <w:rPr/>
        <w:t xml:space="preserve">Compliance Engine</w:t>
      </w:r>
    </w:p>
    <w:p>
      <w:pPr/>
      <w:r>
        <w:rPr>
          <w:rFonts w:ascii="Figtree" w:hAnsi="Figtree" w:eastAsia="Figtree"/>
          <w:sz w:val="22"/>
        </w:rPr>
        <w:t xml:space="preserve">DALP's compliance engine is the most comprehensive in the market for regulated digital assets. It implements </w:t>
      </w:r>
      <w:r>
        <w:rPr>
          <w:rFonts w:ascii="Figtree" w:hAnsi="Figtree" w:eastAsia="Figtree"/>
          <w:b/>
          <w:sz w:val="22"/>
        </w:rPr>
        <w:t xml:space="preserve">18 compliance module types</w:t>
      </w:r>
      <w:r>
        <w:rPr>
          <w:rFonts w:ascii="Figtree" w:hAnsi="Figtree" w:eastAsia="Figtree"/>
          <w:sz w:val="22"/>
        </w:rPr>
        <w:t xml:space="preserve"> organized across </w:t>
      </w:r>
      <w:r>
        <w:rPr>
          <w:rFonts w:ascii="Figtree" w:hAnsi="Figtree" w:eastAsia="Figtree"/>
          <w:b/>
          <w:sz w:val="22"/>
        </w:rPr>
        <w:t xml:space="preserve">six categories</w:t>
      </w:r>
      <w:r>
        <w:rPr>
          <w:rFonts w:ascii="Figtree" w:hAnsi="Figtree" w:eastAsia="Figtree"/>
          <w:sz w:val="22"/>
        </w:rPr>
        <w:t xml:space="preserve">:</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Category</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Module Types</w:t>
            </w:r>
          </w:p>
        </w:tc>
      </w:tr>
      <w:tr>
        <w:tc>
          <w:tcPr/>
          <w:p>
            <w:pPr>
              <w:spacing w:after="0" w:line="240" w:lineRule="auto"/>
              <w:rPr>
                <w:rFonts w:ascii="Figtree" w:hAnsi="Figtree" w:eastAsia="Figtree"/>
                <w:sz w:val="20"/>
              </w:rPr>
            </w:pPr>
            <w:r>
              <w:rPr>
                <w:rFonts w:ascii="Figtree" w:hAnsi="Figtree" w:eastAsia="Figtree"/>
                <w:sz w:val="20"/>
              </w:rPr>
              <w:t xml:space="preserve">Eligibility</w:t>
            </w:r>
          </w:p>
        </w:tc>
        <w:tc>
          <w:tcPr/>
          <w:p>
            <w:pPr>
              <w:spacing w:after="0" w:line="240" w:lineRule="auto"/>
              <w:rPr>
                <w:rFonts w:ascii="Figtree" w:hAnsi="Figtree" w:eastAsia="Figtree"/>
                <w:sz w:val="20"/>
              </w:rPr>
            </w:pPr>
            <w:r>
              <w:rPr>
                <w:rFonts w:ascii="Figtree" w:hAnsi="Figtree" w:eastAsia="Figtree"/>
                <w:sz w:val="20"/>
              </w:rPr>
              <w:t xml:space="preserve">Country allow/block lists, investor accreditation status, qualified investor verification</w:t>
            </w:r>
          </w:p>
        </w:tc>
      </w:tr>
      <w:tr>
        <w:tc>
          <w:tcPr/>
          <w:p>
            <w:pPr>
              <w:spacing w:after="0" w:line="240" w:lineRule="auto"/>
              <w:rPr>
                <w:rFonts w:ascii="Figtree" w:hAnsi="Figtree" w:eastAsia="Figtree"/>
                <w:sz w:val="20"/>
              </w:rPr>
            </w:pPr>
            <w:r>
              <w:rPr>
                <w:rFonts w:ascii="Figtree" w:hAnsi="Figtree" w:eastAsia="Figtree"/>
                <w:sz w:val="20"/>
              </w:rPr>
              <w:t xml:space="preserve">Restrictions</w:t>
            </w:r>
          </w:p>
        </w:tc>
        <w:tc>
          <w:tcPr/>
          <w:p>
            <w:pPr>
              <w:spacing w:after="0" w:line="240" w:lineRule="auto"/>
              <w:rPr>
                <w:rFonts w:ascii="Figtree" w:hAnsi="Figtree" w:eastAsia="Figtree"/>
                <w:sz w:val="20"/>
              </w:rPr>
            </w:pPr>
            <w:r>
              <w:rPr>
                <w:rFonts w:ascii="Figtree" w:hAnsi="Figtree" w:eastAsia="Figtree"/>
                <w:sz w:val="20"/>
              </w:rPr>
              <w:t xml:space="preserve">Maximum holder count, conditional transfer restrictions, time-locked restrictions</w:t>
            </w:r>
          </w:p>
        </w:tc>
      </w:tr>
      <w:tr>
        <w:tc>
          <w:tcPr/>
          <w:p>
            <w:pPr>
              <w:spacing w:after="0" w:line="240" w:lineRule="auto"/>
              <w:rPr>
                <w:rFonts w:ascii="Figtree" w:hAnsi="Figtree" w:eastAsia="Figtree"/>
                <w:sz w:val="20"/>
              </w:rPr>
            </w:pPr>
            <w:r>
              <w:rPr>
                <w:rFonts w:ascii="Figtree" w:hAnsi="Figtree" w:eastAsia="Figtree"/>
                <w:sz w:val="20"/>
              </w:rPr>
              <w:t xml:space="preserve">Transfer Controls</w:t>
            </w:r>
          </w:p>
        </w:tc>
        <w:tc>
          <w:tcPr/>
          <w:p>
            <w:pPr>
              <w:spacing w:after="0" w:line="240" w:lineRule="auto"/>
              <w:rPr>
                <w:rFonts w:ascii="Figtree" w:hAnsi="Figtree" w:eastAsia="Figtree"/>
                <w:sz w:val="20"/>
              </w:rPr>
            </w:pPr>
            <w:r>
              <w:rPr>
                <w:rFonts w:ascii="Figtree" w:hAnsi="Figtree" w:eastAsia="Figtree"/>
                <w:sz w:val="20"/>
              </w:rPr>
              <w:t xml:space="preserve">Transfer amount limits, maximum balance restrictions, address-specific restrictions</w:t>
            </w:r>
          </w:p>
        </w:tc>
      </w:tr>
      <w:tr>
        <w:tc>
          <w:tcPr/>
          <w:p>
            <w:pPr>
              <w:spacing w:after="0" w:line="240" w:lineRule="auto"/>
              <w:rPr>
                <w:rFonts w:ascii="Figtree" w:hAnsi="Figtree" w:eastAsia="Figtree"/>
                <w:sz w:val="20"/>
              </w:rPr>
            </w:pPr>
            <w:r>
              <w:rPr>
                <w:rFonts w:ascii="Figtree" w:hAnsi="Figtree" w:eastAsia="Figtree"/>
                <w:sz w:val="20"/>
              </w:rPr>
              <w:t xml:space="preserve">Issuance and Supply</w:t>
            </w:r>
          </w:p>
        </w:tc>
        <w:tc>
          <w:tcPr/>
          <w:p>
            <w:pPr>
              <w:spacing w:after="0" w:line="240" w:lineRule="auto"/>
              <w:rPr>
                <w:rFonts w:ascii="Figtree" w:hAnsi="Figtree" w:eastAsia="Figtree"/>
                <w:sz w:val="20"/>
              </w:rPr>
            </w:pPr>
            <w:r>
              <w:rPr>
                <w:rFonts w:ascii="Figtree" w:hAnsi="Figtree" w:eastAsia="Figtree"/>
                <w:sz w:val="20"/>
              </w:rPr>
              <w:t xml:space="preserve">Supply cap enforcement, minting restrictions</w:t>
            </w:r>
          </w:p>
        </w:tc>
      </w:tr>
      <w:tr>
        <w:tc>
          <w:tcPr/>
          <w:p>
            <w:pPr>
              <w:spacing w:after="0" w:line="240" w:lineRule="auto"/>
              <w:rPr>
                <w:rFonts w:ascii="Figtree" w:hAnsi="Figtree" w:eastAsia="Figtree"/>
                <w:sz w:val="20"/>
              </w:rPr>
            </w:pPr>
            <w:r>
              <w:rPr>
                <w:rFonts w:ascii="Figtree" w:hAnsi="Figtree" w:eastAsia="Figtree"/>
                <w:sz w:val="20"/>
              </w:rPr>
              <w:t xml:space="preserve">Time-Based Rules</w:t>
            </w:r>
          </w:p>
        </w:tc>
        <w:tc>
          <w:tcPr/>
          <w:p>
            <w:pPr>
              <w:spacing w:after="0" w:line="240" w:lineRule="auto"/>
              <w:rPr>
                <w:rFonts w:ascii="Figtree" w:hAnsi="Figtree" w:eastAsia="Figtree"/>
                <w:sz w:val="20"/>
              </w:rPr>
            </w:pPr>
            <w:r>
              <w:rPr>
                <w:rFonts w:ascii="Figtree" w:hAnsi="Figtree" w:eastAsia="Figtree"/>
                <w:sz w:val="20"/>
              </w:rPr>
              <w:t xml:space="preserve">Holding period enforcement, lock-up windows, time-restricted trading</w:t>
            </w:r>
          </w:p>
        </w:tc>
      </w:tr>
      <w:tr>
        <w:tc>
          <w:tcPr/>
          <w:p>
            <w:pPr>
              <w:spacing w:after="0" w:line="240" w:lineRule="auto"/>
              <w:rPr>
                <w:rFonts w:ascii="Figtree" w:hAnsi="Figtree" w:eastAsia="Figtree"/>
                <w:sz w:val="20"/>
              </w:rPr>
            </w:pPr>
            <w:r>
              <w:rPr>
                <w:rFonts w:ascii="Figtree" w:hAnsi="Figtree" w:eastAsia="Figtree"/>
                <w:sz w:val="20"/>
              </w:rPr>
              <w:t xml:space="preserve">Settlement and Collateral</w:t>
            </w:r>
          </w:p>
        </w:tc>
        <w:tc>
          <w:tcPr/>
          <w:p>
            <w:pPr>
              <w:spacing w:after="0" w:line="240" w:lineRule="auto"/>
              <w:rPr>
                <w:rFonts w:ascii="Figtree" w:hAnsi="Figtree" w:eastAsia="Figtree"/>
                <w:sz w:val="20"/>
              </w:rPr>
            </w:pPr>
            <w:r>
              <w:rPr>
                <w:rFonts w:ascii="Figtree" w:hAnsi="Figtree" w:eastAsia="Figtree"/>
                <w:sz w:val="20"/>
              </w:rPr>
              <w:t xml:space="preserve">Collateral backing verification, settlement condition enforcement</w:t>
            </w:r>
          </w:p>
        </w:tc>
      </w:tr>
    </w:tbl>
    <w:p>
      <w:pPr/>
      <w:r>
        <w:rPr>
          <w:rFonts w:ascii="Figtree" w:hAnsi="Figtree" w:eastAsia="Figtree"/>
          <w:sz w:val="22"/>
        </w:rPr>
        <w:t xml:space="preserve">Compliance enforcement is </w:t>
      </w:r>
      <w:r>
        <w:rPr>
          <w:rFonts w:ascii="Figtree" w:hAnsi="Figtree" w:eastAsia="Figtree"/>
          <w:b/>
          <w:sz w:val="22"/>
        </w:rPr>
        <w:t xml:space="preserve">ex-ante</w:t>
      </w:r>
      <w:r>
        <w:rPr>
          <w:rFonts w:ascii="Figtree" w:hAnsi="Figtree" w:eastAsia="Figtree"/>
          <w:sz w:val="22"/>
        </w:rPr>
        <w:t xml:space="preserve">: every transfer is validated against active policy sets before the transaction executes on-chain. This is deterministic prevention, not retrospective detection. A non-compliant transfer never reaches the blockchain. The compliance engine uses the ERC-3643 standard for regulated token compliance, with OnchainID providing verifiable, on-chain investor identities.</w:t>
      </w:r>
    </w:p>
    <w:p>
      <w:pPr/>
      <w:r>
        <w:rPr>
          <w:rFonts w:ascii="Figtree" w:hAnsi="Figtree" w:eastAsia="Figtree"/>
          <w:sz w:val="22"/>
        </w:rPr>
        <w:t xml:space="preserve">The platform implements a </w:t>
      </w:r>
      <w:r>
        <w:rPr>
          <w:rFonts w:ascii="Figtree" w:hAnsi="Figtree" w:eastAsia="Figtree"/>
          <w:b/>
          <w:sz w:val="22"/>
        </w:rPr>
        <w:t xml:space="preserve">three-tier compliance interface hierarchy:</w:t>
      </w:r>
    </w:p>
    <w:p>
      <w:pPr>
        <w:pStyle w:val="List Paragraph"/>
      </w:pPr>
      <w:r>
        <w:rPr>
          <w:rFonts w:ascii="Figtree" w:hAnsi="Figtree" w:eastAsia="Figtree"/>
          <w:b/>
          <w:sz w:val="22"/>
        </w:rPr>
        <w:t xml:space="preserve">Global Compliance:</w:t>
      </w:r>
      <w:r>
        <w:rPr>
          <w:rFonts w:ascii="Figtree" w:hAnsi="Figtree" w:eastAsia="Figtree"/>
          <w:sz w:val="22"/>
        </w:rPr>
        <w:t xml:space="preserve"> System-wide bypass list, global modules, token-compliance binding</w:t>
      </w:r>
    </w:p>
    <w:p>
      <w:pPr>
        <w:pStyle w:val="List Paragraph"/>
      </w:pPr>
      <w:r>
        <w:rPr>
          <w:rFonts w:ascii="Figtree" w:hAnsi="Figtree" w:eastAsia="Figtree"/>
          <w:b/>
          <w:sz w:val="22"/>
        </w:rPr>
        <w:t xml:space="preserve">Token Compliance:</w:t>
      </w:r>
      <w:r>
        <w:rPr>
          <w:rFonts w:ascii="Figtree" w:hAnsi="Figtree" w:eastAsia="Figtree"/>
          <w:sz w:val="22"/>
        </w:rPr>
        <w:t xml:space="preserve"> Per-token compliance hooks with dual v1/v2 support</w:t>
      </w:r>
    </w:p>
    <w:p>
      <w:pPr>
        <w:pStyle w:val="List Paragraph"/>
      </w:pPr>
      <w:r>
        <w:rPr>
          <w:rFonts w:ascii="Figtree" w:hAnsi="Figtree" w:eastAsia="Figtree"/>
          <w:b/>
          <w:sz w:val="22"/>
        </w:rPr>
        <w:t xml:space="preserve">SMART Compliance V2:</w:t>
      </w:r>
      <w:r>
        <w:rPr>
          <w:rFonts w:ascii="Figtree" w:hAnsi="Figtree" w:eastAsia="Figtree"/>
          <w:sz w:val="22"/>
        </w:rPr>
        <w:t xml:space="preserve"> ERC-3643-aligned three-argument compliance hooks</w:t>
      </w:r>
    </w:p>
    <w:p>
      <w:pPr>
        <w:pStyle w:val="H3"/>
        <w:numPr>
          <w:ilvl w:val="2"/>
          <w:numId w:val="1"/>
        </w:numPr>
      </w:pPr>
      <w:r>
        <w:rPr/>
        <w:t xml:space="preserve">Identity and Access Control</w:t>
      </w:r>
    </w:p>
    <w:p>
      <w:pPr/>
      <w:r>
        <w:rPr>
          <w:rFonts w:ascii="Figtree" w:hAnsi="Figtree" w:eastAsia="Figtree"/>
          <w:sz w:val="22"/>
        </w:rPr>
        <w:t xml:space="preserve">DALP embeds a unified identity layer across the entire platform:</w:t>
      </w:r>
    </w:p>
    <w:p>
      <w:pPr>
        <w:pStyle w:val="List Paragraph"/>
      </w:pPr>
      <w:r>
        <w:rPr>
          <w:rFonts w:ascii="Figtree" w:hAnsi="Figtree" w:eastAsia="Figtree"/>
          <w:b/>
          <w:sz w:val="22"/>
        </w:rPr>
        <w:t xml:space="preserve">OnchainID:</w:t>
      </w:r>
      <w:r>
        <w:rPr>
          <w:rFonts w:ascii="Figtree" w:hAnsi="Figtree" w:eastAsia="Figtree"/>
          <w:sz w:val="22"/>
        </w:rPr>
        <w:t xml:space="preserve"> Verifiable, on-chain investor identities with claim-based verification. KYC/KYB credentials, accreditation status, and jurisdictional eligibility are recorded as verifiable claims, reusable across all assets and transactions.</w:t>
      </w:r>
    </w:p>
    <w:p>
      <w:pPr>
        <w:pStyle w:val="List Paragraph"/>
      </w:pPr>
      <w:r>
        <w:rPr>
          <w:rFonts w:ascii="Figtree" w:hAnsi="Figtree" w:eastAsia="Figtree"/>
          <w:b/>
          <w:sz w:val="22"/>
        </w:rPr>
        <w:t xml:space="preserve">Identity Registry:</w:t>
      </w:r>
      <w:r>
        <w:rPr>
          <w:rFonts w:ascii="Figtree" w:hAnsi="Figtree" w:eastAsia="Figtree"/>
          <w:sz w:val="22"/>
        </w:rPr>
        <w:t xml:space="preserve"> Manages verified profiles with claim lifecycle control, including issuance, storage, and revocation of digital identity claims.</w:t>
      </w:r>
    </w:p>
    <w:p>
      <w:pPr>
        <w:pStyle w:val="List Paragraph"/>
      </w:pPr>
      <w:r>
        <w:rPr>
          <w:rFonts w:ascii="Figtree" w:hAnsi="Figtree" w:eastAsia="Figtree"/>
          <w:b/>
          <w:sz w:val="22"/>
        </w:rPr>
        <w:t xml:space="preserve">Role-Based Access Control (RBAC):</w:t>
      </w:r>
      <w:r>
        <w:rPr>
          <w:rFonts w:ascii="Figtree" w:hAnsi="Figtree" w:eastAsia="Figtree"/>
          <w:sz w:val="22"/>
        </w:rPr>
        <w:t xml:space="preserve"> Five defined roles govern every action from token issuance to transfer approval. Four layers of access control ensure separation of duties.</w:t>
      </w:r>
    </w:p>
    <w:p>
      <w:pPr>
        <w:pStyle w:val="List Paragraph"/>
      </w:pPr>
      <w:r>
        <w:rPr>
          <w:rFonts w:ascii="Figtree" w:hAnsi="Figtree" w:eastAsia="Figtree"/>
          <w:b/>
          <w:sz w:val="22"/>
        </w:rPr>
        <w:t xml:space="preserve">Maker-Checker Workflows:</w:t>
      </w:r>
      <w:r>
        <w:rPr>
          <w:rFonts w:ascii="Figtree" w:hAnsi="Figtree" w:eastAsia="Figtree"/>
          <w:sz w:val="22"/>
        </w:rPr>
        <w:t xml:space="preserve"> All sensitive operations require multi-party approval before execution.</w:t>
      </w:r>
    </w:p>
    <w:p>
      <w:pPr>
        <w:pStyle w:val="List Paragraph"/>
      </w:pPr>
      <w:r>
        <w:rPr>
          <w:rFonts w:ascii="Figtree" w:hAnsi="Figtree" w:eastAsia="Figtree"/>
          <w:b/>
          <w:sz w:val="22"/>
        </w:rPr>
        <w:t xml:space="preserve">Wallet Verification:</w:t>
      </w:r>
      <w:r>
        <w:rPr>
          <w:rFonts w:ascii="Figtree" w:hAnsi="Figtree" w:eastAsia="Figtree"/>
          <w:sz w:val="22"/>
        </w:rPr>
        <w:t xml:space="preserve"> Multi-factor verification gates (PIN code, TOTP, secret codes) for privileged transaction signing and sensitive recovery operations.</w:t>
      </w:r>
    </w:p>
    <w:p>
      <w:pPr/>
      <w:r>
        <w:rPr>
          <w:rFonts w:ascii="Figtree" w:hAnsi="Figtree" w:eastAsia="Figtree"/>
          <w:sz w:val="22"/>
        </w:rPr>
        <w:t xml:space="preserve">A </w:t>
      </w:r>
      <w:r>
        <w:rPr>
          <w:rFonts w:ascii="Figtree" w:hAnsi="Figtree" w:eastAsia="Figtree"/>
          <w:b/>
          <w:sz w:val="22"/>
        </w:rPr>
        <w:t xml:space="preserve">Global Trusted Issuers Registry</w:t>
      </w:r>
      <w:r>
        <w:rPr>
          <w:rFonts w:ascii="Figtree" w:hAnsi="Figtree" w:eastAsia="Figtree"/>
          <w:sz w:val="22"/>
        </w:rPr>
        <w:t xml:space="preserve"> centralizes trusted issuer management at the platform level, with three-tier resolution: subject-scoped, system-scoped, and global (most specific wins, global as broadest fallback).</w:t>
      </w:r>
    </w:p>
    <w:p>
      <w:r>
        <w:br w:type="page"/>
      </w:r>
    </w:p>
    <w:p>
      <w:pPr>
        <w:pStyle w:val="H2"/>
        <w:numPr>
          <w:ilvl w:val="1"/>
          <w:numId w:val="1"/>
        </w:numPr>
      </w:pPr>
      <w:r>
        <w:rPr/>
        <w:t xml:space="preserve">5. Asset Lifecycle Management</w:t>
      </w:r>
    </w:p>
    <w:p>
      <w:pPr>
        <w:pStyle w:val="H3"/>
        <w:numPr>
          <w:ilvl w:val="2"/>
          <w:numId w:val="1"/>
        </w:numPr>
      </w:pPr>
      <w:r>
        <w:rPr/>
        <w:t xml:space="preserve">Issuance Workflow</w:t>
      </w:r>
    </w:p>
    <w:p>
      <w:pPr/>
      <w:r>
        <w:rPr>
          <w:rFonts w:ascii="Figtree" w:hAnsi="Figtree" w:eastAsia="Figtree"/>
          <w:sz w:val="22"/>
        </w:rPr>
        <w:t xml:space="preserve">DALP's issuance workflow is a controlled, multi-step process designed for institutional governance:</w:t>
      </w:r>
    </w:p>
    <w:p>
      <w:pPr>
        <w:pStyle w:val="List Paragraph"/>
      </w:pPr>
      <w:r>
        <w:rPr>
          <w:rFonts w:ascii="Figtree" w:hAnsi="Figtree" w:eastAsia="Figtree"/>
          <w:b/>
          <w:sz w:val="22"/>
        </w:rPr>
        <w:t xml:space="preserve">Template Selection:</w:t>
      </w:r>
      <w:r>
        <w:rPr>
          <w:rFonts w:ascii="Figtree" w:hAnsi="Figtree" w:eastAsia="Figtree"/>
          <w:sz w:val="22"/>
        </w:rPr>
        <w:t xml:space="preserve"> Choose from seven pre-built asset templates or configure a custom token using the SMART extension system. The Asset Designer wizard guides operators through class selection, with four system asset classes (Fixed Income, Flexible Income, Cash Equivalent, Real World Asset) and support for custom organizational classes.</w:t>
      </w:r>
    </w:p>
    <w:p>
      <w:pPr>
        <w:pStyle w:val="List Paragraph"/>
      </w:pPr>
      <w:r>
        <w:rPr>
          <w:rFonts w:ascii="Figtree" w:hAnsi="Figtree" w:eastAsia="Figtree"/>
          <w:b/>
          <w:sz w:val="22"/>
        </w:rPr>
        <w:t xml:space="preserve">Term Configuration:</w:t>
      </w:r>
      <w:r>
        <w:rPr>
          <w:rFonts w:ascii="Figtree" w:hAnsi="Figtree" w:eastAsia="Figtree"/>
          <w:sz w:val="22"/>
        </w:rPr>
        <w:t xml:space="preserve"> Establish asset-specific economics, distribution parameters, and redemption settings. For bonds: coupon schedules, maturity dates, face value, call/put provisions. For funds: NAV frequency, management fees, subscription windows. Each class carries its own validation rules and lifecycle logic.</w:t>
      </w:r>
    </w:p>
    <w:p>
      <w:pPr>
        <w:pStyle w:val="List Paragraph"/>
      </w:pPr>
      <w:r>
        <w:rPr>
          <w:rFonts w:ascii="Figtree" w:hAnsi="Figtree" w:eastAsia="Figtree"/>
          <w:b/>
          <w:sz w:val="22"/>
        </w:rPr>
        <w:t xml:space="preserve">Compliance Setup:</w:t>
      </w:r>
      <w:r>
        <w:rPr>
          <w:rFonts w:ascii="Figtree" w:hAnsi="Figtree" w:eastAsia="Figtree"/>
          <w:sz w:val="22"/>
        </w:rPr>
        <w:t xml:space="preserve"> Configure compliance modules from the 18 available types. Select country restrictions, investor eligibility requirements, transfer limits, and holding periods. Compliance modules are configured per asset and enforced at the smart contract layer.</w:t>
      </w:r>
    </w:p>
    <w:p>
      <w:pPr>
        <w:pStyle w:val="List Paragraph"/>
      </w:pPr>
      <w:r>
        <w:rPr>
          <w:rFonts w:ascii="Figtree" w:hAnsi="Figtree" w:eastAsia="Figtree"/>
          <w:b/>
          <w:sz w:val="22"/>
        </w:rPr>
        <w:t xml:space="preserve">Identity and Claims:</w:t>
      </w:r>
      <w:r>
        <w:rPr>
          <w:rFonts w:ascii="Figtree" w:hAnsi="Figtree" w:eastAsia="Figtree"/>
          <w:sz w:val="22"/>
        </w:rPr>
        <w:t xml:space="preserve"> Issue classification, location, pricing, and identifier claims specific to the asset class. Claim issuance is class-aware and fails terminally on partial claim issuance, ensuring no asset deploys with incomplete identity metadata.</w:t>
      </w:r>
    </w:p>
    <w:p>
      <w:pPr>
        <w:pStyle w:val="List Paragraph"/>
      </w:pPr>
      <w:r>
        <w:rPr>
          <w:rFonts w:ascii="Figtree" w:hAnsi="Figtree" w:eastAsia="Figtree"/>
          <w:b/>
          <w:sz w:val="22"/>
        </w:rPr>
        <w:t xml:space="preserve">Permission Assignment:</w:t>
      </w:r>
      <w:r>
        <w:rPr>
          <w:rFonts w:ascii="Figtree" w:hAnsi="Figtree" w:eastAsia="Figtree"/>
          <w:sz w:val="22"/>
        </w:rPr>
        <w:t xml:space="preserve"> Define initial role assignments across the five DALP roles. The workflow enforces a minimum creator = governance bootstrap, ensuring every asset has an accountable governance role from deployment.</w:t>
      </w:r>
    </w:p>
    <w:p>
      <w:pPr>
        <w:pStyle w:val="List Paragraph"/>
      </w:pPr>
      <w:r>
        <w:rPr>
          <w:rFonts w:ascii="Figtree" w:hAnsi="Figtree" w:eastAsia="Figtree"/>
          <w:b/>
          <w:sz w:val="22"/>
        </w:rPr>
        <w:t xml:space="preserve">Deployment:</w:t>
      </w:r>
      <w:r>
        <w:rPr>
          <w:rFonts w:ascii="Figtree" w:hAnsi="Figtree" w:eastAsia="Figtree"/>
          <w:sz w:val="22"/>
        </w:rPr>
        <w:t xml:space="preserve"> Durable workflow execution deploys the asset contract, issues all claims, assigns permissions, and optionally unpauses the asset for trading. The entire sequence is atomic in the workflow sense: if any step fails, the deployment does not proceed to a partial state.</w:t>
      </w:r>
    </w:p>
    <w:p>
      <w:pPr>
        <w:pStyle w:val="H3"/>
        <w:numPr>
          <w:ilvl w:val="2"/>
          <w:numId w:val="1"/>
        </w:numPr>
      </w:pPr>
      <w:r>
        <w:rPr/>
        <w:t xml:space="preserve">Transfer and Settlement</w:t>
      </w:r>
    </w:p>
    <w:p>
      <w:pPr/>
      <w:r>
        <w:rPr>
          <w:rFonts w:ascii="Figtree" w:hAnsi="Figtree" w:eastAsia="Figtree"/>
          <w:sz w:val="22"/>
        </w:rPr>
        <w:t xml:space="preserve">Every transfer in DALP passes through compliance-gated validation before execution:</w:t>
      </w:r>
    </w:p>
    <w:p>
      <w:pPr>
        <w:pStyle w:val="List Paragraph"/>
      </w:pPr>
      <w:r>
        <w:rPr>
          <w:rFonts w:ascii="Figtree" w:hAnsi="Figtree" w:eastAsia="Figtree"/>
          <w:b/>
          <w:sz w:val="22"/>
        </w:rPr>
        <w:t xml:space="preserve">Pre-transfer compliance check:</w:t>
      </w:r>
      <w:r>
        <w:rPr>
          <w:rFonts w:ascii="Figtree" w:hAnsi="Figtree" w:eastAsia="Figtree"/>
          <w:sz w:val="22"/>
        </w:rPr>
        <w:t xml:space="preserve"> The compliance engine evaluates the transfer against all active modules for the asset. Sender eligibility, receiver eligibility, transfer amount limits, holding period restrictions, and jurisdictional rules are all evaluated deterministically.</w:t>
      </w:r>
    </w:p>
    <w:p>
      <w:pPr>
        <w:pStyle w:val="List Paragraph"/>
      </w:pPr>
      <w:r>
        <w:rPr>
          <w:rFonts w:ascii="Figtree" w:hAnsi="Figtree" w:eastAsia="Figtree"/>
          <w:b/>
          <w:sz w:val="22"/>
        </w:rPr>
        <w:t xml:space="preserve">Signing workflow:</w:t>
      </w:r>
      <w:r>
        <w:rPr>
          <w:rFonts w:ascii="Figtree" w:hAnsi="Figtree" w:eastAsia="Figtree"/>
          <w:sz w:val="22"/>
        </w:rPr>
        <w:t xml:space="preserve"> Transactions pass through wallet verification, DALP-layer compliance checks, and then external custodian policy evaluation (the two-layer policy model). DALP deterministically gates initiation; the external signer/custodian layer may add provider-specific approval latency.</w:t>
      </w:r>
    </w:p>
    <w:p>
      <w:pPr>
        <w:pStyle w:val="List Paragraph"/>
      </w:pPr>
      <w:r>
        <w:rPr>
          <w:rFonts w:ascii="Figtree" w:hAnsi="Figtree" w:eastAsia="Figtree"/>
          <w:b/>
          <w:sz w:val="22"/>
        </w:rPr>
        <w:t xml:space="preserve">Settlement finality:</w:t>
      </w:r>
      <w:r>
        <w:rPr>
          <w:rFonts w:ascii="Figtree" w:hAnsi="Figtree" w:eastAsia="Figtree"/>
          <w:sz w:val="22"/>
        </w:rPr>
        <w:t xml:space="preserve"> On-chain settlement provides deterministic finality. For DvP transactions, both asset and cash legs execute atomically.</w:t>
      </w:r>
    </w:p>
    <w:p>
      <w:pPr/>
      <w:r>
        <w:rPr>
          <w:rFonts w:ascii="Figtree" w:hAnsi="Figtree" w:eastAsia="Figtree"/>
          <w:b/>
          <w:sz w:val="22"/>
        </w:rPr>
        <w:t xml:space="preserve">Atomic DvP/XvP Settlement</w:t>
      </w:r>
    </w:p>
    <w:p>
      <w:pPr/>
      <w:r>
        <w:rPr>
          <w:rFonts w:ascii="Figtree" w:hAnsi="Figtree" w:eastAsia="Figtree"/>
          <w:sz w:val="22"/>
        </w:rPr>
        <w:t xml:space="preserve">The XvP (Exchange-versus-Payment) settlement addon provides:</w:t>
      </w:r>
    </w:p>
    <w:p>
      <w:pPr>
        <w:pStyle w:val="List Paragraph"/>
        <w:numPr>
          <w:ilvl w:val="0"/>
          <w:numId w:val="4"/>
        </w:numPr>
      </w:pPr>
      <w:r>
        <w:rPr>
          <w:rFonts w:ascii="Figtree" w:hAnsi="Figtree" w:eastAsia="Figtree"/>
          <w:sz w:val="22"/>
        </w:rPr>
        <w:t xml:space="preserve">Multi-party settlement with configurable approval requirements</w:t>
      </w:r>
    </w:p>
    <w:p>
      <w:pPr>
        <w:pStyle w:val="List Paragraph"/>
        <w:numPr>
          <w:ilvl w:val="0"/>
          <w:numId w:val="4"/>
        </w:numPr>
      </w:pPr>
      <w:r>
        <w:rPr>
          <w:rFonts w:ascii="Figtree" w:hAnsi="Figtree" w:eastAsia="Figtree"/>
          <w:sz w:val="22"/>
        </w:rPr>
        <w:t xml:space="preserve">Hashlock-based cross-chain settlement via HTLC</w:t>
      </w:r>
    </w:p>
    <w:p>
      <w:pPr>
        <w:pStyle w:val="List Paragraph"/>
        <w:numPr>
          <w:ilvl w:val="0"/>
          <w:numId w:val="4"/>
        </w:numPr>
      </w:pPr>
      <w:r>
        <w:rPr>
          <w:rFonts w:ascii="Figtree" w:hAnsi="Figtree" w:eastAsia="Figtree"/>
          <w:sz w:val="22"/>
        </w:rPr>
        <w:t xml:space="preserve">Same-chain atomic execution for local settlement</w:t>
      </w:r>
    </w:p>
    <w:p>
      <w:pPr>
        <w:pStyle w:val="List Paragraph"/>
        <w:numPr>
          <w:ilvl w:val="0"/>
          <w:numId w:val="4"/>
        </w:numPr>
      </w:pPr>
      <w:r>
        <w:rPr>
          <w:rFonts w:ascii="Figtree" w:hAnsi="Figtree" w:eastAsia="Figtree"/>
          <w:sz w:val="22"/>
        </w:rPr>
        <w:t xml:space="preserve">Deterministic closure into one of three auditable end-states: executed, cancelled, or expired-withdrawn</w:t>
      </w:r>
    </w:p>
    <w:p>
      <w:pPr>
        <w:pStyle w:val="List Paragraph"/>
        <w:numPr>
          <w:ilvl w:val="0"/>
          <w:numId w:val="4"/>
        </w:numPr>
      </w:pPr>
      <w:r>
        <w:rPr>
          <w:rFonts w:ascii="Figtree" w:hAnsi="Figtree" w:eastAsia="Figtree"/>
          <w:sz w:val="22"/>
        </w:rPr>
        <w:t xml:space="preserve">Cancellation vote logic for multi-party dispute resolution</w:t>
      </w:r>
    </w:p>
    <w:p>
      <w:pPr>
        <w:pStyle w:val="List Paragraph"/>
        <w:numPr>
          <w:ilvl w:val="0"/>
          <w:numId w:val="4"/>
        </w:numPr>
      </w:pPr>
      <w:r>
        <w:rPr>
          <w:rFonts w:ascii="Figtree" w:hAnsi="Figtree" w:eastAsia="Figtree"/>
          <w:sz w:val="22"/>
        </w:rPr>
        <w:t xml:space="preserve">Full subgraph projection for settlement state observability</w:t>
      </w:r>
    </w:p>
    <w:p>
      <w:pPr>
        <w:pStyle w:val="H3"/>
        <w:numPr>
          <w:ilvl w:val="2"/>
          <w:numId w:val="1"/>
        </w:numPr>
      </w:pPr>
      <w:r>
        <w:rPr/>
        <w:t xml:space="preserve">Corporate Actions</w:t>
      </w:r>
    </w:p>
    <w:p>
      <w:pPr/>
      <w:r>
        <w:rPr>
          <w:rFonts w:ascii="Figtree" w:hAnsi="Figtree" w:eastAsia="Figtree"/>
          <w:sz w:val="22"/>
        </w:rPr>
        <w:t xml:space="preserve">DALP automates corporate actions across all asset types through its feature system:</w:t>
      </w:r>
    </w:p>
    <w:p>
      <w:pPr>
        <w:pStyle w:val="List Paragraph"/>
      </w:pPr>
      <w:r>
        <w:rPr>
          <w:rFonts w:ascii="Figtree" w:hAnsi="Figtree" w:eastAsia="Figtree"/>
          <w:b/>
          <w:sz w:val="22"/>
        </w:rPr>
        <w:t xml:space="preserve">Coupon payments:</w:t>
      </w:r>
      <w:r>
        <w:rPr>
          <w:rFonts w:ascii="Figtree" w:hAnsi="Figtree" w:eastAsia="Figtree"/>
          <w:sz w:val="22"/>
        </w:rPr>
        <w:t xml:space="preserve"> Automated coupon calculation and distribution for bonds, executed through the asset-as-treasury capability. The asset contract itself functions as a treasury, with attached features pulling denomination-token payouts directly from the contract.</w:t>
      </w:r>
    </w:p>
    <w:p>
      <w:pPr>
        <w:pStyle w:val="List Paragraph"/>
      </w:pPr>
      <w:r>
        <w:rPr>
          <w:rFonts w:ascii="Figtree" w:hAnsi="Figtree" w:eastAsia="Figtree"/>
          <w:b/>
          <w:sz w:val="22"/>
        </w:rPr>
        <w:t xml:space="preserve">Dividend distribution:</w:t>
      </w:r>
      <w:r>
        <w:rPr>
          <w:rFonts w:ascii="Figtree" w:hAnsi="Figtree" w:eastAsia="Figtree"/>
          <w:sz w:val="22"/>
        </w:rPr>
        <w:t xml:space="preserve"> Programmable dividend processing for equity tokens with historical balance snapshots (ERC-5805 voting power infrastructure provides checkpoint capability).</w:t>
      </w:r>
    </w:p>
    <w:p>
      <w:pPr>
        <w:pStyle w:val="List Paragraph"/>
      </w:pPr>
      <w:r>
        <w:rPr>
          <w:rFonts w:ascii="Figtree" w:hAnsi="Figtree" w:eastAsia="Figtree"/>
          <w:b/>
          <w:sz w:val="22"/>
        </w:rPr>
        <w:t xml:space="preserve">Rental distribution:</w:t>
      </w:r>
      <w:r>
        <w:rPr>
          <w:rFonts w:ascii="Figtree" w:hAnsi="Figtree" w:eastAsia="Figtree"/>
          <w:sz w:val="22"/>
        </w:rPr>
        <w:t xml:space="preserve"> Automated rental income distribution for real estate tokens.</w:t>
      </w:r>
    </w:p>
    <w:p>
      <w:pPr>
        <w:pStyle w:val="List Paragraph"/>
      </w:pPr>
      <w:r>
        <w:rPr>
          <w:rFonts w:ascii="Figtree" w:hAnsi="Figtree" w:eastAsia="Figtree"/>
          <w:b/>
          <w:sz w:val="22"/>
        </w:rPr>
        <w:t xml:space="preserve">Yield distribution:</w:t>
      </w:r>
      <w:r>
        <w:rPr>
          <w:rFonts w:ascii="Figtree" w:hAnsi="Figtree" w:eastAsia="Figtree"/>
          <w:sz w:val="22"/>
        </w:rPr>
        <w:t xml:space="preserve"> Fixed treasury yield features calculate and distribute periodic yield payments through the shared treasury payout library.</w:t>
      </w:r>
    </w:p>
    <w:p>
      <w:pPr>
        <w:pStyle w:val="List Paragraph"/>
      </w:pPr>
      <w:r>
        <w:rPr>
          <w:rFonts w:ascii="Figtree" w:hAnsi="Figtree" w:eastAsia="Figtree"/>
          <w:b/>
          <w:sz w:val="22"/>
        </w:rPr>
        <w:t xml:space="preserve">Maturity redemption:</w:t>
      </w:r>
      <w:r>
        <w:rPr>
          <w:rFonts w:ascii="Figtree" w:hAnsi="Figtree" w:eastAsia="Figtree"/>
          <w:sz w:val="22"/>
        </w:rPr>
        <w:t xml:space="preserve"> Automated maturity processing with configurable redemption mechanics. The maturity redemption feature burns holder tokens and pays out through the treasury abstraction.</w:t>
      </w:r>
    </w:p>
    <w:p>
      <w:pPr>
        <w:pStyle w:val="H3"/>
        <w:numPr>
          <w:ilvl w:val="2"/>
          <w:numId w:val="1"/>
        </w:numPr>
      </w:pPr>
      <w:r>
        <w:rPr/>
        <w:t xml:space="preserve">Bond Lifecycle Detail</w:t>
      </w:r>
    </w:p>
    <w:p>
      <w:pPr/>
      <w:r>
        <w:rPr>
          <w:rFonts w:ascii="Figtree" w:hAnsi="Figtree" w:eastAsia="Figtree"/>
          <w:sz w:val="22"/>
        </w:rPr>
        <w:t xml:space="preserve">Given the centrality of bonds to UAE capital markets, DALP's bond lifecycle capabilities deserve specific attention:</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Lifecycle Stage</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DALP Capability</w:t>
            </w:r>
          </w:p>
        </w:tc>
      </w:tr>
      <w:tr>
        <w:tc>
          <w:tcPr/>
          <w:p>
            <w:pPr>
              <w:spacing w:after="0" w:line="240" w:lineRule="auto"/>
              <w:rPr>
                <w:rFonts w:ascii="Figtree" w:hAnsi="Figtree" w:eastAsia="Figtree"/>
                <w:sz w:val="20"/>
              </w:rPr>
            </w:pPr>
            <w:r>
              <w:rPr>
                <w:rFonts w:ascii="Figtree" w:hAnsi="Figtree" w:eastAsia="Figtree"/>
                <w:sz w:val="20"/>
              </w:rPr>
              <w:t xml:space="preserve">Structuring</w:t>
            </w:r>
          </w:p>
        </w:tc>
        <w:tc>
          <w:tcPr/>
          <w:p>
            <w:pPr>
              <w:spacing w:after="0" w:line="240" w:lineRule="auto"/>
              <w:rPr>
                <w:rFonts w:ascii="Figtree" w:hAnsi="Figtree" w:eastAsia="Figtree"/>
                <w:sz w:val="20"/>
              </w:rPr>
            </w:pPr>
            <w:r>
              <w:rPr>
                <w:rFonts w:ascii="Figtree" w:hAnsi="Figtree" w:eastAsia="Figtree"/>
                <w:sz w:val="20"/>
              </w:rPr>
              <w:t xml:space="preserve">Configurable term sheets: coupon rate, frequency, day-count convention, maturity date, face value, call/put provisions</w:t>
            </w:r>
          </w:p>
        </w:tc>
      </w:tr>
      <w:tr>
        <w:tc>
          <w:tcPr/>
          <w:p>
            <w:pPr>
              <w:spacing w:after="0" w:line="240" w:lineRule="auto"/>
              <w:rPr>
                <w:rFonts w:ascii="Figtree" w:hAnsi="Figtree" w:eastAsia="Figtree"/>
                <w:sz w:val="20"/>
              </w:rPr>
            </w:pPr>
            <w:r>
              <w:rPr>
                <w:rFonts w:ascii="Figtree" w:hAnsi="Figtree" w:eastAsia="Figtree"/>
                <w:sz w:val="20"/>
              </w:rPr>
              <w:t xml:space="preserve">Primary issuance</w:t>
            </w:r>
          </w:p>
        </w:tc>
        <w:tc>
          <w:tcPr/>
          <w:p>
            <w:pPr>
              <w:spacing w:after="0" w:line="240" w:lineRule="auto"/>
              <w:rPr>
                <w:rFonts w:ascii="Figtree" w:hAnsi="Figtree" w:eastAsia="Figtree"/>
                <w:sz w:val="20"/>
              </w:rPr>
            </w:pPr>
            <w:r>
              <w:rPr>
                <w:rFonts w:ascii="Figtree" w:hAnsi="Figtree" w:eastAsia="Figtree"/>
                <w:sz w:val="20"/>
              </w:rPr>
              <w:t xml:space="preserve">Template-driven deployment with compliance modules, investor eligibility checks, and distribution controls</w:t>
            </w:r>
          </w:p>
        </w:tc>
      </w:tr>
      <w:tr>
        <w:tc>
          <w:tcPr/>
          <w:p>
            <w:pPr>
              <w:spacing w:after="0" w:line="240" w:lineRule="auto"/>
              <w:rPr>
                <w:rFonts w:ascii="Figtree" w:hAnsi="Figtree" w:eastAsia="Figtree"/>
                <w:sz w:val="20"/>
              </w:rPr>
            </w:pPr>
            <w:r>
              <w:rPr>
                <w:rFonts w:ascii="Figtree" w:hAnsi="Figtree" w:eastAsia="Figtree"/>
                <w:sz w:val="20"/>
              </w:rPr>
              <w:t xml:space="preserve">Coupon processing</w:t>
            </w:r>
          </w:p>
        </w:tc>
        <w:tc>
          <w:tcPr/>
          <w:p>
            <w:pPr>
              <w:spacing w:after="0" w:line="240" w:lineRule="auto"/>
              <w:rPr>
                <w:rFonts w:ascii="Figtree" w:hAnsi="Figtree" w:eastAsia="Figtree"/>
                <w:sz w:val="20"/>
              </w:rPr>
            </w:pPr>
            <w:r>
              <w:rPr>
                <w:rFonts w:ascii="Figtree" w:hAnsi="Figtree" w:eastAsia="Figtree"/>
                <w:sz w:val="20"/>
              </w:rPr>
              <w:t xml:space="preserve">Automated coupon calculation and distribution via treasury payout system</w:t>
            </w:r>
          </w:p>
        </w:tc>
      </w:tr>
      <w:tr>
        <w:tc>
          <w:tcPr/>
          <w:p>
            <w:pPr>
              <w:spacing w:after="0" w:line="240" w:lineRule="auto"/>
              <w:rPr>
                <w:rFonts w:ascii="Figtree" w:hAnsi="Figtree" w:eastAsia="Figtree"/>
                <w:sz w:val="20"/>
              </w:rPr>
            </w:pPr>
            <w:r>
              <w:rPr>
                <w:rFonts w:ascii="Figtree" w:hAnsi="Figtree" w:eastAsia="Figtree"/>
                <w:sz w:val="20"/>
              </w:rPr>
              <w:t xml:space="preserve">Secondary transfer</w:t>
            </w:r>
          </w:p>
        </w:tc>
        <w:tc>
          <w:tcPr/>
          <w:p>
            <w:pPr>
              <w:spacing w:after="0" w:line="240" w:lineRule="auto"/>
              <w:rPr>
                <w:rFonts w:ascii="Figtree" w:hAnsi="Figtree" w:eastAsia="Figtree"/>
                <w:sz w:val="20"/>
              </w:rPr>
            </w:pPr>
            <w:r>
              <w:rPr>
                <w:rFonts w:ascii="Figtree" w:hAnsi="Figtree" w:eastAsia="Figtree"/>
                <w:sz w:val="20"/>
              </w:rPr>
              <w:t xml:space="preserve">Compliance-gated transfers with ex-ante validation, atomic DvP settlement</w:t>
            </w:r>
          </w:p>
        </w:tc>
      </w:tr>
      <w:tr>
        <w:tc>
          <w:tcPr/>
          <w:p>
            <w:pPr>
              <w:spacing w:after="0" w:line="240" w:lineRule="auto"/>
              <w:rPr>
                <w:rFonts w:ascii="Figtree" w:hAnsi="Figtree" w:eastAsia="Figtree"/>
                <w:sz w:val="20"/>
              </w:rPr>
            </w:pPr>
            <w:r>
              <w:rPr>
                <w:rFonts w:ascii="Figtree" w:hAnsi="Figtree" w:eastAsia="Figtree"/>
                <w:sz w:val="20"/>
              </w:rPr>
              <w:t xml:space="preserve">Corporate actions</w:t>
            </w:r>
          </w:p>
        </w:tc>
        <w:tc>
          <w:tcPr/>
          <w:p>
            <w:pPr>
              <w:spacing w:after="0" w:line="240" w:lineRule="auto"/>
              <w:rPr>
                <w:rFonts w:ascii="Figtree" w:hAnsi="Figtree" w:eastAsia="Figtree"/>
                <w:sz w:val="20"/>
              </w:rPr>
            </w:pPr>
            <w:r>
              <w:rPr>
                <w:rFonts w:ascii="Figtree" w:hAnsi="Figtree" w:eastAsia="Figtree"/>
                <w:sz w:val="20"/>
              </w:rPr>
              <w:t xml:space="preserve">Call/put option exercise, coupon rate adjustments, notification processing</w:t>
            </w:r>
          </w:p>
        </w:tc>
      </w:tr>
      <w:tr>
        <w:tc>
          <w:tcPr/>
          <w:p>
            <w:pPr>
              <w:spacing w:after="0" w:line="240" w:lineRule="auto"/>
              <w:rPr>
                <w:rFonts w:ascii="Figtree" w:hAnsi="Figtree" w:eastAsia="Figtree"/>
                <w:sz w:val="20"/>
              </w:rPr>
            </w:pPr>
            <w:r>
              <w:rPr>
                <w:rFonts w:ascii="Figtree" w:hAnsi="Figtree" w:eastAsia="Figtree"/>
                <w:sz w:val="20"/>
              </w:rPr>
              <w:t xml:space="preserve">Maturity and redemption</w:t>
            </w:r>
          </w:p>
        </w:tc>
        <w:tc>
          <w:tcPr/>
          <w:p>
            <w:pPr>
              <w:spacing w:after="0" w:line="240" w:lineRule="auto"/>
              <w:rPr>
                <w:rFonts w:ascii="Figtree" w:hAnsi="Figtree" w:eastAsia="Figtree"/>
                <w:sz w:val="20"/>
              </w:rPr>
            </w:pPr>
            <w:r>
              <w:rPr>
                <w:rFonts w:ascii="Figtree" w:hAnsi="Figtree" w:eastAsia="Figtree"/>
                <w:sz w:val="20"/>
              </w:rPr>
              <w:t xml:space="preserve">Automated maturity detection, redemption calculation, principal return to holders</w:t>
            </w:r>
          </w:p>
        </w:tc>
      </w:tr>
    </w:tbl>
    <w:p>
      <w:pPr/>
      <w:r>
        <w:rPr>
          <w:rFonts w:ascii="Figtree" w:hAnsi="Figtree" w:eastAsia="Figtree"/>
          <w:sz w:val="22"/>
        </w:rPr>
        <w:t xml:space="preserve">For Mashreq Bank's sukuk operations, DALP's configurable token architecture enables Shariah-compliant structures through custom feature composition. Profit-sharing distributions, asset-backed structures, and ijara (lease-based) mechanics can be modeled using the SMART extension system without custom smart contract development.</w:t>
      </w:r>
    </w:p>
    <w:p>
      <w:pPr>
        <w:pStyle w:val="H3"/>
        <w:numPr>
          <w:ilvl w:val="2"/>
          <w:numId w:val="1"/>
        </w:numPr>
      </w:pPr>
      <w:r>
        <w:rPr/>
        <w:t xml:space="preserve">Deposit Token and Stablecoin Operations</w:t>
      </w:r>
    </w:p>
    <w:p>
      <w:pPr/>
      <w:r>
        <w:rPr>
          <w:rFonts w:ascii="Figtree" w:hAnsi="Figtree" w:eastAsia="Figtree"/>
          <w:b/>
          <w:sz w:val="22"/>
        </w:rPr>
        <w:t xml:space="preserve">Deposit Tokens:</w:t>
      </w:r>
    </w:p>
    <w:p>
      <w:pPr>
        <w:pStyle w:val="List Paragraph"/>
        <w:numPr>
          <w:ilvl w:val="0"/>
          <w:numId w:val="4"/>
        </w:numPr>
      </w:pPr>
      <w:r>
        <w:rPr>
          <w:rFonts w:ascii="Figtree" w:hAnsi="Figtree" w:eastAsia="Figtree"/>
          <w:sz w:val="22"/>
        </w:rPr>
        <w:t xml:space="preserve">Programmable deposit tokens with configurable interest rates, maturity schedules, and withdrawal rules</w:t>
      </w:r>
    </w:p>
    <w:p>
      <w:pPr>
        <w:pStyle w:val="List Paragraph"/>
        <w:numPr>
          <w:ilvl w:val="0"/>
          <w:numId w:val="4"/>
        </w:numPr>
      </w:pPr>
      <w:r>
        <w:rPr>
          <w:rFonts w:ascii="Figtree" w:hAnsi="Figtree" w:eastAsia="Figtree"/>
          <w:sz w:val="22"/>
        </w:rPr>
        <w:t xml:space="preserve">Bridge functionality for controlled integration with external blockchain networks</w:t>
      </w:r>
    </w:p>
    <w:p>
      <w:pPr>
        <w:pStyle w:val="List Paragraph"/>
        <w:numPr>
          <w:ilvl w:val="0"/>
          <w:numId w:val="4"/>
        </w:numPr>
      </w:pPr>
      <w:r>
        <w:rPr>
          <w:rFonts w:ascii="Figtree" w:hAnsi="Figtree" w:eastAsia="Figtree"/>
          <w:sz w:val="22"/>
        </w:rPr>
        <w:t xml:space="preserve">Real-time reserve monitoring and liquidity management controls</w:t>
      </w:r>
    </w:p>
    <w:p>
      <w:pPr>
        <w:pStyle w:val="List Paragraph"/>
        <w:numPr>
          <w:ilvl w:val="0"/>
          <w:numId w:val="4"/>
        </w:numPr>
      </w:pPr>
      <w:r>
        <w:rPr>
          <w:rFonts w:ascii="Figtree" w:hAnsi="Figtree" w:eastAsia="Figtree"/>
          <w:sz w:val="22"/>
        </w:rPr>
        <w:t xml:space="preserve">Regulatory oversight dashboards for supervisory visibility</w:t>
      </w:r>
    </w:p>
    <w:p>
      <w:pPr/>
      <w:r>
        <w:rPr>
          <w:rFonts w:ascii="Figtree" w:hAnsi="Figtree" w:eastAsia="Figtree"/>
          <w:b/>
          <w:sz w:val="22"/>
        </w:rPr>
        <w:t xml:space="preserve">Stablecoins:</w:t>
      </w:r>
    </w:p>
    <w:p>
      <w:pPr>
        <w:pStyle w:val="List Paragraph"/>
        <w:numPr>
          <w:ilvl w:val="0"/>
          <w:numId w:val="4"/>
        </w:numPr>
      </w:pPr>
      <w:r>
        <w:rPr>
          <w:rFonts w:ascii="Figtree" w:hAnsi="Figtree" w:eastAsia="Figtree"/>
          <w:sz w:val="22"/>
        </w:rPr>
        <w:t xml:space="preserve">Fully compliant stablecoin issuance with ERC-3643 identity standards</w:t>
      </w:r>
    </w:p>
    <w:p>
      <w:pPr>
        <w:pStyle w:val="List Paragraph"/>
        <w:numPr>
          <w:ilvl w:val="0"/>
          <w:numId w:val="4"/>
        </w:numPr>
      </w:pPr>
      <w:r>
        <w:rPr>
          <w:rFonts w:ascii="Figtree" w:hAnsi="Figtree" w:eastAsia="Figtree"/>
          <w:sz w:val="22"/>
        </w:rPr>
        <w:t xml:space="preserve">Policy controls for transaction limits, geography restrictions, and transaction types</w:t>
      </w:r>
    </w:p>
    <w:p>
      <w:pPr>
        <w:pStyle w:val="List Paragraph"/>
        <w:numPr>
          <w:ilvl w:val="0"/>
          <w:numId w:val="4"/>
        </w:numPr>
      </w:pPr>
      <w:r>
        <w:rPr>
          <w:rFonts w:ascii="Figtree" w:hAnsi="Figtree" w:eastAsia="Figtree"/>
          <w:sz w:val="22"/>
        </w:rPr>
        <w:t xml:space="preserve">Multi-currency support with configurable minting and burning authorities</w:t>
      </w:r>
    </w:p>
    <w:p>
      <w:pPr>
        <w:pStyle w:val="List Paragraph"/>
        <w:numPr>
          <w:ilvl w:val="0"/>
          <w:numId w:val="4"/>
        </w:numPr>
      </w:pPr>
      <w:r>
        <w:rPr>
          <w:rFonts w:ascii="Figtree" w:hAnsi="Figtree" w:eastAsia="Figtree"/>
          <w:sz w:val="22"/>
        </w:rPr>
        <w:t xml:space="preserve">Reserve monitoring integration points for attestation workflows</w:t>
      </w:r>
    </w:p>
    <w:p>
      <w:r>
        <w:br w:type="page"/>
      </w:r>
    </w:p>
    <w:p>
      <w:pPr>
        <w:pStyle w:val="H2"/>
        <w:numPr>
          <w:ilvl w:val="1"/>
          <w:numId w:val="1"/>
        </w:numPr>
      </w:pPr>
      <w:r>
        <w:rPr/>
        <w:t xml:space="preserve">6. Compliance and Regulatory Framework</w:t>
      </w:r>
    </w:p>
    <w:p>
      <w:pPr>
        <w:pStyle w:val="H3"/>
        <w:numPr>
          <w:ilvl w:val="2"/>
          <w:numId w:val="1"/>
        </w:numPr>
      </w:pPr>
      <w:r>
        <w:rPr/>
        <w:t xml:space="preserve">Three-Tier Compliance Architecture</w:t>
      </w:r>
    </w:p>
    <w:p>
      <w:pPr/>
      <w:r>
        <w:rPr>
          <w:rFonts w:ascii="Figtree" w:hAnsi="Figtree" w:eastAsia="Figtree"/>
          <w:sz w:val="22"/>
        </w:rPr>
        <w:t xml:space="preserve">DALP implements compliance enforcement at three distinct levels, each building on the one below:</w:t>
      </w:r>
    </w:p>
    <w:p>
      <w:pPr/>
      <w:r>
        <w:rPr>
          <w:rFonts w:ascii="Figtree" w:hAnsi="Figtree" w:eastAsia="Figtree"/>
          <w:b/>
          <w:sz w:val="22"/>
        </w:rPr>
        <w:t xml:space="preserve">Tier 1: Global Compliance</w:t>
      </w:r>
    </w:p>
    <w:p>
      <w:pPr/>
      <w:r>
        <w:rPr>
          <w:rFonts w:ascii="Figtree" w:hAnsi="Figtree" w:eastAsia="Figtree"/>
          <w:sz w:val="22"/>
        </w:rPr>
        <w:t xml:space="preserve">Platform-wide compliance rules that apply across all assets and transactions. The Global Compliance contract manages a system-wide bypass list, registers global compliance modules, and binds token-level compliance contracts. This tier handles platform-level policy that transcends individual asset configurations, such as sanctioned-entity blocking or platform-wide transaction velocity limits.</w:t>
      </w:r>
    </w:p>
    <w:p>
      <w:pPr/>
      <w:r>
        <w:rPr>
          <w:rFonts w:ascii="Figtree" w:hAnsi="Figtree" w:eastAsia="Figtree"/>
          <w:b/>
          <w:sz w:val="22"/>
        </w:rPr>
        <w:t xml:space="preserve">Tier 2: Token Compliance</w:t>
      </w:r>
    </w:p>
    <w:p>
      <w:pPr/>
      <w:r>
        <w:rPr>
          <w:rFonts w:ascii="Figtree" w:hAnsi="Figtree" w:eastAsia="Figtree"/>
          <w:sz w:val="22"/>
        </w:rPr>
        <w:t xml:space="preserve">Per-asset compliance hooks that enforce asset-specific rules. Each token deployed through DALP has its own compliance contract with modules configured for that specific instrument. Bond compliance modules may differ significantly from stablecoin compliance modules. Token compliance checks cascade through global compliance for bypass evaluation before applying asset-specific rules.</w:t>
      </w:r>
    </w:p>
    <w:p>
      <w:pPr/>
      <w:r>
        <w:rPr>
          <w:rFonts w:ascii="Figtree" w:hAnsi="Figtree" w:eastAsia="Figtree"/>
          <w:b/>
          <w:sz w:val="22"/>
        </w:rPr>
        <w:t xml:space="preserve">Tier 3: Custodian Compliance</w:t>
      </w:r>
    </w:p>
    <w:p>
      <w:pPr/>
      <w:r>
        <w:rPr>
          <w:rFonts w:ascii="Figtree" w:hAnsi="Figtree" w:eastAsia="Figtree"/>
          <w:sz w:val="22"/>
        </w:rPr>
        <w:t xml:space="preserve">External custody providers (Fireblocks, DFNS) enforce their own transaction authorization policies. DALP's two-layer policy model recognizes that regulated institutions operate with both platform-native compliance and custodian-level governance. Transaction execution bifurcates after DALP-side checks: the external signer/custodian layer may add provider-specific asynchronous approval or manual intervention before broadcast finality.</w:t>
      </w:r>
    </w:p>
    <w:p>
      <w:pPr>
        <w:pStyle w:val="H3"/>
        <w:numPr>
          <w:ilvl w:val="2"/>
          <w:numId w:val="1"/>
        </w:numPr>
      </w:pPr>
      <w:r>
        <w:rPr/>
        <w:t xml:space="preserve">18 Compliance Module Types</w:t>
      </w:r>
    </w:p>
    <w:p>
      <w:pPr/>
      <w:r>
        <w:rPr>
          <w:rFonts w:ascii="Figtree" w:hAnsi="Figtree" w:eastAsia="Figtree"/>
          <w:sz w:val="22"/>
        </w:rPr>
        <w:t xml:space="preserve">DALP's compliance validation currently supports specific module type IDs in a discriminated-union schema. Each module type has deterministic encoding, with unknown module types rejected via hard error rather than permissive fallback:</w:t>
      </w:r>
    </w:p>
    <w:p>
      <w:pPr/>
      <w:r>
        <w:rPr>
          <w:rFonts w:ascii="Figtree" w:hAnsi="Figtree" w:eastAsia="Figtree"/>
          <w:b/>
          <w:sz w:val="22"/>
        </w:rPr>
        <w:t xml:space="preserve">Eligibility Modules:</w:t>
      </w:r>
    </w:p>
    <w:p>
      <w:pPr>
        <w:pStyle w:val="List Paragraph"/>
      </w:pPr>
      <w:r>
        <w:rPr>
          <w:rFonts w:ascii="Figtree" w:hAnsi="Figtree" w:eastAsia="Figtree"/>
          <w:b/>
          <w:sz w:val="22"/>
        </w:rPr>
        <w:t xml:space="preserve">Country Allow List:</w:t>
      </w:r>
      <w:r>
        <w:rPr>
          <w:rFonts w:ascii="Figtree" w:hAnsi="Figtree" w:eastAsia="Figtree"/>
          <w:sz w:val="22"/>
        </w:rPr>
        <w:t xml:space="preserve"> Restrict transfers to investors domiciled in approved countries. Directly supports CBUAE requirements for UAE-resident investor eligibility.</w:t>
      </w:r>
    </w:p>
    <w:p>
      <w:pPr>
        <w:pStyle w:val="List Paragraph"/>
      </w:pPr>
      <w:r>
        <w:rPr>
          <w:rFonts w:ascii="Figtree" w:hAnsi="Figtree" w:eastAsia="Figtree"/>
          <w:b/>
          <w:sz w:val="22"/>
        </w:rPr>
        <w:t xml:space="preserve">Country Block List:</w:t>
      </w:r>
      <w:r>
        <w:rPr>
          <w:rFonts w:ascii="Figtree" w:hAnsi="Figtree" w:eastAsia="Figtree"/>
          <w:sz w:val="22"/>
        </w:rPr>
        <w:t xml:space="preserve"> Prevent transfers to investors in sanctioned or restricted jurisdictions. Aligns with UAE Federal sanctions requirements and VARA's geographic restrictions.</w:t>
      </w:r>
    </w:p>
    <w:p>
      <w:pPr>
        <w:pStyle w:val="List Paragraph"/>
      </w:pPr>
      <w:r>
        <w:rPr>
          <w:rFonts w:ascii="Figtree" w:hAnsi="Figtree" w:eastAsia="Figtree"/>
          <w:b/>
          <w:sz w:val="22"/>
        </w:rPr>
        <w:t xml:space="preserve">Investor Accreditation:</w:t>
      </w:r>
      <w:r>
        <w:rPr>
          <w:rFonts w:ascii="Figtree" w:hAnsi="Figtree" w:eastAsia="Figtree"/>
          <w:sz w:val="22"/>
        </w:rPr>
        <w:t xml:space="preserve"> Verify that investors hold required accreditation claims before transfer. Supports DFSA qualified investor requirements and SCA retail/professional investor classification.</w:t>
      </w:r>
    </w:p>
    <w:p>
      <w:pPr/>
      <w:r>
        <w:rPr>
          <w:rFonts w:ascii="Figtree" w:hAnsi="Figtree" w:eastAsia="Figtree"/>
          <w:b/>
          <w:sz w:val="22"/>
        </w:rPr>
        <w:t xml:space="preserve">Restriction Modules:</w:t>
      </w:r>
    </w:p>
    <w:p>
      <w:pPr>
        <w:pStyle w:val="List Paragraph"/>
      </w:pPr>
      <w:r>
        <w:rPr>
          <w:rFonts w:ascii="Figtree" w:hAnsi="Figtree" w:eastAsia="Figtree"/>
          <w:b/>
          <w:sz w:val="22"/>
        </w:rPr>
        <w:t xml:space="preserve">Maximum Holder Count:</w:t>
      </w:r>
      <w:r>
        <w:rPr>
          <w:rFonts w:ascii="Figtree" w:hAnsi="Figtree" w:eastAsia="Figtree"/>
          <w:sz w:val="22"/>
        </w:rPr>
        <w:t xml:space="preserve"> Cap the number of distinct holders for an asset. Supports private placement exemptions under DFSA rules.</w:t>
      </w:r>
    </w:p>
    <w:p>
      <w:pPr>
        <w:pStyle w:val="List Paragraph"/>
      </w:pPr>
      <w:r>
        <w:rPr>
          <w:rFonts w:ascii="Figtree" w:hAnsi="Figtree" w:eastAsia="Figtree"/>
          <w:b/>
          <w:sz w:val="22"/>
        </w:rPr>
        <w:t xml:space="preserve">Conditional Transfer Restrictions:</w:t>
      </w:r>
      <w:r>
        <w:rPr>
          <w:rFonts w:ascii="Figtree" w:hAnsi="Figtree" w:eastAsia="Figtree"/>
          <w:sz w:val="22"/>
        </w:rPr>
        <w:t xml:space="preserve"> Apply transfer restrictions based on dynamic conditions evaluated at transfer time.</w:t>
      </w:r>
    </w:p>
    <w:p>
      <w:pPr>
        <w:pStyle w:val="List Paragraph"/>
      </w:pPr>
      <w:r>
        <w:rPr>
          <w:rFonts w:ascii="Figtree" w:hAnsi="Figtree" w:eastAsia="Figtree"/>
          <w:b/>
          <w:sz w:val="22"/>
        </w:rPr>
        <w:t xml:space="preserve">Address-Specific Restrictions:</w:t>
      </w:r>
      <w:r>
        <w:rPr>
          <w:rFonts w:ascii="Figtree" w:hAnsi="Figtree" w:eastAsia="Figtree"/>
          <w:sz w:val="22"/>
        </w:rPr>
        <w:t xml:space="preserve"> Block or allow specific wallet addresses, supporting freeze orders, court orders, or regulatory directives.</w:t>
      </w:r>
    </w:p>
    <w:p>
      <w:pPr/>
      <w:r>
        <w:rPr>
          <w:rFonts w:ascii="Figtree" w:hAnsi="Figtree" w:eastAsia="Figtree"/>
          <w:b/>
          <w:sz w:val="22"/>
        </w:rPr>
        <w:t xml:space="preserve">Transfer Control Modules:</w:t>
      </w:r>
    </w:p>
    <w:p>
      <w:pPr>
        <w:pStyle w:val="List Paragraph"/>
      </w:pPr>
      <w:r>
        <w:rPr>
          <w:rFonts w:ascii="Figtree" w:hAnsi="Figtree" w:eastAsia="Figtree"/>
          <w:b/>
          <w:sz w:val="22"/>
        </w:rPr>
        <w:t xml:space="preserve">Transfer Amount Limits:</w:t>
      </w:r>
      <w:r>
        <w:rPr>
          <w:rFonts w:ascii="Figtree" w:hAnsi="Figtree" w:eastAsia="Figtree"/>
          <w:sz w:val="22"/>
        </w:rPr>
        <w:t xml:space="preserve"> Enforce minimum and maximum transfer sizes. Supports CBUAE transaction reporting thresholds and VARA's value transfer rules.</w:t>
      </w:r>
    </w:p>
    <w:p>
      <w:pPr>
        <w:pStyle w:val="List Paragraph"/>
      </w:pPr>
      <w:r>
        <w:rPr>
          <w:rFonts w:ascii="Figtree" w:hAnsi="Figtree" w:eastAsia="Figtree"/>
          <w:b/>
          <w:sz w:val="22"/>
        </w:rPr>
        <w:t xml:space="preserve">Maximum Balance Restrictions:</w:t>
      </w:r>
      <w:r>
        <w:rPr>
          <w:rFonts w:ascii="Figtree" w:hAnsi="Figtree" w:eastAsia="Figtree"/>
          <w:sz w:val="22"/>
        </w:rPr>
        <w:t xml:space="preserve"> Prevent concentration risk by capping individual holder positions.</w:t>
      </w:r>
    </w:p>
    <w:p>
      <w:pPr>
        <w:pStyle w:val="List Paragraph"/>
      </w:pPr>
      <w:r>
        <w:rPr>
          <w:rFonts w:ascii="Figtree" w:hAnsi="Figtree" w:eastAsia="Figtree"/>
          <w:b/>
          <w:sz w:val="22"/>
        </w:rPr>
        <w:t xml:space="preserve">Transfer Policy:</w:t>
      </w:r>
      <w:r>
        <w:rPr>
          <w:rFonts w:ascii="Figtree" w:hAnsi="Figtree" w:eastAsia="Figtree"/>
          <w:sz w:val="22"/>
        </w:rPr>
        <w:t xml:space="preserve"> Comprehensive transfer rule evaluation based on actor, counterparty, and context.</w:t>
      </w:r>
    </w:p>
    <w:p>
      <w:pPr/>
      <w:r>
        <w:rPr>
          <w:rFonts w:ascii="Figtree" w:hAnsi="Figtree" w:eastAsia="Figtree"/>
          <w:b/>
          <w:sz w:val="22"/>
        </w:rPr>
        <w:t xml:space="preserve">Issuance and Supply Modules:</w:t>
      </w:r>
    </w:p>
    <w:p>
      <w:pPr>
        <w:pStyle w:val="List Paragraph"/>
      </w:pPr>
      <w:r>
        <w:rPr>
          <w:rFonts w:ascii="Figtree" w:hAnsi="Figtree" w:eastAsia="Figtree"/>
          <w:b/>
          <w:sz w:val="22"/>
        </w:rPr>
        <w:t xml:space="preserve">Supply Cap Enforcement:</w:t>
      </w:r>
      <w:r>
        <w:rPr>
          <w:rFonts w:ascii="Figtree" w:hAnsi="Figtree" w:eastAsia="Figtree"/>
          <w:sz w:val="22"/>
        </w:rPr>
        <w:t xml:space="preserve"> Hard limit on total token supply, enforced at the smart contract layer.</w:t>
      </w:r>
    </w:p>
    <w:p>
      <w:pPr>
        <w:pStyle w:val="List Paragraph"/>
      </w:pPr>
      <w:r>
        <w:rPr>
          <w:rFonts w:ascii="Figtree" w:hAnsi="Figtree" w:eastAsia="Figtree"/>
          <w:b/>
          <w:sz w:val="22"/>
        </w:rPr>
        <w:t xml:space="preserve">Minting Restrictions:</w:t>
      </w:r>
      <w:r>
        <w:rPr>
          <w:rFonts w:ascii="Figtree" w:hAnsi="Figtree" w:eastAsia="Figtree"/>
          <w:sz w:val="22"/>
        </w:rPr>
        <w:t xml:space="preserve"> Control which roles and under what conditions new tokens can be minted.</w:t>
      </w:r>
    </w:p>
    <w:p>
      <w:pPr>
        <w:pStyle w:val="List Paragraph"/>
      </w:pPr>
      <w:r>
        <w:rPr>
          <w:rFonts w:ascii="Figtree" w:hAnsi="Figtree" w:eastAsia="Figtree"/>
          <w:b/>
          <w:sz w:val="22"/>
        </w:rPr>
        <w:t xml:space="preserve">Capped Supply:</w:t>
      </w:r>
      <w:r>
        <w:rPr>
          <w:rFonts w:ascii="Figtree" w:hAnsi="Figtree" w:eastAsia="Figtree"/>
          <w:sz w:val="22"/>
        </w:rPr>
        <w:t xml:space="preserve"> Dynamic supply management with configurable caps and governance-controlled adjustments.</w:t>
      </w:r>
    </w:p>
    <w:p>
      <w:pPr/>
      <w:r>
        <w:rPr>
          <w:rFonts w:ascii="Figtree" w:hAnsi="Figtree" w:eastAsia="Figtree"/>
          <w:b/>
          <w:sz w:val="22"/>
        </w:rPr>
        <w:t xml:space="preserve">Time-Based Rule Modules:</w:t>
      </w:r>
    </w:p>
    <w:p>
      <w:pPr>
        <w:pStyle w:val="List Paragraph"/>
      </w:pPr>
      <w:r>
        <w:rPr>
          <w:rFonts w:ascii="Figtree" w:hAnsi="Figtree" w:eastAsia="Figtree"/>
          <w:b/>
          <w:sz w:val="22"/>
        </w:rPr>
        <w:t xml:space="preserve">Holding Period Enforcement:</w:t>
      </w:r>
      <w:r>
        <w:rPr>
          <w:rFonts w:ascii="Figtree" w:hAnsi="Figtree" w:eastAsia="Figtree"/>
          <w:sz w:val="22"/>
        </w:rPr>
        <w:t xml:space="preserve"> Require investors to hold tokens for a minimum period before transfer. Supports lock-up requirements under DFSA fund regulations.</w:t>
      </w:r>
    </w:p>
    <w:p>
      <w:pPr>
        <w:pStyle w:val="List Paragraph"/>
      </w:pPr>
      <w:r>
        <w:rPr>
          <w:rFonts w:ascii="Figtree" w:hAnsi="Figtree" w:eastAsia="Figtree"/>
          <w:b/>
          <w:sz w:val="22"/>
        </w:rPr>
        <w:t xml:space="preserve">Lock-Up Windows:</w:t>
      </w:r>
      <w:r>
        <w:rPr>
          <w:rFonts w:ascii="Figtree" w:hAnsi="Figtree" w:eastAsia="Figtree"/>
          <w:sz w:val="22"/>
        </w:rPr>
        <w:t xml:space="preserve"> Time-locked restrictions on transfers during specific periods, such as pre-IPO lock-ups or regulatory cooling periods.</w:t>
      </w:r>
    </w:p>
    <w:p>
      <w:pPr>
        <w:pStyle w:val="List Paragraph"/>
      </w:pPr>
      <w:r>
        <w:rPr>
          <w:rFonts w:ascii="Figtree" w:hAnsi="Figtree" w:eastAsia="Figtree"/>
          <w:b/>
          <w:sz w:val="22"/>
        </w:rPr>
        <w:t xml:space="preserve">Time-Restricted Trading:</w:t>
      </w:r>
      <w:r>
        <w:rPr>
          <w:rFonts w:ascii="Figtree" w:hAnsi="Figtree" w:eastAsia="Figtree"/>
          <w:sz w:val="22"/>
        </w:rPr>
        <w:t xml:space="preserve"> Define windows during which transfers are permitted, supporting market-hours restrictions.</w:t>
      </w:r>
    </w:p>
    <w:p>
      <w:pPr/>
      <w:r>
        <w:rPr>
          <w:rFonts w:ascii="Figtree" w:hAnsi="Figtree" w:eastAsia="Figtree"/>
          <w:b/>
          <w:sz w:val="22"/>
        </w:rPr>
        <w:t xml:space="preserve">Settlement and Collateral Modules:</w:t>
      </w:r>
    </w:p>
    <w:p>
      <w:pPr>
        <w:pStyle w:val="List Paragraph"/>
      </w:pPr>
      <w:r>
        <w:rPr>
          <w:rFonts w:ascii="Figtree" w:hAnsi="Figtree" w:eastAsia="Figtree"/>
          <w:b/>
          <w:sz w:val="22"/>
        </w:rPr>
        <w:t xml:space="preserve">Collateral Backing Verification:</w:t>
      </w:r>
      <w:r>
        <w:rPr>
          <w:rFonts w:ascii="Figtree" w:hAnsi="Figtree" w:eastAsia="Figtree"/>
          <w:sz w:val="22"/>
        </w:rPr>
        <w:t xml:space="preserve"> Verify that stablecoin or deposit token issuance is backed by sufficient collateral.</w:t>
      </w:r>
    </w:p>
    <w:p>
      <w:pPr>
        <w:pStyle w:val="List Paragraph"/>
      </w:pPr>
      <w:r>
        <w:rPr>
          <w:rFonts w:ascii="Figtree" w:hAnsi="Figtree" w:eastAsia="Figtree"/>
          <w:b/>
          <w:sz w:val="22"/>
        </w:rPr>
        <w:t xml:space="preserve">Settlement Condition Enforcement:</w:t>
      </w:r>
      <w:r>
        <w:rPr>
          <w:rFonts w:ascii="Figtree" w:hAnsi="Figtree" w:eastAsia="Figtree"/>
          <w:sz w:val="22"/>
        </w:rPr>
        <w:t xml:space="preserve"> Require specific conditions to be met before settlement can proceed.</w:t>
      </w:r>
    </w:p>
    <w:p>
      <w:pPr>
        <w:pStyle w:val="List Paragraph"/>
      </w:pPr>
      <w:r>
        <w:rPr>
          <w:rFonts w:ascii="Figtree" w:hAnsi="Figtree" w:eastAsia="Figtree"/>
          <w:b/>
          <w:sz w:val="22"/>
        </w:rPr>
        <w:t xml:space="preserve">Transaction Fee Enforcement:</w:t>
      </w:r>
      <w:r>
        <w:rPr>
          <w:rFonts w:ascii="Figtree" w:hAnsi="Figtree" w:eastAsia="Figtree"/>
          <w:sz w:val="22"/>
        </w:rPr>
        <w:t xml:space="preserve"> Apply and collect transaction fees as part of transfer execution.</w:t>
      </w:r>
    </w:p>
    <w:p>
      <w:pPr>
        <w:pStyle w:val="H3"/>
        <w:numPr>
          <w:ilvl w:val="2"/>
          <w:numId w:val="1"/>
        </w:numPr>
      </w:pPr>
      <w:r>
        <w:rPr/>
        <w:t xml:space="preserve">UAE Regulatory Alignment</w:t>
      </w:r>
    </w:p>
    <w:p>
      <w:pPr/>
      <w:r>
        <w:rPr>
          <w:rFonts w:ascii="Figtree" w:hAnsi="Figtree" w:eastAsia="Figtree"/>
          <w:sz w:val="22"/>
        </w:rPr>
        <w:t xml:space="preserve">DALP's compliance architecture maps directly to the requirements of UAE regulatory bodies:</w:t>
      </w:r>
    </w:p>
    <w:p>
      <w:pPr/>
      <w:r>
        <w:rPr>
          <w:rFonts w:ascii="Figtree" w:hAnsi="Figtree" w:eastAsia="Figtree"/>
          <w:b/>
          <w:sz w:val="22"/>
        </w:rPr>
        <w:t xml:space="preserve">CBUAE Alignment:</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CBUAE Requirement</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DALP Implementation</w:t>
            </w:r>
          </w:p>
        </w:tc>
      </w:tr>
      <w:tr>
        <w:tc>
          <w:tcPr/>
          <w:p>
            <w:pPr>
              <w:spacing w:after="0" w:line="240" w:lineRule="auto"/>
              <w:rPr>
                <w:rFonts w:ascii="Figtree" w:hAnsi="Figtree" w:eastAsia="Figtree"/>
                <w:sz w:val="20"/>
              </w:rPr>
            </w:pPr>
            <w:r>
              <w:rPr>
                <w:rFonts w:ascii="Figtree" w:hAnsi="Figtree" w:eastAsia="Figtree"/>
                <w:sz w:val="20"/>
              </w:rPr>
              <w:t xml:space="preserve">Stored value facility regulation</w:t>
            </w:r>
          </w:p>
        </w:tc>
        <w:tc>
          <w:tcPr/>
          <w:p>
            <w:pPr>
              <w:spacing w:after="0" w:line="240" w:lineRule="auto"/>
              <w:rPr>
                <w:rFonts w:ascii="Figtree" w:hAnsi="Figtree" w:eastAsia="Figtree"/>
                <w:sz w:val="20"/>
              </w:rPr>
            </w:pPr>
            <w:r>
              <w:rPr>
                <w:rFonts w:ascii="Figtree" w:hAnsi="Figtree" w:eastAsia="Figtree"/>
                <w:sz w:val="20"/>
              </w:rPr>
              <w:t xml:space="preserve">Stablecoin template with reserve monitoring and minting controls</w:t>
            </w:r>
          </w:p>
        </w:tc>
      </w:tr>
      <w:tr>
        <w:tc>
          <w:tcPr/>
          <w:p>
            <w:pPr>
              <w:spacing w:after="0" w:line="240" w:lineRule="auto"/>
              <w:rPr>
                <w:rFonts w:ascii="Figtree" w:hAnsi="Figtree" w:eastAsia="Figtree"/>
                <w:sz w:val="20"/>
              </w:rPr>
            </w:pPr>
            <w:r>
              <w:rPr>
                <w:rFonts w:ascii="Figtree" w:hAnsi="Figtree" w:eastAsia="Figtree"/>
                <w:sz w:val="20"/>
              </w:rPr>
              <w:t xml:space="preserve">Payment token oversight</w:t>
            </w:r>
          </w:p>
        </w:tc>
        <w:tc>
          <w:tcPr/>
          <w:p>
            <w:pPr>
              <w:spacing w:after="0" w:line="240" w:lineRule="auto"/>
              <w:rPr>
                <w:rFonts w:ascii="Figtree" w:hAnsi="Figtree" w:eastAsia="Figtree"/>
                <w:sz w:val="20"/>
              </w:rPr>
            </w:pPr>
            <w:r>
              <w:rPr>
                <w:rFonts w:ascii="Figtree" w:hAnsi="Figtree" w:eastAsia="Figtree"/>
                <w:sz w:val="20"/>
              </w:rPr>
              <w:t xml:space="preserve">Deposit token template with transaction limits and reporting</w:t>
            </w:r>
          </w:p>
        </w:tc>
      </w:tr>
      <w:tr>
        <w:tc>
          <w:tcPr/>
          <w:p>
            <w:pPr>
              <w:spacing w:after="0" w:line="240" w:lineRule="auto"/>
              <w:rPr>
                <w:rFonts w:ascii="Figtree" w:hAnsi="Figtree" w:eastAsia="Figtree"/>
                <w:sz w:val="20"/>
              </w:rPr>
            </w:pPr>
            <w:r>
              <w:rPr>
                <w:rFonts w:ascii="Figtree" w:hAnsi="Figtree" w:eastAsia="Figtree"/>
                <w:sz w:val="20"/>
              </w:rPr>
              <w:t xml:space="preserve">AML/CFT compliance</w:t>
            </w:r>
          </w:p>
        </w:tc>
        <w:tc>
          <w:tcPr/>
          <w:p>
            <w:pPr>
              <w:spacing w:after="0" w:line="240" w:lineRule="auto"/>
              <w:rPr>
                <w:rFonts w:ascii="Figtree" w:hAnsi="Figtree" w:eastAsia="Figtree"/>
                <w:sz w:val="20"/>
              </w:rPr>
            </w:pPr>
            <w:r>
              <w:rPr>
                <w:rFonts w:ascii="Figtree" w:hAnsi="Figtree" w:eastAsia="Figtree"/>
                <w:sz w:val="20"/>
              </w:rPr>
              <w:t xml:space="preserve">Identity verification through OnchainID, country restrictions, transaction monitoring</w:t>
            </w:r>
          </w:p>
        </w:tc>
      </w:tr>
      <w:tr>
        <w:tc>
          <w:tcPr/>
          <w:p>
            <w:pPr>
              <w:spacing w:after="0" w:line="240" w:lineRule="auto"/>
              <w:rPr>
                <w:rFonts w:ascii="Figtree" w:hAnsi="Figtree" w:eastAsia="Figtree"/>
                <w:sz w:val="20"/>
              </w:rPr>
            </w:pPr>
            <w:r>
              <w:rPr>
                <w:rFonts w:ascii="Figtree" w:hAnsi="Figtree" w:eastAsia="Figtree"/>
                <w:sz w:val="20"/>
              </w:rPr>
              <w:t xml:space="preserve">Data residency</w:t>
            </w:r>
          </w:p>
        </w:tc>
        <w:tc>
          <w:tcPr/>
          <w:p>
            <w:pPr>
              <w:spacing w:after="0" w:line="240" w:lineRule="auto"/>
              <w:rPr>
                <w:rFonts w:ascii="Figtree" w:hAnsi="Figtree" w:eastAsia="Figtree"/>
                <w:sz w:val="20"/>
              </w:rPr>
            </w:pPr>
            <w:r>
              <w:rPr>
                <w:rFonts w:ascii="Figtree" w:hAnsi="Figtree" w:eastAsia="Figtree"/>
                <w:sz w:val="20"/>
              </w:rPr>
              <w:t xml:space="preserve">On-premises deployment in UAE data centers</w:t>
            </w:r>
          </w:p>
        </w:tc>
      </w:tr>
      <w:tr>
        <w:tc>
          <w:tcPr/>
          <w:p>
            <w:pPr>
              <w:spacing w:after="0" w:line="240" w:lineRule="auto"/>
              <w:rPr>
                <w:rFonts w:ascii="Figtree" w:hAnsi="Figtree" w:eastAsia="Figtree"/>
                <w:sz w:val="20"/>
              </w:rPr>
            </w:pPr>
            <w:r>
              <w:rPr>
                <w:rFonts w:ascii="Figtree" w:hAnsi="Figtree" w:eastAsia="Figtree"/>
                <w:sz w:val="20"/>
              </w:rPr>
              <w:t xml:space="preserve">Reporting requirements</w:t>
            </w:r>
          </w:p>
        </w:tc>
        <w:tc>
          <w:tcPr/>
          <w:p>
            <w:pPr>
              <w:spacing w:after="0" w:line="240" w:lineRule="auto"/>
              <w:rPr>
                <w:rFonts w:ascii="Figtree" w:hAnsi="Figtree" w:eastAsia="Figtree"/>
                <w:sz w:val="20"/>
              </w:rPr>
            </w:pPr>
            <w:r>
              <w:rPr>
                <w:rFonts w:ascii="Figtree" w:hAnsi="Figtree" w:eastAsia="Figtree"/>
                <w:sz w:val="20"/>
              </w:rPr>
              <w:t xml:space="preserve">Structured audit logging with queryable event history</w:t>
            </w:r>
          </w:p>
        </w:tc>
      </w:tr>
    </w:tbl>
    <w:p>
      <w:pPr/>
      <w:r>
        <w:rPr>
          <w:rFonts w:ascii="Figtree" w:hAnsi="Figtree" w:eastAsia="Figtree"/>
          <w:b/>
          <w:sz w:val="22"/>
        </w:rPr>
        <w:t xml:space="preserve">VARA Alignment:</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VARA Requirement</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DALP Implementation</w:t>
            </w:r>
          </w:p>
        </w:tc>
      </w:tr>
      <w:tr>
        <w:tc>
          <w:tcPr/>
          <w:p>
            <w:pPr>
              <w:spacing w:after="0" w:line="240" w:lineRule="auto"/>
              <w:rPr>
                <w:rFonts w:ascii="Figtree" w:hAnsi="Figtree" w:eastAsia="Figtree"/>
                <w:sz w:val="20"/>
              </w:rPr>
            </w:pPr>
            <w:r>
              <w:rPr>
                <w:rFonts w:ascii="Figtree" w:hAnsi="Figtree" w:eastAsia="Figtree"/>
                <w:sz w:val="20"/>
              </w:rPr>
              <w:t xml:space="preserve">VASP licensing compliance</w:t>
            </w:r>
          </w:p>
        </w:tc>
        <w:tc>
          <w:tcPr/>
          <w:p>
            <w:pPr>
              <w:spacing w:after="0" w:line="240" w:lineRule="auto"/>
              <w:rPr>
                <w:rFonts w:ascii="Figtree" w:hAnsi="Figtree" w:eastAsia="Figtree"/>
                <w:sz w:val="20"/>
              </w:rPr>
            </w:pPr>
            <w:r>
              <w:rPr>
                <w:rFonts w:ascii="Figtree" w:hAnsi="Figtree" w:eastAsia="Figtree"/>
                <w:sz w:val="20"/>
              </w:rPr>
              <w:t xml:space="preserve">Platform governance controls, role-based access, audit trails</w:t>
            </w:r>
          </w:p>
        </w:tc>
      </w:tr>
      <w:tr>
        <w:tc>
          <w:tcPr/>
          <w:p>
            <w:pPr>
              <w:spacing w:after="0" w:line="240" w:lineRule="auto"/>
              <w:rPr>
                <w:rFonts w:ascii="Figtree" w:hAnsi="Figtree" w:eastAsia="Figtree"/>
                <w:sz w:val="20"/>
              </w:rPr>
            </w:pPr>
            <w:r>
              <w:rPr>
                <w:rFonts w:ascii="Figtree" w:hAnsi="Figtree" w:eastAsia="Figtree"/>
                <w:sz w:val="20"/>
              </w:rPr>
              <w:t xml:space="preserve">Transfer rules and restrictions</w:t>
            </w:r>
          </w:p>
        </w:tc>
        <w:tc>
          <w:tcPr/>
          <w:p>
            <w:pPr>
              <w:spacing w:after="0" w:line="240" w:lineRule="auto"/>
              <w:rPr>
                <w:rFonts w:ascii="Figtree" w:hAnsi="Figtree" w:eastAsia="Figtree"/>
                <w:sz w:val="20"/>
              </w:rPr>
            </w:pPr>
            <w:r>
              <w:rPr>
                <w:rFonts w:ascii="Figtree" w:hAnsi="Figtree" w:eastAsia="Figtree"/>
                <w:sz w:val="20"/>
              </w:rPr>
              <w:t xml:space="preserve">18 compliance module types with configurable policies</w:t>
            </w:r>
          </w:p>
        </w:tc>
      </w:tr>
      <w:tr>
        <w:tc>
          <w:tcPr/>
          <w:p>
            <w:pPr>
              <w:spacing w:after="0" w:line="240" w:lineRule="auto"/>
              <w:rPr>
                <w:rFonts w:ascii="Figtree" w:hAnsi="Figtree" w:eastAsia="Figtree"/>
                <w:sz w:val="20"/>
              </w:rPr>
            </w:pPr>
            <w:r>
              <w:rPr>
                <w:rFonts w:ascii="Figtree" w:hAnsi="Figtree" w:eastAsia="Figtree"/>
                <w:sz w:val="20"/>
              </w:rPr>
              <w:t xml:space="preserve">Investor protection</w:t>
            </w:r>
          </w:p>
        </w:tc>
        <w:tc>
          <w:tcPr/>
          <w:p>
            <w:pPr>
              <w:spacing w:after="0" w:line="240" w:lineRule="auto"/>
              <w:rPr>
                <w:rFonts w:ascii="Figtree" w:hAnsi="Figtree" w:eastAsia="Figtree"/>
                <w:sz w:val="20"/>
              </w:rPr>
            </w:pPr>
            <w:r>
              <w:rPr>
                <w:rFonts w:ascii="Figtree" w:hAnsi="Figtree" w:eastAsia="Figtree"/>
                <w:sz w:val="20"/>
              </w:rPr>
              <w:t xml:space="preserve">Ex-ante compliance enforcement, maximum holder counts, transfer limits</w:t>
            </w:r>
          </w:p>
        </w:tc>
      </w:tr>
      <w:tr>
        <w:tc>
          <w:tcPr/>
          <w:p>
            <w:pPr>
              <w:spacing w:after="0" w:line="240" w:lineRule="auto"/>
              <w:rPr>
                <w:rFonts w:ascii="Figtree" w:hAnsi="Figtree" w:eastAsia="Figtree"/>
                <w:sz w:val="20"/>
              </w:rPr>
            </w:pPr>
            <w:r>
              <w:rPr>
                <w:rFonts w:ascii="Figtree" w:hAnsi="Figtree" w:eastAsia="Figtree"/>
                <w:sz w:val="20"/>
              </w:rPr>
              <w:t xml:space="preserve">Record keeping</w:t>
            </w:r>
          </w:p>
        </w:tc>
        <w:tc>
          <w:tcPr/>
          <w:p>
            <w:pPr>
              <w:spacing w:after="0" w:line="240" w:lineRule="auto"/>
              <w:rPr>
                <w:rFonts w:ascii="Figtree" w:hAnsi="Figtree" w:eastAsia="Figtree"/>
                <w:sz w:val="20"/>
              </w:rPr>
            </w:pPr>
            <w:r>
              <w:rPr>
                <w:rFonts w:ascii="Figtree" w:hAnsi="Figtree" w:eastAsia="Figtree"/>
                <w:sz w:val="20"/>
              </w:rPr>
              <w:t xml:space="preserve">Immutable on-chain event history with off-chain structured logs</w:t>
            </w:r>
          </w:p>
        </w:tc>
      </w:tr>
      <w:tr>
        <w:tc>
          <w:tcPr/>
          <w:p>
            <w:pPr>
              <w:spacing w:after="0" w:line="240" w:lineRule="auto"/>
              <w:rPr>
                <w:rFonts w:ascii="Figtree" w:hAnsi="Figtree" w:eastAsia="Figtree"/>
                <w:sz w:val="20"/>
              </w:rPr>
            </w:pPr>
            <w:r>
              <w:rPr>
                <w:rFonts w:ascii="Figtree" w:hAnsi="Figtree" w:eastAsia="Figtree"/>
                <w:sz w:val="20"/>
              </w:rPr>
              <w:t xml:space="preserve">Risk management</w:t>
            </w:r>
          </w:p>
        </w:tc>
        <w:tc>
          <w:tcPr/>
          <w:p>
            <w:pPr>
              <w:spacing w:after="0" w:line="240" w:lineRule="auto"/>
              <w:rPr>
                <w:rFonts w:ascii="Figtree" w:hAnsi="Figtree" w:eastAsia="Figtree"/>
                <w:sz w:val="20"/>
              </w:rPr>
            </w:pPr>
            <w:r>
              <w:rPr>
                <w:rFonts w:ascii="Figtree" w:hAnsi="Figtree" w:eastAsia="Figtree"/>
                <w:sz w:val="20"/>
              </w:rPr>
              <w:t xml:space="preserve">Multi-layer compliance architecture, maker-checker approvals</w:t>
            </w:r>
          </w:p>
        </w:tc>
      </w:tr>
    </w:tbl>
    <w:p>
      <w:pPr/>
      <w:r>
        <w:rPr>
          <w:rFonts w:ascii="Figtree" w:hAnsi="Figtree" w:eastAsia="Figtree"/>
          <w:b/>
          <w:sz w:val="22"/>
        </w:rPr>
        <w:t xml:space="preserve">DFSA Alignment:</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DFSA Requirement</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DALP Implementation</w:t>
            </w:r>
          </w:p>
        </w:tc>
      </w:tr>
      <w:tr>
        <w:tc>
          <w:tcPr/>
          <w:p>
            <w:pPr>
              <w:spacing w:after="0" w:line="240" w:lineRule="auto"/>
              <w:rPr>
                <w:rFonts w:ascii="Figtree" w:hAnsi="Figtree" w:eastAsia="Figtree"/>
                <w:sz w:val="20"/>
              </w:rPr>
            </w:pPr>
            <w:r>
              <w:rPr>
                <w:rFonts w:ascii="Figtree" w:hAnsi="Figtree" w:eastAsia="Figtree"/>
                <w:sz w:val="20"/>
              </w:rPr>
              <w:t xml:space="preserve">Security token classification</w:t>
            </w:r>
          </w:p>
        </w:tc>
        <w:tc>
          <w:tcPr/>
          <w:p>
            <w:pPr>
              <w:spacing w:after="0" w:line="240" w:lineRule="auto"/>
              <w:rPr>
                <w:rFonts w:ascii="Figtree" w:hAnsi="Figtree" w:eastAsia="Figtree"/>
                <w:sz w:val="20"/>
              </w:rPr>
            </w:pPr>
            <w:r>
              <w:rPr>
                <w:rFonts w:ascii="Figtree" w:hAnsi="Figtree" w:eastAsia="Figtree"/>
                <w:sz w:val="20"/>
              </w:rPr>
              <w:t xml:space="preserve">Asset templates with built-in classification claims</w:t>
            </w:r>
          </w:p>
        </w:tc>
      </w:tr>
      <w:tr>
        <w:tc>
          <w:tcPr/>
          <w:p>
            <w:pPr>
              <w:spacing w:after="0" w:line="240" w:lineRule="auto"/>
              <w:rPr>
                <w:rFonts w:ascii="Figtree" w:hAnsi="Figtree" w:eastAsia="Figtree"/>
                <w:sz w:val="20"/>
              </w:rPr>
            </w:pPr>
            <w:r>
              <w:rPr>
                <w:rFonts w:ascii="Figtree" w:hAnsi="Figtree" w:eastAsia="Figtree"/>
                <w:sz w:val="20"/>
              </w:rPr>
              <w:t xml:space="preserve">Qualified investor verification</w:t>
            </w:r>
          </w:p>
        </w:tc>
        <w:tc>
          <w:tcPr/>
          <w:p>
            <w:pPr>
              <w:spacing w:after="0" w:line="240" w:lineRule="auto"/>
              <w:rPr>
                <w:rFonts w:ascii="Figtree" w:hAnsi="Figtree" w:eastAsia="Figtree"/>
                <w:sz w:val="20"/>
              </w:rPr>
            </w:pPr>
            <w:r>
              <w:rPr>
                <w:rFonts w:ascii="Figtree" w:hAnsi="Figtree" w:eastAsia="Figtree"/>
                <w:sz w:val="20"/>
              </w:rPr>
              <w:t xml:space="preserve">Investor accreditation compliance modules</w:t>
            </w:r>
          </w:p>
        </w:tc>
      </w:tr>
      <w:tr>
        <w:tc>
          <w:tcPr/>
          <w:p>
            <w:pPr>
              <w:spacing w:after="0" w:line="240" w:lineRule="auto"/>
              <w:rPr>
                <w:rFonts w:ascii="Figtree" w:hAnsi="Figtree" w:eastAsia="Figtree"/>
                <w:sz w:val="20"/>
              </w:rPr>
            </w:pPr>
            <w:r>
              <w:rPr>
                <w:rFonts w:ascii="Figtree" w:hAnsi="Figtree" w:eastAsia="Figtree"/>
                <w:sz w:val="20"/>
              </w:rPr>
              <w:t xml:space="preserve">Prospectus requirements</w:t>
            </w:r>
          </w:p>
        </w:tc>
        <w:tc>
          <w:tcPr/>
          <w:p>
            <w:pPr>
              <w:spacing w:after="0" w:line="240" w:lineRule="auto"/>
              <w:rPr>
                <w:rFonts w:ascii="Figtree" w:hAnsi="Figtree" w:eastAsia="Figtree"/>
                <w:sz w:val="20"/>
              </w:rPr>
            </w:pPr>
            <w:r>
              <w:rPr>
                <w:rFonts w:ascii="Figtree" w:hAnsi="Figtree" w:eastAsia="Figtree"/>
                <w:sz w:val="20"/>
              </w:rPr>
              <w:t xml:space="preserve">Document management system with versioning and controlled disclosure</w:t>
            </w:r>
          </w:p>
        </w:tc>
      </w:tr>
      <w:tr>
        <w:tc>
          <w:tcPr/>
          <w:p>
            <w:pPr>
              <w:spacing w:after="0" w:line="240" w:lineRule="auto"/>
              <w:rPr>
                <w:rFonts w:ascii="Figtree" w:hAnsi="Figtree" w:eastAsia="Figtree"/>
                <w:sz w:val="20"/>
              </w:rPr>
            </w:pPr>
            <w:r>
              <w:rPr>
                <w:rFonts w:ascii="Figtree" w:hAnsi="Figtree" w:eastAsia="Figtree"/>
                <w:sz w:val="20"/>
              </w:rPr>
              <w:t xml:space="preserve">Market conduct rules</w:t>
            </w:r>
          </w:p>
        </w:tc>
        <w:tc>
          <w:tcPr/>
          <w:p>
            <w:pPr>
              <w:spacing w:after="0" w:line="240" w:lineRule="auto"/>
              <w:rPr>
                <w:rFonts w:ascii="Figtree" w:hAnsi="Figtree" w:eastAsia="Figtree"/>
                <w:sz w:val="20"/>
              </w:rPr>
            </w:pPr>
            <w:r>
              <w:rPr>
                <w:rFonts w:ascii="Figtree" w:hAnsi="Figtree" w:eastAsia="Figtree"/>
                <w:sz w:val="20"/>
              </w:rPr>
              <w:t xml:space="preserve">Transfer restrictions, trading windows, address-specific controls</w:t>
            </w:r>
          </w:p>
        </w:tc>
      </w:tr>
      <w:tr>
        <w:tc>
          <w:tcPr/>
          <w:p>
            <w:pPr>
              <w:spacing w:after="0" w:line="240" w:lineRule="auto"/>
              <w:rPr>
                <w:rFonts w:ascii="Figtree" w:hAnsi="Figtree" w:eastAsia="Figtree"/>
                <w:sz w:val="20"/>
              </w:rPr>
            </w:pPr>
            <w:r>
              <w:rPr>
                <w:rFonts w:ascii="Figtree" w:hAnsi="Figtree" w:eastAsia="Figtree"/>
                <w:sz w:val="20"/>
              </w:rPr>
              <w:t xml:space="preserve">Custody requirements</w:t>
            </w:r>
          </w:p>
        </w:tc>
        <w:tc>
          <w:tcPr/>
          <w:p>
            <w:pPr>
              <w:spacing w:after="0" w:line="240" w:lineRule="auto"/>
              <w:rPr>
                <w:rFonts w:ascii="Figtree" w:hAnsi="Figtree" w:eastAsia="Figtree"/>
                <w:sz w:val="20"/>
              </w:rPr>
            </w:pPr>
            <w:r>
              <w:rPr>
                <w:rFonts w:ascii="Figtree" w:hAnsi="Figtree" w:eastAsia="Figtree"/>
                <w:sz w:val="20"/>
              </w:rPr>
              <w:t xml:space="preserve">Institutional custody integration with Fireblocks/DFNS, HSM support</w:t>
            </w:r>
          </w:p>
        </w:tc>
      </w:tr>
    </w:tbl>
    <w:p>
      <w:pPr>
        <w:pStyle w:val="H3"/>
        <w:numPr>
          <w:ilvl w:val="2"/>
          <w:numId w:val="1"/>
        </w:numPr>
      </w:pPr>
      <w:r>
        <w:rPr/>
        <w:t xml:space="preserve">Identity Verification and KYC/KYB Integration</w:t>
      </w:r>
    </w:p>
    <w:p>
      <w:pPr/>
      <w:r>
        <w:rPr>
          <w:rFonts w:ascii="Figtree" w:hAnsi="Figtree" w:eastAsia="Figtree"/>
          <w:sz w:val="22"/>
        </w:rPr>
        <w:t xml:space="preserve">DALP's identity system operates as a trust layer, not a verification service:</w:t>
      </w:r>
    </w:p>
    <w:p>
      <w:pPr>
        <w:pStyle w:val="List Paragraph"/>
      </w:pPr>
      <w:r>
        <w:rPr>
          <w:rFonts w:ascii="Figtree" w:hAnsi="Figtree" w:eastAsia="Figtree"/>
          <w:b/>
          <w:sz w:val="22"/>
        </w:rPr>
        <w:t xml:space="preserve">OnchainID</w:t>
      </w:r>
      <w:r>
        <w:rPr>
          <w:rFonts w:ascii="Figtree" w:hAnsi="Figtree" w:eastAsia="Figtree"/>
          <w:sz w:val="22"/>
        </w:rPr>
        <w:t xml:space="preserve"> provides the on-chain identity standard. Every investor, issuer, and institutional participant has a verifiable on-chain identity.</w:t>
      </w:r>
    </w:p>
    <w:p>
      <w:pPr>
        <w:pStyle w:val="List Paragraph"/>
      </w:pPr>
      <w:r>
        <w:rPr>
          <w:rFonts w:ascii="Figtree" w:hAnsi="Figtree" w:eastAsia="Figtree"/>
          <w:b/>
          <w:sz w:val="22"/>
        </w:rPr>
        <w:t xml:space="preserve">Claim-based verification</w:t>
      </w:r>
      <w:r>
        <w:rPr>
          <w:rFonts w:ascii="Figtree" w:hAnsi="Figtree" w:eastAsia="Figtree"/>
          <w:sz w:val="22"/>
        </w:rPr>
        <w:t xml:space="preserve"> records KYC/KYB credentials as claims on the identity. Claims are issued by trusted issuers (the KYC/KYB provider) and verified by the compliance engine at transfer time.</w:t>
      </w:r>
    </w:p>
    <w:p>
      <w:pPr>
        <w:pStyle w:val="List Paragraph"/>
      </w:pPr>
      <w:r>
        <w:rPr>
          <w:rFonts w:ascii="Figtree" w:hAnsi="Figtree" w:eastAsia="Figtree"/>
          <w:b/>
          <w:sz w:val="22"/>
        </w:rPr>
        <w:t xml:space="preserve">KYC Profile Management</w:t>
      </w:r>
      <w:r>
        <w:rPr>
          <w:rFonts w:ascii="Figtree" w:hAnsi="Figtree" w:eastAsia="Figtree"/>
          <w:sz w:val="22"/>
        </w:rPr>
        <w:t xml:space="preserve"> includes full lifecycle control: submission, review (approve/reject/request-update), fulfillment tracking, and content-hash verification for data integrity.</w:t>
      </w:r>
    </w:p>
    <w:p>
      <w:pPr>
        <w:pStyle w:val="List Paragraph"/>
      </w:pPr>
      <w:r>
        <w:rPr>
          <w:rFonts w:ascii="Figtree" w:hAnsi="Figtree" w:eastAsia="Figtree"/>
          <w:b/>
          <w:sz w:val="22"/>
        </w:rPr>
        <w:t xml:space="preserve">Reusable credentials:</w:t>
      </w:r>
      <w:r>
        <w:rPr>
          <w:rFonts w:ascii="Figtree" w:hAnsi="Figtree" w:eastAsia="Figtree"/>
          <w:sz w:val="22"/>
        </w:rPr>
        <w:t xml:space="preserve"> An investor onboarded once can participate across all assets and transactions without re-verification. Claims are reusable across the platform.</w:t>
      </w:r>
    </w:p>
    <w:p>
      <w:pPr/>
      <w:r>
        <w:rPr>
          <w:rFonts w:ascii="Figtree" w:hAnsi="Figtree" w:eastAsia="Figtree"/>
          <w:sz w:val="22"/>
        </w:rPr>
        <w:t xml:space="preserve">DALP does not perform KYC checks itself. It integrates with Mashreq Bank's existing KYC/KYB providers and enforces the claims those providers issue.</w:t>
      </w:r>
    </w:p>
    <w:p>
      <w:pPr>
        <w:pStyle w:val="H3"/>
        <w:numPr>
          <w:ilvl w:val="2"/>
          <w:numId w:val="1"/>
        </w:numPr>
      </w:pPr>
      <w:r>
        <w:rPr/>
        <w:t xml:space="preserve">Audit Trails and Regulatory Reporting</w:t>
      </w:r>
    </w:p>
    <w:p>
      <w:pPr/>
      <w:r>
        <w:rPr>
          <w:rFonts w:ascii="Figtree" w:hAnsi="Figtree" w:eastAsia="Figtree"/>
          <w:sz w:val="22"/>
        </w:rPr>
        <w:t xml:space="preserve">Every action in DALP generates a queryable audit record:</w:t>
      </w:r>
    </w:p>
    <w:p>
      <w:pPr>
        <w:pStyle w:val="List Paragraph"/>
      </w:pPr>
      <w:r>
        <w:rPr>
          <w:rFonts w:ascii="Figtree" w:hAnsi="Figtree" w:eastAsia="Figtree"/>
          <w:b/>
          <w:sz w:val="22"/>
        </w:rPr>
        <w:t xml:space="preserve">On-chain events:</w:t>
      </w:r>
      <w:r>
        <w:rPr>
          <w:rFonts w:ascii="Figtree" w:hAnsi="Figtree" w:eastAsia="Figtree"/>
          <w:sz w:val="22"/>
        </w:rPr>
        <w:t xml:space="preserve"> All token operations, compliance decisions, and settlement actions emit blockchain events indexed by the subgraph layer</w:t>
      </w:r>
    </w:p>
    <w:p>
      <w:pPr>
        <w:pStyle w:val="List Paragraph"/>
      </w:pPr>
      <w:r>
        <w:rPr>
          <w:rFonts w:ascii="Figtree" w:hAnsi="Figtree" w:eastAsia="Figtree"/>
          <w:b/>
          <w:sz w:val="22"/>
        </w:rPr>
        <w:t xml:space="preserve">Off-chain structured logs:</w:t>
      </w:r>
      <w:r>
        <w:rPr>
          <w:rFonts w:ascii="Figtree" w:hAnsi="Figtree" w:eastAsia="Figtree"/>
          <w:sz w:val="22"/>
        </w:rPr>
        <w:t xml:space="preserve"> Platform operations, API calls, and administrative actions are logged with structured metadata</w:t>
      </w:r>
    </w:p>
    <w:p>
      <w:pPr>
        <w:pStyle w:val="List Paragraph"/>
      </w:pPr>
      <w:r>
        <w:rPr>
          <w:rFonts w:ascii="Figtree" w:hAnsi="Figtree" w:eastAsia="Figtree"/>
          <w:b/>
          <w:sz w:val="22"/>
        </w:rPr>
        <w:t xml:space="preserve">Activity tracking:</w:t>
      </w:r>
      <w:r>
        <w:rPr>
          <w:rFonts w:ascii="Figtree" w:hAnsi="Figtree" w:eastAsia="Figtree"/>
          <w:sz w:val="22"/>
        </w:rPr>
        <w:t xml:space="preserve"> Account-level blockchain event history with time-series aggregation for charting and analysis</w:t>
      </w:r>
    </w:p>
    <w:p>
      <w:pPr>
        <w:pStyle w:val="List Paragraph"/>
      </w:pPr>
      <w:r>
        <w:rPr>
          <w:rFonts w:ascii="Figtree" w:hAnsi="Figtree" w:eastAsia="Figtree"/>
          <w:b/>
          <w:sz w:val="22"/>
        </w:rPr>
        <w:t xml:space="preserve">Permission-aware search:</w:t>
      </w:r>
      <w:r>
        <w:rPr>
          <w:rFonts w:ascii="Figtree" w:hAnsi="Figtree" w:eastAsia="Figtree"/>
          <w:sz w:val="22"/>
        </w:rPr>
        <w:t xml:space="preserve"> Global discovery across contacts, users, and token entities with role-based visibility controls</w:t>
      </w:r>
    </w:p>
    <w:p>
      <w:pPr>
        <w:pStyle w:val="List Paragraph"/>
      </w:pPr>
      <w:r>
        <w:rPr>
          <w:rFonts w:ascii="Figtree" w:hAnsi="Figtree" w:eastAsia="Figtree"/>
          <w:b/>
          <w:sz w:val="22"/>
        </w:rPr>
        <w:t xml:space="preserve">Export capability:</w:t>
      </w:r>
      <w:r>
        <w:rPr>
          <w:rFonts w:ascii="Figtree" w:hAnsi="Figtree" w:eastAsia="Figtree"/>
          <w:sz w:val="22"/>
        </w:rPr>
        <w:t xml:space="preserve"> Document listings exportable as CSV/JSON for audits and downstream reporting</w:t>
      </w:r>
    </w:p>
    <w:p>
      <w:r>
        <w:br w:type="page"/>
      </w:r>
    </w:p>
    <w:p>
      <w:pPr>
        <w:pStyle w:val="H2"/>
        <w:numPr>
          <w:ilvl w:val="1"/>
          <w:numId w:val="1"/>
        </w:numPr>
      </w:pPr>
      <w:r>
        <w:rPr/>
        <w:t xml:space="preserve">7. Technical Architecture</w:t>
      </w:r>
    </w:p>
    <w:p>
      <w:pPr>
        <w:pStyle w:val="H3"/>
        <w:numPr>
          <w:ilvl w:val="2"/>
          <w:numId w:val="1"/>
        </w:numPr>
      </w:pPr>
      <w:r>
        <w:rPr/>
        <w:t xml:space="preserve">Component Architecture</w:t>
      </w:r>
    </w:p>
    <w:p>
      <w:pPr/>
      <w:r>
        <w:rPr>
          <w:rFonts w:ascii="Figtree" w:hAnsi="Figtree" w:eastAsia="Figtree"/>
          <w:sz w:val="22"/>
        </w:rPr>
        <w:t xml:space="preserve">DALP's runtime consists of several integrated components, each with a defined responsibility boundary:</w:t>
      </w:r>
    </w:p>
    <w:p>
      <w:pPr/>
      <w:r>
        <w:rPr>
          <w:rFonts w:ascii="Figtree" w:hAnsi="Figtree" w:eastAsia="Figtree"/>
          <w:b/>
          <w:sz w:val="22"/>
        </w:rPr>
        <w:t xml:space="preserve">DAPI (Durable API Service)</w:t>
      </w:r>
    </w:p>
    <w:p>
      <w:pPr/>
      <w:r>
        <w:rPr>
          <w:rFonts w:ascii="Figtree" w:hAnsi="Figtree" w:eastAsia="Figtree"/>
          <w:sz w:val="22"/>
        </w:rPr>
        <w:t xml:space="preserve">The core API layer that exposes all platform capabilities through oRPC endpoints. DAPI implements a middleware control plane that converts authenticated API traffic into tenant-scoped, permission-aware, execution-ready operations. The middleware stack composes: session authentication, organization role synchronization, system context hydration, token context hydration, wallet verification, and durable workflow submission.</w:t>
      </w:r>
    </w:p>
    <w:p>
      <w:pPr/>
      <w:r>
        <w:rPr>
          <w:rFonts w:ascii="Figtree" w:hAnsi="Figtree" w:eastAsia="Figtree"/>
          <w:sz w:val="22"/>
        </w:rPr>
        <w:t xml:space="preserve">Two API surfaces serve different consumers:</w:t>
      </w:r>
    </w:p>
    <w:p>
      <w:pPr>
        <w:pStyle w:val="List Paragraph"/>
        <w:numPr>
          <w:ilvl w:val="0"/>
          <w:numId w:val="4"/>
        </w:numPr>
      </w:pPr>
      <w:r>
        <w:rPr>
          <w:rFonts w:ascii="Figtree" w:hAnsi="Figtree" w:eastAsia="Figtree"/>
          <w:sz w:val="22"/>
        </w:rPr>
        <w:t xml:space="preserve">`/api/rpc`: Session/cookie authentication for the DALP dApp frontend</w:t>
      </w:r>
    </w:p>
    <w:p>
      <w:pPr>
        <w:pStyle w:val="List Paragraph"/>
        <w:numPr>
          <w:ilvl w:val="0"/>
          <w:numId w:val="4"/>
        </w:numPr>
      </w:pPr>
      <w:r>
        <w:rPr>
          <w:rFonts w:ascii="Figtree" w:hAnsi="Figtree" w:eastAsia="Figtree"/>
          <w:sz w:val="22"/>
        </w:rPr>
        <w:t xml:space="preserve">`/api/v2`: API key authentication with HTTP-method-based scope enforcement for programmatic integrations (read-only GET/HEAD/OPTIONS vs read-write POST/PUT/PATCH/DELETE)</w:t>
      </w:r>
    </w:p>
    <w:p>
      <w:pPr/>
      <w:r>
        <w:rPr>
          <w:rFonts w:ascii="Figtree" w:hAnsi="Figtree" w:eastAsia="Figtree"/>
          <w:b/>
          <w:sz w:val="22"/>
        </w:rPr>
        <w:t xml:space="preserve">DIDX (Digital Identity Exchange)</w:t>
      </w:r>
    </w:p>
    <w:p>
      <w:pPr/>
      <w:r>
        <w:rPr>
          <w:rFonts w:ascii="Figtree" w:hAnsi="Figtree" w:eastAsia="Figtree"/>
          <w:sz w:val="22"/>
        </w:rPr>
        <w:t xml:space="preserve">The identity and claims management layer. Handles OnchainID deployment, claim issuance and revocation, trusted issuer registry management, and identity recovery workflows. Identity recovery is a durable, phase-tracked process: creating-wallet, deploying-identity, recovering-identity, revoking-sessions, recovering-tokens, through to terminal state.</w:t>
      </w:r>
    </w:p>
    <w:p>
      <w:pPr/>
      <w:r>
        <w:rPr>
          <w:rFonts w:ascii="Figtree" w:hAnsi="Figtree" w:eastAsia="Figtree"/>
          <w:b/>
          <w:sz w:val="22"/>
        </w:rPr>
        <w:t xml:space="preserve">DDWF (Durable Distributed Workflow Framework)</w:t>
      </w:r>
    </w:p>
    <w:p>
      <w:pPr/>
      <w:r>
        <w:rPr>
          <w:rFonts w:ascii="Figtree" w:hAnsi="Figtree" w:eastAsia="Figtree"/>
          <w:sz w:val="22"/>
        </w:rPr>
        <w:t xml:space="preserve">Built on Restate, DDWF provides the execution substrate for all multi-step operations. Virtual objects provide partition-level exclusive locking. Workflows survive process restarts and infrastructure failures. The framework handles nonce management, transaction processing, confirmation watching, and settlement orchestration.</w:t>
      </w:r>
    </w:p>
    <w:p>
      <w:pPr/>
      <w:r>
        <w:rPr>
          <w:rFonts w:ascii="Figtree" w:hAnsi="Figtree" w:eastAsia="Figtree"/>
          <w:b/>
          <w:sz w:val="22"/>
        </w:rPr>
        <w:t xml:space="preserve">Chain Gateway</w:t>
      </w:r>
    </w:p>
    <w:p>
      <w:pPr/>
      <w:r>
        <w:rPr>
          <w:rFonts w:ascii="Figtree" w:hAnsi="Figtree" w:eastAsia="Figtree"/>
          <w:sz w:val="22"/>
        </w:rPr>
        <w:t xml:space="preserve">Normalizes blockchain network interactions. Supports any EVM-compatible network through the Ethereum JSON-RPC specification. Per-chain identity isolation, per-chain compliance isolation, and per-chain indexer instances ensure clean separation across network deployments.</w:t>
      </w:r>
    </w:p>
    <w:p>
      <w:pPr/>
      <w:r>
        <w:rPr>
          <w:rFonts w:ascii="Figtree" w:hAnsi="Figtree" w:eastAsia="Figtree"/>
          <w:b/>
          <w:sz w:val="22"/>
        </w:rPr>
        <w:t xml:space="preserve">Key Guardian</w:t>
      </w:r>
    </w:p>
    <w:p>
      <w:pPr/>
      <w:r>
        <w:rPr>
          <w:rFonts w:ascii="Figtree" w:hAnsi="Figtree" w:eastAsia="Figtree"/>
          <w:sz w:val="22"/>
        </w:rPr>
        <w:t xml:space="preserve">The custody abstraction layer supporting multiple storage backends:</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Backend</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Protection Level</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Use Case</w:t>
            </w:r>
          </w:p>
        </w:tc>
      </w:tr>
      <w:tr>
        <w:tc>
          <w:tcPr/>
          <w:p>
            <w:pPr>
              <w:spacing w:after="0" w:line="240" w:lineRule="auto"/>
              <w:rPr>
                <w:rFonts w:ascii="Figtree" w:hAnsi="Figtree" w:eastAsia="Figtree"/>
                <w:sz w:val="20"/>
              </w:rPr>
            </w:pPr>
            <w:r>
              <w:rPr>
                <w:rFonts w:ascii="Figtree" w:hAnsi="Figtree" w:eastAsia="Figtree"/>
                <w:sz w:val="20"/>
              </w:rPr>
              <w:t xml:space="preserve">Encrypted database</w:t>
            </w:r>
          </w:p>
        </w:tc>
        <w:tc>
          <w:tcPr/>
          <w:p>
            <w:pPr>
              <w:spacing w:after="0" w:line="240" w:lineRule="auto"/>
              <w:rPr>
                <w:rFonts w:ascii="Figtree" w:hAnsi="Figtree" w:eastAsia="Figtree"/>
                <w:sz w:val="20"/>
              </w:rPr>
            </w:pPr>
            <w:r>
              <w:rPr>
                <w:rFonts w:ascii="Figtree" w:hAnsi="Figtree" w:eastAsia="Figtree"/>
                <w:sz w:val="20"/>
              </w:rPr>
              <w:t xml:space="preserve">Application-level encryption</w:t>
            </w:r>
          </w:p>
        </w:tc>
        <w:tc>
          <w:tcPr/>
          <w:p>
            <w:pPr>
              <w:spacing w:after="0" w:line="240" w:lineRule="auto"/>
              <w:rPr>
                <w:rFonts w:ascii="Figtree" w:hAnsi="Figtree" w:eastAsia="Figtree"/>
                <w:sz w:val="20"/>
              </w:rPr>
            </w:pPr>
            <w:r>
              <w:rPr>
                <w:rFonts w:ascii="Figtree" w:hAnsi="Figtree" w:eastAsia="Figtree"/>
                <w:sz w:val="20"/>
              </w:rPr>
              <w:t xml:space="preserve">Development and testing</w:t>
            </w:r>
          </w:p>
        </w:tc>
      </w:tr>
      <w:tr>
        <w:tc>
          <w:tcPr/>
          <w:p>
            <w:pPr>
              <w:spacing w:after="0" w:line="240" w:lineRule="auto"/>
              <w:rPr>
                <w:rFonts w:ascii="Figtree" w:hAnsi="Figtree" w:eastAsia="Figtree"/>
                <w:sz w:val="20"/>
              </w:rPr>
            </w:pPr>
            <w:r>
              <w:rPr>
                <w:rFonts w:ascii="Figtree" w:hAnsi="Figtree" w:eastAsia="Figtree"/>
                <w:sz w:val="20"/>
              </w:rPr>
              <w:t xml:space="preserve">AWS Secrets Manager / GCP Secret Manager / Azure Key Vault</w:t>
            </w:r>
          </w:p>
        </w:tc>
        <w:tc>
          <w:tcPr/>
          <w:p>
            <w:pPr>
              <w:spacing w:after="0" w:line="240" w:lineRule="auto"/>
              <w:rPr>
                <w:rFonts w:ascii="Figtree" w:hAnsi="Figtree" w:eastAsia="Figtree"/>
                <w:sz w:val="20"/>
              </w:rPr>
            </w:pPr>
            <w:r>
              <w:rPr>
                <w:rFonts w:ascii="Figtree" w:hAnsi="Figtree" w:eastAsia="Figtree"/>
                <w:sz w:val="20"/>
              </w:rPr>
              <w:t xml:space="preserve">Platform-managed encryption</w:t>
            </w:r>
          </w:p>
        </w:tc>
        <w:tc>
          <w:tcPr/>
          <w:p>
            <w:pPr>
              <w:spacing w:after="0" w:line="240" w:lineRule="auto"/>
              <w:rPr>
                <w:rFonts w:ascii="Figtree" w:hAnsi="Figtree" w:eastAsia="Figtree"/>
                <w:sz w:val="20"/>
              </w:rPr>
            </w:pPr>
            <w:r>
              <w:rPr>
                <w:rFonts w:ascii="Figtree" w:hAnsi="Figtree" w:eastAsia="Figtree"/>
                <w:sz w:val="20"/>
              </w:rPr>
              <w:t xml:space="preserve">Standard production</w:t>
            </w:r>
          </w:p>
        </w:tc>
      </w:tr>
      <w:tr>
        <w:tc>
          <w:tcPr/>
          <w:p>
            <w:pPr>
              <w:spacing w:after="0" w:line="240" w:lineRule="auto"/>
              <w:rPr>
                <w:rFonts w:ascii="Figtree" w:hAnsi="Figtree" w:eastAsia="Figtree"/>
                <w:sz w:val="20"/>
              </w:rPr>
            </w:pPr>
            <w:r>
              <w:rPr>
                <w:rFonts w:ascii="Figtree" w:hAnsi="Figtree" w:eastAsia="Figtree"/>
                <w:sz w:val="20"/>
              </w:rPr>
              <w:t xml:space="preserve">HSM</w:t>
            </w:r>
          </w:p>
        </w:tc>
        <w:tc>
          <w:tcPr/>
          <w:p>
            <w:pPr>
              <w:spacing w:after="0" w:line="240" w:lineRule="auto"/>
              <w:rPr>
                <w:rFonts w:ascii="Figtree" w:hAnsi="Figtree" w:eastAsia="Figtree"/>
                <w:sz w:val="20"/>
              </w:rPr>
            </w:pPr>
            <w:r>
              <w:rPr>
                <w:rFonts w:ascii="Figtree" w:hAnsi="Figtree" w:eastAsia="Figtree"/>
                <w:sz w:val="20"/>
              </w:rPr>
              <w:t xml:space="preserve">FIPS 140-2 Level 3</w:t>
            </w:r>
          </w:p>
        </w:tc>
        <w:tc>
          <w:tcPr/>
          <w:p>
            <w:pPr>
              <w:spacing w:after="0" w:line="240" w:lineRule="auto"/>
              <w:rPr>
                <w:rFonts w:ascii="Figtree" w:hAnsi="Figtree" w:eastAsia="Figtree"/>
                <w:sz w:val="20"/>
              </w:rPr>
            </w:pPr>
            <w:r>
              <w:rPr>
                <w:rFonts w:ascii="Figtree" w:hAnsi="Figtree" w:eastAsia="Figtree"/>
                <w:sz w:val="20"/>
              </w:rPr>
              <w:t xml:space="preserve">Regulated financial services</w:t>
            </w:r>
          </w:p>
        </w:tc>
      </w:tr>
      <w:tr>
        <w:tc>
          <w:tcPr/>
          <w:p>
            <w:pPr>
              <w:spacing w:after="0" w:line="240" w:lineRule="auto"/>
              <w:rPr>
                <w:rFonts w:ascii="Figtree" w:hAnsi="Figtree" w:eastAsia="Figtree"/>
                <w:sz w:val="20"/>
              </w:rPr>
            </w:pPr>
            <w:r>
              <w:rPr>
                <w:rFonts w:ascii="Figtree" w:hAnsi="Figtree" w:eastAsia="Figtree"/>
                <w:sz w:val="20"/>
              </w:rPr>
              <w:t xml:space="preserve">DFNS (MPC)</w:t>
            </w:r>
          </w:p>
        </w:tc>
        <w:tc>
          <w:tcPr/>
          <w:p>
            <w:pPr>
              <w:spacing w:after="0" w:line="240" w:lineRule="auto"/>
              <w:rPr>
                <w:rFonts w:ascii="Figtree" w:hAnsi="Figtree" w:eastAsia="Figtree"/>
                <w:sz w:val="20"/>
              </w:rPr>
            </w:pPr>
            <w:r>
              <w:rPr>
                <w:rFonts w:ascii="Figtree" w:hAnsi="Figtree" w:eastAsia="Figtree"/>
                <w:sz w:val="20"/>
              </w:rPr>
              <w:t xml:space="preserve">Threshold MPC with programmatic approval</w:t>
            </w:r>
          </w:p>
        </w:tc>
        <w:tc>
          <w:tcPr/>
          <w:p>
            <w:pPr>
              <w:spacing w:after="0" w:line="240" w:lineRule="auto"/>
              <w:rPr>
                <w:rFonts w:ascii="Figtree" w:hAnsi="Figtree" w:eastAsia="Figtree"/>
                <w:sz w:val="20"/>
              </w:rPr>
            </w:pPr>
            <w:r>
              <w:rPr>
                <w:rFonts w:ascii="Figtree" w:hAnsi="Figtree" w:eastAsia="Figtree"/>
                <w:sz w:val="20"/>
              </w:rPr>
              <w:t xml:space="preserve">Institutional custody</w:t>
            </w:r>
          </w:p>
        </w:tc>
      </w:tr>
      <w:tr>
        <w:tc>
          <w:tcPr/>
          <w:p>
            <w:pPr>
              <w:spacing w:after="0" w:line="240" w:lineRule="auto"/>
              <w:rPr>
                <w:rFonts w:ascii="Figtree" w:hAnsi="Figtree" w:eastAsia="Figtree"/>
                <w:sz w:val="20"/>
              </w:rPr>
            </w:pPr>
            <w:r>
              <w:rPr>
                <w:rFonts w:ascii="Figtree" w:hAnsi="Figtree" w:eastAsia="Figtree"/>
                <w:sz w:val="20"/>
              </w:rPr>
              <w:t xml:space="preserve">Fireblocks (MPC-CMP)</w:t>
            </w:r>
          </w:p>
        </w:tc>
        <w:tc>
          <w:tcPr/>
          <w:p>
            <w:pPr>
              <w:spacing w:after="0" w:line="240" w:lineRule="auto"/>
              <w:rPr>
                <w:rFonts w:ascii="Figtree" w:hAnsi="Figtree" w:eastAsia="Figtree"/>
                <w:sz w:val="20"/>
              </w:rPr>
            </w:pPr>
            <w:r>
              <w:rPr>
                <w:rFonts w:ascii="Figtree" w:hAnsi="Figtree" w:eastAsia="Figtree"/>
                <w:sz w:val="20"/>
              </w:rPr>
              <w:t xml:space="preserve">MPC with continuous key refresh, TAP policies</w:t>
            </w:r>
          </w:p>
        </w:tc>
        <w:tc>
          <w:tcPr/>
          <w:p>
            <w:pPr>
              <w:spacing w:after="0" w:line="240" w:lineRule="auto"/>
              <w:rPr>
                <w:rFonts w:ascii="Figtree" w:hAnsi="Figtree" w:eastAsia="Figtree"/>
                <w:sz w:val="20"/>
              </w:rPr>
            </w:pPr>
            <w:r>
              <w:rPr>
                <w:rFonts w:ascii="Figtree" w:hAnsi="Figtree" w:eastAsia="Figtree"/>
                <w:sz w:val="20"/>
              </w:rPr>
              <w:t xml:space="preserve">Institutional custody</w:t>
            </w:r>
          </w:p>
        </w:tc>
      </w:tr>
    </w:tbl>
    <w:p>
      <w:pPr>
        <w:pStyle w:val="H3"/>
        <w:numPr>
          <w:ilvl w:val="2"/>
          <w:numId w:val="1"/>
        </w:numPr>
      </w:pPr>
      <w:r>
        <w:rPr/>
        <w:t xml:space="preserve">Smart Contract Layer</w:t>
      </w:r>
    </w:p>
    <w:p>
      <w:pPr/>
      <w:r>
        <w:rPr>
          <w:rFonts w:ascii="Figtree" w:hAnsi="Figtree" w:eastAsia="Figtree"/>
          <w:sz w:val="22"/>
        </w:rPr>
        <w:t xml:space="preserve">DALP's smart contract architecture builds on established standards:</w:t>
      </w:r>
    </w:p>
    <w:p>
      <w:pPr/>
      <w:r>
        <w:rPr>
          <w:rFonts w:ascii="Figtree" w:hAnsi="Figtree" w:eastAsia="Figtree"/>
          <w:b/>
          <w:sz w:val="22"/>
        </w:rPr>
        <w:t xml:space="preserve">ERC-3643 (T-REX):</w:t>
      </w:r>
    </w:p>
    <w:p>
      <w:pPr/>
      <w:r>
        <w:rPr>
          <w:rFonts w:ascii="Figtree" w:hAnsi="Figtree" w:eastAsia="Figtree"/>
          <w:sz w:val="22"/>
        </w:rPr>
        <w:t xml:space="preserve">The regulated token standard that DALP implements natively. ERC-3643 provides the compliance hooks that enable ex-ante transfer validation. Every token deployed through DALP inherits ERC-3643 compliance infrastructure.</w:t>
      </w:r>
    </w:p>
    <w:p>
      <w:pPr/>
      <w:r>
        <w:rPr>
          <w:rFonts w:ascii="Figtree" w:hAnsi="Figtree" w:eastAsia="Figtree"/>
          <w:b/>
          <w:sz w:val="22"/>
        </w:rPr>
        <w:t xml:space="preserve">SMART Protocol:</w:t>
      </w:r>
    </w:p>
    <w:p>
      <w:pPr/>
      <w:r>
        <w:rPr>
          <w:rFonts w:ascii="Figtree" w:hAnsi="Figtree" w:eastAsia="Figtree"/>
          <w:sz w:val="22"/>
        </w:rPr>
        <w:t xml:space="preserve">SettleMint's extension to ERC-3643 that adds the feature composition system. SMART tokens support up to 32 pluggable features, ordered execution pipelines, and token rewrite capabilities (features can intercept and modify transactions in-flight).</w:t>
      </w:r>
    </w:p>
    <w:p>
      <w:pPr/>
      <w:r>
        <w:rPr>
          <w:rFonts w:ascii="Figtree" w:hAnsi="Figtree" w:eastAsia="Figtree"/>
          <w:b/>
          <w:sz w:val="22"/>
        </w:rPr>
        <w:t xml:space="preserve">Feature Factories:</w:t>
      </w:r>
    </w:p>
    <w:p>
      <w:pPr/>
      <w:r>
        <w:rPr>
          <w:rFonts w:ascii="Figtree" w:hAnsi="Figtree" w:eastAsia="Figtree"/>
          <w:sz w:val="22"/>
        </w:rPr>
        <w:t xml:space="preserve">Each feature type (AUM fees, conversion, fixed treasury yield, maturity redemption, voting power, transaction fees, etc.) is deployed through dedicated factory contracts. Features attach to tokens post-deployment without redeploying the token itself.</w:t>
      </w:r>
    </w:p>
    <w:p>
      <w:pPr/>
      <w:r>
        <w:rPr>
          <w:rFonts w:ascii="Figtree" w:hAnsi="Figtree" w:eastAsia="Figtree"/>
          <w:b/>
          <w:sz w:val="22"/>
        </w:rPr>
        <w:t xml:space="preserve">Asset Contracts:</w:t>
      </w:r>
    </w:p>
    <w:p>
      <w:pPr/>
      <w:r>
        <w:rPr>
          <w:rFonts w:ascii="Figtree" w:hAnsi="Figtree" w:eastAsia="Figtree"/>
          <w:sz w:val="22"/>
        </w:rPr>
        <w:t xml:space="preserve">Each asset template deploys through a dedicated factory with class-specific validation, deployment logic, and claim enrichment. The `DALPAsset` contract implements `ITreasuryPayer`, enabling the asset itself to serve as a treasury for payout-oriented features.</w:t>
      </w:r>
    </w:p>
    <w:p>
      <w:pPr>
        <w:pStyle w:val="H3"/>
        <w:numPr>
          <w:ilvl w:val="2"/>
          <w:numId w:val="1"/>
        </w:numPr>
      </w:pPr>
      <w:r>
        <w:rPr/>
        <w:t xml:space="preserve">Blockchain Infrastructure</w:t>
      </w:r>
    </w:p>
    <w:p>
      <w:pPr/>
      <w:r>
        <w:rPr>
          <w:rFonts w:ascii="Figtree" w:hAnsi="Figtree" w:eastAsia="Figtree"/>
          <w:sz w:val="22"/>
        </w:rPr>
        <w:t xml:space="preserve">For Mashreq Bank's deployment, SettleMint recommends </w:t>
      </w:r>
      <w:r>
        <w:rPr>
          <w:rFonts w:ascii="Figtree" w:hAnsi="Figtree" w:eastAsia="Figtree"/>
          <w:b/>
          <w:sz w:val="22"/>
        </w:rPr>
        <w:t xml:space="preserve">Hyperledger Besu</w:t>
      </w:r>
      <w:r>
        <w:rPr>
          <w:rFonts w:ascii="Figtree" w:hAnsi="Figtree" w:eastAsia="Figtree"/>
          <w:sz w:val="22"/>
        </w:rPr>
        <w:t xml:space="preserve"> with </w:t>
      </w:r>
      <w:r>
        <w:rPr>
          <w:rFonts w:ascii="Figtree" w:hAnsi="Figtree" w:eastAsia="Figtree"/>
          <w:b/>
          <w:sz w:val="22"/>
        </w:rPr>
        <w:t xml:space="preserve">QBFT consensus</w:t>
      </w:r>
      <w:r>
        <w:rPr>
          <w:rFonts w:ascii="Figtree" w:hAnsi="Figtree" w:eastAsia="Figtree"/>
          <w:sz w:val="22"/>
        </w:rPr>
        <w:t xml:space="preserve"> as the primary network:</w:t>
      </w:r>
    </w:p>
    <w:p>
      <w:pPr>
        <w:pStyle w:val="List Paragraph"/>
      </w:pPr>
      <w:r>
        <w:rPr>
          <w:rFonts w:ascii="Figtree" w:hAnsi="Figtree" w:eastAsia="Figtree"/>
          <w:b/>
          <w:sz w:val="22"/>
        </w:rPr>
        <w:t xml:space="preserve">Permissioned network:</w:t>
      </w:r>
      <w:r>
        <w:rPr>
          <w:rFonts w:ascii="Figtree" w:hAnsi="Figtree" w:eastAsia="Figtree"/>
          <w:sz w:val="22"/>
        </w:rPr>
        <w:t xml:space="preserve"> Full control over validator set, network participants, and transaction visibility</w:t>
      </w:r>
    </w:p>
    <w:p>
      <w:pPr>
        <w:pStyle w:val="List Paragraph"/>
      </w:pPr>
      <w:r>
        <w:rPr>
          <w:rFonts w:ascii="Figtree" w:hAnsi="Figtree" w:eastAsia="Figtree"/>
          <w:b/>
          <w:sz w:val="22"/>
        </w:rPr>
        <w:t xml:space="preserve">EVM compatibility:</w:t>
      </w:r>
      <w:r>
        <w:rPr>
          <w:rFonts w:ascii="Figtree" w:hAnsi="Figtree" w:eastAsia="Figtree"/>
          <w:sz w:val="22"/>
        </w:rPr>
        <w:t xml:space="preserve"> All DALP smart contracts, standards, and tooling work without modification</w:t>
      </w:r>
    </w:p>
    <w:p>
      <w:pPr>
        <w:pStyle w:val="List Paragraph"/>
      </w:pPr>
      <w:r>
        <w:rPr>
          <w:rFonts w:ascii="Figtree" w:hAnsi="Figtree" w:eastAsia="Figtree"/>
          <w:b/>
          <w:sz w:val="22"/>
        </w:rPr>
        <w:t xml:space="preserve">QBFT consensus:</w:t>
      </w:r>
      <w:r>
        <w:rPr>
          <w:rFonts w:ascii="Figtree" w:hAnsi="Figtree" w:eastAsia="Figtree"/>
          <w:sz w:val="22"/>
        </w:rPr>
        <w:t xml:space="preserve"> Byzantine fault-tolerant consensus with immediate finality, suitable for institutional settlement requirements</w:t>
      </w:r>
    </w:p>
    <w:p>
      <w:pPr>
        <w:pStyle w:val="List Paragraph"/>
      </w:pPr>
      <w:r>
        <w:rPr>
          <w:rFonts w:ascii="Figtree" w:hAnsi="Figtree" w:eastAsia="Figtree"/>
          <w:b/>
          <w:sz w:val="22"/>
        </w:rPr>
        <w:t xml:space="preserve">Performance:</w:t>
      </w:r>
      <w:r>
        <w:rPr>
          <w:rFonts w:ascii="Figtree" w:hAnsi="Figtree" w:eastAsia="Figtree"/>
          <w:sz w:val="22"/>
        </w:rPr>
        <w:t xml:space="preserve"> Configurable block time and gas limits for throughput optimization</w:t>
      </w:r>
    </w:p>
    <w:p>
      <w:pPr>
        <w:pStyle w:val="List Paragraph"/>
      </w:pPr>
      <w:r>
        <w:rPr>
          <w:rFonts w:ascii="Figtree" w:hAnsi="Figtree" w:eastAsia="Figtree"/>
          <w:b/>
          <w:sz w:val="22"/>
        </w:rPr>
        <w:t xml:space="preserve">Privacy:</w:t>
      </w:r>
      <w:r>
        <w:rPr>
          <w:rFonts w:ascii="Figtree" w:hAnsi="Figtree" w:eastAsia="Figtree"/>
          <w:sz w:val="22"/>
        </w:rPr>
        <w:t xml:space="preserve"> Transaction-level privacy options through private transaction groups</w:t>
      </w:r>
    </w:p>
    <w:p>
      <w:pPr/>
      <w:r>
        <w:rPr>
          <w:rFonts w:ascii="Figtree" w:hAnsi="Figtree" w:eastAsia="Figtree"/>
          <w:sz w:val="22"/>
        </w:rPr>
        <w:t xml:space="preserve">Multi-chain support enables Mashreq Bank to operate across private and public networks simultaneously, with per-chain identity and compliance isolation.</w:t>
      </w:r>
    </w:p>
    <w:p>
      <w:pPr>
        <w:pStyle w:val="H3"/>
        <w:numPr>
          <w:ilvl w:val="2"/>
          <w:numId w:val="1"/>
        </w:numPr>
      </w:pPr>
      <w:r>
        <w:rPr/>
        <w:t xml:space="preserve">API Layer</w:t>
      </w:r>
    </w:p>
    <w:p>
      <w:pPr/>
      <w:r>
        <w:rPr>
          <w:rFonts w:ascii="Figtree" w:hAnsi="Figtree" w:eastAsia="Figtree"/>
          <w:sz w:val="22"/>
        </w:rPr>
        <w:t xml:space="preserve">DALP exposes comprehensive programmatic interfaces:</w:t>
      </w:r>
    </w:p>
    <w:p>
      <w:pPr>
        <w:pStyle w:val="List Paragraph"/>
      </w:pPr>
      <w:r>
        <w:rPr>
          <w:rFonts w:ascii="Figtree" w:hAnsi="Figtree" w:eastAsia="Figtree"/>
          <w:b/>
          <w:sz w:val="22"/>
        </w:rPr>
        <w:t xml:space="preserve">oRPC:</w:t>
      </w:r>
      <w:r>
        <w:rPr>
          <w:rFonts w:ascii="Figtree" w:hAnsi="Figtree" w:eastAsia="Figtree"/>
          <w:sz w:val="22"/>
        </w:rPr>
        <w:t xml:space="preserve"> Type-safe remote procedure calls with full TypeScript inference, used by the DALP dApp and programmatic clients</w:t>
      </w:r>
    </w:p>
    <w:p>
      <w:pPr>
        <w:pStyle w:val="List Paragraph"/>
      </w:pPr>
      <w:r>
        <w:rPr>
          <w:rFonts w:ascii="Figtree" w:hAnsi="Figtree" w:eastAsia="Figtree"/>
          <w:b/>
          <w:sz w:val="22"/>
        </w:rPr>
        <w:t xml:space="preserve">REST API (v2):</w:t>
      </w:r>
      <w:r>
        <w:rPr>
          <w:rFonts w:ascii="Figtree" w:hAnsi="Figtree" w:eastAsia="Figtree"/>
          <w:sz w:val="22"/>
        </w:rPr>
        <w:t xml:space="preserve"> Standard REST endpoints with API key authentication for system-to-system integrations</w:t>
      </w:r>
    </w:p>
    <w:p>
      <w:pPr>
        <w:pStyle w:val="List Paragraph"/>
      </w:pPr>
      <w:r>
        <w:rPr>
          <w:rFonts w:ascii="Figtree" w:hAnsi="Figtree" w:eastAsia="Figtree"/>
          <w:b/>
          <w:sz w:val="22"/>
        </w:rPr>
        <w:t xml:space="preserve">GraphQL:</w:t>
      </w:r>
      <w:r>
        <w:rPr>
          <w:rFonts w:ascii="Figtree" w:hAnsi="Figtree" w:eastAsia="Figtree"/>
          <w:sz w:val="22"/>
        </w:rPr>
        <w:t xml:space="preserve"> Query interface backed by TheGraph subgraph indexer for complex data retrieval</w:t>
      </w:r>
    </w:p>
    <w:p>
      <w:pPr>
        <w:pStyle w:val="List Paragraph"/>
      </w:pPr>
      <w:r>
        <w:rPr>
          <w:rFonts w:ascii="Figtree" w:hAnsi="Figtree" w:eastAsia="Figtree"/>
          <w:b/>
          <w:sz w:val="22"/>
        </w:rPr>
        <w:t xml:space="preserve">Event Webhooks:</w:t>
      </w:r>
      <w:r>
        <w:rPr>
          <w:rFonts w:ascii="Figtree" w:hAnsi="Figtree" w:eastAsia="Figtree"/>
          <w:sz w:val="22"/>
        </w:rPr>
        <w:t xml:space="preserve"> Real-time event notifications for transaction completions, compliance decisions, settlement state changes, and system events</w:t>
      </w:r>
    </w:p>
    <w:p>
      <w:pPr>
        <w:pStyle w:val="List Paragraph"/>
      </w:pPr>
      <w:r>
        <w:rPr>
          <w:rFonts w:ascii="Figtree" w:hAnsi="Figtree" w:eastAsia="Figtree"/>
          <w:b/>
          <w:sz w:val="22"/>
        </w:rPr>
        <w:t xml:space="preserve">CLI:</w:t>
      </w:r>
      <w:r>
        <w:rPr>
          <w:rFonts w:ascii="Figtree" w:hAnsi="Figtree" w:eastAsia="Figtree"/>
          <w:sz w:val="22"/>
        </w:rPr>
        <w:t xml:space="preserve"> Command-line interface for automation, DevOps integration, and operational tasks</w:t>
      </w:r>
    </w:p>
    <w:p>
      <w:pPr>
        <w:pStyle w:val="H3"/>
        <w:numPr>
          <w:ilvl w:val="2"/>
          <w:numId w:val="1"/>
        </w:numPr>
      </w:pPr>
      <w:r>
        <w:rPr/>
        <w:t xml:space="preserve">Observability</w:t>
      </w:r>
    </w:p>
    <w:p>
      <w:pPr/>
      <w:r>
        <w:rPr>
          <w:rFonts w:ascii="Figtree" w:hAnsi="Figtree" w:eastAsia="Figtree"/>
          <w:sz w:val="22"/>
        </w:rPr>
        <w:t xml:space="preserve">DALP ships with full operational tooling:</w:t>
      </w:r>
    </w:p>
    <w:p>
      <w:pPr>
        <w:pStyle w:val="List Paragraph"/>
      </w:pPr>
      <w:r>
        <w:rPr>
          <w:rFonts w:ascii="Figtree" w:hAnsi="Figtree" w:eastAsia="Figtree"/>
          <w:b/>
          <w:sz w:val="22"/>
        </w:rPr>
        <w:t xml:space="preserve">Metrics:</w:t>
      </w:r>
      <w:r>
        <w:rPr>
          <w:rFonts w:ascii="Figtree" w:hAnsi="Figtree" w:eastAsia="Figtree"/>
          <w:sz w:val="22"/>
        </w:rPr>
        <w:t xml:space="preserve"> VictoriaMetrics for time-series metrics collection and storage. API metrics automatically rolled up into hourly aggregation buckets.</w:t>
      </w:r>
    </w:p>
    <w:p>
      <w:pPr>
        <w:pStyle w:val="List Paragraph"/>
      </w:pPr>
      <w:r>
        <w:rPr>
          <w:rFonts w:ascii="Figtree" w:hAnsi="Figtree" w:eastAsia="Figtree"/>
          <w:b/>
          <w:sz w:val="22"/>
        </w:rPr>
        <w:t xml:space="preserve">Logs:</w:t>
      </w:r>
      <w:r>
        <w:rPr>
          <w:rFonts w:ascii="Figtree" w:hAnsi="Figtree" w:eastAsia="Figtree"/>
          <w:sz w:val="22"/>
        </w:rPr>
        <w:t xml:space="preserve"> Loki for centralized log aggregation with structured, queryable logging across all platform components</w:t>
      </w:r>
    </w:p>
    <w:p>
      <w:pPr>
        <w:pStyle w:val="List Paragraph"/>
      </w:pPr>
      <w:r>
        <w:rPr>
          <w:rFonts w:ascii="Figtree" w:hAnsi="Figtree" w:eastAsia="Figtree"/>
          <w:b/>
          <w:sz w:val="22"/>
        </w:rPr>
        <w:t xml:space="preserve">Traces:</w:t>
      </w:r>
      <w:r>
        <w:rPr>
          <w:rFonts w:ascii="Figtree" w:hAnsi="Figtree" w:eastAsia="Figtree"/>
          <w:sz w:val="22"/>
        </w:rPr>
        <w:t xml:space="preserve"> Tempo for distributed tracing, providing end-to-end visibility into multi-service request flows</w:t>
      </w:r>
    </w:p>
    <w:p>
      <w:pPr>
        <w:pStyle w:val="List Paragraph"/>
      </w:pPr>
      <w:r>
        <w:rPr>
          <w:rFonts w:ascii="Figtree" w:hAnsi="Figtree" w:eastAsia="Figtree"/>
          <w:b/>
          <w:sz w:val="22"/>
        </w:rPr>
        <w:t xml:space="preserve">Dashboards:</w:t>
      </w:r>
      <w:r>
        <w:rPr>
          <w:rFonts w:ascii="Figtree" w:hAnsi="Figtree" w:eastAsia="Figtree"/>
          <w:sz w:val="22"/>
        </w:rPr>
        <w:t xml:space="preserve"> Pre-built Grafana dashboards covering operations overview, transaction monitoring, compliance activity, and security events</w:t>
      </w:r>
    </w:p>
    <w:p>
      <w:pPr>
        <w:pStyle w:val="List Paragraph"/>
      </w:pPr>
      <w:r>
        <w:rPr>
          <w:rFonts w:ascii="Figtree" w:hAnsi="Figtree" w:eastAsia="Figtree"/>
          <w:b/>
          <w:sz w:val="22"/>
        </w:rPr>
        <w:t xml:space="preserve">Alerting:</w:t>
      </w:r>
      <w:r>
        <w:rPr>
          <w:rFonts w:ascii="Figtree" w:hAnsi="Figtree" w:eastAsia="Figtree"/>
          <w:sz w:val="22"/>
        </w:rPr>
        <w:t xml:space="preserve"> Automated alerting on error rate spikes, latency degradation, chain connectivity issues, and settlement failures</w:t>
      </w:r>
    </w:p>
    <w:p>
      <w:pPr>
        <w:pStyle w:val="List Paragraph"/>
      </w:pPr>
      <w:r>
        <w:rPr>
          <w:rFonts w:ascii="Figtree" w:hAnsi="Figtree" w:eastAsia="Figtree"/>
          <w:b/>
          <w:sz w:val="22"/>
        </w:rPr>
        <w:t xml:space="preserve">Blockchain health monitoring:</w:t>
      </w:r>
      <w:r>
        <w:rPr>
          <w:rFonts w:ascii="Figtree" w:hAnsi="Figtree" w:eastAsia="Figtree"/>
          <w:sz w:val="22"/>
        </w:rPr>
        <w:t xml:space="preserve"> Restate-managed health collection with hysteresis-based status classification, snapshot history, timeline aggregation, and live SSE streaming</w:t>
      </w:r>
    </w:p>
    <w:p>
      <w:pPr>
        <w:pStyle w:val="List Paragraph"/>
      </w:pPr>
      <w:r>
        <w:rPr>
          <w:rFonts w:ascii="Figtree" w:hAnsi="Figtree" w:eastAsia="Figtree"/>
          <w:b/>
          <w:sz w:val="22"/>
        </w:rPr>
        <w:t xml:space="preserve">API metrics:</w:t>
      </w:r>
      <w:r>
        <w:rPr>
          <w:rFonts w:ascii="Figtree" w:hAnsi="Figtree" w:eastAsia="Figtree"/>
          <w:sz w:val="22"/>
        </w:rPr>
        <w:t xml:space="preserve"> Per-endpoint request tracking with rollup aggregation for operational analysis</w:t>
      </w:r>
    </w:p>
    <w:p>
      <w:pPr>
        <w:pStyle w:val="H3"/>
        <w:numPr>
          <w:ilvl w:val="2"/>
          <w:numId w:val="1"/>
        </w:numPr>
      </w:pPr>
      <w:r>
        <w:rPr/>
        <w:t xml:space="preserve">Data Feeds and Oracle Integration</w:t>
      </w:r>
    </w:p>
    <w:p>
      <w:pPr/>
      <w:r>
        <w:rPr>
          <w:rFonts w:ascii="Figtree" w:hAnsi="Figtree" w:eastAsia="Figtree"/>
          <w:sz w:val="22"/>
        </w:rPr>
        <w:t xml:space="preserve">The Feeds system provides market data integration:</w:t>
      </w:r>
    </w:p>
    <w:p>
      <w:pPr>
        <w:pStyle w:val="List Paragraph"/>
        <w:numPr>
          <w:ilvl w:val="0"/>
          <w:numId w:val="4"/>
        </w:numPr>
      </w:pPr>
      <w:r>
        <w:rPr>
          <w:rFonts w:ascii="Figtree" w:hAnsi="Figtree" w:eastAsia="Figtree"/>
          <w:sz w:val="22"/>
        </w:rPr>
        <w:t xml:space="preserve">Exchange rate feeds with configurable refresh intervals</w:t>
      </w:r>
    </w:p>
    <w:p>
      <w:pPr>
        <w:pStyle w:val="List Paragraph"/>
        <w:numPr>
          <w:ilvl w:val="0"/>
          <w:numId w:val="4"/>
        </w:numPr>
      </w:pPr>
      <w:r>
        <w:rPr>
          <w:rFonts w:ascii="Figtree" w:hAnsi="Figtree" w:eastAsia="Figtree"/>
          <w:sz w:val="22"/>
        </w:rPr>
        <w:t xml:space="preserve">Batch orchestration for feed updates across multiple data sources</w:t>
      </w:r>
    </w:p>
    <w:p>
      <w:pPr>
        <w:pStyle w:val="List Paragraph"/>
        <w:numPr>
          <w:ilvl w:val="0"/>
          <w:numId w:val="4"/>
        </w:numPr>
      </w:pPr>
      <w:r>
        <w:rPr>
          <w:rFonts w:ascii="Figtree" w:hAnsi="Figtree" w:eastAsia="Figtree"/>
          <w:sz w:val="22"/>
        </w:rPr>
        <w:t xml:space="preserve">Token price auto-routing and resolution for multi-currency operations</w:t>
      </w:r>
    </w:p>
    <w:p>
      <w:pPr>
        <w:pStyle w:val="List Paragraph"/>
        <w:numPr>
          <w:ilvl w:val="0"/>
          <w:numId w:val="4"/>
        </w:numPr>
      </w:pPr>
      <w:r>
        <w:rPr>
          <w:rFonts w:ascii="Figtree" w:hAnsi="Figtree" w:eastAsia="Figtree"/>
          <w:sz w:val="22"/>
        </w:rPr>
        <w:t xml:space="preserve">Feed indexer projections for queryable historical price data</w:t>
      </w:r>
    </w:p>
    <w:p>
      <w:r>
        <w:br w:type="page"/>
      </w:r>
    </w:p>
    <w:p>
      <w:pPr>
        <w:pStyle w:val="H2"/>
        <w:numPr>
          <w:ilvl w:val="1"/>
          <w:numId w:val="1"/>
        </w:numPr>
      </w:pPr>
      <w:r>
        <w:rPr/>
        <w:t xml:space="preserve">8. Integration Architecture</w:t>
      </w:r>
    </w:p>
    <w:p>
      <w:pPr>
        <w:pStyle w:val="H3"/>
        <w:numPr>
          <w:ilvl w:val="2"/>
          <w:numId w:val="1"/>
        </w:numPr>
      </w:pPr>
      <w:r>
        <w:rPr/>
        <w:t xml:space="preserve">Core Banking Integration Patterns</w:t>
      </w:r>
    </w:p>
    <w:p>
      <w:pPr/>
      <w:r>
        <w:rPr>
          <w:rFonts w:ascii="Figtree" w:hAnsi="Figtree" w:eastAsia="Figtree"/>
          <w:sz w:val="22"/>
        </w:rPr>
        <w:t xml:space="preserve">DALP integrates with existing core banking infrastructure through standard APIs without requiring a parallel operating model:</w:t>
      </w:r>
    </w:p>
    <w:p>
      <w:pPr/>
      <w:r>
        <w:rPr>
          <w:rFonts w:ascii="Figtree" w:hAnsi="Figtree" w:eastAsia="Figtree"/>
          <w:b/>
          <w:sz w:val="22"/>
        </w:rPr>
        <w:t xml:space="preserve">Inbound Integration (Core Banking to DALP):</w:t>
      </w:r>
    </w:p>
    <w:p>
      <w:pPr>
        <w:pStyle w:val="List Paragraph"/>
        <w:numPr>
          <w:ilvl w:val="0"/>
          <w:numId w:val="4"/>
        </w:numPr>
      </w:pPr>
      <w:r>
        <w:rPr>
          <w:rFonts w:ascii="Figtree" w:hAnsi="Figtree" w:eastAsia="Figtree"/>
          <w:sz w:val="22"/>
        </w:rPr>
        <w:t xml:space="preserve">Investor onboarding triggers from CRM/core banking systems via REST API</w:t>
      </w:r>
    </w:p>
    <w:p>
      <w:pPr>
        <w:pStyle w:val="List Paragraph"/>
        <w:numPr>
          <w:ilvl w:val="0"/>
          <w:numId w:val="4"/>
        </w:numPr>
      </w:pPr>
      <w:r>
        <w:rPr>
          <w:rFonts w:ascii="Figtree" w:hAnsi="Figtree" w:eastAsia="Figtree"/>
          <w:sz w:val="22"/>
        </w:rPr>
        <w:t xml:space="preserve">Settlement instructions from treasury management systems</w:t>
      </w:r>
    </w:p>
    <w:p>
      <w:pPr>
        <w:pStyle w:val="List Paragraph"/>
        <w:numPr>
          <w:ilvl w:val="0"/>
          <w:numId w:val="4"/>
        </w:numPr>
      </w:pPr>
      <w:r>
        <w:rPr>
          <w:rFonts w:ascii="Figtree" w:hAnsi="Figtree" w:eastAsia="Figtree"/>
          <w:sz w:val="22"/>
        </w:rPr>
        <w:t xml:space="preserve">Payment confirmations from payment processing systems</w:t>
      </w:r>
    </w:p>
    <w:p>
      <w:pPr>
        <w:pStyle w:val="List Paragraph"/>
        <w:numPr>
          <w:ilvl w:val="0"/>
          <w:numId w:val="4"/>
        </w:numPr>
      </w:pPr>
      <w:r>
        <w:rPr>
          <w:rFonts w:ascii="Figtree" w:hAnsi="Figtree" w:eastAsia="Figtree"/>
          <w:sz w:val="22"/>
        </w:rPr>
        <w:t xml:space="preserve">Account data synchronization for investor verification</w:t>
      </w:r>
    </w:p>
    <w:p>
      <w:pPr/>
      <w:r>
        <w:rPr>
          <w:rFonts w:ascii="Figtree" w:hAnsi="Figtree" w:eastAsia="Figtree"/>
          <w:b/>
          <w:sz w:val="22"/>
        </w:rPr>
        <w:t xml:space="preserve">Outbound Integration (DALP to Core Banking):</w:t>
      </w:r>
    </w:p>
    <w:p>
      <w:pPr>
        <w:pStyle w:val="List Paragraph"/>
        <w:numPr>
          <w:ilvl w:val="0"/>
          <w:numId w:val="4"/>
        </w:numPr>
      </w:pPr>
      <w:r>
        <w:rPr>
          <w:rFonts w:ascii="Figtree" w:hAnsi="Figtree" w:eastAsia="Figtree"/>
          <w:sz w:val="22"/>
        </w:rPr>
        <w:t xml:space="preserve">Transaction notifications via webhooks for general ledger updates</w:t>
      </w:r>
    </w:p>
    <w:p>
      <w:pPr>
        <w:pStyle w:val="List Paragraph"/>
        <w:numPr>
          <w:ilvl w:val="0"/>
          <w:numId w:val="4"/>
        </w:numPr>
      </w:pPr>
      <w:r>
        <w:rPr>
          <w:rFonts w:ascii="Figtree" w:hAnsi="Figtree" w:eastAsia="Figtree"/>
          <w:sz w:val="22"/>
        </w:rPr>
        <w:t xml:space="preserve">Settlement completion events for reconciliation</w:t>
      </w:r>
    </w:p>
    <w:p>
      <w:pPr>
        <w:pStyle w:val="List Paragraph"/>
        <w:numPr>
          <w:ilvl w:val="0"/>
          <w:numId w:val="4"/>
        </w:numPr>
      </w:pPr>
      <w:r>
        <w:rPr>
          <w:rFonts w:ascii="Figtree" w:hAnsi="Figtree" w:eastAsia="Figtree"/>
          <w:sz w:val="22"/>
        </w:rPr>
        <w:t xml:space="preserve">Compliance decision notifications for risk management systems</w:t>
      </w:r>
    </w:p>
    <w:p>
      <w:pPr>
        <w:pStyle w:val="List Paragraph"/>
        <w:numPr>
          <w:ilvl w:val="0"/>
          <w:numId w:val="4"/>
        </w:numPr>
      </w:pPr>
      <w:r>
        <w:rPr>
          <w:rFonts w:ascii="Figtree" w:hAnsi="Figtree" w:eastAsia="Figtree"/>
          <w:sz w:val="22"/>
        </w:rPr>
        <w:t xml:space="preserve">Corporate action execution confirmations for entitlement processing</w:t>
      </w:r>
    </w:p>
    <w:p>
      <w:pPr/>
      <w:r>
        <w:rPr>
          <w:rFonts w:ascii="Figtree" w:hAnsi="Figtree" w:eastAsia="Figtree"/>
          <w:b/>
          <w:sz w:val="22"/>
        </w:rPr>
        <w:t xml:space="preserve">Integration Design Principles:</w:t>
      </w:r>
    </w:p>
    <w:p>
      <w:pPr>
        <w:pStyle w:val="List Paragraph"/>
        <w:numPr>
          <w:ilvl w:val="0"/>
          <w:numId w:val="4"/>
        </w:numPr>
      </w:pPr>
      <w:r>
        <w:rPr>
          <w:rFonts w:ascii="Figtree" w:hAnsi="Figtree" w:eastAsia="Figtree"/>
          <w:sz w:val="22"/>
        </w:rPr>
        <w:t xml:space="preserve">No direct external calls from business logic</w:t>
      </w:r>
    </w:p>
    <w:p>
      <w:pPr>
        <w:pStyle w:val="List Paragraph"/>
        <w:numPr>
          <w:ilvl w:val="0"/>
          <w:numId w:val="4"/>
        </w:numPr>
      </w:pPr>
      <w:r>
        <w:rPr>
          <w:rFonts w:ascii="Figtree" w:hAnsi="Figtree" w:eastAsia="Figtree"/>
          <w:sz w:val="22"/>
        </w:rPr>
        <w:t xml:space="preserve">All external interactions route through dedicated gateway components</w:t>
      </w:r>
    </w:p>
    <w:p>
      <w:pPr>
        <w:pStyle w:val="List Paragraph"/>
        <w:numPr>
          <w:ilvl w:val="0"/>
          <w:numId w:val="4"/>
        </w:numPr>
      </w:pPr>
      <w:r>
        <w:rPr>
          <w:rFonts w:ascii="Figtree" w:hAnsi="Figtree" w:eastAsia="Figtree"/>
          <w:sz w:val="22"/>
        </w:rPr>
        <w:t xml:space="preserve">Retry handling, circuit breaking, and observability for all integration points</w:t>
      </w:r>
    </w:p>
    <w:p>
      <w:pPr>
        <w:pStyle w:val="List Paragraph"/>
        <w:numPr>
          <w:ilvl w:val="0"/>
          <w:numId w:val="4"/>
        </w:numPr>
      </w:pPr>
      <w:r>
        <w:rPr>
          <w:rFonts w:ascii="Figtree" w:hAnsi="Figtree" w:eastAsia="Figtree"/>
          <w:sz w:val="22"/>
        </w:rPr>
        <w:t xml:space="preserve">Versioned API contracts with backward compatibility commitments</w:t>
      </w:r>
    </w:p>
    <w:p>
      <w:pPr>
        <w:pStyle w:val="H3"/>
        <w:numPr>
          <w:ilvl w:val="2"/>
          <w:numId w:val="1"/>
        </w:numPr>
      </w:pPr>
      <w:r>
        <w:rPr/>
        <w:t xml:space="preserve">Custody Integration</w:t>
      </w:r>
    </w:p>
    <w:p>
      <w:pPr/>
      <w:r>
        <w:rPr>
          <w:rFonts w:ascii="Figtree" w:hAnsi="Figtree" w:eastAsia="Figtree"/>
          <w:sz w:val="22"/>
        </w:rPr>
        <w:t xml:space="preserve">DALP implements a bring-your-own-custodian model:</w:t>
      </w:r>
    </w:p>
    <w:p>
      <w:pPr/>
      <w:r>
        <w:rPr>
          <w:rFonts w:ascii="Figtree" w:hAnsi="Figtree" w:eastAsia="Figtree"/>
          <w:b/>
          <w:sz w:val="22"/>
        </w:rPr>
        <w:t xml:space="preserve">DFNS Integration:</w:t>
      </w:r>
    </w:p>
    <w:p>
      <w:pPr>
        <w:pStyle w:val="List Paragraph"/>
        <w:numPr>
          <w:ilvl w:val="0"/>
          <w:numId w:val="4"/>
        </w:numPr>
      </w:pPr>
      <w:r>
        <w:rPr>
          <w:rFonts w:ascii="Figtree" w:hAnsi="Figtree" w:eastAsia="Figtree"/>
          <w:sz w:val="22"/>
        </w:rPr>
        <w:t xml:space="preserve">Threshold MPC signing</w:t>
      </w:r>
    </w:p>
    <w:p>
      <w:pPr>
        <w:pStyle w:val="List Paragraph"/>
        <w:numPr>
          <w:ilvl w:val="0"/>
          <w:numId w:val="4"/>
        </w:numPr>
      </w:pPr>
      <w:r>
        <w:rPr>
          <w:rFonts w:ascii="Figtree" w:hAnsi="Figtree" w:eastAsia="Figtree"/>
          <w:sz w:val="22"/>
        </w:rPr>
        <w:t xml:space="preserve">REST API integration with flat wallet model</w:t>
      </w:r>
    </w:p>
    <w:p>
      <w:pPr>
        <w:pStyle w:val="List Paragraph"/>
        <w:numPr>
          <w:ilvl w:val="0"/>
          <w:numId w:val="4"/>
        </w:numPr>
      </w:pPr>
      <w:r>
        <w:rPr>
          <w:rFonts w:ascii="Figtree" w:hAnsi="Figtree" w:eastAsia="Figtree"/>
          <w:sz w:val="22"/>
        </w:rPr>
        <w:t xml:space="preserve">Full programmatic approval resolution through DFNS Policy Engine</w:t>
      </w:r>
    </w:p>
    <w:p>
      <w:pPr>
        <w:pStyle w:val="List Paragraph"/>
        <w:numPr>
          <w:ilvl w:val="0"/>
          <w:numId w:val="4"/>
        </w:numPr>
      </w:pPr>
      <w:r>
        <w:rPr>
          <w:rFonts w:ascii="Figtree" w:hAnsi="Figtree" w:eastAsia="Figtree"/>
          <w:sz w:val="22"/>
        </w:rPr>
        <w:t xml:space="preserve">Operators approve/reject transactions without leaving DALP</w:t>
      </w:r>
    </w:p>
    <w:p>
      <w:pPr>
        <w:pStyle w:val="List Paragraph"/>
        <w:numPr>
          <w:ilvl w:val="0"/>
          <w:numId w:val="4"/>
        </w:numPr>
      </w:pPr>
      <w:r>
        <w:rPr>
          <w:rFonts w:ascii="Figtree" w:hAnsi="Figtree" w:eastAsia="Figtree"/>
          <w:sz w:val="22"/>
        </w:rPr>
        <w:t xml:space="preserve">Auto-sign policies, threshold rules, IP/time restrictions, and multi-party approval</w:t>
      </w:r>
    </w:p>
    <w:p>
      <w:pPr/>
      <w:r>
        <w:rPr>
          <w:rFonts w:ascii="Figtree" w:hAnsi="Figtree" w:eastAsia="Figtree"/>
          <w:b/>
          <w:sz w:val="22"/>
        </w:rPr>
        <w:t xml:space="preserve">Fireblocks Integration:</w:t>
      </w:r>
    </w:p>
    <w:p>
      <w:pPr>
        <w:pStyle w:val="List Paragraph"/>
        <w:numPr>
          <w:ilvl w:val="0"/>
          <w:numId w:val="4"/>
        </w:numPr>
      </w:pPr>
      <w:r>
        <w:rPr>
          <w:rFonts w:ascii="Figtree" w:hAnsi="Figtree" w:eastAsia="Figtree"/>
          <w:sz w:val="22"/>
        </w:rPr>
        <w:t xml:space="preserve">MPC-CMP with continuous key refresh</w:t>
      </w:r>
    </w:p>
    <w:p>
      <w:pPr>
        <w:pStyle w:val="List Paragraph"/>
        <w:numPr>
          <w:ilvl w:val="0"/>
          <w:numId w:val="4"/>
        </w:numPr>
      </w:pPr>
      <w:r>
        <w:rPr>
          <w:rFonts w:ascii="Figtree" w:hAnsi="Figtree" w:eastAsia="Figtree"/>
          <w:sz w:val="22"/>
        </w:rPr>
        <w:t xml:space="preserve">REST API with vault account hierarchy</w:t>
      </w:r>
    </w:p>
    <w:p>
      <w:pPr>
        <w:pStyle w:val="List Paragraph"/>
        <w:numPr>
          <w:ilvl w:val="0"/>
          <w:numId w:val="4"/>
        </w:numPr>
      </w:pPr>
      <w:r>
        <w:rPr>
          <w:rFonts w:ascii="Figtree" w:hAnsi="Figtree" w:eastAsia="Figtree"/>
          <w:sz w:val="22"/>
        </w:rPr>
        <w:t xml:space="preserve">Transaction Authorization Policy (TAP) for thresholds, whitelists, velocity limits</w:t>
      </w:r>
    </w:p>
    <w:p>
      <w:pPr>
        <w:pStyle w:val="List Paragraph"/>
        <w:numPr>
          <w:ilvl w:val="0"/>
          <w:numId w:val="4"/>
        </w:numPr>
      </w:pPr>
      <w:r>
        <w:rPr>
          <w:rFonts w:ascii="Figtree" w:hAnsi="Figtree" w:eastAsia="Figtree"/>
          <w:sz w:val="22"/>
        </w:rPr>
        <w:t xml:space="preserve">Approval visibility in DALP with resolution through Fireblocks Console or Co-Signer</w:t>
      </w:r>
    </w:p>
    <w:p>
      <w:pPr>
        <w:pStyle w:val="List Paragraph"/>
        <w:numPr>
          <w:ilvl w:val="0"/>
          <w:numId w:val="4"/>
        </w:numPr>
      </w:pPr>
      <w:r>
        <w:rPr>
          <w:rFonts w:ascii="Figtree" w:hAnsi="Figtree" w:eastAsia="Figtree"/>
          <w:sz w:val="22"/>
        </w:rPr>
        <w:t xml:space="preserve">Production and sandbox environment auto-detection</w:t>
      </w:r>
    </w:p>
    <w:p>
      <w:pPr/>
      <w:r>
        <w:rPr>
          <w:rFonts w:ascii="Figtree" w:hAnsi="Figtree" w:eastAsia="Figtree"/>
          <w:b/>
          <w:sz w:val="22"/>
        </w:rPr>
        <w:t xml:space="preserve">Local Signer:</w:t>
      </w:r>
    </w:p>
    <w:p>
      <w:pPr>
        <w:pStyle w:val="List Paragraph"/>
        <w:numPr>
          <w:ilvl w:val="0"/>
          <w:numId w:val="4"/>
        </w:numPr>
      </w:pPr>
      <w:r>
        <w:rPr>
          <w:rFonts w:ascii="Figtree" w:hAnsi="Figtree" w:eastAsia="Figtree"/>
          <w:sz w:val="22"/>
        </w:rPr>
        <w:t xml:space="preserve">Five secret storage backends: local encrypted DB, AWS Secrets Manager, GCP Secret Manager, Azure Key Vault, HashiCorp Vault</w:t>
      </w:r>
    </w:p>
    <w:p>
      <w:pPr>
        <w:pStyle w:val="List Paragraph"/>
        <w:numPr>
          <w:ilvl w:val="0"/>
          <w:numId w:val="4"/>
        </w:numPr>
      </w:pPr>
      <w:r>
        <w:rPr>
          <w:rFonts w:ascii="Figtree" w:hAnsi="Figtree" w:eastAsia="Figtree"/>
          <w:sz w:val="22"/>
        </w:rPr>
        <w:t xml:space="preserve">Synchronous sign-and-broadcast for development and testing scenarios</w:t>
      </w:r>
    </w:p>
    <w:p>
      <w:pPr>
        <w:pStyle w:val="List Paragraph"/>
        <w:numPr>
          <w:ilvl w:val="0"/>
          <w:numId w:val="4"/>
        </w:numPr>
      </w:pPr>
      <w:r>
        <w:rPr>
          <w:rFonts w:ascii="Figtree" w:hAnsi="Figtree" w:eastAsia="Figtree"/>
          <w:sz w:val="22"/>
        </w:rPr>
        <w:t xml:space="preserve">HSM integration through cloud secret manager backends</w:t>
      </w:r>
    </w:p>
    <w:p>
      <w:pPr/>
      <w:r>
        <w:rPr>
          <w:rFonts w:ascii="Figtree" w:hAnsi="Figtree" w:eastAsia="Figtree"/>
          <w:sz w:val="22"/>
        </w:rPr>
        <w:t xml:space="preserve">For Mashreq Bank, the recommended approach is </w:t>
      </w:r>
      <w:r>
        <w:rPr>
          <w:rFonts w:ascii="Figtree" w:hAnsi="Figtree" w:eastAsia="Figtree"/>
          <w:b/>
          <w:sz w:val="22"/>
        </w:rPr>
        <w:t xml:space="preserve">Fireblocks</w:t>
      </w:r>
      <w:r>
        <w:rPr>
          <w:rFonts w:ascii="Figtree" w:hAnsi="Figtree" w:eastAsia="Figtree"/>
          <w:sz w:val="22"/>
        </w:rPr>
        <w:t xml:space="preserve"> as the primary institutional custody provider, given Fireblocks' established presence in the UAE banking sector and their comprehensive TAP policy engine. DFNS integration provides a secondary option for specific use cases or future flexibility.</w:t>
      </w:r>
    </w:p>
    <w:p>
      <w:pPr>
        <w:pStyle w:val="H3"/>
        <w:numPr>
          <w:ilvl w:val="2"/>
          <w:numId w:val="1"/>
        </w:numPr>
      </w:pPr>
      <w:r>
        <w:rPr/>
        <w:t xml:space="preserve">Payment Rails</w:t>
      </w:r>
    </w:p>
    <w:p>
      <w:pPr/>
      <w:r>
        <w:rPr>
          <w:rFonts w:ascii="Figtree" w:hAnsi="Figtree" w:eastAsia="Figtree"/>
          <w:sz w:val="22"/>
        </w:rPr>
        <w:t xml:space="preserve">DALP supports payment rail integration for the cash leg of digital asset operations:</w:t>
      </w:r>
    </w:p>
    <w:p>
      <w:pPr>
        <w:pStyle w:val="List Paragraph"/>
      </w:pPr>
      <w:r>
        <w:rPr>
          <w:rFonts w:ascii="Figtree" w:hAnsi="Figtree" w:eastAsia="Figtree"/>
          <w:b/>
          <w:sz w:val="22"/>
        </w:rPr>
        <w:t xml:space="preserve">ISO 20022 compatibility:</w:t>
      </w:r>
      <w:r>
        <w:rPr>
          <w:rFonts w:ascii="Figtree" w:hAnsi="Figtree" w:eastAsia="Figtree"/>
          <w:sz w:val="22"/>
        </w:rPr>
        <w:t xml:space="preserve"> Integration-ready for SWIFT, SEPA, and RTGS message formats</w:t>
      </w:r>
    </w:p>
    <w:p>
      <w:pPr>
        <w:pStyle w:val="List Paragraph"/>
      </w:pPr>
      <w:r>
        <w:rPr>
          <w:rFonts w:ascii="Figtree" w:hAnsi="Figtree" w:eastAsia="Figtree"/>
          <w:b/>
          <w:sz w:val="22"/>
        </w:rPr>
        <w:t xml:space="preserve">UAE payment infrastructure:</w:t>
      </w:r>
      <w:r>
        <w:rPr>
          <w:rFonts w:ascii="Figtree" w:hAnsi="Figtree" w:eastAsia="Figtree"/>
          <w:sz w:val="22"/>
        </w:rPr>
        <w:t xml:space="preserve"> Integration points for UAE payment systems, including IPP (Instant Payments Platform) and UAEDDS (Direct Debit System)</w:t>
      </w:r>
    </w:p>
    <w:p>
      <w:pPr>
        <w:pStyle w:val="List Paragraph"/>
      </w:pPr>
      <w:r>
        <w:rPr>
          <w:rFonts w:ascii="Figtree" w:hAnsi="Figtree" w:eastAsia="Figtree"/>
          <w:b/>
          <w:sz w:val="22"/>
        </w:rPr>
        <w:t xml:space="preserve">Stablecoin cash leg:</w:t>
      </w:r>
      <w:r>
        <w:rPr>
          <w:rFonts w:ascii="Figtree" w:hAnsi="Figtree" w:eastAsia="Figtree"/>
          <w:sz w:val="22"/>
        </w:rPr>
        <w:t xml:space="preserve"> On-chain cash instruments (deposit tokens, stablecoins) enable fully atomic DvP settlement without external payment rail dependencies</w:t>
      </w:r>
    </w:p>
    <w:p>
      <w:pPr>
        <w:pStyle w:val="H3"/>
        <w:numPr>
          <w:ilvl w:val="2"/>
          <w:numId w:val="1"/>
        </w:numPr>
      </w:pPr>
      <w:r>
        <w:rPr/>
        <w:t xml:space="preserve">Market Infrastructure Connectivity</w:t>
      </w:r>
    </w:p>
    <w:p>
      <w:pPr>
        <w:pStyle w:val="List Paragraph"/>
      </w:pPr>
      <w:r>
        <w:rPr>
          <w:rFonts w:ascii="Figtree" w:hAnsi="Figtree" w:eastAsia="Figtree"/>
          <w:b/>
          <w:sz w:val="22"/>
        </w:rPr>
        <w:t xml:space="preserve">Exchange connectivity:</w:t>
      </w:r>
      <w:r>
        <w:rPr>
          <w:rFonts w:ascii="Figtree" w:hAnsi="Figtree" w:eastAsia="Figtree"/>
          <w:sz w:val="22"/>
        </w:rPr>
        <w:t xml:space="preserve"> Settlement connectivity to exchanges and liquidity pools for secondary market activity</w:t>
      </w:r>
    </w:p>
    <w:p>
      <w:pPr>
        <w:pStyle w:val="List Paragraph"/>
      </w:pPr>
      <w:r>
        <w:rPr>
          <w:rFonts w:ascii="Figtree" w:hAnsi="Figtree" w:eastAsia="Figtree"/>
          <w:b/>
          <w:sz w:val="22"/>
        </w:rPr>
        <w:t xml:space="preserve">CSD integration:</w:t>
      </w:r>
      <w:r>
        <w:rPr>
          <w:rFonts w:ascii="Figtree" w:hAnsi="Figtree" w:eastAsia="Figtree"/>
          <w:sz w:val="22"/>
        </w:rPr>
        <w:t xml:space="preserve"> Interface capability for connecting with central securities depositories</w:t>
      </w:r>
    </w:p>
    <w:p>
      <w:pPr>
        <w:pStyle w:val="List Paragraph"/>
      </w:pPr>
      <w:r>
        <w:rPr>
          <w:rFonts w:ascii="Figtree" w:hAnsi="Figtree" w:eastAsia="Figtree"/>
          <w:b/>
          <w:sz w:val="22"/>
        </w:rPr>
        <w:t xml:space="preserve">Reporting infrastructure:</w:t>
      </w:r>
      <w:r>
        <w:rPr>
          <w:rFonts w:ascii="Figtree" w:hAnsi="Figtree" w:eastAsia="Figtree"/>
          <w:sz w:val="22"/>
        </w:rPr>
        <w:t xml:space="preserve"> Structured data export for regulatory reporting systems</w:t>
      </w:r>
    </w:p>
    <w:p>
      <w:pPr>
        <w:pStyle w:val="H3"/>
        <w:numPr>
          <w:ilvl w:val="2"/>
          <w:numId w:val="1"/>
        </w:numPr>
      </w:pPr>
      <w:r>
        <w:rPr/>
        <w:t xml:space="preserve">SSO/IAM and SIEM Integration</w:t>
      </w:r>
    </w:p>
    <w:p>
      <w:pPr>
        <w:pStyle w:val="List Paragraph"/>
      </w:pPr>
      <w:r>
        <w:rPr>
          <w:rFonts w:ascii="Figtree" w:hAnsi="Figtree" w:eastAsia="Figtree"/>
          <w:b/>
          <w:sz w:val="22"/>
        </w:rPr>
        <w:t xml:space="preserve">Authentication:</w:t>
      </w:r>
      <w:r>
        <w:rPr>
          <w:rFonts w:ascii="Figtree" w:hAnsi="Figtree" w:eastAsia="Figtree"/>
          <w:sz w:val="22"/>
        </w:rPr>
        <w:t xml:space="preserve"> Better Auth-based authentication with configurable identity providers. SSO integration is deployment-specific and can align with Mashreq Bank's existing identity infrastructure.</w:t>
      </w:r>
    </w:p>
    <w:p>
      <w:pPr>
        <w:pStyle w:val="List Paragraph"/>
      </w:pPr>
      <w:r>
        <w:rPr>
          <w:rFonts w:ascii="Figtree" w:hAnsi="Figtree" w:eastAsia="Figtree"/>
          <w:b/>
          <w:sz w:val="22"/>
        </w:rPr>
        <w:t xml:space="preserve">SIEM-ready:</w:t>
      </w:r>
      <w:r>
        <w:rPr>
          <w:rFonts w:ascii="Figtree" w:hAnsi="Figtree" w:eastAsia="Figtree"/>
          <w:sz w:val="22"/>
        </w:rPr>
        <w:t xml:space="preserve"> DALP provides structured audit logging and observability data suitable for integration with Mashreq Bank's SIEM platform. Log formats support standard ingestion patterns.</w:t>
      </w:r>
    </w:p>
    <w:p>
      <w:pPr>
        <w:pStyle w:val="List Paragraph"/>
      </w:pPr>
      <w:r>
        <w:rPr>
          <w:rFonts w:ascii="Figtree" w:hAnsi="Figtree" w:eastAsia="Figtree"/>
          <w:b/>
          <w:sz w:val="22"/>
        </w:rPr>
        <w:t xml:space="preserve">API key management:</w:t>
      </w:r>
      <w:r>
        <w:rPr>
          <w:rFonts w:ascii="Figtree" w:hAnsi="Figtree" w:eastAsia="Figtree"/>
          <w:sz w:val="22"/>
        </w:rPr>
        <w:t xml:space="preserve"> Dedicated REST endpoint with HTTP-method-based scope enforcement for system-to-system authentication.</w:t>
      </w:r>
    </w:p>
    <w:p>
      <w:r>
        <w:br w:type="page"/>
      </w:r>
    </w:p>
    <w:p>
      <w:pPr>
        <w:pStyle w:val="H2"/>
        <w:numPr>
          <w:ilvl w:val="1"/>
          <w:numId w:val="1"/>
        </w:numPr>
      </w:pPr>
      <w:r>
        <w:rPr/>
        <w:t xml:space="preserve">9. Deployment Model</w:t>
      </w:r>
    </w:p>
    <w:p>
      <w:pPr>
        <w:pStyle w:val="H3"/>
        <w:numPr>
          <w:ilvl w:val="2"/>
          <w:numId w:val="1"/>
        </w:numPr>
      </w:pPr>
      <w:r>
        <w:rPr/>
        <w:t xml:space="preserve">On-Premises Deployment in UAE</w:t>
      </w:r>
    </w:p>
    <w:p>
      <w:pPr/>
      <w:r>
        <w:rPr>
          <w:rFonts w:ascii="Figtree" w:hAnsi="Figtree" w:eastAsia="Figtree"/>
          <w:sz w:val="22"/>
        </w:rPr>
        <w:t xml:space="preserve">DALP deploys on-premises within Mashreq Bank's UAE data center infrastructure using Helm charts on Kubernetes. This deployment model provides:</w:t>
      </w:r>
    </w:p>
    <w:p>
      <w:pPr>
        <w:pStyle w:val="List Paragraph"/>
      </w:pPr>
      <w:r>
        <w:rPr>
          <w:rFonts w:ascii="Figtree" w:hAnsi="Figtree" w:eastAsia="Figtree"/>
          <w:b/>
          <w:sz w:val="22"/>
        </w:rPr>
        <w:t xml:space="preserve">Full data residency control:</w:t>
      </w:r>
      <w:r>
        <w:rPr>
          <w:rFonts w:ascii="Figtree" w:hAnsi="Figtree" w:eastAsia="Figtree"/>
          <w:sz w:val="22"/>
        </w:rPr>
        <w:t xml:space="preserve"> All data, including identity information, transaction records, compliance decisions, and audit logs, remains within Mashreq Bank's infrastructure</w:t>
      </w:r>
    </w:p>
    <w:p>
      <w:pPr>
        <w:pStyle w:val="List Paragraph"/>
      </w:pPr>
      <w:r>
        <w:rPr>
          <w:rFonts w:ascii="Figtree" w:hAnsi="Figtree" w:eastAsia="Figtree"/>
          <w:b/>
          <w:sz w:val="22"/>
        </w:rPr>
        <w:t xml:space="preserve">Network isolation:</w:t>
      </w:r>
      <w:r>
        <w:rPr>
          <w:rFonts w:ascii="Figtree" w:hAnsi="Figtree" w:eastAsia="Figtree"/>
          <w:sz w:val="22"/>
        </w:rPr>
        <w:t xml:space="preserve"> Blockchain nodes, API services, and database systems operate within the bank's network perimeter</w:t>
      </w:r>
    </w:p>
    <w:p>
      <w:pPr>
        <w:pStyle w:val="List Paragraph"/>
      </w:pPr>
      <w:r>
        <w:rPr>
          <w:rFonts w:ascii="Figtree" w:hAnsi="Figtree" w:eastAsia="Figtree"/>
          <w:b/>
          <w:sz w:val="22"/>
        </w:rPr>
        <w:t xml:space="preserve">Sovereign key management:</w:t>
      </w:r>
      <w:r>
        <w:rPr>
          <w:rFonts w:ascii="Figtree" w:hAnsi="Figtree" w:eastAsia="Figtree"/>
          <w:sz w:val="22"/>
        </w:rPr>
        <w:t xml:space="preserve"> Cryptographic keys managed within the bank's security boundary</w:t>
      </w:r>
    </w:p>
    <w:p>
      <w:pPr>
        <w:pStyle w:val="List Paragraph"/>
      </w:pPr>
      <w:r>
        <w:rPr>
          <w:rFonts w:ascii="Figtree" w:hAnsi="Figtree" w:eastAsia="Figtree"/>
          <w:b/>
          <w:sz w:val="22"/>
        </w:rPr>
        <w:t xml:space="preserve">Regulatory compliance:</w:t>
      </w:r>
      <w:r>
        <w:rPr>
          <w:rFonts w:ascii="Figtree" w:hAnsi="Figtree" w:eastAsia="Figtree"/>
          <w:sz w:val="22"/>
        </w:rPr>
        <w:t xml:space="preserve"> Meets CBUAE and VARA data residency requirements without reliance on external cloud infrastructure</w:t>
      </w:r>
    </w:p>
    <w:p>
      <w:pPr>
        <w:pStyle w:val="H3"/>
        <w:numPr>
          <w:ilvl w:val="2"/>
          <w:numId w:val="1"/>
        </w:numPr>
      </w:pPr>
      <w:r>
        <w:rPr/>
        <w:t xml:space="preserve">Infrastructure Requirements</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Component</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Specification</w:t>
            </w:r>
          </w:p>
        </w:tc>
      </w:tr>
      <w:tr>
        <w:tc>
          <w:tcPr/>
          <w:p>
            <w:pPr>
              <w:spacing w:after="0" w:line="240" w:lineRule="auto"/>
              <w:rPr>
                <w:rFonts w:ascii="Figtree" w:hAnsi="Figtree" w:eastAsia="Figtree"/>
                <w:sz w:val="20"/>
              </w:rPr>
            </w:pPr>
            <w:r>
              <w:rPr>
                <w:rFonts w:ascii="Figtree" w:hAnsi="Figtree" w:eastAsia="Figtree"/>
                <w:sz w:val="20"/>
              </w:rPr>
              <w:t xml:space="preserve">Container Orchestration</w:t>
            </w:r>
          </w:p>
        </w:tc>
        <w:tc>
          <w:tcPr/>
          <w:p>
            <w:pPr>
              <w:spacing w:after="0" w:line="240" w:lineRule="auto"/>
              <w:rPr>
                <w:rFonts w:ascii="Figtree" w:hAnsi="Figtree" w:eastAsia="Figtree"/>
                <w:sz w:val="20"/>
              </w:rPr>
            </w:pPr>
            <w:r>
              <w:rPr>
                <w:rFonts w:ascii="Figtree" w:hAnsi="Figtree" w:eastAsia="Figtree"/>
                <w:sz w:val="20"/>
              </w:rPr>
              <w:t xml:space="preserve">Kubernetes 1.28+ (EKS, AKS, GKE, or on-prem)</w:t>
            </w:r>
          </w:p>
        </w:tc>
      </w:tr>
      <w:tr>
        <w:tc>
          <w:tcPr/>
          <w:p>
            <w:pPr>
              <w:spacing w:after="0" w:line="240" w:lineRule="auto"/>
              <w:rPr>
                <w:rFonts w:ascii="Figtree" w:hAnsi="Figtree" w:eastAsia="Figtree"/>
                <w:sz w:val="20"/>
              </w:rPr>
            </w:pPr>
            <w:r>
              <w:rPr>
                <w:rFonts w:ascii="Figtree" w:hAnsi="Figtree" w:eastAsia="Figtree"/>
                <w:sz w:val="20"/>
              </w:rPr>
              <w:t xml:space="preserve">Database</w:t>
            </w:r>
          </w:p>
        </w:tc>
        <w:tc>
          <w:tcPr/>
          <w:p>
            <w:pPr>
              <w:spacing w:after="0" w:line="240" w:lineRule="auto"/>
              <w:rPr>
                <w:rFonts w:ascii="Figtree" w:hAnsi="Figtree" w:eastAsia="Figtree"/>
                <w:sz w:val="20"/>
              </w:rPr>
            </w:pPr>
            <w:r>
              <w:rPr>
                <w:rFonts w:ascii="Figtree" w:hAnsi="Figtree" w:eastAsia="Figtree"/>
                <w:sz w:val="20"/>
              </w:rPr>
              <w:t xml:space="preserve">PostgreSQL 15+ with replication for high availability</w:t>
            </w:r>
          </w:p>
        </w:tc>
      </w:tr>
      <w:tr>
        <w:tc>
          <w:tcPr/>
          <w:p>
            <w:pPr>
              <w:spacing w:after="0" w:line="240" w:lineRule="auto"/>
              <w:rPr>
                <w:rFonts w:ascii="Figtree" w:hAnsi="Figtree" w:eastAsia="Figtree"/>
                <w:sz w:val="20"/>
              </w:rPr>
            </w:pPr>
            <w:r>
              <w:rPr>
                <w:rFonts w:ascii="Figtree" w:hAnsi="Figtree" w:eastAsia="Figtree"/>
                <w:sz w:val="20"/>
              </w:rPr>
              <w:t xml:space="preserve">Blockchain Nodes</w:t>
            </w:r>
          </w:p>
        </w:tc>
        <w:tc>
          <w:tcPr/>
          <w:p>
            <w:pPr>
              <w:spacing w:after="0" w:line="240" w:lineRule="auto"/>
              <w:rPr>
                <w:rFonts w:ascii="Figtree" w:hAnsi="Figtree" w:eastAsia="Figtree"/>
                <w:sz w:val="20"/>
              </w:rPr>
            </w:pPr>
            <w:r>
              <w:rPr>
                <w:rFonts w:ascii="Figtree" w:hAnsi="Figtree" w:eastAsia="Figtree"/>
                <w:sz w:val="20"/>
              </w:rPr>
              <w:t xml:space="preserve">Hyperledger Besu nodes (minimum 4 validators for QBFT consensus)</w:t>
            </w:r>
          </w:p>
        </w:tc>
      </w:tr>
      <w:tr>
        <w:tc>
          <w:tcPr/>
          <w:p>
            <w:pPr>
              <w:spacing w:after="0" w:line="240" w:lineRule="auto"/>
              <w:rPr>
                <w:rFonts w:ascii="Figtree" w:hAnsi="Figtree" w:eastAsia="Figtree"/>
                <w:sz w:val="20"/>
              </w:rPr>
            </w:pPr>
            <w:r>
              <w:rPr>
                <w:rFonts w:ascii="Figtree" w:hAnsi="Figtree" w:eastAsia="Figtree"/>
                <w:sz w:val="20"/>
              </w:rPr>
              <w:t xml:space="preserve">Workflow Runtime</w:t>
            </w:r>
          </w:p>
        </w:tc>
        <w:tc>
          <w:tcPr/>
          <w:p>
            <w:pPr>
              <w:spacing w:after="0" w:line="240" w:lineRule="auto"/>
              <w:rPr>
                <w:rFonts w:ascii="Figtree" w:hAnsi="Figtree" w:eastAsia="Figtree"/>
                <w:sz w:val="20"/>
              </w:rPr>
            </w:pPr>
            <w:r>
              <w:rPr>
                <w:rFonts w:ascii="Figtree" w:hAnsi="Figtree" w:eastAsia="Figtree"/>
                <w:sz w:val="20"/>
              </w:rPr>
              <w:t xml:space="preserve">Restate runtime for durable workflow execution</w:t>
            </w:r>
          </w:p>
        </w:tc>
      </w:tr>
      <w:tr>
        <w:tc>
          <w:tcPr/>
          <w:p>
            <w:pPr>
              <w:spacing w:after="0" w:line="240" w:lineRule="auto"/>
              <w:rPr>
                <w:rFonts w:ascii="Figtree" w:hAnsi="Figtree" w:eastAsia="Figtree"/>
                <w:sz w:val="20"/>
              </w:rPr>
            </w:pPr>
            <w:r>
              <w:rPr>
                <w:rFonts w:ascii="Figtree" w:hAnsi="Figtree" w:eastAsia="Figtree"/>
                <w:sz w:val="20"/>
              </w:rPr>
              <w:t xml:space="preserve">Subgraph Indexer</w:t>
            </w:r>
          </w:p>
        </w:tc>
        <w:tc>
          <w:tcPr/>
          <w:p>
            <w:pPr>
              <w:spacing w:after="0" w:line="240" w:lineRule="auto"/>
              <w:rPr>
                <w:rFonts w:ascii="Figtree" w:hAnsi="Figtree" w:eastAsia="Figtree"/>
                <w:sz w:val="20"/>
              </w:rPr>
            </w:pPr>
            <w:r>
              <w:rPr>
                <w:rFonts w:ascii="Figtree" w:hAnsi="Figtree" w:eastAsia="Figtree"/>
                <w:sz w:val="20"/>
              </w:rPr>
              <w:t xml:space="preserve">TheGraph node for blockchain event indexing</w:t>
            </w:r>
          </w:p>
        </w:tc>
      </w:tr>
      <w:tr>
        <w:tc>
          <w:tcPr/>
          <w:p>
            <w:pPr>
              <w:spacing w:after="0" w:line="240" w:lineRule="auto"/>
              <w:rPr>
                <w:rFonts w:ascii="Figtree" w:hAnsi="Figtree" w:eastAsia="Figtree"/>
                <w:sz w:val="20"/>
              </w:rPr>
            </w:pPr>
            <w:r>
              <w:rPr>
                <w:rFonts w:ascii="Figtree" w:hAnsi="Figtree" w:eastAsia="Figtree"/>
                <w:sz w:val="20"/>
              </w:rPr>
              <w:t xml:space="preserve">Object Storage</w:t>
            </w:r>
          </w:p>
        </w:tc>
        <w:tc>
          <w:tcPr/>
          <w:p>
            <w:pPr>
              <w:spacing w:after="0" w:line="240" w:lineRule="auto"/>
              <w:rPr>
                <w:rFonts w:ascii="Figtree" w:hAnsi="Figtree" w:eastAsia="Figtree"/>
                <w:sz w:val="20"/>
              </w:rPr>
            </w:pPr>
            <w:r>
              <w:rPr>
                <w:rFonts w:ascii="Figtree" w:hAnsi="Figtree" w:eastAsia="Figtree"/>
                <w:sz w:val="20"/>
              </w:rPr>
              <w:t xml:space="preserve">S3-compatible storage for document management</w:t>
            </w:r>
          </w:p>
        </w:tc>
      </w:tr>
      <w:tr>
        <w:tc>
          <w:tcPr/>
          <w:p>
            <w:pPr>
              <w:spacing w:after="0" w:line="240" w:lineRule="auto"/>
              <w:rPr>
                <w:rFonts w:ascii="Figtree" w:hAnsi="Figtree" w:eastAsia="Figtree"/>
                <w:sz w:val="20"/>
              </w:rPr>
            </w:pPr>
            <w:r>
              <w:rPr>
                <w:rFonts w:ascii="Figtree" w:hAnsi="Figtree" w:eastAsia="Figtree"/>
                <w:sz w:val="20"/>
              </w:rPr>
              <w:t xml:space="preserve">Monitoring Stack</w:t>
            </w:r>
          </w:p>
        </w:tc>
        <w:tc>
          <w:tcPr/>
          <w:p>
            <w:pPr>
              <w:spacing w:after="0" w:line="240" w:lineRule="auto"/>
              <w:rPr>
                <w:rFonts w:ascii="Figtree" w:hAnsi="Figtree" w:eastAsia="Figtree"/>
                <w:sz w:val="20"/>
              </w:rPr>
            </w:pPr>
            <w:r>
              <w:rPr>
                <w:rFonts w:ascii="Figtree" w:hAnsi="Figtree" w:eastAsia="Figtree"/>
                <w:sz w:val="20"/>
              </w:rPr>
              <w:t xml:space="preserve">VictoriaMetrics, Loki, Tempo, Grafana</w:t>
            </w:r>
          </w:p>
        </w:tc>
      </w:tr>
      <w:tr>
        <w:tc>
          <w:tcPr/>
          <w:p>
            <w:pPr>
              <w:spacing w:after="0" w:line="240" w:lineRule="auto"/>
              <w:rPr>
                <w:rFonts w:ascii="Figtree" w:hAnsi="Figtree" w:eastAsia="Figtree"/>
                <w:sz w:val="20"/>
              </w:rPr>
            </w:pPr>
            <w:r>
              <w:rPr>
                <w:rFonts w:ascii="Figtree" w:hAnsi="Figtree" w:eastAsia="Figtree"/>
                <w:sz w:val="20"/>
              </w:rPr>
              <w:t xml:space="preserve">Secret Management</w:t>
            </w:r>
          </w:p>
        </w:tc>
        <w:tc>
          <w:tcPr/>
          <w:p>
            <w:pPr>
              <w:spacing w:after="0" w:line="240" w:lineRule="auto"/>
              <w:rPr>
                <w:rFonts w:ascii="Figtree" w:hAnsi="Figtree" w:eastAsia="Figtree"/>
                <w:sz w:val="20"/>
              </w:rPr>
            </w:pPr>
            <w:r>
              <w:rPr>
                <w:rFonts w:ascii="Figtree" w:hAnsi="Figtree" w:eastAsia="Figtree"/>
                <w:sz w:val="20"/>
              </w:rPr>
              <w:t xml:space="preserve">HashiCorp Vault or cloud-equivalent KMS</w:t>
            </w:r>
          </w:p>
        </w:tc>
      </w:tr>
      <w:tr>
        <w:tc>
          <w:tcPr/>
          <w:p>
            <w:pPr>
              <w:spacing w:after="0" w:line="240" w:lineRule="auto"/>
              <w:rPr>
                <w:rFonts w:ascii="Figtree" w:hAnsi="Figtree" w:eastAsia="Figtree"/>
                <w:sz w:val="20"/>
              </w:rPr>
            </w:pPr>
            <w:r>
              <w:rPr>
                <w:rFonts w:ascii="Figtree" w:hAnsi="Figtree" w:eastAsia="Figtree"/>
                <w:sz w:val="20"/>
              </w:rPr>
              <w:t xml:space="preserve">Compute</w:t>
            </w:r>
          </w:p>
        </w:tc>
        <w:tc>
          <w:tcPr/>
          <w:p>
            <w:pPr>
              <w:spacing w:after="0" w:line="240" w:lineRule="auto"/>
              <w:rPr>
                <w:rFonts w:ascii="Figtree" w:hAnsi="Figtree" w:eastAsia="Figtree"/>
                <w:sz w:val="20"/>
              </w:rPr>
            </w:pPr>
            <w:r>
              <w:rPr>
                <w:rFonts w:ascii="Figtree" w:hAnsi="Figtree" w:eastAsia="Figtree"/>
                <w:sz w:val="20"/>
              </w:rPr>
              <w:t xml:space="preserve">Minimum 16 vCPU, 64GB RAM per node (3+ nodes recommended)</w:t>
            </w:r>
          </w:p>
        </w:tc>
      </w:tr>
      <w:tr>
        <w:tc>
          <w:tcPr/>
          <w:p>
            <w:pPr>
              <w:spacing w:after="0" w:line="240" w:lineRule="auto"/>
              <w:rPr>
                <w:rFonts w:ascii="Figtree" w:hAnsi="Figtree" w:eastAsia="Figtree"/>
                <w:sz w:val="20"/>
              </w:rPr>
            </w:pPr>
            <w:r>
              <w:rPr>
                <w:rFonts w:ascii="Figtree" w:hAnsi="Figtree" w:eastAsia="Figtree"/>
                <w:sz w:val="20"/>
              </w:rPr>
              <w:t xml:space="preserve">Storage</w:t>
            </w:r>
          </w:p>
        </w:tc>
        <w:tc>
          <w:tcPr/>
          <w:p>
            <w:pPr>
              <w:spacing w:after="0" w:line="240" w:lineRule="auto"/>
              <w:rPr>
                <w:rFonts w:ascii="Figtree" w:hAnsi="Figtree" w:eastAsia="Figtree"/>
                <w:sz w:val="20"/>
              </w:rPr>
            </w:pPr>
            <w:r>
              <w:rPr>
                <w:rFonts w:ascii="Figtree" w:hAnsi="Figtree" w:eastAsia="Figtree"/>
                <w:sz w:val="20"/>
              </w:rPr>
              <w:t xml:space="preserve">SSD-backed storage for database and blockchain state</w:t>
            </w:r>
          </w:p>
        </w:tc>
      </w:tr>
    </w:tbl>
    <w:p>
      <w:pPr>
        <w:pStyle w:val="H3"/>
        <w:numPr>
          <w:ilvl w:val="2"/>
          <w:numId w:val="1"/>
        </w:numPr>
      </w:pPr>
      <w:r>
        <w:rPr/>
        <w:t xml:space="preserve">High Availability Architecture</w:t>
      </w:r>
    </w:p>
    <w:p>
      <w:pPr/>
      <w:r>
        <w:rPr>
          <w:rFonts w:ascii="Figtree" w:hAnsi="Figtree" w:eastAsia="Figtree"/>
          <w:sz w:val="22"/>
        </w:rPr>
        <w:t xml:space="preserve">DALP's architecture supports high availability at every layer:</w:t>
      </w:r>
    </w:p>
    <w:p>
      <w:pPr>
        <w:pStyle w:val="List Paragraph"/>
      </w:pPr>
      <w:r>
        <w:rPr>
          <w:rFonts w:ascii="Figtree" w:hAnsi="Figtree" w:eastAsia="Figtree"/>
          <w:b/>
          <w:sz w:val="22"/>
        </w:rPr>
        <w:t xml:space="preserve">Application layer:</w:t>
      </w:r>
      <w:r>
        <w:rPr>
          <w:rFonts w:ascii="Figtree" w:hAnsi="Figtree" w:eastAsia="Figtree"/>
          <w:sz w:val="22"/>
        </w:rPr>
        <w:t xml:space="preserve"> Multiple DAPI instances behind load balancers with session affinity. Restate workflows provide built-in resilience; operations resume after instance recovery.</w:t>
      </w:r>
    </w:p>
    <w:p>
      <w:pPr>
        <w:pStyle w:val="List Paragraph"/>
      </w:pPr>
      <w:r>
        <w:rPr>
          <w:rFonts w:ascii="Figtree" w:hAnsi="Figtree" w:eastAsia="Figtree"/>
          <w:b/>
          <w:sz w:val="22"/>
        </w:rPr>
        <w:t xml:space="preserve">Database layer:</w:t>
      </w:r>
      <w:r>
        <w:rPr>
          <w:rFonts w:ascii="Figtree" w:hAnsi="Figtree" w:eastAsia="Figtree"/>
          <w:sz w:val="22"/>
        </w:rPr>
        <w:t xml:space="preserve"> PostgreSQL primary-replica configuration with automatic failover. Point-in-time recovery capability for disaster scenarios.</w:t>
      </w:r>
    </w:p>
    <w:p>
      <w:pPr>
        <w:pStyle w:val="List Paragraph"/>
      </w:pPr>
      <w:r>
        <w:rPr>
          <w:rFonts w:ascii="Figtree" w:hAnsi="Figtree" w:eastAsia="Figtree"/>
          <w:b/>
          <w:sz w:val="22"/>
        </w:rPr>
        <w:t xml:space="preserve">Blockchain layer:</w:t>
      </w:r>
      <w:r>
        <w:rPr>
          <w:rFonts w:ascii="Figtree" w:hAnsi="Figtree" w:eastAsia="Figtree"/>
          <w:sz w:val="22"/>
        </w:rPr>
        <w:t xml:space="preserve"> QBFT consensus tolerates f Byzantine faults with 3f+1 validators. A four-validator network tolerates one node failure while maintaining consensus.</w:t>
      </w:r>
    </w:p>
    <w:p>
      <w:pPr>
        <w:pStyle w:val="List Paragraph"/>
      </w:pPr>
      <w:r>
        <w:rPr>
          <w:rFonts w:ascii="Figtree" w:hAnsi="Figtree" w:eastAsia="Figtree"/>
          <w:b/>
          <w:sz w:val="22"/>
        </w:rPr>
        <w:t xml:space="preserve">Indexer layer:</w:t>
      </w:r>
      <w:r>
        <w:rPr>
          <w:rFonts w:ascii="Figtree" w:hAnsi="Figtree" w:eastAsia="Figtree"/>
          <w:sz w:val="22"/>
        </w:rPr>
        <w:t xml:space="preserve"> TheGraph node replication with automated failover. Blockchain health monitoring detects indexer degradation with hysteresis-based alerting.</w:t>
      </w:r>
    </w:p>
    <w:p>
      <w:pPr>
        <w:pStyle w:val="List Paragraph"/>
      </w:pPr>
      <w:r>
        <w:rPr>
          <w:rFonts w:ascii="Figtree" w:hAnsi="Figtree" w:eastAsia="Figtree"/>
          <w:b/>
          <w:sz w:val="22"/>
        </w:rPr>
        <w:t xml:space="preserve">Monitoring layer:</w:t>
      </w:r>
      <w:r>
        <w:rPr>
          <w:rFonts w:ascii="Figtree" w:hAnsi="Figtree" w:eastAsia="Figtree"/>
          <w:sz w:val="22"/>
        </w:rPr>
        <w:t xml:space="preserve"> Grafana, VictoriaMetrics, and Loki operate as independent services with their own persistence, providing observability even during partial platform degradation.</w:t>
      </w:r>
    </w:p>
    <w:p>
      <w:pPr>
        <w:pStyle w:val="H3"/>
        <w:numPr>
          <w:ilvl w:val="2"/>
          <w:numId w:val="1"/>
        </w:numPr>
      </w:pPr>
      <w:r>
        <w:rPr/>
        <w:t xml:space="preserve">Disaster Recovery and Business Continuity</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Recovery Objective</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Target</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Implementation</w:t>
            </w:r>
          </w:p>
        </w:tc>
      </w:tr>
      <w:tr>
        <w:tc>
          <w:tcPr/>
          <w:p>
            <w:pPr>
              <w:spacing w:after="0" w:line="240" w:lineRule="auto"/>
              <w:rPr>
                <w:rFonts w:ascii="Figtree" w:hAnsi="Figtree" w:eastAsia="Figtree"/>
                <w:sz w:val="20"/>
              </w:rPr>
            </w:pPr>
            <w:r>
              <w:rPr>
                <w:rFonts w:ascii="Figtree" w:hAnsi="Figtree" w:eastAsia="Figtree"/>
                <w:sz w:val="20"/>
              </w:rPr>
              <w:t xml:space="preserve">RPO (Recovery Point Objective)</w:t>
            </w:r>
          </w:p>
        </w:tc>
        <w:tc>
          <w:tcPr/>
          <w:p>
            <w:pPr>
              <w:spacing w:after="0" w:line="240" w:lineRule="auto"/>
              <w:rPr>
                <w:rFonts w:ascii="Figtree" w:hAnsi="Figtree" w:eastAsia="Figtree"/>
                <w:sz w:val="20"/>
              </w:rPr>
            </w:pPr>
            <w:r>
              <w:rPr>
                <w:rFonts w:ascii="Figtree" w:hAnsi="Figtree" w:eastAsia="Figtree"/>
                <w:sz w:val="20"/>
              </w:rPr>
              <w:t xml:space="preserve">&lt; 1 minute</w:t>
            </w:r>
          </w:p>
        </w:tc>
        <w:tc>
          <w:tcPr/>
          <w:p>
            <w:pPr>
              <w:spacing w:after="0" w:line="240" w:lineRule="auto"/>
              <w:rPr>
                <w:rFonts w:ascii="Figtree" w:hAnsi="Figtree" w:eastAsia="Figtree"/>
                <w:sz w:val="20"/>
              </w:rPr>
            </w:pPr>
            <w:r>
              <w:rPr>
                <w:rFonts w:ascii="Figtree" w:hAnsi="Figtree" w:eastAsia="Figtree"/>
                <w:sz w:val="20"/>
              </w:rPr>
              <w:t xml:space="preserve">Synchronous database replication, continuous blockchain state</w:t>
            </w:r>
          </w:p>
        </w:tc>
      </w:tr>
      <w:tr>
        <w:tc>
          <w:tcPr/>
          <w:p>
            <w:pPr>
              <w:spacing w:after="0" w:line="240" w:lineRule="auto"/>
              <w:rPr>
                <w:rFonts w:ascii="Figtree" w:hAnsi="Figtree" w:eastAsia="Figtree"/>
                <w:sz w:val="20"/>
              </w:rPr>
            </w:pPr>
            <w:r>
              <w:rPr>
                <w:rFonts w:ascii="Figtree" w:hAnsi="Figtree" w:eastAsia="Figtree"/>
                <w:sz w:val="20"/>
              </w:rPr>
              <w:t xml:space="preserve">RTO (Recovery Time Objective)</w:t>
            </w:r>
          </w:p>
        </w:tc>
        <w:tc>
          <w:tcPr/>
          <w:p>
            <w:pPr>
              <w:spacing w:after="0" w:line="240" w:lineRule="auto"/>
              <w:rPr>
                <w:rFonts w:ascii="Figtree" w:hAnsi="Figtree" w:eastAsia="Figtree"/>
                <w:sz w:val="20"/>
              </w:rPr>
            </w:pPr>
            <w:r>
              <w:rPr>
                <w:rFonts w:ascii="Figtree" w:hAnsi="Figtree" w:eastAsia="Figtree"/>
                <w:sz w:val="20"/>
              </w:rPr>
              <w:t xml:space="preserve">&lt; 30 minutes</w:t>
            </w:r>
          </w:p>
        </w:tc>
        <w:tc>
          <w:tcPr/>
          <w:p>
            <w:pPr>
              <w:spacing w:after="0" w:line="240" w:lineRule="auto"/>
              <w:rPr>
                <w:rFonts w:ascii="Figtree" w:hAnsi="Figtree" w:eastAsia="Figtree"/>
                <w:sz w:val="20"/>
              </w:rPr>
            </w:pPr>
            <w:r>
              <w:rPr>
                <w:rFonts w:ascii="Figtree" w:hAnsi="Figtree" w:eastAsia="Figtree"/>
                <w:sz w:val="20"/>
              </w:rPr>
              <w:t xml:space="preserve">Automated failover, pre-provisioned standby infrastructure</w:t>
            </w:r>
          </w:p>
        </w:tc>
      </w:tr>
      <w:tr>
        <w:tc>
          <w:tcPr/>
          <w:p>
            <w:pPr>
              <w:spacing w:after="0" w:line="240" w:lineRule="auto"/>
              <w:rPr>
                <w:rFonts w:ascii="Figtree" w:hAnsi="Figtree" w:eastAsia="Figtree"/>
                <w:sz w:val="20"/>
              </w:rPr>
            </w:pPr>
            <w:r>
              <w:rPr>
                <w:rFonts w:ascii="Figtree" w:hAnsi="Figtree" w:eastAsia="Figtree"/>
                <w:sz w:val="20"/>
              </w:rPr>
              <w:t xml:space="preserve">Data durability</w:t>
            </w:r>
          </w:p>
        </w:tc>
        <w:tc>
          <w:tcPr/>
          <w:p>
            <w:pPr>
              <w:spacing w:after="0" w:line="240" w:lineRule="auto"/>
              <w:rPr>
                <w:rFonts w:ascii="Figtree" w:hAnsi="Figtree" w:eastAsia="Figtree"/>
                <w:sz w:val="20"/>
              </w:rPr>
            </w:pPr>
            <w:r>
              <w:rPr>
                <w:rFonts w:ascii="Figtree" w:hAnsi="Figtree" w:eastAsia="Figtree"/>
                <w:sz w:val="20"/>
              </w:rPr>
              <w:t xml:space="preserve">99.999%</w:t>
            </w:r>
          </w:p>
        </w:tc>
        <w:tc>
          <w:tcPr/>
          <w:p>
            <w:pPr>
              <w:spacing w:after="0" w:line="240" w:lineRule="auto"/>
              <w:rPr>
                <w:rFonts w:ascii="Figtree" w:hAnsi="Figtree" w:eastAsia="Figtree"/>
                <w:sz w:val="20"/>
              </w:rPr>
            </w:pPr>
            <w:r>
              <w:rPr>
                <w:rFonts w:ascii="Figtree" w:hAnsi="Figtree" w:eastAsia="Figtree"/>
                <w:sz w:val="20"/>
              </w:rPr>
              <w:t xml:space="preserve">Multi-zone replication, encrypted backups</w:t>
            </w:r>
          </w:p>
        </w:tc>
      </w:tr>
      <w:tr>
        <w:tc>
          <w:tcPr/>
          <w:p>
            <w:pPr>
              <w:spacing w:after="0" w:line="240" w:lineRule="auto"/>
              <w:rPr>
                <w:rFonts w:ascii="Figtree" w:hAnsi="Figtree" w:eastAsia="Figtree"/>
                <w:sz w:val="20"/>
              </w:rPr>
            </w:pPr>
            <w:r>
              <w:rPr>
                <w:rFonts w:ascii="Figtree" w:hAnsi="Figtree" w:eastAsia="Figtree"/>
                <w:sz w:val="20"/>
              </w:rPr>
              <w:t xml:space="preserve">Blockchain state</w:t>
            </w:r>
          </w:p>
        </w:tc>
        <w:tc>
          <w:tcPr/>
          <w:p>
            <w:pPr>
              <w:spacing w:after="0" w:line="240" w:lineRule="auto"/>
              <w:rPr>
                <w:rFonts w:ascii="Figtree" w:hAnsi="Figtree" w:eastAsia="Figtree"/>
                <w:sz w:val="20"/>
              </w:rPr>
            </w:pPr>
            <w:r>
              <w:rPr>
                <w:rFonts w:ascii="Figtree" w:hAnsi="Figtree" w:eastAsia="Figtree"/>
                <w:sz w:val="20"/>
              </w:rPr>
              <w:t xml:space="preserve">Immutable</w:t>
            </w:r>
          </w:p>
        </w:tc>
        <w:tc>
          <w:tcPr/>
          <w:p>
            <w:pPr>
              <w:spacing w:after="0" w:line="240" w:lineRule="auto"/>
              <w:rPr>
                <w:rFonts w:ascii="Figtree" w:hAnsi="Figtree" w:eastAsia="Figtree"/>
                <w:sz w:val="20"/>
              </w:rPr>
            </w:pPr>
            <w:r>
              <w:rPr>
                <w:rFonts w:ascii="Figtree" w:hAnsi="Figtree" w:eastAsia="Figtree"/>
                <w:sz w:val="20"/>
              </w:rPr>
              <w:t xml:space="preserve">Distributed across validator nodes, recoverable from any node</w:t>
            </w:r>
          </w:p>
        </w:tc>
      </w:tr>
    </w:tbl>
    <w:p>
      <w:pPr/>
      <w:r>
        <w:rPr>
          <w:rFonts w:ascii="Figtree" w:hAnsi="Figtree" w:eastAsia="Figtree"/>
          <w:sz w:val="22"/>
        </w:rPr>
        <w:t xml:space="preserve">Disaster recovery procedures include:</w:t>
      </w:r>
    </w:p>
    <w:p>
      <w:pPr>
        <w:pStyle w:val="List Paragraph"/>
        <w:numPr>
          <w:ilvl w:val="0"/>
          <w:numId w:val="5"/>
        </w:numPr>
      </w:pPr>
      <w:r>
        <w:rPr>
          <w:rFonts w:ascii="Figtree" w:hAnsi="Figtree" w:eastAsia="Figtree"/>
          <w:sz w:val="22"/>
        </w:rPr>
        <w:t xml:space="preserve">Automated database failover to standby replica</w:t>
      </w:r>
    </w:p>
    <w:p>
      <w:pPr>
        <w:pStyle w:val="List Paragraph"/>
        <w:numPr>
          <w:ilvl w:val="0"/>
          <w:numId w:val="5"/>
        </w:numPr>
      </w:pPr>
      <w:r>
        <w:rPr>
          <w:rFonts w:ascii="Figtree" w:hAnsi="Figtree" w:eastAsia="Figtree"/>
          <w:sz w:val="22"/>
        </w:rPr>
        <w:t xml:space="preserve">Blockchain node recovery from peer synchronization</w:t>
      </w:r>
    </w:p>
    <w:p>
      <w:pPr>
        <w:pStyle w:val="List Paragraph"/>
        <w:numPr>
          <w:ilvl w:val="0"/>
          <w:numId w:val="5"/>
        </w:numPr>
      </w:pPr>
      <w:r>
        <w:rPr>
          <w:rFonts w:ascii="Figtree" w:hAnsi="Figtree" w:eastAsia="Figtree"/>
          <w:sz w:val="22"/>
        </w:rPr>
        <w:t xml:space="preserve">Workflow state recovery through Restate's durable execution guarantees</w:t>
      </w:r>
    </w:p>
    <w:p>
      <w:pPr>
        <w:pStyle w:val="List Paragraph"/>
        <w:numPr>
          <w:ilvl w:val="0"/>
          <w:numId w:val="5"/>
        </w:numPr>
      </w:pPr>
      <w:r>
        <w:rPr>
          <w:rFonts w:ascii="Figtree" w:hAnsi="Figtree" w:eastAsia="Figtree"/>
          <w:sz w:val="22"/>
        </w:rPr>
        <w:t xml:space="preserve">Indexer re-synchronization from blockchain event history</w:t>
      </w:r>
    </w:p>
    <w:p>
      <w:pPr>
        <w:pStyle w:val="List Paragraph"/>
        <w:numPr>
          <w:ilvl w:val="0"/>
          <w:numId w:val="5"/>
        </w:numPr>
      </w:pPr>
      <w:r>
        <w:rPr>
          <w:rFonts w:ascii="Figtree" w:hAnsi="Figtree" w:eastAsia="Figtree"/>
          <w:sz w:val="22"/>
        </w:rPr>
        <w:t xml:space="preserve">Monitoring stack independent recovery</w:t>
      </w:r>
    </w:p>
    <w:p>
      <w:pPr>
        <w:pStyle w:val="H3"/>
        <w:numPr>
          <w:ilvl w:val="2"/>
          <w:numId w:val="1"/>
        </w:numPr>
      </w:pPr>
      <w:r>
        <w:rPr/>
        <w:t xml:space="preserve">Environment Strategy</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Environment</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Purpose</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Infrastructure</w:t>
            </w:r>
          </w:p>
        </w:tc>
      </w:tr>
      <w:tr>
        <w:tc>
          <w:tcPr/>
          <w:p>
            <w:pPr>
              <w:spacing w:after="0" w:line="240" w:lineRule="auto"/>
              <w:rPr>
                <w:rFonts w:ascii="Figtree" w:hAnsi="Figtree" w:eastAsia="Figtree"/>
                <w:sz w:val="20"/>
              </w:rPr>
            </w:pPr>
            <w:r>
              <w:rPr>
                <w:rFonts w:ascii="Figtree" w:hAnsi="Figtree" w:eastAsia="Figtree"/>
                <w:sz w:val="20"/>
              </w:rPr>
              <w:t xml:space="preserve">Development</w:t>
            </w:r>
          </w:p>
        </w:tc>
        <w:tc>
          <w:tcPr/>
          <w:p>
            <w:pPr>
              <w:spacing w:after="0" w:line="240" w:lineRule="auto"/>
              <w:rPr>
                <w:rFonts w:ascii="Figtree" w:hAnsi="Figtree" w:eastAsia="Figtree"/>
                <w:sz w:val="20"/>
              </w:rPr>
            </w:pPr>
            <w:r>
              <w:rPr>
                <w:rFonts w:ascii="Figtree" w:hAnsi="Figtree" w:eastAsia="Figtree"/>
                <w:sz w:val="20"/>
              </w:rPr>
              <w:t xml:space="preserve">Feature development, unit testing</w:t>
            </w:r>
          </w:p>
        </w:tc>
        <w:tc>
          <w:tcPr/>
          <w:p>
            <w:pPr>
              <w:spacing w:after="0" w:line="240" w:lineRule="auto"/>
              <w:rPr>
                <w:rFonts w:ascii="Figtree" w:hAnsi="Figtree" w:eastAsia="Figtree"/>
                <w:sz w:val="20"/>
              </w:rPr>
            </w:pPr>
            <w:r>
              <w:rPr>
                <w:rFonts w:ascii="Figtree" w:hAnsi="Figtree" w:eastAsia="Figtree"/>
                <w:sz w:val="20"/>
              </w:rPr>
              <w:t xml:space="preserve">Single-node, local signer, test blockchain</w:t>
            </w:r>
          </w:p>
        </w:tc>
      </w:tr>
      <w:tr>
        <w:tc>
          <w:tcPr/>
          <w:p>
            <w:pPr>
              <w:spacing w:after="0" w:line="240" w:lineRule="auto"/>
              <w:rPr>
                <w:rFonts w:ascii="Figtree" w:hAnsi="Figtree" w:eastAsia="Figtree"/>
                <w:sz w:val="20"/>
              </w:rPr>
            </w:pPr>
            <w:r>
              <w:rPr>
                <w:rFonts w:ascii="Figtree" w:hAnsi="Figtree" w:eastAsia="Figtree"/>
                <w:sz w:val="20"/>
              </w:rPr>
              <w:t xml:space="preserve">Staging</w:t>
            </w:r>
          </w:p>
        </w:tc>
        <w:tc>
          <w:tcPr/>
          <w:p>
            <w:pPr>
              <w:spacing w:after="0" w:line="240" w:lineRule="auto"/>
              <w:rPr>
                <w:rFonts w:ascii="Figtree" w:hAnsi="Figtree" w:eastAsia="Figtree"/>
                <w:sz w:val="20"/>
              </w:rPr>
            </w:pPr>
            <w:r>
              <w:rPr>
                <w:rFonts w:ascii="Figtree" w:hAnsi="Figtree" w:eastAsia="Figtree"/>
                <w:sz w:val="20"/>
              </w:rPr>
              <w:t xml:space="preserve">Integration testing, UAT</w:t>
            </w:r>
          </w:p>
        </w:tc>
        <w:tc>
          <w:tcPr/>
          <w:p>
            <w:pPr>
              <w:spacing w:after="0" w:line="240" w:lineRule="auto"/>
              <w:rPr>
                <w:rFonts w:ascii="Figtree" w:hAnsi="Figtree" w:eastAsia="Figtree"/>
                <w:sz w:val="20"/>
              </w:rPr>
            </w:pPr>
            <w:r>
              <w:rPr>
                <w:rFonts w:ascii="Figtree" w:hAnsi="Figtree" w:eastAsia="Figtree"/>
                <w:sz w:val="20"/>
              </w:rPr>
              <w:t xml:space="preserve">Production-mirror, test custody provider, test blockchain</w:t>
            </w:r>
          </w:p>
        </w:tc>
      </w:tr>
      <w:tr>
        <w:tc>
          <w:tcPr/>
          <w:p>
            <w:pPr>
              <w:spacing w:after="0" w:line="240" w:lineRule="auto"/>
              <w:rPr>
                <w:rFonts w:ascii="Figtree" w:hAnsi="Figtree" w:eastAsia="Figtree"/>
                <w:sz w:val="20"/>
              </w:rPr>
            </w:pPr>
            <w:r>
              <w:rPr>
                <w:rFonts w:ascii="Figtree" w:hAnsi="Figtree" w:eastAsia="Figtree"/>
                <w:sz w:val="20"/>
              </w:rPr>
              <w:t xml:space="preserve">Production</w:t>
            </w:r>
          </w:p>
        </w:tc>
        <w:tc>
          <w:tcPr/>
          <w:p>
            <w:pPr>
              <w:spacing w:after="0" w:line="240" w:lineRule="auto"/>
              <w:rPr>
                <w:rFonts w:ascii="Figtree" w:hAnsi="Figtree" w:eastAsia="Figtree"/>
                <w:sz w:val="20"/>
              </w:rPr>
            </w:pPr>
            <w:r>
              <w:rPr>
                <w:rFonts w:ascii="Figtree" w:hAnsi="Figtree" w:eastAsia="Figtree"/>
                <w:sz w:val="20"/>
              </w:rPr>
              <w:t xml:space="preserve">Live operations</w:t>
            </w:r>
          </w:p>
        </w:tc>
        <w:tc>
          <w:tcPr/>
          <w:p>
            <w:pPr>
              <w:spacing w:after="0" w:line="240" w:lineRule="auto"/>
              <w:rPr>
                <w:rFonts w:ascii="Figtree" w:hAnsi="Figtree" w:eastAsia="Figtree"/>
                <w:sz w:val="20"/>
              </w:rPr>
            </w:pPr>
            <w:r>
              <w:rPr>
                <w:rFonts w:ascii="Figtree" w:hAnsi="Figtree" w:eastAsia="Figtree"/>
                <w:sz w:val="20"/>
              </w:rPr>
              <w:t xml:space="preserve">Full HA, institutional custody, production blockchain</w:t>
            </w:r>
          </w:p>
        </w:tc>
      </w:tr>
      <w:tr>
        <w:tc>
          <w:tcPr/>
          <w:p>
            <w:pPr>
              <w:spacing w:after="0" w:line="240" w:lineRule="auto"/>
              <w:rPr>
                <w:rFonts w:ascii="Figtree" w:hAnsi="Figtree" w:eastAsia="Figtree"/>
                <w:sz w:val="20"/>
              </w:rPr>
            </w:pPr>
            <w:r>
              <w:rPr>
                <w:rFonts w:ascii="Figtree" w:hAnsi="Figtree" w:eastAsia="Figtree"/>
                <w:sz w:val="20"/>
              </w:rPr>
              <w:t xml:space="preserve">DR</w:t>
            </w:r>
          </w:p>
        </w:tc>
        <w:tc>
          <w:tcPr/>
          <w:p>
            <w:pPr>
              <w:spacing w:after="0" w:line="240" w:lineRule="auto"/>
              <w:rPr>
                <w:rFonts w:ascii="Figtree" w:hAnsi="Figtree" w:eastAsia="Figtree"/>
                <w:sz w:val="20"/>
              </w:rPr>
            </w:pPr>
            <w:r>
              <w:rPr>
                <w:rFonts w:ascii="Figtree" w:hAnsi="Figtree" w:eastAsia="Figtree"/>
                <w:sz w:val="20"/>
              </w:rPr>
              <w:t xml:space="preserve">Disaster recovery standby</w:t>
            </w:r>
          </w:p>
        </w:tc>
        <w:tc>
          <w:tcPr/>
          <w:p>
            <w:pPr>
              <w:spacing w:after="0" w:line="240" w:lineRule="auto"/>
              <w:rPr>
                <w:rFonts w:ascii="Figtree" w:hAnsi="Figtree" w:eastAsia="Figtree"/>
                <w:sz w:val="20"/>
              </w:rPr>
            </w:pPr>
            <w:r>
              <w:rPr>
                <w:rFonts w:ascii="Figtree" w:hAnsi="Figtree" w:eastAsia="Figtree"/>
                <w:sz w:val="20"/>
              </w:rPr>
              <w:t xml:space="preserve">Warm standby, synchronized state, automated failover</w:t>
            </w:r>
          </w:p>
        </w:tc>
      </w:tr>
    </w:tbl>
    <w:p>
      <w:r>
        <w:br w:type="page"/>
      </w:r>
    </w:p>
    <w:p>
      <w:pPr>
        <w:pStyle w:val="H2"/>
        <w:numPr>
          <w:ilvl w:val="1"/>
          <w:numId w:val="1"/>
        </w:numPr>
      </w:pPr>
      <w:r>
        <w:rPr/>
        <w:t xml:space="preserve">10. Security</w:t>
      </w:r>
    </w:p>
    <w:p>
      <w:pPr>
        <w:pStyle w:val="H3"/>
        <w:numPr>
          <w:ilvl w:val="2"/>
          <w:numId w:val="1"/>
        </w:numPr>
      </w:pPr>
      <w:r>
        <w:rPr/>
        <w:t xml:space="preserve">Security Architecture</w:t>
      </w:r>
    </w:p>
    <w:p>
      <w:pPr/>
      <w:r>
        <w:rPr>
          <w:rFonts w:ascii="Figtree" w:hAnsi="Figtree" w:eastAsia="Figtree"/>
          <w:sz w:val="22"/>
        </w:rPr>
        <w:t xml:space="preserve">DALP implements security across five distinct layers:</w:t>
      </w:r>
    </w:p>
    <w:p>
      <w:pPr/>
      <w:r>
        <w:rPr>
          <w:rFonts w:ascii="Figtree" w:hAnsi="Figtree" w:eastAsia="Figtree"/>
          <w:b/>
          <w:sz w:val="22"/>
        </w:rPr>
        <w:t xml:space="preserve">Layer 1: Network Security</w:t>
      </w:r>
    </w:p>
    <w:p>
      <w:pPr>
        <w:pStyle w:val="List Paragraph"/>
        <w:numPr>
          <w:ilvl w:val="0"/>
          <w:numId w:val="4"/>
        </w:numPr>
      </w:pPr>
      <w:r>
        <w:rPr>
          <w:rFonts w:ascii="Figtree" w:hAnsi="Figtree" w:eastAsia="Figtree"/>
          <w:sz w:val="22"/>
        </w:rPr>
        <w:t xml:space="preserve">Blockchain node communication encrypted via TLS</w:t>
      </w:r>
    </w:p>
    <w:p>
      <w:pPr>
        <w:pStyle w:val="List Paragraph"/>
        <w:numPr>
          <w:ilvl w:val="0"/>
          <w:numId w:val="4"/>
        </w:numPr>
      </w:pPr>
      <w:r>
        <w:rPr>
          <w:rFonts w:ascii="Figtree" w:hAnsi="Figtree" w:eastAsia="Figtree"/>
          <w:sz w:val="22"/>
        </w:rPr>
        <w:t xml:space="preserve">API endpoints served over HTTPS with certificate management</w:t>
      </w:r>
    </w:p>
    <w:p>
      <w:pPr>
        <w:pStyle w:val="List Paragraph"/>
        <w:numPr>
          <w:ilvl w:val="0"/>
          <w:numId w:val="4"/>
        </w:numPr>
      </w:pPr>
      <w:r>
        <w:rPr>
          <w:rFonts w:ascii="Figtree" w:hAnsi="Figtree" w:eastAsia="Figtree"/>
          <w:sz w:val="22"/>
        </w:rPr>
        <w:t xml:space="preserve">Network segmentation between application, database, and blockchain tiers</w:t>
      </w:r>
    </w:p>
    <w:p>
      <w:pPr>
        <w:pStyle w:val="List Paragraph"/>
        <w:numPr>
          <w:ilvl w:val="0"/>
          <w:numId w:val="4"/>
        </w:numPr>
      </w:pPr>
      <w:r>
        <w:rPr>
          <w:rFonts w:ascii="Figtree" w:hAnsi="Figtree" w:eastAsia="Figtree"/>
          <w:sz w:val="22"/>
        </w:rPr>
        <w:t xml:space="preserve">Firewall rules restricting inter-service communication to required ports and protocols</w:t>
      </w:r>
    </w:p>
    <w:p>
      <w:pPr/>
      <w:r>
        <w:rPr>
          <w:rFonts w:ascii="Figtree" w:hAnsi="Figtree" w:eastAsia="Figtree"/>
          <w:b/>
          <w:sz w:val="22"/>
        </w:rPr>
        <w:t xml:space="preserve">Layer 2: Application Security</w:t>
      </w:r>
    </w:p>
    <w:p>
      <w:pPr>
        <w:pStyle w:val="List Paragraph"/>
        <w:numPr>
          <w:ilvl w:val="0"/>
          <w:numId w:val="4"/>
        </w:numPr>
      </w:pPr>
      <w:r>
        <w:rPr>
          <w:rFonts w:ascii="Figtree" w:hAnsi="Figtree" w:eastAsia="Figtree"/>
          <w:sz w:val="22"/>
        </w:rPr>
        <w:t xml:space="preserve">Input validation with hostile-input regression testing (SQLi-like and XSS-like payloads included in test suites)</w:t>
      </w:r>
    </w:p>
    <w:p>
      <w:pPr>
        <w:pStyle w:val="List Paragraph"/>
        <w:numPr>
          <w:ilvl w:val="0"/>
          <w:numId w:val="4"/>
        </w:numPr>
      </w:pPr>
      <w:r>
        <w:rPr>
          <w:rFonts w:ascii="Figtree" w:hAnsi="Figtree" w:eastAsia="Figtree"/>
          <w:sz w:val="22"/>
        </w:rPr>
        <w:t xml:space="preserve">DAPI middleware enforces authentication, authorization, and tenant isolation on every request</w:t>
      </w:r>
    </w:p>
    <w:p>
      <w:pPr>
        <w:pStyle w:val="List Paragraph"/>
        <w:numPr>
          <w:ilvl w:val="0"/>
          <w:numId w:val="4"/>
        </w:numPr>
      </w:pPr>
      <w:r>
        <w:rPr>
          <w:rFonts w:ascii="Figtree" w:hAnsi="Figtree" w:eastAsia="Figtree"/>
          <w:sz w:val="22"/>
        </w:rPr>
        <w:t xml:space="preserve">API key endpoint affinity: API keys are blocked on the RPC endpoint, preventing authentication method misuse</w:t>
      </w:r>
    </w:p>
    <w:p>
      <w:pPr>
        <w:pStyle w:val="List Paragraph"/>
        <w:numPr>
          <w:ilvl w:val="0"/>
          <w:numId w:val="4"/>
        </w:numPr>
      </w:pPr>
      <w:r>
        <w:rPr>
          <w:rFonts w:ascii="Figtree" w:hAnsi="Figtree" w:eastAsia="Figtree"/>
          <w:sz w:val="22"/>
        </w:rPr>
        <w:t xml:space="preserve">Rate limiting and request throttling for API endpoints</w:t>
      </w:r>
    </w:p>
    <w:p>
      <w:pPr/>
      <w:r>
        <w:rPr>
          <w:rFonts w:ascii="Figtree" w:hAnsi="Figtree" w:eastAsia="Figtree"/>
          <w:b/>
          <w:sz w:val="22"/>
        </w:rPr>
        <w:t xml:space="preserve">Layer 3: Identity and Access Security</w:t>
      </w:r>
    </w:p>
    <w:p>
      <w:pPr>
        <w:pStyle w:val="List Paragraph"/>
        <w:numPr>
          <w:ilvl w:val="0"/>
          <w:numId w:val="4"/>
        </w:numPr>
      </w:pPr>
      <w:r>
        <w:rPr>
          <w:rFonts w:ascii="Figtree" w:hAnsi="Figtree" w:eastAsia="Figtree"/>
          <w:sz w:val="22"/>
        </w:rPr>
        <w:t xml:space="preserve">OnchainID provides verifiable, on-chain identity for all participants</w:t>
      </w:r>
    </w:p>
    <w:p>
      <w:pPr>
        <w:pStyle w:val="List Paragraph"/>
        <w:numPr>
          <w:ilvl w:val="0"/>
          <w:numId w:val="4"/>
        </w:numPr>
      </w:pPr>
      <w:r>
        <w:rPr>
          <w:rFonts w:ascii="Figtree" w:hAnsi="Figtree" w:eastAsia="Figtree"/>
          <w:sz w:val="22"/>
        </w:rPr>
        <w:t xml:space="preserve">RBAC with five defined roles and four layers of access control</w:t>
      </w:r>
    </w:p>
    <w:p>
      <w:pPr>
        <w:pStyle w:val="List Paragraph"/>
        <w:numPr>
          <w:ilvl w:val="0"/>
          <w:numId w:val="4"/>
        </w:numPr>
      </w:pPr>
      <w:r>
        <w:rPr>
          <w:rFonts w:ascii="Figtree" w:hAnsi="Figtree" w:eastAsia="Figtree"/>
          <w:sz w:val="22"/>
        </w:rPr>
        <w:t xml:space="preserve">Maker-checker workflows for all sensitive operations</w:t>
      </w:r>
    </w:p>
    <w:p>
      <w:pPr>
        <w:pStyle w:val="List Paragraph"/>
        <w:numPr>
          <w:ilvl w:val="0"/>
          <w:numId w:val="4"/>
        </w:numPr>
      </w:pPr>
      <w:r>
        <w:rPr>
          <w:rFonts w:ascii="Figtree" w:hAnsi="Figtree" w:eastAsia="Figtree"/>
          <w:sz w:val="22"/>
        </w:rPr>
        <w:t xml:space="preserve">Wallet verification with multi-factor authentication (PIN code, TOTP, secret codes)</w:t>
      </w:r>
    </w:p>
    <w:p>
      <w:pPr>
        <w:pStyle w:val="List Paragraph"/>
        <w:numPr>
          <w:ilvl w:val="0"/>
          <w:numId w:val="4"/>
        </w:numPr>
      </w:pPr>
      <w:r>
        <w:rPr>
          <w:rFonts w:ascii="Figtree" w:hAnsi="Figtree" w:eastAsia="Figtree"/>
          <w:sz w:val="22"/>
        </w:rPr>
        <w:t xml:space="preserve">Session management with organization-scoped membership verification</w:t>
      </w:r>
    </w:p>
    <w:p>
      <w:pPr/>
      <w:r>
        <w:rPr>
          <w:rFonts w:ascii="Figtree" w:hAnsi="Figtree" w:eastAsia="Figtree"/>
          <w:b/>
          <w:sz w:val="22"/>
        </w:rPr>
        <w:t xml:space="preserve">Layer 4: Cryptographic Security</w:t>
      </w:r>
    </w:p>
    <w:p>
      <w:pPr>
        <w:pStyle w:val="List Paragraph"/>
        <w:numPr>
          <w:ilvl w:val="0"/>
          <w:numId w:val="4"/>
        </w:numPr>
      </w:pPr>
      <w:r>
        <w:rPr>
          <w:rFonts w:ascii="Figtree" w:hAnsi="Figtree" w:eastAsia="Figtree"/>
          <w:sz w:val="22"/>
        </w:rPr>
        <w:t xml:space="preserve">Private key storage across multiple security tiers (encrypted DB, cloud KMS, HSM, MPC custody)</w:t>
      </w:r>
    </w:p>
    <w:p>
      <w:pPr>
        <w:pStyle w:val="List Paragraph"/>
        <w:numPr>
          <w:ilvl w:val="0"/>
          <w:numId w:val="4"/>
        </w:numPr>
      </w:pPr>
      <w:r>
        <w:rPr>
          <w:rFonts w:ascii="Figtree" w:hAnsi="Figtree" w:eastAsia="Figtree"/>
          <w:sz w:val="22"/>
        </w:rPr>
        <w:t xml:space="preserve">ERC-8021 transaction attribution for provenance tracking</w:t>
      </w:r>
    </w:p>
    <w:p>
      <w:pPr>
        <w:pStyle w:val="List Paragraph"/>
        <w:numPr>
          <w:ilvl w:val="0"/>
          <w:numId w:val="4"/>
        </w:numPr>
      </w:pPr>
      <w:r>
        <w:rPr>
          <w:rFonts w:ascii="Figtree" w:hAnsi="Figtree" w:eastAsia="Figtree"/>
          <w:sz w:val="22"/>
        </w:rPr>
        <w:t xml:space="preserve">Content-hash verification for KYC data integrity</w:t>
      </w:r>
    </w:p>
    <w:p>
      <w:pPr>
        <w:pStyle w:val="List Paragraph"/>
        <w:numPr>
          <w:ilvl w:val="0"/>
          <w:numId w:val="4"/>
        </w:numPr>
      </w:pPr>
      <w:r>
        <w:rPr>
          <w:rFonts w:ascii="Figtree" w:hAnsi="Figtree" w:eastAsia="Figtree"/>
          <w:sz w:val="22"/>
        </w:rPr>
        <w:t xml:space="preserve">Digital signature verification for all on-chain operations</w:t>
      </w:r>
    </w:p>
    <w:p>
      <w:pPr/>
      <w:r>
        <w:rPr>
          <w:rFonts w:ascii="Figtree" w:hAnsi="Figtree" w:eastAsia="Figtree"/>
          <w:b/>
          <w:sz w:val="22"/>
        </w:rPr>
        <w:t xml:space="preserve">Layer 5: Operational Security</w:t>
      </w:r>
    </w:p>
    <w:p>
      <w:pPr>
        <w:pStyle w:val="List Paragraph"/>
        <w:numPr>
          <w:ilvl w:val="0"/>
          <w:numId w:val="4"/>
        </w:numPr>
      </w:pPr>
      <w:r>
        <w:rPr>
          <w:rFonts w:ascii="Figtree" w:hAnsi="Figtree" w:eastAsia="Figtree"/>
          <w:sz w:val="22"/>
        </w:rPr>
        <w:t xml:space="preserve">Full audit logging with structured, queryable event history</w:t>
      </w:r>
    </w:p>
    <w:p>
      <w:pPr>
        <w:pStyle w:val="List Paragraph"/>
        <w:numPr>
          <w:ilvl w:val="0"/>
          <w:numId w:val="4"/>
        </w:numPr>
      </w:pPr>
      <w:r>
        <w:rPr>
          <w:rFonts w:ascii="Figtree" w:hAnsi="Figtree" w:eastAsia="Figtree"/>
          <w:sz w:val="22"/>
        </w:rPr>
        <w:t xml:space="preserve">Blockchain health monitoring with automated alerting</w:t>
      </w:r>
    </w:p>
    <w:p>
      <w:pPr>
        <w:pStyle w:val="List Paragraph"/>
        <w:numPr>
          <w:ilvl w:val="0"/>
          <w:numId w:val="4"/>
        </w:numPr>
      </w:pPr>
      <w:r>
        <w:rPr>
          <w:rFonts w:ascii="Figtree" w:hAnsi="Figtree" w:eastAsia="Figtree"/>
          <w:sz w:val="22"/>
        </w:rPr>
        <w:t xml:space="preserve">Transaction reconciliation and cancellation workflows</w:t>
      </w:r>
    </w:p>
    <w:p>
      <w:pPr>
        <w:pStyle w:val="List Paragraph"/>
        <w:numPr>
          <w:ilvl w:val="0"/>
          <w:numId w:val="4"/>
        </w:numPr>
      </w:pPr>
      <w:r>
        <w:rPr>
          <w:rFonts w:ascii="Figtree" w:hAnsi="Figtree" w:eastAsia="Figtree"/>
          <w:sz w:val="22"/>
        </w:rPr>
        <w:t xml:space="preserve">Nonce management with self-healing for stuck transactions</w:t>
      </w:r>
    </w:p>
    <w:p>
      <w:pPr>
        <w:pStyle w:val="List Paragraph"/>
        <w:numPr>
          <w:ilvl w:val="0"/>
          <w:numId w:val="4"/>
        </w:numPr>
      </w:pPr>
      <w:r>
        <w:rPr>
          <w:rFonts w:ascii="Figtree" w:hAnsi="Figtree" w:eastAsia="Figtree"/>
          <w:sz w:val="22"/>
        </w:rPr>
        <w:t xml:space="preserve">Emergency pause capability for asset operations</w:t>
      </w:r>
    </w:p>
    <w:p>
      <w:pPr>
        <w:pStyle w:val="H3"/>
        <w:numPr>
          <w:ilvl w:val="2"/>
          <w:numId w:val="1"/>
        </w:numPr>
      </w:pPr>
      <w:r>
        <w:rPr/>
        <w:t xml:space="preserve">Key Management</w:t>
      </w:r>
    </w:p>
    <w:p>
      <w:pPr/>
      <w:r>
        <w:rPr>
          <w:rFonts w:ascii="Figtree" w:hAnsi="Figtree" w:eastAsia="Figtree"/>
          <w:sz w:val="22"/>
        </w:rPr>
        <w:t xml:space="preserve">Key Guardian provides unified key management across multiple backend providers:</w:t>
      </w:r>
    </w:p>
    <w:p>
      <w:pPr/>
      <w:r>
        <w:rPr>
          <w:rFonts w:ascii="Figtree" w:hAnsi="Figtree" w:eastAsia="Figtree"/>
          <w:b/>
          <w:sz w:val="22"/>
        </w:rPr>
        <w:t xml:space="preserve">Storage Backend Hierarchy:</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Tier</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Backend</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Security Level</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Use Case</w:t>
            </w:r>
          </w:p>
        </w:tc>
      </w:tr>
      <w:tr>
        <w:tc>
          <w:tcPr/>
          <w:p>
            <w:pPr>
              <w:spacing w:after="0" w:line="240" w:lineRule="auto"/>
              <w:rPr>
                <w:rFonts w:ascii="Figtree" w:hAnsi="Figtree" w:eastAsia="Figtree"/>
                <w:sz w:val="20"/>
              </w:rPr>
            </w:pPr>
            <w:r>
              <w:rPr>
                <w:rFonts w:ascii="Figtree" w:hAnsi="Figtree" w:eastAsia="Figtree"/>
                <w:sz w:val="20"/>
              </w:rPr>
              <w:t xml:space="preserve">1</w:t>
            </w:r>
          </w:p>
        </w:tc>
        <w:tc>
          <w:tcPr/>
          <w:p>
            <w:pPr>
              <w:spacing w:after="0" w:line="240" w:lineRule="auto"/>
              <w:rPr>
                <w:rFonts w:ascii="Figtree" w:hAnsi="Figtree" w:eastAsia="Figtree"/>
                <w:sz w:val="20"/>
              </w:rPr>
            </w:pPr>
            <w:r>
              <w:rPr>
                <w:rFonts w:ascii="Figtree" w:hAnsi="Figtree" w:eastAsia="Figtree"/>
                <w:sz w:val="20"/>
              </w:rPr>
              <w:t xml:space="preserve">HSM (FIPS 140-2 L3)</w:t>
            </w:r>
          </w:p>
        </w:tc>
        <w:tc>
          <w:tcPr/>
          <w:p>
            <w:pPr>
              <w:spacing w:after="0" w:line="240" w:lineRule="auto"/>
              <w:rPr>
                <w:rFonts w:ascii="Figtree" w:hAnsi="Figtree" w:eastAsia="Figtree"/>
                <w:sz w:val="20"/>
              </w:rPr>
            </w:pPr>
            <w:r>
              <w:rPr>
                <w:rFonts w:ascii="Figtree" w:hAnsi="Figtree" w:eastAsia="Figtree"/>
                <w:sz w:val="20"/>
              </w:rPr>
              <w:t xml:space="preserve">Hardware-protected</w:t>
            </w:r>
          </w:p>
        </w:tc>
        <w:tc>
          <w:tcPr/>
          <w:p>
            <w:pPr>
              <w:spacing w:after="0" w:line="240" w:lineRule="auto"/>
              <w:rPr>
                <w:rFonts w:ascii="Figtree" w:hAnsi="Figtree" w:eastAsia="Figtree"/>
                <w:sz w:val="20"/>
              </w:rPr>
            </w:pPr>
            <w:r>
              <w:rPr>
                <w:rFonts w:ascii="Figtree" w:hAnsi="Figtree" w:eastAsia="Figtree"/>
                <w:sz w:val="20"/>
              </w:rPr>
              <w:t xml:space="preserve">Regulated production</w:t>
            </w:r>
          </w:p>
        </w:tc>
      </w:tr>
      <w:tr>
        <w:tc>
          <w:tcPr/>
          <w:p>
            <w:pPr>
              <w:spacing w:after="0" w:line="240" w:lineRule="auto"/>
              <w:rPr>
                <w:rFonts w:ascii="Figtree" w:hAnsi="Figtree" w:eastAsia="Figtree"/>
                <w:sz w:val="20"/>
              </w:rPr>
            </w:pPr>
            <w:r>
              <w:rPr>
                <w:rFonts w:ascii="Figtree" w:hAnsi="Figtree" w:eastAsia="Figtree"/>
                <w:sz w:val="20"/>
              </w:rPr>
              <w:t xml:space="preserve">2</w:t>
            </w:r>
          </w:p>
        </w:tc>
        <w:tc>
          <w:tcPr/>
          <w:p>
            <w:pPr>
              <w:spacing w:after="0" w:line="240" w:lineRule="auto"/>
              <w:rPr>
                <w:rFonts w:ascii="Figtree" w:hAnsi="Figtree" w:eastAsia="Figtree"/>
                <w:sz w:val="20"/>
              </w:rPr>
            </w:pPr>
            <w:r>
              <w:rPr>
                <w:rFonts w:ascii="Figtree" w:hAnsi="Figtree" w:eastAsia="Figtree"/>
                <w:sz w:val="20"/>
              </w:rPr>
              <w:t xml:space="preserve">Fireblocks/DFNS MPC</w:t>
            </w:r>
          </w:p>
        </w:tc>
        <w:tc>
          <w:tcPr/>
          <w:p>
            <w:pPr>
              <w:spacing w:after="0" w:line="240" w:lineRule="auto"/>
              <w:rPr>
                <w:rFonts w:ascii="Figtree" w:hAnsi="Figtree" w:eastAsia="Figtree"/>
                <w:sz w:val="20"/>
              </w:rPr>
            </w:pPr>
            <w:r>
              <w:rPr>
                <w:rFonts w:ascii="Figtree" w:hAnsi="Figtree" w:eastAsia="Figtree"/>
                <w:sz w:val="20"/>
              </w:rPr>
              <w:t xml:space="preserve">Distributed key shares</w:t>
            </w:r>
          </w:p>
        </w:tc>
        <w:tc>
          <w:tcPr/>
          <w:p>
            <w:pPr>
              <w:spacing w:after="0" w:line="240" w:lineRule="auto"/>
              <w:rPr>
                <w:rFonts w:ascii="Figtree" w:hAnsi="Figtree" w:eastAsia="Figtree"/>
                <w:sz w:val="20"/>
              </w:rPr>
            </w:pPr>
            <w:r>
              <w:rPr>
                <w:rFonts w:ascii="Figtree" w:hAnsi="Figtree" w:eastAsia="Figtree"/>
                <w:sz w:val="20"/>
              </w:rPr>
              <w:t xml:space="preserve">Institutional custody</w:t>
            </w:r>
          </w:p>
        </w:tc>
      </w:tr>
      <w:tr>
        <w:tc>
          <w:tcPr/>
          <w:p>
            <w:pPr>
              <w:spacing w:after="0" w:line="240" w:lineRule="auto"/>
              <w:rPr>
                <w:rFonts w:ascii="Figtree" w:hAnsi="Figtree" w:eastAsia="Figtree"/>
                <w:sz w:val="20"/>
              </w:rPr>
            </w:pPr>
            <w:r>
              <w:rPr>
                <w:rFonts w:ascii="Figtree" w:hAnsi="Figtree" w:eastAsia="Figtree"/>
                <w:sz w:val="20"/>
              </w:rPr>
              <w:t xml:space="preserve">3</w:t>
            </w:r>
          </w:p>
        </w:tc>
        <w:tc>
          <w:tcPr/>
          <w:p>
            <w:pPr>
              <w:spacing w:after="0" w:line="240" w:lineRule="auto"/>
              <w:rPr>
                <w:rFonts w:ascii="Figtree" w:hAnsi="Figtree" w:eastAsia="Figtree"/>
                <w:sz w:val="20"/>
              </w:rPr>
            </w:pPr>
            <w:r>
              <w:rPr>
                <w:rFonts w:ascii="Figtree" w:hAnsi="Figtree" w:eastAsia="Figtree"/>
                <w:sz w:val="20"/>
              </w:rPr>
              <w:t xml:space="preserve">Cloud KMS (AWS/GCP/Azure)</w:t>
            </w:r>
          </w:p>
        </w:tc>
        <w:tc>
          <w:tcPr/>
          <w:p>
            <w:pPr>
              <w:spacing w:after="0" w:line="240" w:lineRule="auto"/>
              <w:rPr>
                <w:rFonts w:ascii="Figtree" w:hAnsi="Figtree" w:eastAsia="Figtree"/>
                <w:sz w:val="20"/>
              </w:rPr>
            </w:pPr>
            <w:r>
              <w:rPr>
                <w:rFonts w:ascii="Figtree" w:hAnsi="Figtree" w:eastAsia="Figtree"/>
                <w:sz w:val="20"/>
              </w:rPr>
              <w:t xml:space="preserve">Platform-managed</w:t>
            </w:r>
          </w:p>
        </w:tc>
        <w:tc>
          <w:tcPr/>
          <w:p>
            <w:pPr>
              <w:spacing w:after="0" w:line="240" w:lineRule="auto"/>
              <w:rPr>
                <w:rFonts w:ascii="Figtree" w:hAnsi="Figtree" w:eastAsia="Figtree"/>
                <w:sz w:val="20"/>
              </w:rPr>
            </w:pPr>
            <w:r>
              <w:rPr>
                <w:rFonts w:ascii="Figtree" w:hAnsi="Figtree" w:eastAsia="Figtree"/>
                <w:sz w:val="20"/>
              </w:rPr>
              <w:t xml:space="preserve">Standard production</w:t>
            </w:r>
          </w:p>
        </w:tc>
      </w:tr>
      <w:tr>
        <w:tc>
          <w:tcPr/>
          <w:p>
            <w:pPr>
              <w:spacing w:after="0" w:line="240" w:lineRule="auto"/>
              <w:rPr>
                <w:rFonts w:ascii="Figtree" w:hAnsi="Figtree" w:eastAsia="Figtree"/>
                <w:sz w:val="20"/>
              </w:rPr>
            </w:pPr>
            <w:r>
              <w:rPr>
                <w:rFonts w:ascii="Figtree" w:hAnsi="Figtree" w:eastAsia="Figtree"/>
                <w:sz w:val="20"/>
              </w:rPr>
              <w:t xml:space="preserve">4</w:t>
            </w:r>
          </w:p>
        </w:tc>
        <w:tc>
          <w:tcPr/>
          <w:p>
            <w:pPr>
              <w:spacing w:after="0" w:line="240" w:lineRule="auto"/>
              <w:rPr>
                <w:rFonts w:ascii="Figtree" w:hAnsi="Figtree" w:eastAsia="Figtree"/>
                <w:sz w:val="20"/>
              </w:rPr>
            </w:pPr>
            <w:r>
              <w:rPr>
                <w:rFonts w:ascii="Figtree" w:hAnsi="Figtree" w:eastAsia="Figtree"/>
                <w:sz w:val="20"/>
              </w:rPr>
              <w:t xml:space="preserve">HashiCorp Vault</w:t>
            </w:r>
          </w:p>
        </w:tc>
        <w:tc>
          <w:tcPr/>
          <w:p>
            <w:pPr>
              <w:spacing w:after="0" w:line="240" w:lineRule="auto"/>
              <w:rPr>
                <w:rFonts w:ascii="Figtree" w:hAnsi="Figtree" w:eastAsia="Figtree"/>
                <w:sz w:val="20"/>
              </w:rPr>
            </w:pPr>
            <w:r>
              <w:rPr>
                <w:rFonts w:ascii="Figtree" w:hAnsi="Figtree" w:eastAsia="Figtree"/>
                <w:sz w:val="20"/>
              </w:rPr>
              <w:t xml:space="preserve">Software-managed</w:t>
            </w:r>
          </w:p>
        </w:tc>
        <w:tc>
          <w:tcPr/>
          <w:p>
            <w:pPr>
              <w:spacing w:after="0" w:line="240" w:lineRule="auto"/>
              <w:rPr>
                <w:rFonts w:ascii="Figtree" w:hAnsi="Figtree" w:eastAsia="Figtree"/>
                <w:sz w:val="20"/>
              </w:rPr>
            </w:pPr>
            <w:r>
              <w:rPr>
                <w:rFonts w:ascii="Figtree" w:hAnsi="Figtree" w:eastAsia="Figtree"/>
                <w:sz w:val="20"/>
              </w:rPr>
              <w:t xml:space="preserve">Hybrid environments</w:t>
            </w:r>
          </w:p>
        </w:tc>
      </w:tr>
      <w:tr>
        <w:tc>
          <w:tcPr/>
          <w:p>
            <w:pPr>
              <w:spacing w:after="0" w:line="240" w:lineRule="auto"/>
              <w:rPr>
                <w:rFonts w:ascii="Figtree" w:hAnsi="Figtree" w:eastAsia="Figtree"/>
                <w:sz w:val="20"/>
              </w:rPr>
            </w:pPr>
            <w:r>
              <w:rPr>
                <w:rFonts w:ascii="Figtree" w:hAnsi="Figtree" w:eastAsia="Figtree"/>
                <w:sz w:val="20"/>
              </w:rPr>
              <w:t xml:space="preserve">5</w:t>
            </w:r>
          </w:p>
        </w:tc>
        <w:tc>
          <w:tcPr/>
          <w:p>
            <w:pPr>
              <w:spacing w:after="0" w:line="240" w:lineRule="auto"/>
              <w:rPr>
                <w:rFonts w:ascii="Figtree" w:hAnsi="Figtree" w:eastAsia="Figtree"/>
                <w:sz w:val="20"/>
              </w:rPr>
            </w:pPr>
            <w:r>
              <w:rPr>
                <w:rFonts w:ascii="Figtree" w:hAnsi="Figtree" w:eastAsia="Figtree"/>
                <w:sz w:val="20"/>
              </w:rPr>
              <w:t xml:space="preserve">Encrypted database</w:t>
            </w:r>
          </w:p>
        </w:tc>
        <w:tc>
          <w:tcPr/>
          <w:p>
            <w:pPr>
              <w:spacing w:after="0" w:line="240" w:lineRule="auto"/>
              <w:rPr>
                <w:rFonts w:ascii="Figtree" w:hAnsi="Figtree" w:eastAsia="Figtree"/>
                <w:sz w:val="20"/>
              </w:rPr>
            </w:pPr>
            <w:r>
              <w:rPr>
                <w:rFonts w:ascii="Figtree" w:hAnsi="Figtree" w:eastAsia="Figtree"/>
                <w:sz w:val="20"/>
              </w:rPr>
              <w:t xml:space="preserve">Application encryption</w:t>
            </w:r>
          </w:p>
        </w:tc>
        <w:tc>
          <w:tcPr/>
          <w:p>
            <w:pPr>
              <w:spacing w:after="0" w:line="240" w:lineRule="auto"/>
              <w:rPr>
                <w:rFonts w:ascii="Figtree" w:hAnsi="Figtree" w:eastAsia="Figtree"/>
                <w:sz w:val="20"/>
              </w:rPr>
            </w:pPr>
            <w:r>
              <w:rPr>
                <w:rFonts w:ascii="Figtree" w:hAnsi="Figtree" w:eastAsia="Figtree"/>
                <w:sz w:val="20"/>
              </w:rPr>
              <w:t xml:space="preserve">Development only</w:t>
            </w:r>
          </w:p>
        </w:tc>
      </w:tr>
    </w:tbl>
    <w:p>
      <w:pPr/>
      <w:r>
        <w:rPr>
          <w:rFonts w:ascii="Figtree" w:hAnsi="Figtree" w:eastAsia="Figtree"/>
          <w:sz w:val="22"/>
        </w:rPr>
        <w:t xml:space="preserve">For Mashreq Bank, the recommended configuration is HSM integration for platform signing keys combined with Fireblocks MPC for institutional custody operations.</w:t>
      </w:r>
    </w:p>
    <w:p>
      <w:pPr/>
      <w:r>
        <w:rPr>
          <w:rFonts w:ascii="Figtree" w:hAnsi="Figtree" w:eastAsia="Figtree"/>
          <w:b/>
          <w:sz w:val="22"/>
        </w:rPr>
        <w:t xml:space="preserve">Key Operations:</w:t>
      </w:r>
    </w:p>
    <w:p>
      <w:pPr>
        <w:pStyle w:val="List Paragraph"/>
        <w:numPr>
          <w:ilvl w:val="0"/>
          <w:numId w:val="4"/>
        </w:numPr>
      </w:pPr>
      <w:r>
        <w:rPr>
          <w:rFonts w:ascii="Figtree" w:hAnsi="Figtree" w:eastAsia="Figtree"/>
          <w:sz w:val="22"/>
        </w:rPr>
        <w:t xml:space="preserve">Wallet creation and provisioning through provider-agnostic abstraction</w:t>
      </w:r>
    </w:p>
    <w:p>
      <w:pPr>
        <w:pStyle w:val="List Paragraph"/>
        <w:numPr>
          <w:ilvl w:val="0"/>
          <w:numId w:val="4"/>
        </w:numPr>
      </w:pPr>
      <w:r>
        <w:rPr>
          <w:rFonts w:ascii="Figtree" w:hAnsi="Figtree" w:eastAsia="Figtree"/>
          <w:sz w:val="22"/>
        </w:rPr>
        <w:t xml:space="preserve">Transaction signing with provider-specific execution paths</w:t>
      </w:r>
    </w:p>
    <w:p>
      <w:pPr>
        <w:pStyle w:val="List Paragraph"/>
        <w:numPr>
          <w:ilvl w:val="0"/>
          <w:numId w:val="4"/>
        </w:numPr>
      </w:pPr>
      <w:r>
        <w:rPr>
          <w:rFonts w:ascii="Figtree" w:hAnsi="Figtree" w:eastAsia="Figtree"/>
          <w:sz w:val="22"/>
        </w:rPr>
        <w:t xml:space="preserve">Key recovery through identity recovery workflows (durable, phase-tracked process)</w:t>
      </w:r>
    </w:p>
    <w:p>
      <w:pPr>
        <w:pStyle w:val="List Paragraph"/>
        <w:numPr>
          <w:ilvl w:val="0"/>
          <w:numId w:val="4"/>
        </w:numPr>
      </w:pPr>
      <w:r>
        <w:rPr>
          <w:rFonts w:ascii="Figtree" w:hAnsi="Figtree" w:eastAsia="Figtree"/>
          <w:sz w:val="22"/>
        </w:rPr>
        <w:t xml:space="preserve">Forced movement recovery for compromised wallet scenarios</w:t>
      </w:r>
    </w:p>
    <w:p>
      <w:pPr>
        <w:pStyle w:val="List Paragraph"/>
        <w:numPr>
          <w:ilvl w:val="0"/>
          <w:numId w:val="4"/>
        </w:numPr>
      </w:pPr>
      <w:r>
        <w:rPr>
          <w:rFonts w:ascii="Figtree" w:hAnsi="Figtree" w:eastAsia="Figtree"/>
          <w:sz w:val="22"/>
        </w:rPr>
        <w:t xml:space="preserve">Nonce management with durable coordination and operator repair surfaces</w:t>
      </w:r>
    </w:p>
    <w:p>
      <w:pPr>
        <w:pStyle w:val="H3"/>
        <w:numPr>
          <w:ilvl w:val="2"/>
          <w:numId w:val="1"/>
        </w:numPr>
      </w:pPr>
      <w:r>
        <w:rPr/>
        <w:t xml:space="preserve">Access Control</w:t>
      </w:r>
    </w:p>
    <w:p>
      <w:pPr/>
      <w:r>
        <w:rPr>
          <w:rFonts w:ascii="Figtree" w:hAnsi="Figtree" w:eastAsia="Figtree"/>
          <w:sz w:val="22"/>
        </w:rPr>
        <w:t xml:space="preserve">DALP implements access control across 26 distinct permission scopes organized in four layers:</w:t>
      </w:r>
    </w:p>
    <w:p>
      <w:pPr/>
      <w:r>
        <w:rPr>
          <w:rFonts w:ascii="Figtree" w:hAnsi="Figtree" w:eastAsia="Figtree"/>
          <w:b/>
          <w:sz w:val="22"/>
        </w:rPr>
        <w:t xml:space="preserve">Platform Level:</w:t>
      </w:r>
      <w:r>
        <w:rPr>
          <w:rFonts w:ascii="Figtree" w:hAnsi="Figtree" w:eastAsia="Figtree"/>
          <w:sz w:val="22"/>
        </w:rPr>
        <w:t xml:space="preserve"> Administrator roles for organization management, system configuration, and platform governance</w:t>
      </w:r>
    </w:p>
    <w:p>
      <w:pPr/>
      <w:r>
        <w:rPr>
          <w:rFonts w:ascii="Figtree" w:hAnsi="Figtree" w:eastAsia="Figtree"/>
          <w:b/>
          <w:sz w:val="22"/>
        </w:rPr>
        <w:t xml:space="preserve">System Level:</w:t>
      </w:r>
      <w:r>
        <w:rPr>
          <w:rFonts w:ascii="Figtree" w:hAnsi="Figtree" w:eastAsia="Figtree"/>
          <w:sz w:val="22"/>
        </w:rPr>
        <w:t xml:space="preserve"> System manager roles for blockchain operations, compliance configuration, and identity management</w:t>
      </w:r>
    </w:p>
    <w:p>
      <w:pPr/>
      <w:r>
        <w:rPr>
          <w:rFonts w:ascii="Figtree" w:hAnsi="Figtree" w:eastAsia="Figtree"/>
          <w:b/>
          <w:sz w:val="22"/>
        </w:rPr>
        <w:t xml:space="preserve">Token Level:</w:t>
      </w:r>
      <w:r>
        <w:rPr>
          <w:rFonts w:ascii="Figtree" w:hAnsi="Figtree" w:eastAsia="Figtree"/>
          <w:sz w:val="22"/>
        </w:rPr>
        <w:t xml:space="preserve"> Token manager roles for asset operations, minting, transfer management, and corporate actions</w:t>
      </w:r>
    </w:p>
    <w:p>
      <w:pPr/>
      <w:r>
        <w:rPr>
          <w:rFonts w:ascii="Figtree" w:hAnsi="Figtree" w:eastAsia="Figtree"/>
          <w:b/>
          <w:sz w:val="22"/>
        </w:rPr>
        <w:t xml:space="preserve">User Level:</w:t>
      </w:r>
      <w:r>
        <w:rPr>
          <w:rFonts w:ascii="Figtree" w:hAnsi="Figtree" w:eastAsia="Figtree"/>
          <w:sz w:val="22"/>
        </w:rPr>
        <w:t xml:space="preserve"> Participant roles for transfer execution, claim management, and portfolio interaction</w:t>
      </w:r>
    </w:p>
    <w:p>
      <w:pPr/>
      <w:r>
        <w:rPr>
          <w:rFonts w:ascii="Figtree" w:hAnsi="Figtree" w:eastAsia="Figtree"/>
          <w:sz w:val="22"/>
        </w:rPr>
        <w:t xml:space="preserve">Separation of duties is enforced through:</w:t>
      </w:r>
    </w:p>
    <w:p>
      <w:pPr>
        <w:pStyle w:val="List Paragraph"/>
        <w:numPr>
          <w:ilvl w:val="0"/>
          <w:numId w:val="4"/>
        </w:numPr>
      </w:pPr>
      <w:r>
        <w:rPr>
          <w:rFonts w:ascii="Figtree" w:hAnsi="Figtree" w:eastAsia="Figtree"/>
          <w:sz w:val="22"/>
        </w:rPr>
        <w:t xml:space="preserve">Role exclusivity rules preventing concentration of authority</w:t>
      </w:r>
    </w:p>
    <w:p>
      <w:pPr>
        <w:pStyle w:val="List Paragraph"/>
        <w:numPr>
          <w:ilvl w:val="0"/>
          <w:numId w:val="4"/>
        </w:numPr>
      </w:pPr>
      <w:r>
        <w:rPr>
          <w:rFonts w:ascii="Figtree" w:hAnsi="Figtree" w:eastAsia="Figtree"/>
          <w:sz w:val="22"/>
        </w:rPr>
        <w:t xml:space="preserve">Maker-checker approval requirements for sensitive operations</w:t>
      </w:r>
    </w:p>
    <w:p>
      <w:pPr>
        <w:pStyle w:val="List Paragraph"/>
        <w:numPr>
          <w:ilvl w:val="0"/>
          <w:numId w:val="4"/>
        </w:numPr>
      </w:pPr>
      <w:r>
        <w:rPr>
          <w:rFonts w:ascii="Figtree" w:hAnsi="Figtree" w:eastAsia="Figtree"/>
          <w:sz w:val="22"/>
        </w:rPr>
        <w:t xml:space="preserve">Wallet verification gates for privileged transaction signing</w:t>
      </w:r>
    </w:p>
    <w:p>
      <w:pPr>
        <w:pStyle w:val="List Paragraph"/>
        <w:numPr>
          <w:ilvl w:val="0"/>
          <w:numId w:val="4"/>
        </w:numPr>
      </w:pPr>
      <w:r>
        <w:rPr>
          <w:rFonts w:ascii="Figtree" w:hAnsi="Figtree" w:eastAsia="Figtree"/>
          <w:sz w:val="22"/>
        </w:rPr>
        <w:t xml:space="preserve">Organization-scoped membership verification for tenant isolation</w:t>
      </w:r>
    </w:p>
    <w:p>
      <w:pPr>
        <w:pStyle w:val="H3"/>
        <w:numPr>
          <w:ilvl w:val="2"/>
          <w:numId w:val="1"/>
        </w:numPr>
      </w:pPr>
      <w:r>
        <w:rPr/>
        <w:t xml:space="preserve">Data Protection</w:t>
      </w:r>
    </w:p>
    <w:p>
      <w:pPr>
        <w:pStyle w:val="List Paragraph"/>
      </w:pPr>
      <w:r>
        <w:rPr>
          <w:rFonts w:ascii="Figtree" w:hAnsi="Figtree" w:eastAsia="Figtree"/>
          <w:b/>
          <w:sz w:val="22"/>
        </w:rPr>
        <w:t xml:space="preserve">Encryption at rest:</w:t>
      </w:r>
      <w:r>
        <w:rPr>
          <w:rFonts w:ascii="Figtree" w:hAnsi="Figtree" w:eastAsia="Figtree"/>
          <w:sz w:val="22"/>
        </w:rPr>
        <w:t xml:space="preserve"> Database encryption, blockchain state encryption on disk, secret storage encryption</w:t>
      </w:r>
    </w:p>
    <w:p>
      <w:pPr>
        <w:pStyle w:val="List Paragraph"/>
      </w:pPr>
      <w:r>
        <w:rPr>
          <w:rFonts w:ascii="Figtree" w:hAnsi="Figtree" w:eastAsia="Figtree"/>
          <w:b/>
          <w:sz w:val="22"/>
        </w:rPr>
        <w:t xml:space="preserve">Encryption in transit:</w:t>
      </w:r>
      <w:r>
        <w:rPr>
          <w:rFonts w:ascii="Figtree" w:hAnsi="Figtree" w:eastAsia="Figtree"/>
          <w:sz w:val="22"/>
        </w:rPr>
        <w:t xml:space="preserve"> TLS for all API communications, encrypted blockchain node peering</w:t>
      </w:r>
    </w:p>
    <w:p>
      <w:pPr>
        <w:pStyle w:val="List Paragraph"/>
      </w:pPr>
      <w:r>
        <w:rPr>
          <w:rFonts w:ascii="Figtree" w:hAnsi="Figtree" w:eastAsia="Figtree"/>
          <w:b/>
          <w:sz w:val="22"/>
        </w:rPr>
        <w:t xml:space="preserve">PII handling:</w:t>
      </w:r>
      <w:r>
        <w:rPr>
          <w:rFonts w:ascii="Figtree" w:hAnsi="Figtree" w:eastAsia="Figtree"/>
          <w:sz w:val="22"/>
        </w:rPr>
        <w:t xml:space="preserve"> Identity data stored in compliance with data protection requirements. KYC data integrity verified through content-hash comparison.</w:t>
      </w:r>
    </w:p>
    <w:p>
      <w:pPr>
        <w:pStyle w:val="List Paragraph"/>
      </w:pPr>
      <w:r>
        <w:rPr>
          <w:rFonts w:ascii="Figtree" w:hAnsi="Figtree" w:eastAsia="Figtree"/>
          <w:b/>
          <w:sz w:val="22"/>
        </w:rPr>
        <w:t xml:space="preserve">Document management:</w:t>
      </w:r>
      <w:r>
        <w:rPr>
          <w:rFonts w:ascii="Figtree" w:hAnsi="Figtree" w:eastAsia="Figtree"/>
          <w:sz w:val="22"/>
        </w:rPr>
        <w:t xml:space="preserve"> Versioned document storage with SHA-256 hash verification, visibility-aware access controls, and controlled disclosure</w:t>
      </w:r>
    </w:p>
    <w:p>
      <w:pPr>
        <w:pStyle w:val="H3"/>
        <w:numPr>
          <w:ilvl w:val="2"/>
          <w:numId w:val="1"/>
        </w:numPr>
      </w:pPr>
      <w:r>
        <w:rPr/>
        <w:t xml:space="preserve">Security Certifications</w:t>
      </w:r>
    </w:p>
    <w:p>
      <w:pPr/>
      <w:r>
        <w:rPr>
          <w:rFonts w:ascii="Figtree" w:hAnsi="Figtree" w:eastAsia="Figtree"/>
          <w:sz w:val="22"/>
        </w:rPr>
        <w:t xml:space="preserve">SettleMint maintains:</w:t>
      </w:r>
    </w:p>
    <w:p>
      <w:pPr>
        <w:pStyle w:val="List Paragraph"/>
      </w:pPr>
      <w:r>
        <w:rPr>
          <w:rFonts w:ascii="Figtree" w:hAnsi="Figtree" w:eastAsia="Figtree"/>
          <w:b/>
          <w:sz w:val="22"/>
        </w:rPr>
        <w:t xml:space="preserve">ISO 27001</w:t>
      </w:r>
      <w:r>
        <w:rPr>
          <w:rFonts w:ascii="Figtree" w:hAnsi="Figtree" w:eastAsia="Figtree"/>
          <w:sz w:val="22"/>
        </w:rPr>
        <w:t xml:space="preserve"> certification for information security management</w:t>
      </w:r>
    </w:p>
    <w:p>
      <w:pPr>
        <w:pStyle w:val="List Paragraph"/>
      </w:pPr>
      <w:r>
        <w:rPr>
          <w:rFonts w:ascii="Figtree" w:hAnsi="Figtree" w:eastAsia="Figtree"/>
          <w:b/>
          <w:sz w:val="22"/>
        </w:rPr>
        <w:t xml:space="preserve">SOC 2 Type II</w:t>
      </w:r>
      <w:r>
        <w:rPr>
          <w:rFonts w:ascii="Figtree" w:hAnsi="Figtree" w:eastAsia="Figtree"/>
          <w:sz w:val="22"/>
        </w:rPr>
        <w:t xml:space="preserve"> compliance for service organization controls</w:t>
      </w:r>
    </w:p>
    <w:p>
      <w:pPr>
        <w:pStyle w:val="List Paragraph"/>
        <w:numPr>
          <w:ilvl w:val="0"/>
          <w:numId w:val="4"/>
        </w:numPr>
      </w:pPr>
      <w:r>
        <w:rPr>
          <w:rFonts w:ascii="Figtree" w:hAnsi="Figtree" w:eastAsia="Figtree"/>
          <w:sz w:val="22"/>
        </w:rPr>
        <w:t xml:space="preserve">Regular penetration testing by independent security firms</w:t>
      </w:r>
    </w:p>
    <w:p>
      <w:pPr>
        <w:pStyle w:val="List Paragraph"/>
        <w:numPr>
          <w:ilvl w:val="0"/>
          <w:numId w:val="4"/>
        </w:numPr>
      </w:pPr>
      <w:r>
        <w:rPr>
          <w:rFonts w:ascii="Figtree" w:hAnsi="Figtree" w:eastAsia="Figtree"/>
          <w:sz w:val="22"/>
        </w:rPr>
        <w:t xml:space="preserve">Security review processes aligned with tier-1 bank vendor risk assessment requirements</w:t>
      </w:r>
    </w:p>
    <w:p>
      <w:r>
        <w:br w:type="page"/>
      </w:r>
    </w:p>
    <w:p>
      <w:pPr>
        <w:pStyle w:val="H2"/>
        <w:numPr>
          <w:ilvl w:val="1"/>
          <w:numId w:val="1"/>
        </w:numPr>
      </w:pPr>
      <w:r>
        <w:rPr/>
        <w:t xml:space="preserve">11. Implementation Approach</w:t>
      </w:r>
    </w:p>
    <w:p>
      <w:pPr>
        <w:pStyle w:val="H3"/>
        <w:numPr>
          <w:ilvl w:val="2"/>
          <w:numId w:val="1"/>
        </w:numPr>
      </w:pPr>
      <w:r>
        <w:rPr/>
        <w:t xml:space="preserve">Phase 1: Foundation and Bond Lifecycle (Months 1-4)</w:t>
      </w:r>
    </w:p>
    <w:p>
      <w:pPr/>
      <w:r>
        <w:rPr>
          <w:rFonts w:ascii="Figtree" w:hAnsi="Figtree" w:eastAsia="Figtree"/>
          <w:b/>
          <w:sz w:val="22"/>
        </w:rPr>
        <w:t xml:space="preserve">Objective:</w:t>
      </w:r>
      <w:r>
        <w:rPr>
          <w:rFonts w:ascii="Figtree" w:hAnsi="Figtree" w:eastAsia="Figtree"/>
          <w:sz w:val="22"/>
        </w:rPr>
        <w:t xml:space="preserve"> Deploy DALP core infrastructure and deliver a production bond lifecycle.</w:t>
      </w:r>
    </w:p>
    <w:p>
      <w:pPr/>
      <w:r>
        <w:rPr>
          <w:rFonts w:ascii="Figtree" w:hAnsi="Figtree" w:eastAsia="Figtree"/>
          <w:b/>
          <w:sz w:val="22"/>
        </w:rPr>
        <w:t xml:space="preserve">Month 1: Infrastructure and Platform Setup</w:t>
      </w:r>
    </w:p>
    <w:p>
      <w:pPr>
        <w:pStyle w:val="List Paragraph"/>
        <w:numPr>
          <w:ilvl w:val="0"/>
          <w:numId w:val="4"/>
        </w:numPr>
      </w:pPr>
      <w:r>
        <w:rPr>
          <w:rFonts w:ascii="Figtree" w:hAnsi="Figtree" w:eastAsia="Figtree"/>
          <w:sz w:val="22"/>
        </w:rPr>
        <w:t xml:space="preserve">Provision Kubernetes cluster in Mashreq Bank's UAE data center</w:t>
      </w:r>
    </w:p>
    <w:p>
      <w:pPr>
        <w:pStyle w:val="List Paragraph"/>
        <w:numPr>
          <w:ilvl w:val="0"/>
          <w:numId w:val="4"/>
        </w:numPr>
      </w:pPr>
      <w:r>
        <w:rPr>
          <w:rFonts w:ascii="Figtree" w:hAnsi="Figtree" w:eastAsia="Figtree"/>
          <w:sz w:val="22"/>
        </w:rPr>
        <w:t xml:space="preserve">Deploy DALP platform components (DAPI, blockchain nodes, database, monitoring)</w:t>
      </w:r>
    </w:p>
    <w:p>
      <w:pPr>
        <w:pStyle w:val="List Paragraph"/>
        <w:numPr>
          <w:ilvl w:val="0"/>
          <w:numId w:val="4"/>
        </w:numPr>
      </w:pPr>
      <w:r>
        <w:rPr>
          <w:rFonts w:ascii="Figtree" w:hAnsi="Figtree" w:eastAsia="Figtree"/>
          <w:sz w:val="22"/>
        </w:rPr>
        <w:t xml:space="preserve">Configure Hyperledger Besu private network with QBFT consensus (4 validators)</w:t>
      </w:r>
    </w:p>
    <w:p>
      <w:pPr>
        <w:pStyle w:val="List Paragraph"/>
        <w:numPr>
          <w:ilvl w:val="0"/>
          <w:numId w:val="4"/>
        </w:numPr>
      </w:pPr>
      <w:r>
        <w:rPr>
          <w:rFonts w:ascii="Figtree" w:hAnsi="Figtree" w:eastAsia="Figtree"/>
          <w:sz w:val="22"/>
        </w:rPr>
        <w:t xml:space="preserve">Establish development, staging, and production environments</w:t>
      </w:r>
    </w:p>
    <w:p>
      <w:pPr>
        <w:pStyle w:val="List Paragraph"/>
        <w:numPr>
          <w:ilvl w:val="0"/>
          <w:numId w:val="4"/>
        </w:numPr>
      </w:pPr>
      <w:r>
        <w:rPr>
          <w:rFonts w:ascii="Figtree" w:hAnsi="Figtree" w:eastAsia="Figtree"/>
          <w:sz w:val="22"/>
        </w:rPr>
        <w:t xml:space="preserve">Integrate with Mashreq Bank's identity infrastructure for SSO</w:t>
      </w:r>
    </w:p>
    <w:p>
      <w:pPr>
        <w:pStyle w:val="List Paragraph"/>
        <w:numPr>
          <w:ilvl w:val="0"/>
          <w:numId w:val="4"/>
        </w:numPr>
      </w:pPr>
      <w:r>
        <w:rPr>
          <w:rFonts w:ascii="Figtree" w:hAnsi="Figtree" w:eastAsia="Figtree"/>
          <w:sz w:val="22"/>
        </w:rPr>
        <w:t xml:space="preserve">Deploy monitoring stack (VictoriaMetrics, Loki, Tempo, Grafana)</w:t>
      </w:r>
    </w:p>
    <w:p>
      <w:pPr/>
      <w:r>
        <w:rPr>
          <w:rFonts w:ascii="Figtree" w:hAnsi="Figtree" w:eastAsia="Figtree"/>
          <w:b/>
          <w:sz w:val="22"/>
        </w:rPr>
        <w:t xml:space="preserve">Month 2: Identity and Compliance Foundation</w:t>
      </w:r>
    </w:p>
    <w:p>
      <w:pPr>
        <w:pStyle w:val="List Paragraph"/>
        <w:numPr>
          <w:ilvl w:val="0"/>
          <w:numId w:val="4"/>
        </w:numPr>
      </w:pPr>
      <w:r>
        <w:rPr>
          <w:rFonts w:ascii="Figtree" w:hAnsi="Figtree" w:eastAsia="Figtree"/>
          <w:sz w:val="22"/>
        </w:rPr>
        <w:t xml:space="preserve">Configure OnchainID identity infrastructure</w:t>
      </w:r>
    </w:p>
    <w:p>
      <w:pPr>
        <w:pStyle w:val="List Paragraph"/>
        <w:numPr>
          <w:ilvl w:val="0"/>
          <w:numId w:val="4"/>
        </w:numPr>
      </w:pPr>
      <w:r>
        <w:rPr>
          <w:rFonts w:ascii="Figtree" w:hAnsi="Figtree" w:eastAsia="Figtree"/>
          <w:sz w:val="22"/>
        </w:rPr>
        <w:t xml:space="preserve">Integrate with Mashreq Bank's KYC/KYB provider for claim issuance</w:t>
      </w:r>
    </w:p>
    <w:p>
      <w:pPr>
        <w:pStyle w:val="List Paragraph"/>
        <w:numPr>
          <w:ilvl w:val="0"/>
          <w:numId w:val="4"/>
        </w:numPr>
      </w:pPr>
      <w:r>
        <w:rPr>
          <w:rFonts w:ascii="Figtree" w:hAnsi="Figtree" w:eastAsia="Figtree"/>
          <w:sz w:val="22"/>
        </w:rPr>
        <w:t xml:space="preserve">Deploy compliance modules for UAE regulatory requirements:</w:t>
      </w:r>
    </w:p>
    <w:p>
      <w:pPr>
        <w:pStyle w:val="List Paragraph"/>
        <w:numPr>
          <w:ilvl w:val="1"/>
          <w:numId w:val="4"/>
        </w:numPr>
      </w:pPr>
      <w:r>
        <w:rPr>
          <w:rFonts w:ascii="Figtree" w:hAnsi="Figtree" w:eastAsia="Figtree"/>
          <w:sz w:val="22"/>
        </w:rPr>
        <w:t xml:space="preserve">Country allow/block lists (CBUAE/VARA alignment)</w:t>
      </w:r>
    </w:p>
    <w:p>
      <w:pPr>
        <w:pStyle w:val="List Paragraph"/>
        <w:numPr>
          <w:ilvl w:val="1"/>
          <w:numId w:val="4"/>
        </w:numPr>
      </w:pPr>
      <w:r>
        <w:rPr>
          <w:rFonts w:ascii="Figtree" w:hAnsi="Figtree" w:eastAsia="Figtree"/>
          <w:sz w:val="22"/>
        </w:rPr>
        <w:t xml:space="preserve">Investor accreditation verification (DFSA qualified investor)</w:t>
      </w:r>
    </w:p>
    <w:p>
      <w:pPr>
        <w:pStyle w:val="List Paragraph"/>
        <w:numPr>
          <w:ilvl w:val="1"/>
          <w:numId w:val="4"/>
        </w:numPr>
      </w:pPr>
      <w:r>
        <w:rPr>
          <w:rFonts w:ascii="Figtree" w:hAnsi="Figtree" w:eastAsia="Figtree"/>
          <w:sz w:val="22"/>
        </w:rPr>
        <w:t xml:space="preserve">Transfer amount limits (regulatory reporting thresholds)</w:t>
      </w:r>
    </w:p>
    <w:p>
      <w:pPr>
        <w:pStyle w:val="List Paragraph"/>
        <w:numPr>
          <w:ilvl w:val="1"/>
          <w:numId w:val="4"/>
        </w:numPr>
      </w:pPr>
      <w:r>
        <w:rPr>
          <w:rFonts w:ascii="Figtree" w:hAnsi="Figtree" w:eastAsia="Figtree"/>
          <w:sz w:val="22"/>
        </w:rPr>
        <w:t xml:space="preserve">Holding period enforcement</w:t>
      </w:r>
    </w:p>
    <w:p>
      <w:pPr>
        <w:pStyle w:val="List Paragraph"/>
        <w:numPr>
          <w:ilvl w:val="0"/>
          <w:numId w:val="4"/>
        </w:numPr>
      </w:pPr>
      <w:r>
        <w:rPr>
          <w:rFonts w:ascii="Figtree" w:hAnsi="Figtree" w:eastAsia="Figtree"/>
          <w:sz w:val="22"/>
        </w:rPr>
        <w:t xml:space="preserve">Configure role-based access control aligned with Mashreq Bank's organizational structure</w:t>
      </w:r>
    </w:p>
    <w:p>
      <w:pPr>
        <w:pStyle w:val="List Paragraph"/>
        <w:numPr>
          <w:ilvl w:val="0"/>
          <w:numId w:val="4"/>
        </w:numPr>
      </w:pPr>
      <w:r>
        <w:rPr>
          <w:rFonts w:ascii="Figtree" w:hAnsi="Figtree" w:eastAsia="Figtree"/>
          <w:sz w:val="22"/>
        </w:rPr>
        <w:t xml:space="preserve">Establish maker-checker approval workflows</w:t>
      </w:r>
    </w:p>
    <w:p>
      <w:pPr/>
      <w:r>
        <w:rPr>
          <w:rFonts w:ascii="Figtree" w:hAnsi="Figtree" w:eastAsia="Figtree"/>
          <w:b/>
          <w:sz w:val="22"/>
        </w:rPr>
        <w:t xml:space="preserve">Month 3: Bond Template and Custody Integration</w:t>
      </w:r>
    </w:p>
    <w:p>
      <w:pPr>
        <w:pStyle w:val="List Paragraph"/>
        <w:numPr>
          <w:ilvl w:val="0"/>
          <w:numId w:val="4"/>
        </w:numPr>
      </w:pPr>
      <w:r>
        <w:rPr>
          <w:rFonts w:ascii="Figtree" w:hAnsi="Figtree" w:eastAsia="Figtree"/>
          <w:sz w:val="22"/>
        </w:rPr>
        <w:t xml:space="preserve">Deploy bond asset template with Mashreq-specific term configurations</w:t>
      </w:r>
    </w:p>
    <w:p>
      <w:pPr>
        <w:pStyle w:val="List Paragraph"/>
        <w:numPr>
          <w:ilvl w:val="0"/>
          <w:numId w:val="4"/>
        </w:numPr>
      </w:pPr>
      <w:r>
        <w:rPr>
          <w:rFonts w:ascii="Figtree" w:hAnsi="Figtree" w:eastAsia="Figtree"/>
          <w:sz w:val="22"/>
        </w:rPr>
        <w:t xml:space="preserve">Integrate Fireblocks as primary custody provider</w:t>
      </w:r>
    </w:p>
    <w:p>
      <w:pPr>
        <w:pStyle w:val="List Paragraph"/>
        <w:numPr>
          <w:ilvl w:val="0"/>
          <w:numId w:val="4"/>
        </w:numPr>
      </w:pPr>
      <w:r>
        <w:rPr>
          <w:rFonts w:ascii="Figtree" w:hAnsi="Figtree" w:eastAsia="Figtree"/>
          <w:sz w:val="22"/>
        </w:rPr>
        <w:t xml:space="preserve">Configure maker-checker signing workflows</w:t>
      </w:r>
    </w:p>
    <w:p>
      <w:pPr>
        <w:pStyle w:val="List Paragraph"/>
        <w:numPr>
          <w:ilvl w:val="0"/>
          <w:numId w:val="4"/>
        </w:numPr>
      </w:pPr>
      <w:r>
        <w:rPr>
          <w:rFonts w:ascii="Figtree" w:hAnsi="Figtree" w:eastAsia="Figtree"/>
          <w:sz w:val="22"/>
        </w:rPr>
        <w:t xml:space="preserve">Implement bond issuance workflow: template selection through deployment</w:t>
      </w:r>
    </w:p>
    <w:p>
      <w:pPr>
        <w:pStyle w:val="List Paragraph"/>
        <w:numPr>
          <w:ilvl w:val="0"/>
          <w:numId w:val="4"/>
        </w:numPr>
      </w:pPr>
      <w:r>
        <w:rPr>
          <w:rFonts w:ascii="Figtree" w:hAnsi="Figtree" w:eastAsia="Figtree"/>
          <w:sz w:val="22"/>
        </w:rPr>
        <w:t xml:space="preserve">Configure coupon processing automation</w:t>
      </w:r>
    </w:p>
    <w:p>
      <w:pPr>
        <w:pStyle w:val="List Paragraph"/>
        <w:numPr>
          <w:ilvl w:val="0"/>
          <w:numId w:val="4"/>
        </w:numPr>
      </w:pPr>
      <w:r>
        <w:rPr>
          <w:rFonts w:ascii="Figtree" w:hAnsi="Figtree" w:eastAsia="Figtree"/>
          <w:sz w:val="22"/>
        </w:rPr>
        <w:t xml:space="preserve">Set up maturity and redemption logic</w:t>
      </w:r>
    </w:p>
    <w:p>
      <w:pPr/>
      <w:r>
        <w:rPr>
          <w:rFonts w:ascii="Figtree" w:hAnsi="Figtree" w:eastAsia="Figtree"/>
          <w:b/>
          <w:sz w:val="22"/>
        </w:rPr>
        <w:t xml:space="preserve">Month 4: Testing, UAT, and Go-Live</w:t>
      </w:r>
    </w:p>
    <w:p>
      <w:pPr>
        <w:pStyle w:val="List Paragraph"/>
        <w:numPr>
          <w:ilvl w:val="0"/>
          <w:numId w:val="4"/>
        </w:numPr>
      </w:pPr>
      <w:r>
        <w:rPr>
          <w:rFonts w:ascii="Figtree" w:hAnsi="Figtree" w:eastAsia="Figtree"/>
          <w:sz w:val="22"/>
        </w:rPr>
        <w:t xml:space="preserve">System integration testing across all components</w:t>
      </w:r>
    </w:p>
    <w:p>
      <w:pPr>
        <w:pStyle w:val="List Paragraph"/>
        <w:numPr>
          <w:ilvl w:val="0"/>
          <w:numId w:val="4"/>
        </w:numPr>
      </w:pPr>
      <w:r>
        <w:rPr>
          <w:rFonts w:ascii="Figtree" w:hAnsi="Figtree" w:eastAsia="Figtree"/>
          <w:sz w:val="22"/>
        </w:rPr>
        <w:t xml:space="preserve">Performance testing under expected transaction volumes</w:t>
      </w:r>
    </w:p>
    <w:p>
      <w:pPr>
        <w:pStyle w:val="List Paragraph"/>
        <w:numPr>
          <w:ilvl w:val="0"/>
          <w:numId w:val="4"/>
        </w:numPr>
      </w:pPr>
      <w:r>
        <w:rPr>
          <w:rFonts w:ascii="Figtree" w:hAnsi="Figtree" w:eastAsia="Figtree"/>
          <w:sz w:val="22"/>
        </w:rPr>
        <w:t xml:space="preserve">Security testing and penetration testing</w:t>
      </w:r>
    </w:p>
    <w:p>
      <w:pPr>
        <w:pStyle w:val="List Paragraph"/>
        <w:numPr>
          <w:ilvl w:val="0"/>
          <w:numId w:val="4"/>
        </w:numPr>
      </w:pPr>
      <w:r>
        <w:rPr>
          <w:rFonts w:ascii="Figtree" w:hAnsi="Figtree" w:eastAsia="Figtree"/>
          <w:sz w:val="22"/>
        </w:rPr>
        <w:t xml:space="preserve">User acceptance testing with Mashreq Bank operations teams</w:t>
      </w:r>
    </w:p>
    <w:p>
      <w:pPr>
        <w:pStyle w:val="List Paragraph"/>
        <w:numPr>
          <w:ilvl w:val="0"/>
          <w:numId w:val="4"/>
        </w:numPr>
      </w:pPr>
      <w:r>
        <w:rPr>
          <w:rFonts w:ascii="Figtree" w:hAnsi="Figtree" w:eastAsia="Figtree"/>
          <w:sz w:val="22"/>
        </w:rPr>
        <w:t xml:space="preserve">Operational readiness testing (failover, recovery procedures)</w:t>
      </w:r>
    </w:p>
    <w:p>
      <w:pPr>
        <w:pStyle w:val="List Paragraph"/>
        <w:numPr>
          <w:ilvl w:val="0"/>
          <w:numId w:val="4"/>
        </w:numPr>
      </w:pPr>
      <w:r>
        <w:rPr>
          <w:rFonts w:ascii="Figtree" w:hAnsi="Figtree" w:eastAsia="Figtree"/>
          <w:sz w:val="22"/>
        </w:rPr>
        <w:t xml:space="preserve">Production go-live for bond lifecycle</w:t>
      </w:r>
    </w:p>
    <w:p>
      <w:pPr/>
      <w:r>
        <w:rPr>
          <w:rFonts w:ascii="Figtree" w:hAnsi="Figtree" w:eastAsia="Figtree"/>
          <w:b/>
          <w:sz w:val="22"/>
        </w:rPr>
        <w:t xml:space="preserve">Phase 1 Deliverables:</w:t>
      </w:r>
    </w:p>
    <w:p>
      <w:pPr>
        <w:pStyle w:val="List Paragraph"/>
        <w:numPr>
          <w:ilvl w:val="0"/>
          <w:numId w:val="4"/>
        </w:numPr>
      </w:pPr>
      <w:r>
        <w:rPr>
          <w:rFonts w:ascii="Figtree" w:hAnsi="Figtree" w:eastAsia="Figtree"/>
          <w:sz w:val="22"/>
        </w:rPr>
        <w:t xml:space="preserve">Production DALP platform in Mashreq Bank's data center</w:t>
      </w:r>
    </w:p>
    <w:p>
      <w:pPr>
        <w:pStyle w:val="List Paragraph"/>
        <w:numPr>
          <w:ilvl w:val="0"/>
          <w:numId w:val="4"/>
        </w:numPr>
      </w:pPr>
      <w:r>
        <w:rPr>
          <w:rFonts w:ascii="Figtree" w:hAnsi="Figtree" w:eastAsia="Figtree"/>
          <w:sz w:val="22"/>
        </w:rPr>
        <w:t xml:space="preserve">Bond issuance and lifecycle management</w:t>
      </w:r>
    </w:p>
    <w:p>
      <w:pPr>
        <w:pStyle w:val="List Paragraph"/>
        <w:numPr>
          <w:ilvl w:val="0"/>
          <w:numId w:val="4"/>
        </w:numPr>
      </w:pPr>
      <w:r>
        <w:rPr>
          <w:rFonts w:ascii="Figtree" w:hAnsi="Figtree" w:eastAsia="Figtree"/>
          <w:sz w:val="22"/>
        </w:rPr>
        <w:t xml:space="preserve">UAE regulatory compliance configuration</w:t>
      </w:r>
    </w:p>
    <w:p>
      <w:pPr>
        <w:pStyle w:val="List Paragraph"/>
        <w:numPr>
          <w:ilvl w:val="0"/>
          <w:numId w:val="4"/>
        </w:numPr>
      </w:pPr>
      <w:r>
        <w:rPr>
          <w:rFonts w:ascii="Figtree" w:hAnsi="Figtree" w:eastAsia="Figtree"/>
          <w:sz w:val="22"/>
        </w:rPr>
        <w:t xml:space="preserve">Institutional custody integration</w:t>
      </w:r>
    </w:p>
    <w:p>
      <w:pPr>
        <w:pStyle w:val="List Paragraph"/>
        <w:numPr>
          <w:ilvl w:val="0"/>
          <w:numId w:val="4"/>
        </w:numPr>
      </w:pPr>
      <w:r>
        <w:rPr>
          <w:rFonts w:ascii="Figtree" w:hAnsi="Figtree" w:eastAsia="Figtree"/>
          <w:sz w:val="22"/>
        </w:rPr>
        <w:t xml:space="preserve">Monitoring and observability</w:t>
      </w:r>
    </w:p>
    <w:p>
      <w:pPr>
        <w:pStyle w:val="List Paragraph"/>
        <w:numPr>
          <w:ilvl w:val="0"/>
          <w:numId w:val="4"/>
        </w:numPr>
      </w:pPr>
      <w:r>
        <w:rPr>
          <w:rFonts w:ascii="Figtree" w:hAnsi="Figtree" w:eastAsia="Figtree"/>
          <w:sz w:val="22"/>
        </w:rPr>
        <w:t xml:space="preserve">Operations team training</w:t>
      </w:r>
    </w:p>
    <w:p>
      <w:pPr>
        <w:pStyle w:val="H3"/>
        <w:numPr>
          <w:ilvl w:val="2"/>
          <w:numId w:val="1"/>
        </w:numPr>
      </w:pPr>
      <w:r>
        <w:rPr/>
        <w:t xml:space="preserve">Phase 2: Multi-Asset Expansion (Months 5-8)</w:t>
      </w:r>
    </w:p>
    <w:p>
      <w:pPr/>
      <w:r>
        <w:rPr>
          <w:rFonts w:ascii="Figtree" w:hAnsi="Figtree" w:eastAsia="Figtree"/>
          <w:b/>
          <w:sz w:val="22"/>
        </w:rPr>
        <w:t xml:space="preserve">Objective:</w:t>
      </w:r>
      <w:r>
        <w:rPr>
          <w:rFonts w:ascii="Figtree" w:hAnsi="Figtree" w:eastAsia="Figtree"/>
          <w:sz w:val="22"/>
        </w:rPr>
        <w:t xml:space="preserve"> Expand to deposit tokens, stablecoins, and fund tokenization.</w:t>
      </w:r>
    </w:p>
    <w:p>
      <w:pPr/>
      <w:r>
        <w:rPr>
          <w:rFonts w:ascii="Figtree" w:hAnsi="Figtree" w:eastAsia="Figtree"/>
          <w:b/>
          <w:sz w:val="22"/>
        </w:rPr>
        <w:t xml:space="preserve">Month 5-6: Deposit Token and Stablecoin Deployment</w:t>
      </w:r>
    </w:p>
    <w:p>
      <w:pPr>
        <w:pStyle w:val="List Paragraph"/>
        <w:numPr>
          <w:ilvl w:val="0"/>
          <w:numId w:val="4"/>
        </w:numPr>
      </w:pPr>
      <w:r>
        <w:rPr>
          <w:rFonts w:ascii="Figtree" w:hAnsi="Figtree" w:eastAsia="Figtree"/>
          <w:sz w:val="22"/>
        </w:rPr>
        <w:t xml:space="preserve">Deploy deposit token template for tokenized bank deposits</w:t>
      </w:r>
    </w:p>
    <w:p>
      <w:pPr>
        <w:pStyle w:val="List Paragraph"/>
        <w:numPr>
          <w:ilvl w:val="0"/>
          <w:numId w:val="4"/>
        </w:numPr>
      </w:pPr>
      <w:r>
        <w:rPr>
          <w:rFonts w:ascii="Figtree" w:hAnsi="Figtree" w:eastAsia="Figtree"/>
          <w:sz w:val="22"/>
        </w:rPr>
        <w:t xml:space="preserve">Configure interest calculation and maturity management</w:t>
      </w:r>
    </w:p>
    <w:p>
      <w:pPr>
        <w:pStyle w:val="List Paragraph"/>
        <w:numPr>
          <w:ilvl w:val="0"/>
          <w:numId w:val="4"/>
        </w:numPr>
      </w:pPr>
      <w:r>
        <w:rPr>
          <w:rFonts w:ascii="Figtree" w:hAnsi="Figtree" w:eastAsia="Figtree"/>
          <w:sz w:val="22"/>
        </w:rPr>
        <w:t xml:space="preserve">Deploy stablecoin template for AED-pegged or USD-pegged operations</w:t>
      </w:r>
    </w:p>
    <w:p>
      <w:pPr>
        <w:pStyle w:val="List Paragraph"/>
        <w:numPr>
          <w:ilvl w:val="0"/>
          <w:numId w:val="4"/>
        </w:numPr>
      </w:pPr>
      <w:r>
        <w:rPr>
          <w:rFonts w:ascii="Figtree" w:hAnsi="Figtree" w:eastAsia="Figtree"/>
          <w:sz w:val="22"/>
        </w:rPr>
        <w:t xml:space="preserve">Configure reserve monitoring and minting/burning controls</w:t>
      </w:r>
    </w:p>
    <w:p>
      <w:pPr>
        <w:pStyle w:val="List Paragraph"/>
        <w:numPr>
          <w:ilvl w:val="0"/>
          <w:numId w:val="4"/>
        </w:numPr>
      </w:pPr>
      <w:r>
        <w:rPr>
          <w:rFonts w:ascii="Figtree" w:hAnsi="Figtree" w:eastAsia="Figtree"/>
          <w:sz w:val="22"/>
        </w:rPr>
        <w:t xml:space="preserve">Extend compliance modules for deposit and stablecoin-specific requirements</w:t>
      </w:r>
    </w:p>
    <w:p>
      <w:pPr>
        <w:pStyle w:val="List Paragraph"/>
        <w:numPr>
          <w:ilvl w:val="0"/>
          <w:numId w:val="4"/>
        </w:numPr>
      </w:pPr>
      <w:r>
        <w:rPr>
          <w:rFonts w:ascii="Figtree" w:hAnsi="Figtree" w:eastAsia="Figtree"/>
          <w:sz w:val="22"/>
        </w:rPr>
        <w:t xml:space="preserve">Integration with Mashreq Bank's treasury management systems</w:t>
      </w:r>
    </w:p>
    <w:p>
      <w:pPr/>
      <w:r>
        <w:rPr>
          <w:rFonts w:ascii="Figtree" w:hAnsi="Figtree" w:eastAsia="Figtree"/>
          <w:b/>
          <w:sz w:val="22"/>
        </w:rPr>
        <w:t xml:space="preserve">Month 7-8: Fund Tokenization and Primary Offering</w:t>
      </w:r>
    </w:p>
    <w:p>
      <w:pPr>
        <w:pStyle w:val="List Paragraph"/>
        <w:numPr>
          <w:ilvl w:val="0"/>
          <w:numId w:val="4"/>
        </w:numPr>
      </w:pPr>
      <w:r>
        <w:rPr>
          <w:rFonts w:ascii="Figtree" w:hAnsi="Figtree" w:eastAsia="Figtree"/>
          <w:sz w:val="22"/>
        </w:rPr>
        <w:t xml:space="preserve">Deploy fund asset template for tokenized investment products</w:t>
      </w:r>
    </w:p>
    <w:p>
      <w:pPr>
        <w:pStyle w:val="List Paragraph"/>
        <w:numPr>
          <w:ilvl w:val="0"/>
          <w:numId w:val="4"/>
        </w:numPr>
      </w:pPr>
      <w:r>
        <w:rPr>
          <w:rFonts w:ascii="Figtree" w:hAnsi="Figtree" w:eastAsia="Figtree"/>
          <w:sz w:val="22"/>
        </w:rPr>
        <w:t xml:space="preserve">Configure NAV integration, subscription/redemption automation</w:t>
      </w:r>
    </w:p>
    <w:p>
      <w:pPr>
        <w:pStyle w:val="List Paragraph"/>
        <w:numPr>
          <w:ilvl w:val="0"/>
          <w:numId w:val="4"/>
        </w:numPr>
      </w:pPr>
      <w:r>
        <w:rPr>
          <w:rFonts w:ascii="Figtree" w:hAnsi="Figtree" w:eastAsia="Figtree"/>
          <w:sz w:val="22"/>
        </w:rPr>
        <w:t xml:space="preserve">Deploy token sale addon for primary distribution</w:t>
      </w:r>
    </w:p>
    <w:p>
      <w:pPr>
        <w:pStyle w:val="List Paragraph"/>
        <w:numPr>
          <w:ilvl w:val="0"/>
          <w:numId w:val="4"/>
        </w:numPr>
      </w:pPr>
      <w:r>
        <w:rPr>
          <w:rFonts w:ascii="Figtree" w:hAnsi="Figtree" w:eastAsia="Figtree"/>
          <w:sz w:val="22"/>
        </w:rPr>
        <w:t xml:space="preserve">Configure presale mechanics, payment currencies, and investor limits</w:t>
      </w:r>
    </w:p>
    <w:p>
      <w:pPr>
        <w:pStyle w:val="List Paragraph"/>
        <w:numPr>
          <w:ilvl w:val="0"/>
          <w:numId w:val="4"/>
        </w:numPr>
      </w:pPr>
      <w:r>
        <w:rPr>
          <w:rFonts w:ascii="Figtree" w:hAnsi="Figtree" w:eastAsia="Figtree"/>
          <w:sz w:val="22"/>
        </w:rPr>
        <w:t xml:space="preserve">Extend identity infrastructure for broader investor onboarding</w:t>
      </w:r>
    </w:p>
    <w:p>
      <w:pPr>
        <w:pStyle w:val="List Paragraph"/>
        <w:numPr>
          <w:ilvl w:val="0"/>
          <w:numId w:val="4"/>
        </w:numPr>
      </w:pPr>
      <w:r>
        <w:rPr>
          <w:rFonts w:ascii="Figtree" w:hAnsi="Figtree" w:eastAsia="Figtree"/>
          <w:sz w:val="22"/>
        </w:rPr>
        <w:t xml:space="preserve">User acceptance testing and production deployment</w:t>
      </w:r>
    </w:p>
    <w:p>
      <w:pPr/>
      <w:r>
        <w:rPr>
          <w:rFonts w:ascii="Figtree" w:hAnsi="Figtree" w:eastAsia="Figtree"/>
          <w:b/>
          <w:sz w:val="22"/>
        </w:rPr>
        <w:t xml:space="preserve">Phase 2 Deliverables:</w:t>
      </w:r>
    </w:p>
    <w:p>
      <w:pPr>
        <w:pStyle w:val="List Paragraph"/>
        <w:numPr>
          <w:ilvl w:val="0"/>
          <w:numId w:val="4"/>
        </w:numPr>
      </w:pPr>
      <w:r>
        <w:rPr>
          <w:rFonts w:ascii="Figtree" w:hAnsi="Figtree" w:eastAsia="Figtree"/>
          <w:sz w:val="22"/>
        </w:rPr>
        <w:t xml:space="preserve">Production deposit token operations</w:t>
      </w:r>
    </w:p>
    <w:p>
      <w:pPr>
        <w:pStyle w:val="List Paragraph"/>
        <w:numPr>
          <w:ilvl w:val="0"/>
          <w:numId w:val="4"/>
        </w:numPr>
      </w:pPr>
      <w:r>
        <w:rPr>
          <w:rFonts w:ascii="Figtree" w:hAnsi="Figtree" w:eastAsia="Figtree"/>
          <w:sz w:val="22"/>
        </w:rPr>
        <w:t xml:space="preserve">Production stablecoin operations</w:t>
      </w:r>
    </w:p>
    <w:p>
      <w:pPr>
        <w:pStyle w:val="List Paragraph"/>
        <w:numPr>
          <w:ilvl w:val="0"/>
          <w:numId w:val="4"/>
        </w:numPr>
      </w:pPr>
      <w:r>
        <w:rPr>
          <w:rFonts w:ascii="Figtree" w:hAnsi="Figtree" w:eastAsia="Figtree"/>
          <w:sz w:val="22"/>
        </w:rPr>
        <w:t xml:space="preserve">Fund tokenization and primary offering capability</w:t>
      </w:r>
    </w:p>
    <w:p>
      <w:pPr>
        <w:pStyle w:val="List Paragraph"/>
        <w:numPr>
          <w:ilvl w:val="0"/>
          <w:numId w:val="4"/>
        </w:numPr>
      </w:pPr>
      <w:r>
        <w:rPr>
          <w:rFonts w:ascii="Figtree" w:hAnsi="Figtree" w:eastAsia="Figtree"/>
          <w:sz w:val="22"/>
        </w:rPr>
        <w:t xml:space="preserve">Extended compliance configuration</w:t>
      </w:r>
    </w:p>
    <w:p>
      <w:pPr>
        <w:pStyle w:val="List Paragraph"/>
        <w:numPr>
          <w:ilvl w:val="0"/>
          <w:numId w:val="4"/>
        </w:numPr>
      </w:pPr>
      <w:r>
        <w:rPr>
          <w:rFonts w:ascii="Figtree" w:hAnsi="Figtree" w:eastAsia="Figtree"/>
          <w:sz w:val="22"/>
        </w:rPr>
        <w:t xml:space="preserve">Core banking integration for deposit and payment operations</w:t>
      </w:r>
    </w:p>
    <w:p>
      <w:pPr>
        <w:pStyle w:val="H3"/>
        <w:numPr>
          <w:ilvl w:val="2"/>
          <w:numId w:val="1"/>
        </w:numPr>
      </w:pPr>
      <w:r>
        <w:rPr/>
        <w:t xml:space="preserve">Phase 3: Advanced Settlement and Cross-Border (Months 9-12)</w:t>
      </w:r>
    </w:p>
    <w:p>
      <w:pPr/>
      <w:r>
        <w:rPr>
          <w:rFonts w:ascii="Figtree" w:hAnsi="Figtree" w:eastAsia="Figtree"/>
          <w:b/>
          <w:sz w:val="22"/>
        </w:rPr>
        <w:t xml:space="preserve">Objective:</w:t>
      </w:r>
      <w:r>
        <w:rPr>
          <w:rFonts w:ascii="Figtree" w:hAnsi="Figtree" w:eastAsia="Figtree"/>
          <w:sz w:val="22"/>
        </w:rPr>
        <w:t xml:space="preserve"> Deliver atomic settlement, multi-party settlement, and cross-border capabilities.</w:t>
      </w:r>
    </w:p>
    <w:p>
      <w:pPr/>
      <w:r>
        <w:rPr>
          <w:rFonts w:ascii="Figtree" w:hAnsi="Figtree" w:eastAsia="Figtree"/>
          <w:b/>
          <w:sz w:val="22"/>
        </w:rPr>
        <w:t xml:space="preserve">Month 9-10: XvP Settlement and Multi-Party Operations</w:t>
      </w:r>
    </w:p>
    <w:p>
      <w:pPr>
        <w:pStyle w:val="List Paragraph"/>
        <w:numPr>
          <w:ilvl w:val="0"/>
          <w:numId w:val="4"/>
        </w:numPr>
      </w:pPr>
      <w:r>
        <w:rPr>
          <w:rFonts w:ascii="Figtree" w:hAnsi="Figtree" w:eastAsia="Figtree"/>
          <w:sz w:val="22"/>
        </w:rPr>
        <w:t xml:space="preserve">Deploy XvP settlement addon for atomic DvP/XvP operations</w:t>
      </w:r>
    </w:p>
    <w:p>
      <w:pPr>
        <w:pStyle w:val="List Paragraph"/>
        <w:numPr>
          <w:ilvl w:val="0"/>
          <w:numId w:val="4"/>
        </w:numPr>
      </w:pPr>
      <w:r>
        <w:rPr>
          <w:rFonts w:ascii="Figtree" w:hAnsi="Figtree" w:eastAsia="Figtree"/>
          <w:sz w:val="22"/>
        </w:rPr>
        <w:t xml:space="preserve">Configure multi-party settlement workflows with approval requirements</w:t>
      </w:r>
    </w:p>
    <w:p>
      <w:pPr>
        <w:pStyle w:val="List Paragraph"/>
        <w:numPr>
          <w:ilvl w:val="0"/>
          <w:numId w:val="4"/>
        </w:numPr>
      </w:pPr>
      <w:r>
        <w:rPr>
          <w:rFonts w:ascii="Figtree" w:hAnsi="Figtree" w:eastAsia="Figtree"/>
          <w:sz w:val="22"/>
        </w:rPr>
        <w:t xml:space="preserve">Implement hashlock-based cross-chain settlement capability</w:t>
      </w:r>
    </w:p>
    <w:p>
      <w:pPr>
        <w:pStyle w:val="List Paragraph"/>
        <w:numPr>
          <w:ilvl w:val="0"/>
          <w:numId w:val="4"/>
        </w:numPr>
      </w:pPr>
      <w:r>
        <w:rPr>
          <w:rFonts w:ascii="Figtree" w:hAnsi="Figtree" w:eastAsia="Figtree"/>
          <w:sz w:val="22"/>
        </w:rPr>
        <w:t xml:space="preserve">Integration with payment rails for cash leg settlement</w:t>
      </w:r>
    </w:p>
    <w:p>
      <w:pPr>
        <w:pStyle w:val="List Paragraph"/>
        <w:numPr>
          <w:ilvl w:val="0"/>
          <w:numId w:val="4"/>
        </w:numPr>
      </w:pPr>
      <w:r>
        <w:rPr>
          <w:rFonts w:ascii="Figtree" w:hAnsi="Figtree" w:eastAsia="Figtree"/>
          <w:sz w:val="22"/>
        </w:rPr>
        <w:t xml:space="preserve">Deploy vault addon for multi-signature custody operations</w:t>
      </w:r>
    </w:p>
    <w:p>
      <w:pPr/>
      <w:r>
        <w:rPr>
          <w:rFonts w:ascii="Figtree" w:hAnsi="Figtree" w:eastAsia="Figtree"/>
          <w:b/>
          <w:sz w:val="22"/>
        </w:rPr>
        <w:t xml:space="preserve">Month 11-12: Cross-Border and Advanced Features</w:t>
      </w:r>
    </w:p>
    <w:p>
      <w:pPr>
        <w:pStyle w:val="List Paragraph"/>
        <w:numPr>
          <w:ilvl w:val="0"/>
          <w:numId w:val="4"/>
        </w:numPr>
      </w:pPr>
      <w:r>
        <w:rPr>
          <w:rFonts w:ascii="Figtree" w:hAnsi="Figtree" w:eastAsia="Figtree"/>
          <w:sz w:val="22"/>
        </w:rPr>
        <w:t xml:space="preserve">Configure multi-chain deployment for cross-border operations</w:t>
      </w:r>
    </w:p>
    <w:p>
      <w:pPr>
        <w:pStyle w:val="List Paragraph"/>
        <w:numPr>
          <w:ilvl w:val="0"/>
          <w:numId w:val="4"/>
        </w:numPr>
      </w:pPr>
      <w:r>
        <w:rPr>
          <w:rFonts w:ascii="Figtree" w:hAnsi="Figtree" w:eastAsia="Figtree"/>
          <w:sz w:val="22"/>
        </w:rPr>
        <w:t xml:space="preserve">Extend compliance modules for international jurisdictions</w:t>
      </w:r>
    </w:p>
    <w:p>
      <w:pPr>
        <w:pStyle w:val="List Paragraph"/>
        <w:numPr>
          <w:ilvl w:val="0"/>
          <w:numId w:val="4"/>
        </w:numPr>
      </w:pPr>
      <w:r>
        <w:rPr>
          <w:rFonts w:ascii="Figtree" w:hAnsi="Figtree" w:eastAsia="Figtree"/>
          <w:sz w:val="22"/>
        </w:rPr>
        <w:t xml:space="preserve">Deploy real estate tokenization template (aligned with Dubai tokenization strategy)</w:t>
      </w:r>
    </w:p>
    <w:p>
      <w:pPr>
        <w:pStyle w:val="List Paragraph"/>
        <w:numPr>
          <w:ilvl w:val="0"/>
          <w:numId w:val="4"/>
        </w:numPr>
      </w:pPr>
      <w:r>
        <w:rPr>
          <w:rFonts w:ascii="Figtree" w:hAnsi="Figtree" w:eastAsia="Figtree"/>
          <w:sz w:val="22"/>
        </w:rPr>
        <w:t xml:space="preserve">Deploy configurable token template for sukuk and custom instruments</w:t>
      </w:r>
    </w:p>
    <w:p>
      <w:pPr>
        <w:pStyle w:val="List Paragraph"/>
        <w:numPr>
          <w:ilvl w:val="0"/>
          <w:numId w:val="4"/>
        </w:numPr>
      </w:pPr>
      <w:r>
        <w:rPr>
          <w:rFonts w:ascii="Figtree" w:hAnsi="Figtree" w:eastAsia="Figtree"/>
          <w:sz w:val="22"/>
        </w:rPr>
        <w:t xml:space="preserve">Advanced reporting and regulatory export capabilities</w:t>
      </w:r>
    </w:p>
    <w:p>
      <w:pPr>
        <w:pStyle w:val="List Paragraph"/>
        <w:numPr>
          <w:ilvl w:val="0"/>
          <w:numId w:val="4"/>
        </w:numPr>
      </w:pPr>
      <w:r>
        <w:rPr>
          <w:rFonts w:ascii="Figtree" w:hAnsi="Figtree" w:eastAsia="Figtree"/>
          <w:sz w:val="22"/>
        </w:rPr>
        <w:t xml:space="preserve">Full platform optimization and performance tuning</w:t>
      </w:r>
    </w:p>
    <w:p>
      <w:pPr/>
      <w:r>
        <w:rPr>
          <w:rFonts w:ascii="Figtree" w:hAnsi="Figtree" w:eastAsia="Figtree"/>
          <w:b/>
          <w:sz w:val="22"/>
        </w:rPr>
        <w:t xml:space="preserve">Phase 3 Deliverables:</w:t>
      </w:r>
    </w:p>
    <w:p>
      <w:pPr>
        <w:pStyle w:val="List Paragraph"/>
        <w:numPr>
          <w:ilvl w:val="0"/>
          <w:numId w:val="4"/>
        </w:numPr>
      </w:pPr>
      <w:r>
        <w:rPr>
          <w:rFonts w:ascii="Figtree" w:hAnsi="Figtree" w:eastAsia="Figtree"/>
          <w:sz w:val="22"/>
        </w:rPr>
        <w:t xml:space="preserve">Atomic DvP/XvP settlement capability</w:t>
      </w:r>
    </w:p>
    <w:p>
      <w:pPr>
        <w:pStyle w:val="List Paragraph"/>
        <w:numPr>
          <w:ilvl w:val="0"/>
          <w:numId w:val="4"/>
        </w:numPr>
      </w:pPr>
      <w:r>
        <w:rPr>
          <w:rFonts w:ascii="Figtree" w:hAnsi="Figtree" w:eastAsia="Figtree"/>
          <w:sz w:val="22"/>
        </w:rPr>
        <w:t xml:space="preserve">Cross-border digital asset operations</w:t>
      </w:r>
    </w:p>
    <w:p>
      <w:pPr>
        <w:pStyle w:val="List Paragraph"/>
        <w:numPr>
          <w:ilvl w:val="0"/>
          <w:numId w:val="4"/>
        </w:numPr>
      </w:pPr>
      <w:r>
        <w:rPr>
          <w:rFonts w:ascii="Figtree" w:hAnsi="Figtree" w:eastAsia="Figtree"/>
          <w:sz w:val="22"/>
        </w:rPr>
        <w:t xml:space="preserve">Real estate tokenization</w:t>
      </w:r>
    </w:p>
    <w:p>
      <w:pPr>
        <w:pStyle w:val="List Paragraph"/>
        <w:numPr>
          <w:ilvl w:val="0"/>
          <w:numId w:val="4"/>
        </w:numPr>
      </w:pPr>
      <w:r>
        <w:rPr>
          <w:rFonts w:ascii="Figtree" w:hAnsi="Figtree" w:eastAsia="Figtree"/>
          <w:sz w:val="22"/>
        </w:rPr>
        <w:t xml:space="preserve">Sukuk and custom instrument support</w:t>
      </w:r>
    </w:p>
    <w:p>
      <w:pPr>
        <w:pStyle w:val="List Paragraph"/>
        <w:numPr>
          <w:ilvl w:val="0"/>
          <w:numId w:val="4"/>
        </w:numPr>
      </w:pPr>
      <w:r>
        <w:rPr>
          <w:rFonts w:ascii="Figtree" w:hAnsi="Figtree" w:eastAsia="Figtree"/>
          <w:sz w:val="22"/>
        </w:rPr>
        <w:t xml:space="preserve">Full multi-asset operating model</w:t>
      </w:r>
    </w:p>
    <w:p>
      <w:pPr>
        <w:pStyle w:val="H3"/>
        <w:numPr>
          <w:ilvl w:val="2"/>
          <w:numId w:val="1"/>
        </w:numPr>
      </w:pPr>
      <w:r>
        <w:rPr/>
        <w:t xml:space="preserve">Governance Model</w:t>
      </w:r>
    </w:p>
    <w:p>
      <w:pPr/>
      <w:r>
        <w:rPr>
          <w:rFonts w:ascii="Figtree" w:hAnsi="Figtree" w:eastAsia="Figtree"/>
          <w:b/>
          <w:sz w:val="22"/>
        </w:rPr>
        <w:t xml:space="preserve">Steering Committee:</w:t>
      </w:r>
    </w:p>
    <w:p>
      <w:pPr>
        <w:pStyle w:val="List Paragraph"/>
        <w:numPr>
          <w:ilvl w:val="0"/>
          <w:numId w:val="4"/>
        </w:numPr>
      </w:pPr>
      <w:r>
        <w:rPr>
          <w:rFonts w:ascii="Figtree" w:hAnsi="Figtree" w:eastAsia="Figtree"/>
          <w:sz w:val="22"/>
        </w:rPr>
        <w:t xml:space="preserve">Quarterly executive reviews with Mashreq Bank C-suite and SettleMint leadership</w:t>
      </w:r>
    </w:p>
    <w:p>
      <w:pPr>
        <w:pStyle w:val="List Paragraph"/>
        <w:numPr>
          <w:ilvl w:val="0"/>
          <w:numId w:val="4"/>
        </w:numPr>
      </w:pPr>
      <w:r>
        <w:rPr>
          <w:rFonts w:ascii="Figtree" w:hAnsi="Figtree" w:eastAsia="Figtree"/>
          <w:sz w:val="22"/>
        </w:rPr>
        <w:t xml:space="preserve">Strategic direction, budget, and scope governance</w:t>
      </w:r>
    </w:p>
    <w:p>
      <w:pPr>
        <w:pStyle w:val="List Paragraph"/>
        <w:numPr>
          <w:ilvl w:val="0"/>
          <w:numId w:val="4"/>
        </w:numPr>
      </w:pPr>
      <w:r>
        <w:rPr>
          <w:rFonts w:ascii="Figtree" w:hAnsi="Figtree" w:eastAsia="Figtree"/>
          <w:sz w:val="22"/>
        </w:rPr>
        <w:t xml:space="preserve">Regulatory change impact assessment</w:t>
      </w:r>
    </w:p>
    <w:p>
      <w:pPr/>
      <w:r>
        <w:rPr>
          <w:rFonts w:ascii="Figtree" w:hAnsi="Figtree" w:eastAsia="Figtree"/>
          <w:b/>
          <w:sz w:val="22"/>
        </w:rPr>
        <w:t xml:space="preserve">Project Management Office (PMO):</w:t>
      </w:r>
    </w:p>
    <w:p>
      <w:pPr>
        <w:pStyle w:val="List Paragraph"/>
        <w:numPr>
          <w:ilvl w:val="0"/>
          <w:numId w:val="4"/>
        </w:numPr>
      </w:pPr>
      <w:r>
        <w:rPr>
          <w:rFonts w:ascii="Figtree" w:hAnsi="Figtree" w:eastAsia="Figtree"/>
          <w:sz w:val="22"/>
        </w:rPr>
        <w:t xml:space="preserve">Bi-weekly sprint reviews with delivery status, risk register, and dependency tracking</w:t>
      </w:r>
    </w:p>
    <w:p>
      <w:pPr>
        <w:pStyle w:val="List Paragraph"/>
        <w:numPr>
          <w:ilvl w:val="0"/>
          <w:numId w:val="4"/>
        </w:numPr>
      </w:pPr>
      <w:r>
        <w:rPr>
          <w:rFonts w:ascii="Figtree" w:hAnsi="Figtree" w:eastAsia="Figtree"/>
          <w:sz w:val="22"/>
        </w:rPr>
        <w:t xml:space="preserve">Change management and scope control</w:t>
      </w:r>
    </w:p>
    <w:p>
      <w:pPr>
        <w:pStyle w:val="List Paragraph"/>
        <w:numPr>
          <w:ilvl w:val="0"/>
          <w:numId w:val="4"/>
        </w:numPr>
      </w:pPr>
      <w:r>
        <w:rPr>
          <w:rFonts w:ascii="Figtree" w:hAnsi="Figtree" w:eastAsia="Figtree"/>
          <w:sz w:val="22"/>
        </w:rPr>
        <w:t xml:space="preserve">Resource allocation and timeline management</w:t>
      </w:r>
    </w:p>
    <w:p>
      <w:pPr/>
      <w:r>
        <w:rPr>
          <w:rFonts w:ascii="Figtree" w:hAnsi="Figtree" w:eastAsia="Figtree"/>
          <w:b/>
          <w:sz w:val="22"/>
        </w:rPr>
        <w:t xml:space="preserve">Architecture Board:</w:t>
      </w:r>
    </w:p>
    <w:p>
      <w:pPr>
        <w:pStyle w:val="List Paragraph"/>
        <w:numPr>
          <w:ilvl w:val="0"/>
          <w:numId w:val="4"/>
        </w:numPr>
      </w:pPr>
      <w:r>
        <w:rPr>
          <w:rFonts w:ascii="Figtree" w:hAnsi="Figtree" w:eastAsia="Figtree"/>
          <w:sz w:val="22"/>
        </w:rPr>
        <w:t xml:space="preserve">Monthly technical reviews covering architecture decisions, integration patterns, and security posture</w:t>
      </w:r>
    </w:p>
    <w:p>
      <w:pPr>
        <w:pStyle w:val="List Paragraph"/>
        <w:numPr>
          <w:ilvl w:val="0"/>
          <w:numId w:val="4"/>
        </w:numPr>
      </w:pPr>
      <w:r>
        <w:rPr>
          <w:rFonts w:ascii="Figtree" w:hAnsi="Figtree" w:eastAsia="Figtree"/>
          <w:sz w:val="22"/>
        </w:rPr>
        <w:t xml:space="preserve">Performance benchmarking and capacity planning</w:t>
      </w:r>
    </w:p>
    <w:p>
      <w:pPr>
        <w:pStyle w:val="List Paragraph"/>
        <w:numPr>
          <w:ilvl w:val="0"/>
          <w:numId w:val="4"/>
        </w:numPr>
      </w:pPr>
      <w:r>
        <w:rPr>
          <w:rFonts w:ascii="Figtree" w:hAnsi="Figtree" w:eastAsia="Figtree"/>
          <w:sz w:val="22"/>
        </w:rPr>
        <w:t xml:space="preserve">Technology roadmap alignment</w:t>
      </w:r>
    </w:p>
    <w:p>
      <w:pPr>
        <w:pStyle w:val="H3"/>
        <w:numPr>
          <w:ilvl w:val="2"/>
          <w:numId w:val="1"/>
        </w:numPr>
      </w:pPr>
      <w:r>
        <w:rPr/>
        <w:t xml:space="preserve">Testing Strategy</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Test Type</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Scope</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Timing</w:t>
            </w:r>
          </w:p>
        </w:tc>
      </w:tr>
      <w:tr>
        <w:tc>
          <w:tcPr/>
          <w:p>
            <w:pPr>
              <w:spacing w:after="0" w:line="240" w:lineRule="auto"/>
              <w:rPr>
                <w:rFonts w:ascii="Figtree" w:hAnsi="Figtree" w:eastAsia="Figtree"/>
                <w:sz w:val="20"/>
              </w:rPr>
            </w:pPr>
            <w:r>
              <w:rPr>
                <w:rFonts w:ascii="Figtree" w:hAnsi="Figtree" w:eastAsia="Figtree"/>
                <w:sz w:val="20"/>
              </w:rPr>
              <w:t xml:space="preserve">Unit Testing</w:t>
            </w:r>
          </w:p>
        </w:tc>
        <w:tc>
          <w:tcPr/>
          <w:p>
            <w:pPr>
              <w:spacing w:after="0" w:line="240" w:lineRule="auto"/>
              <w:rPr>
                <w:rFonts w:ascii="Figtree" w:hAnsi="Figtree" w:eastAsia="Figtree"/>
                <w:sz w:val="20"/>
              </w:rPr>
            </w:pPr>
            <w:r>
              <w:rPr>
                <w:rFonts w:ascii="Figtree" w:hAnsi="Figtree" w:eastAsia="Figtree"/>
                <w:sz w:val="20"/>
              </w:rPr>
              <w:t xml:space="preserve">Smart contract logic, API endpoints, compliance modules</w:t>
            </w:r>
          </w:p>
        </w:tc>
        <w:tc>
          <w:tcPr/>
          <w:p>
            <w:pPr>
              <w:spacing w:after="0" w:line="240" w:lineRule="auto"/>
              <w:rPr>
                <w:rFonts w:ascii="Figtree" w:hAnsi="Figtree" w:eastAsia="Figtree"/>
                <w:sz w:val="20"/>
              </w:rPr>
            </w:pPr>
            <w:r>
              <w:rPr>
                <w:rFonts w:ascii="Figtree" w:hAnsi="Figtree" w:eastAsia="Figtree"/>
                <w:sz w:val="20"/>
              </w:rPr>
              <w:t xml:space="preserve">Continuous during development</w:t>
            </w:r>
          </w:p>
        </w:tc>
      </w:tr>
      <w:tr>
        <w:tc>
          <w:tcPr/>
          <w:p>
            <w:pPr>
              <w:spacing w:after="0" w:line="240" w:lineRule="auto"/>
              <w:rPr>
                <w:rFonts w:ascii="Figtree" w:hAnsi="Figtree" w:eastAsia="Figtree"/>
                <w:sz w:val="20"/>
              </w:rPr>
            </w:pPr>
            <w:r>
              <w:rPr>
                <w:rFonts w:ascii="Figtree" w:hAnsi="Figtree" w:eastAsia="Figtree"/>
                <w:sz w:val="20"/>
              </w:rPr>
              <w:t xml:space="preserve">Integration Testing</w:t>
            </w:r>
          </w:p>
        </w:tc>
        <w:tc>
          <w:tcPr/>
          <w:p>
            <w:pPr>
              <w:spacing w:after="0" w:line="240" w:lineRule="auto"/>
              <w:rPr>
                <w:rFonts w:ascii="Figtree" w:hAnsi="Figtree" w:eastAsia="Figtree"/>
                <w:sz w:val="20"/>
              </w:rPr>
            </w:pPr>
            <w:r>
              <w:rPr>
                <w:rFonts w:ascii="Figtree" w:hAnsi="Figtree" w:eastAsia="Figtree"/>
                <w:sz w:val="20"/>
              </w:rPr>
              <w:t xml:space="preserve">Inter-service communication, custody integration, payment rail connectivity</w:t>
            </w:r>
          </w:p>
        </w:tc>
        <w:tc>
          <w:tcPr/>
          <w:p>
            <w:pPr>
              <w:spacing w:after="0" w:line="240" w:lineRule="auto"/>
              <w:rPr>
                <w:rFonts w:ascii="Figtree" w:hAnsi="Figtree" w:eastAsia="Figtree"/>
                <w:sz w:val="20"/>
              </w:rPr>
            </w:pPr>
            <w:r>
              <w:rPr>
                <w:rFonts w:ascii="Figtree" w:hAnsi="Figtree" w:eastAsia="Figtree"/>
                <w:sz w:val="20"/>
              </w:rPr>
              <w:t xml:space="preserve">Sprint cycles</w:t>
            </w:r>
          </w:p>
        </w:tc>
      </w:tr>
      <w:tr>
        <w:tc>
          <w:tcPr/>
          <w:p>
            <w:pPr>
              <w:spacing w:after="0" w:line="240" w:lineRule="auto"/>
              <w:rPr>
                <w:rFonts w:ascii="Figtree" w:hAnsi="Figtree" w:eastAsia="Figtree"/>
                <w:sz w:val="20"/>
              </w:rPr>
            </w:pPr>
            <w:r>
              <w:rPr>
                <w:rFonts w:ascii="Figtree" w:hAnsi="Figtree" w:eastAsia="Figtree"/>
                <w:sz w:val="20"/>
              </w:rPr>
              <w:t xml:space="preserve">System Integration Testing (SIT)</w:t>
            </w:r>
          </w:p>
        </w:tc>
        <w:tc>
          <w:tcPr/>
          <w:p>
            <w:pPr>
              <w:spacing w:after="0" w:line="240" w:lineRule="auto"/>
              <w:rPr>
                <w:rFonts w:ascii="Figtree" w:hAnsi="Figtree" w:eastAsia="Figtree"/>
                <w:sz w:val="20"/>
              </w:rPr>
            </w:pPr>
            <w:r>
              <w:rPr>
                <w:rFonts w:ascii="Figtree" w:hAnsi="Figtree" w:eastAsia="Figtree"/>
                <w:sz w:val="20"/>
              </w:rPr>
              <w:t xml:space="preserve">End-to-end workflows across all platform components</w:t>
            </w:r>
          </w:p>
        </w:tc>
        <w:tc>
          <w:tcPr/>
          <w:p>
            <w:pPr>
              <w:spacing w:after="0" w:line="240" w:lineRule="auto"/>
              <w:rPr>
                <w:rFonts w:ascii="Figtree" w:hAnsi="Figtree" w:eastAsia="Figtree"/>
                <w:sz w:val="20"/>
              </w:rPr>
            </w:pPr>
            <w:r>
              <w:rPr>
                <w:rFonts w:ascii="Figtree" w:hAnsi="Figtree" w:eastAsia="Figtree"/>
                <w:sz w:val="20"/>
              </w:rPr>
              <w:t xml:space="preserve">Pre-UAT</w:t>
            </w:r>
          </w:p>
        </w:tc>
      </w:tr>
      <w:tr>
        <w:tc>
          <w:tcPr/>
          <w:p>
            <w:pPr>
              <w:spacing w:after="0" w:line="240" w:lineRule="auto"/>
              <w:rPr>
                <w:rFonts w:ascii="Figtree" w:hAnsi="Figtree" w:eastAsia="Figtree"/>
                <w:sz w:val="20"/>
              </w:rPr>
            </w:pPr>
            <w:r>
              <w:rPr>
                <w:rFonts w:ascii="Figtree" w:hAnsi="Figtree" w:eastAsia="Figtree"/>
                <w:sz w:val="20"/>
              </w:rPr>
              <w:t xml:space="preserve">Performance Testing</w:t>
            </w:r>
          </w:p>
        </w:tc>
        <w:tc>
          <w:tcPr/>
          <w:p>
            <w:pPr>
              <w:spacing w:after="0" w:line="240" w:lineRule="auto"/>
              <w:rPr>
                <w:rFonts w:ascii="Figtree" w:hAnsi="Figtree" w:eastAsia="Figtree"/>
                <w:sz w:val="20"/>
              </w:rPr>
            </w:pPr>
            <w:r>
              <w:rPr>
                <w:rFonts w:ascii="Figtree" w:hAnsi="Figtree" w:eastAsia="Figtree"/>
                <w:sz w:val="20"/>
              </w:rPr>
              <w:t xml:space="preserve">Transaction throughput, latency under load, concurrent user capacity</w:t>
            </w:r>
          </w:p>
        </w:tc>
        <w:tc>
          <w:tcPr/>
          <w:p>
            <w:pPr>
              <w:spacing w:after="0" w:line="240" w:lineRule="auto"/>
              <w:rPr>
                <w:rFonts w:ascii="Figtree" w:hAnsi="Figtree" w:eastAsia="Figtree"/>
                <w:sz w:val="20"/>
              </w:rPr>
            </w:pPr>
            <w:r>
              <w:rPr>
                <w:rFonts w:ascii="Figtree" w:hAnsi="Figtree" w:eastAsia="Figtree"/>
                <w:sz w:val="20"/>
              </w:rPr>
              <w:t xml:space="preserve">Pre-UAT</w:t>
            </w:r>
          </w:p>
        </w:tc>
      </w:tr>
      <w:tr>
        <w:tc>
          <w:tcPr/>
          <w:p>
            <w:pPr>
              <w:spacing w:after="0" w:line="240" w:lineRule="auto"/>
              <w:rPr>
                <w:rFonts w:ascii="Figtree" w:hAnsi="Figtree" w:eastAsia="Figtree"/>
                <w:sz w:val="20"/>
              </w:rPr>
            </w:pPr>
            <w:r>
              <w:rPr>
                <w:rFonts w:ascii="Figtree" w:hAnsi="Figtree" w:eastAsia="Figtree"/>
                <w:sz w:val="20"/>
              </w:rPr>
              <w:t xml:space="preserve">Security Testing</w:t>
            </w:r>
          </w:p>
        </w:tc>
        <w:tc>
          <w:tcPr/>
          <w:p>
            <w:pPr>
              <w:spacing w:after="0" w:line="240" w:lineRule="auto"/>
              <w:rPr>
                <w:rFonts w:ascii="Figtree" w:hAnsi="Figtree" w:eastAsia="Figtree"/>
                <w:sz w:val="20"/>
              </w:rPr>
            </w:pPr>
            <w:r>
              <w:rPr>
                <w:rFonts w:ascii="Figtree" w:hAnsi="Figtree" w:eastAsia="Figtree"/>
                <w:sz w:val="20"/>
              </w:rPr>
              <w:t xml:space="preserve">Penetration testing, vulnerability scanning, smart contract audit</w:t>
            </w:r>
          </w:p>
        </w:tc>
        <w:tc>
          <w:tcPr/>
          <w:p>
            <w:pPr>
              <w:spacing w:after="0" w:line="240" w:lineRule="auto"/>
              <w:rPr>
                <w:rFonts w:ascii="Figtree" w:hAnsi="Figtree" w:eastAsia="Figtree"/>
                <w:sz w:val="20"/>
              </w:rPr>
            </w:pPr>
            <w:r>
              <w:rPr>
                <w:rFonts w:ascii="Figtree" w:hAnsi="Figtree" w:eastAsia="Figtree"/>
                <w:sz w:val="20"/>
              </w:rPr>
              <w:t xml:space="preserve">Pre-go-live</w:t>
            </w:r>
          </w:p>
        </w:tc>
      </w:tr>
      <w:tr>
        <w:tc>
          <w:tcPr/>
          <w:p>
            <w:pPr>
              <w:spacing w:after="0" w:line="240" w:lineRule="auto"/>
              <w:rPr>
                <w:rFonts w:ascii="Figtree" w:hAnsi="Figtree" w:eastAsia="Figtree"/>
                <w:sz w:val="20"/>
              </w:rPr>
            </w:pPr>
            <w:r>
              <w:rPr>
                <w:rFonts w:ascii="Figtree" w:hAnsi="Figtree" w:eastAsia="Figtree"/>
                <w:sz w:val="20"/>
              </w:rPr>
              <w:t xml:space="preserve">User Acceptance Testing (UAT)</w:t>
            </w:r>
          </w:p>
        </w:tc>
        <w:tc>
          <w:tcPr/>
          <w:p>
            <w:pPr>
              <w:spacing w:after="0" w:line="240" w:lineRule="auto"/>
              <w:rPr>
                <w:rFonts w:ascii="Figtree" w:hAnsi="Figtree" w:eastAsia="Figtree"/>
                <w:sz w:val="20"/>
              </w:rPr>
            </w:pPr>
            <w:r>
              <w:rPr>
                <w:rFonts w:ascii="Figtree" w:hAnsi="Figtree" w:eastAsia="Figtree"/>
                <w:sz w:val="20"/>
              </w:rPr>
              <w:t xml:space="preserve">Business workflow validation with Mashreq Bank operations teams</w:t>
            </w:r>
          </w:p>
        </w:tc>
        <w:tc>
          <w:tcPr/>
          <w:p>
            <w:pPr>
              <w:spacing w:after="0" w:line="240" w:lineRule="auto"/>
              <w:rPr>
                <w:rFonts w:ascii="Figtree" w:hAnsi="Figtree" w:eastAsia="Figtree"/>
                <w:sz w:val="20"/>
              </w:rPr>
            </w:pPr>
            <w:r>
              <w:rPr>
                <w:rFonts w:ascii="Figtree" w:hAnsi="Figtree" w:eastAsia="Figtree"/>
                <w:sz w:val="20"/>
              </w:rPr>
              <w:t xml:space="preserve">Pre-go-live</w:t>
            </w:r>
          </w:p>
        </w:tc>
      </w:tr>
      <w:tr>
        <w:tc>
          <w:tcPr/>
          <w:p>
            <w:pPr>
              <w:spacing w:after="0" w:line="240" w:lineRule="auto"/>
              <w:rPr>
                <w:rFonts w:ascii="Figtree" w:hAnsi="Figtree" w:eastAsia="Figtree"/>
                <w:sz w:val="20"/>
              </w:rPr>
            </w:pPr>
            <w:r>
              <w:rPr>
                <w:rFonts w:ascii="Figtree" w:hAnsi="Figtree" w:eastAsia="Figtree"/>
                <w:sz w:val="20"/>
              </w:rPr>
              <w:t xml:space="preserve">Operational Readiness Testing (ORT)</w:t>
            </w:r>
          </w:p>
        </w:tc>
        <w:tc>
          <w:tcPr/>
          <w:p>
            <w:pPr>
              <w:spacing w:after="0" w:line="240" w:lineRule="auto"/>
              <w:rPr>
                <w:rFonts w:ascii="Figtree" w:hAnsi="Figtree" w:eastAsia="Figtree"/>
                <w:sz w:val="20"/>
              </w:rPr>
            </w:pPr>
            <w:r>
              <w:rPr>
                <w:rFonts w:ascii="Figtree" w:hAnsi="Figtree" w:eastAsia="Figtree"/>
                <w:sz w:val="20"/>
              </w:rPr>
              <w:t xml:space="preserve">Failover, recovery, monitoring, alerting, runbook validation</w:t>
            </w:r>
          </w:p>
        </w:tc>
        <w:tc>
          <w:tcPr/>
          <w:p>
            <w:pPr>
              <w:spacing w:after="0" w:line="240" w:lineRule="auto"/>
              <w:rPr>
                <w:rFonts w:ascii="Figtree" w:hAnsi="Figtree" w:eastAsia="Figtree"/>
                <w:sz w:val="20"/>
              </w:rPr>
            </w:pPr>
            <w:r>
              <w:rPr>
                <w:rFonts w:ascii="Figtree" w:hAnsi="Figtree" w:eastAsia="Figtree"/>
                <w:sz w:val="20"/>
              </w:rPr>
              <w:t xml:space="preserve">Pre-go-live</w:t>
            </w:r>
          </w:p>
        </w:tc>
      </w:tr>
      <w:tr>
        <w:tc>
          <w:tcPr/>
          <w:p>
            <w:pPr>
              <w:spacing w:after="0" w:line="240" w:lineRule="auto"/>
              <w:rPr>
                <w:rFonts w:ascii="Figtree" w:hAnsi="Figtree" w:eastAsia="Figtree"/>
                <w:sz w:val="20"/>
              </w:rPr>
            </w:pPr>
            <w:r>
              <w:rPr>
                <w:rFonts w:ascii="Figtree" w:hAnsi="Figtree" w:eastAsia="Figtree"/>
                <w:sz w:val="20"/>
              </w:rPr>
              <w:t xml:space="preserve">Disaster Recovery Testing</w:t>
            </w:r>
          </w:p>
        </w:tc>
        <w:tc>
          <w:tcPr/>
          <w:p>
            <w:pPr>
              <w:spacing w:after="0" w:line="240" w:lineRule="auto"/>
              <w:rPr>
                <w:rFonts w:ascii="Figtree" w:hAnsi="Figtree" w:eastAsia="Figtree"/>
                <w:sz w:val="20"/>
              </w:rPr>
            </w:pPr>
            <w:r>
              <w:rPr>
                <w:rFonts w:ascii="Figtree" w:hAnsi="Figtree" w:eastAsia="Figtree"/>
                <w:sz w:val="20"/>
              </w:rPr>
              <w:t xml:space="preserve">Full DR failover and recovery procedure validation</w:t>
            </w:r>
          </w:p>
        </w:tc>
        <w:tc>
          <w:tcPr/>
          <w:p>
            <w:pPr>
              <w:spacing w:after="0" w:line="240" w:lineRule="auto"/>
              <w:rPr>
                <w:rFonts w:ascii="Figtree" w:hAnsi="Figtree" w:eastAsia="Figtree"/>
                <w:sz w:val="20"/>
              </w:rPr>
            </w:pPr>
            <w:r>
              <w:rPr>
                <w:rFonts w:ascii="Figtree" w:hAnsi="Figtree" w:eastAsia="Figtree"/>
                <w:sz w:val="20"/>
              </w:rPr>
              <w:t xml:space="preserve">Post-go-live</w:t>
            </w:r>
          </w:p>
        </w:tc>
      </w:tr>
    </w:tbl>
    <w:p>
      <w:pPr>
        <w:pStyle w:val="H3"/>
        <w:numPr>
          <w:ilvl w:val="2"/>
          <w:numId w:val="1"/>
        </w:numPr>
      </w:pPr>
      <w:r>
        <w:rPr/>
        <w:t xml:space="preserve">Training and Knowledge Transfer</w:t>
      </w:r>
    </w:p>
    <w:p>
      <w:pPr/>
      <w:r>
        <w:rPr>
          <w:rFonts w:ascii="Figtree" w:hAnsi="Figtree" w:eastAsia="Figtree"/>
          <w:sz w:val="22"/>
        </w:rPr>
        <w:t xml:space="preserve">SettleMint provides training across five stakeholder groups:</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Stakeholder Group</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Training Focus</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Format</w:t>
            </w:r>
          </w:p>
        </w:tc>
      </w:tr>
      <w:tr>
        <w:tc>
          <w:tcPr/>
          <w:p>
            <w:pPr>
              <w:spacing w:after="0" w:line="240" w:lineRule="auto"/>
              <w:rPr>
                <w:rFonts w:ascii="Figtree" w:hAnsi="Figtree" w:eastAsia="Figtree"/>
                <w:sz w:val="20"/>
              </w:rPr>
            </w:pPr>
            <w:r>
              <w:rPr>
                <w:rFonts w:ascii="Figtree" w:hAnsi="Figtree" w:eastAsia="Figtree"/>
                <w:sz w:val="20"/>
              </w:rPr>
              <w:t xml:space="preserve">Platform Administrators</w:t>
            </w:r>
          </w:p>
        </w:tc>
        <w:tc>
          <w:tcPr/>
          <w:p>
            <w:pPr>
              <w:spacing w:after="0" w:line="240" w:lineRule="auto"/>
              <w:rPr>
                <w:rFonts w:ascii="Figtree" w:hAnsi="Figtree" w:eastAsia="Figtree"/>
                <w:sz w:val="20"/>
              </w:rPr>
            </w:pPr>
            <w:r>
              <w:rPr>
                <w:rFonts w:ascii="Figtree" w:hAnsi="Figtree" w:eastAsia="Figtree"/>
                <w:sz w:val="20"/>
              </w:rPr>
              <w:t xml:space="preserve">Infrastructure management, Kubernetes operations, monitoring, incident response</w:t>
            </w:r>
          </w:p>
        </w:tc>
        <w:tc>
          <w:tcPr/>
          <w:p>
            <w:pPr>
              <w:spacing w:after="0" w:line="240" w:lineRule="auto"/>
              <w:rPr>
                <w:rFonts w:ascii="Figtree" w:hAnsi="Figtree" w:eastAsia="Figtree"/>
                <w:sz w:val="20"/>
              </w:rPr>
            </w:pPr>
            <w:r>
              <w:rPr>
                <w:rFonts w:ascii="Figtree" w:hAnsi="Figtree" w:eastAsia="Figtree"/>
                <w:sz w:val="20"/>
              </w:rPr>
              <w:t xml:space="preserve">Hands-on workshop (5 days)</w:t>
            </w:r>
          </w:p>
        </w:tc>
      </w:tr>
      <w:tr>
        <w:tc>
          <w:tcPr/>
          <w:p>
            <w:pPr>
              <w:spacing w:after="0" w:line="240" w:lineRule="auto"/>
              <w:rPr>
                <w:rFonts w:ascii="Figtree" w:hAnsi="Figtree" w:eastAsia="Figtree"/>
                <w:sz w:val="20"/>
              </w:rPr>
            </w:pPr>
            <w:r>
              <w:rPr>
                <w:rFonts w:ascii="Figtree" w:hAnsi="Figtree" w:eastAsia="Figtree"/>
                <w:sz w:val="20"/>
              </w:rPr>
              <w:t xml:space="preserve">Operations Teams</w:t>
            </w:r>
          </w:p>
        </w:tc>
        <w:tc>
          <w:tcPr/>
          <w:p>
            <w:pPr>
              <w:spacing w:after="0" w:line="240" w:lineRule="auto"/>
              <w:rPr>
                <w:rFonts w:ascii="Figtree" w:hAnsi="Figtree" w:eastAsia="Figtree"/>
                <w:sz w:val="20"/>
              </w:rPr>
            </w:pPr>
            <w:r>
              <w:rPr>
                <w:rFonts w:ascii="Figtree" w:hAnsi="Figtree" w:eastAsia="Figtree"/>
                <w:sz w:val="20"/>
              </w:rPr>
              <w:t xml:space="preserve">Asset issuance, compliance configuration, custody operations, corporate actions</w:t>
            </w:r>
          </w:p>
        </w:tc>
        <w:tc>
          <w:tcPr/>
          <w:p>
            <w:pPr>
              <w:spacing w:after="0" w:line="240" w:lineRule="auto"/>
              <w:rPr>
                <w:rFonts w:ascii="Figtree" w:hAnsi="Figtree" w:eastAsia="Figtree"/>
                <w:sz w:val="20"/>
              </w:rPr>
            </w:pPr>
            <w:r>
              <w:rPr>
                <w:rFonts w:ascii="Figtree" w:hAnsi="Figtree" w:eastAsia="Figtree"/>
                <w:sz w:val="20"/>
              </w:rPr>
              <w:t xml:space="preserve">Hands-on workshop (3 days)</w:t>
            </w:r>
          </w:p>
        </w:tc>
      </w:tr>
      <w:tr>
        <w:tc>
          <w:tcPr/>
          <w:p>
            <w:pPr>
              <w:spacing w:after="0" w:line="240" w:lineRule="auto"/>
              <w:rPr>
                <w:rFonts w:ascii="Figtree" w:hAnsi="Figtree" w:eastAsia="Figtree"/>
                <w:sz w:val="20"/>
              </w:rPr>
            </w:pPr>
            <w:r>
              <w:rPr>
                <w:rFonts w:ascii="Figtree" w:hAnsi="Figtree" w:eastAsia="Figtree"/>
                <w:sz w:val="20"/>
              </w:rPr>
              <w:t xml:space="preserve">Compliance Officers</w:t>
            </w:r>
          </w:p>
        </w:tc>
        <w:tc>
          <w:tcPr/>
          <w:p>
            <w:pPr>
              <w:spacing w:after="0" w:line="240" w:lineRule="auto"/>
              <w:rPr>
                <w:rFonts w:ascii="Figtree" w:hAnsi="Figtree" w:eastAsia="Figtree"/>
                <w:sz w:val="20"/>
              </w:rPr>
            </w:pPr>
            <w:r>
              <w:rPr>
                <w:rFonts w:ascii="Figtree" w:hAnsi="Figtree" w:eastAsia="Figtree"/>
                <w:sz w:val="20"/>
              </w:rPr>
              <w:t xml:space="preserve">Compliance module configuration, regulatory reporting, audit trail navigation</w:t>
            </w:r>
          </w:p>
        </w:tc>
        <w:tc>
          <w:tcPr/>
          <w:p>
            <w:pPr>
              <w:spacing w:after="0" w:line="240" w:lineRule="auto"/>
              <w:rPr>
                <w:rFonts w:ascii="Figtree" w:hAnsi="Figtree" w:eastAsia="Figtree"/>
                <w:sz w:val="20"/>
              </w:rPr>
            </w:pPr>
            <w:r>
              <w:rPr>
                <w:rFonts w:ascii="Figtree" w:hAnsi="Figtree" w:eastAsia="Figtree"/>
                <w:sz w:val="20"/>
              </w:rPr>
              <w:t xml:space="preserve">Workshop + documentation (2 days)</w:t>
            </w:r>
          </w:p>
        </w:tc>
      </w:tr>
      <w:tr>
        <w:tc>
          <w:tcPr/>
          <w:p>
            <w:pPr>
              <w:spacing w:after="0" w:line="240" w:lineRule="auto"/>
              <w:rPr>
                <w:rFonts w:ascii="Figtree" w:hAnsi="Figtree" w:eastAsia="Figtree"/>
                <w:sz w:val="20"/>
              </w:rPr>
            </w:pPr>
            <w:r>
              <w:rPr>
                <w:rFonts w:ascii="Figtree" w:hAnsi="Figtree" w:eastAsia="Figtree"/>
                <w:sz w:val="20"/>
              </w:rPr>
              <w:t xml:space="preserve">Integration Engineers</w:t>
            </w:r>
          </w:p>
        </w:tc>
        <w:tc>
          <w:tcPr/>
          <w:p>
            <w:pPr>
              <w:spacing w:after="0" w:line="240" w:lineRule="auto"/>
              <w:rPr>
                <w:rFonts w:ascii="Figtree" w:hAnsi="Figtree" w:eastAsia="Figtree"/>
                <w:sz w:val="20"/>
              </w:rPr>
            </w:pPr>
            <w:r>
              <w:rPr>
                <w:rFonts w:ascii="Figtree" w:hAnsi="Figtree" w:eastAsia="Figtree"/>
                <w:sz w:val="20"/>
              </w:rPr>
              <w:t xml:space="preserve">API integration, webhook configuration, core banking connectivity</w:t>
            </w:r>
          </w:p>
        </w:tc>
        <w:tc>
          <w:tcPr/>
          <w:p>
            <w:pPr>
              <w:spacing w:after="0" w:line="240" w:lineRule="auto"/>
              <w:rPr>
                <w:rFonts w:ascii="Figtree" w:hAnsi="Figtree" w:eastAsia="Figtree"/>
                <w:sz w:val="20"/>
              </w:rPr>
            </w:pPr>
            <w:r>
              <w:rPr>
                <w:rFonts w:ascii="Figtree" w:hAnsi="Figtree" w:eastAsia="Figtree"/>
                <w:sz w:val="20"/>
              </w:rPr>
              <w:t xml:space="preserve">Technical workshop (3 days)</w:t>
            </w:r>
          </w:p>
        </w:tc>
      </w:tr>
      <w:tr>
        <w:tc>
          <w:tcPr/>
          <w:p>
            <w:pPr>
              <w:spacing w:after="0" w:line="240" w:lineRule="auto"/>
              <w:rPr>
                <w:rFonts w:ascii="Figtree" w:hAnsi="Figtree" w:eastAsia="Figtree"/>
                <w:sz w:val="20"/>
              </w:rPr>
            </w:pPr>
            <w:r>
              <w:rPr>
                <w:rFonts w:ascii="Figtree" w:hAnsi="Figtree" w:eastAsia="Figtree"/>
                <w:sz w:val="20"/>
              </w:rPr>
              <w:t xml:space="preserve">Business Stakeholders</w:t>
            </w:r>
          </w:p>
        </w:tc>
        <w:tc>
          <w:tcPr/>
          <w:p>
            <w:pPr>
              <w:spacing w:after="0" w:line="240" w:lineRule="auto"/>
              <w:rPr>
                <w:rFonts w:ascii="Figtree" w:hAnsi="Figtree" w:eastAsia="Figtree"/>
                <w:sz w:val="20"/>
              </w:rPr>
            </w:pPr>
            <w:r>
              <w:rPr>
                <w:rFonts w:ascii="Figtree" w:hAnsi="Figtree" w:eastAsia="Figtree"/>
                <w:sz w:val="20"/>
              </w:rPr>
              <w:t xml:space="preserve">Platform capabilities, use case overview, operational dashboards</w:t>
            </w:r>
          </w:p>
        </w:tc>
        <w:tc>
          <w:tcPr/>
          <w:p>
            <w:pPr>
              <w:spacing w:after="0" w:line="240" w:lineRule="auto"/>
              <w:rPr>
                <w:rFonts w:ascii="Figtree" w:hAnsi="Figtree" w:eastAsia="Figtree"/>
                <w:sz w:val="20"/>
              </w:rPr>
            </w:pPr>
            <w:r>
              <w:rPr>
                <w:rFonts w:ascii="Figtree" w:hAnsi="Figtree" w:eastAsia="Figtree"/>
                <w:sz w:val="20"/>
              </w:rPr>
              <w:t xml:space="preserve">Executive briefing (1 day)</w:t>
            </w:r>
          </w:p>
        </w:tc>
      </w:tr>
    </w:tbl>
    <w:p>
      <w:pPr/>
      <w:r>
        <w:rPr>
          <w:rFonts w:ascii="Figtree" w:hAnsi="Figtree" w:eastAsia="Figtree"/>
          <w:sz w:val="22"/>
        </w:rPr>
        <w:t xml:space="preserve">All training includes comprehensive documentation, runbooks, and developer guides aligned with DALP's published documentation.</w:t>
      </w:r>
    </w:p>
    <w:p>
      <w:r>
        <w:br w:type="page"/>
      </w:r>
    </w:p>
    <w:p>
      <w:pPr>
        <w:pStyle w:val="H2"/>
        <w:numPr>
          <w:ilvl w:val="1"/>
          <w:numId w:val="1"/>
        </w:numPr>
      </w:pPr>
      <w:r>
        <w:rPr/>
        <w:t xml:space="preserve">12. Support and SLA Framework</w:t>
      </w:r>
    </w:p>
    <w:p>
      <w:pPr>
        <w:pStyle w:val="H3"/>
        <w:numPr>
          <w:ilvl w:val="2"/>
          <w:numId w:val="1"/>
        </w:numPr>
      </w:pPr>
      <w:r>
        <w:rPr/>
        <w:t xml:space="preserve">SLA Targets</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Severity</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Description</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Response Time</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Resolution Target</w:t>
            </w:r>
          </w:p>
        </w:tc>
      </w:tr>
      <w:tr>
        <w:tc>
          <w:tcPr/>
          <w:p>
            <w:pPr>
              <w:spacing w:after="0" w:line="240" w:lineRule="auto"/>
              <w:rPr>
                <w:rFonts w:ascii="Figtree" w:hAnsi="Figtree" w:eastAsia="Figtree"/>
                <w:sz w:val="20"/>
              </w:rPr>
            </w:pPr>
            <w:r>
              <w:rPr>
                <w:rFonts w:ascii="Figtree" w:hAnsi="Figtree" w:eastAsia="Figtree"/>
                <w:sz w:val="20"/>
              </w:rPr>
              <w:t xml:space="preserve">Severity 1</w:t>
            </w:r>
          </w:p>
        </w:tc>
        <w:tc>
          <w:tcPr/>
          <w:p>
            <w:pPr>
              <w:spacing w:after="0" w:line="240" w:lineRule="auto"/>
              <w:rPr>
                <w:rFonts w:ascii="Figtree" w:hAnsi="Figtree" w:eastAsia="Figtree"/>
                <w:sz w:val="20"/>
              </w:rPr>
            </w:pPr>
            <w:r>
              <w:rPr>
                <w:rFonts w:ascii="Figtree" w:hAnsi="Figtree" w:eastAsia="Figtree"/>
                <w:sz w:val="20"/>
              </w:rPr>
              <w:t xml:space="preserve">Platform unavailable, settlement blocked, compliance enforcement failure</w:t>
            </w:r>
          </w:p>
        </w:tc>
        <w:tc>
          <w:tcPr/>
          <w:p>
            <w:pPr>
              <w:spacing w:after="0" w:line="240" w:lineRule="auto"/>
              <w:rPr>
                <w:rFonts w:ascii="Figtree" w:hAnsi="Figtree" w:eastAsia="Figtree"/>
                <w:sz w:val="20"/>
              </w:rPr>
            </w:pPr>
            <w:r>
              <w:rPr>
                <w:rFonts w:ascii="Figtree" w:hAnsi="Figtree" w:eastAsia="Figtree"/>
                <w:sz w:val="20"/>
              </w:rPr>
              <w:t xml:space="preserve">30 minutes</w:t>
            </w:r>
          </w:p>
        </w:tc>
        <w:tc>
          <w:tcPr/>
          <w:p>
            <w:pPr>
              <w:spacing w:after="0" w:line="240" w:lineRule="auto"/>
              <w:rPr>
                <w:rFonts w:ascii="Figtree" w:hAnsi="Figtree" w:eastAsia="Figtree"/>
                <w:sz w:val="20"/>
              </w:rPr>
            </w:pPr>
            <w:r>
              <w:rPr>
                <w:rFonts w:ascii="Figtree" w:hAnsi="Figtree" w:eastAsia="Figtree"/>
                <w:sz w:val="20"/>
              </w:rPr>
              <w:t xml:space="preserve">4 hours</w:t>
            </w:r>
          </w:p>
        </w:tc>
      </w:tr>
      <w:tr>
        <w:tc>
          <w:tcPr/>
          <w:p>
            <w:pPr>
              <w:spacing w:after="0" w:line="240" w:lineRule="auto"/>
              <w:rPr>
                <w:rFonts w:ascii="Figtree" w:hAnsi="Figtree" w:eastAsia="Figtree"/>
                <w:sz w:val="20"/>
              </w:rPr>
            </w:pPr>
            <w:r>
              <w:rPr>
                <w:rFonts w:ascii="Figtree" w:hAnsi="Figtree" w:eastAsia="Figtree"/>
                <w:sz w:val="20"/>
              </w:rPr>
              <w:t xml:space="preserve">Severity 2</w:t>
            </w:r>
          </w:p>
        </w:tc>
        <w:tc>
          <w:tcPr/>
          <w:p>
            <w:pPr>
              <w:spacing w:after="0" w:line="240" w:lineRule="auto"/>
              <w:rPr>
                <w:rFonts w:ascii="Figtree" w:hAnsi="Figtree" w:eastAsia="Figtree"/>
                <w:sz w:val="20"/>
              </w:rPr>
            </w:pPr>
            <w:r>
              <w:rPr>
                <w:rFonts w:ascii="Figtree" w:hAnsi="Figtree" w:eastAsia="Figtree"/>
                <w:sz w:val="20"/>
              </w:rPr>
              <w:t xml:space="preserve">Significant functionality degraded, workaround not available</w:t>
            </w:r>
          </w:p>
        </w:tc>
        <w:tc>
          <w:tcPr/>
          <w:p>
            <w:pPr>
              <w:spacing w:after="0" w:line="240" w:lineRule="auto"/>
              <w:rPr>
                <w:rFonts w:ascii="Figtree" w:hAnsi="Figtree" w:eastAsia="Figtree"/>
                <w:sz w:val="20"/>
              </w:rPr>
            </w:pPr>
            <w:r>
              <w:rPr>
                <w:rFonts w:ascii="Figtree" w:hAnsi="Figtree" w:eastAsia="Figtree"/>
                <w:sz w:val="20"/>
              </w:rPr>
              <w:t xml:space="preserve">2 hours</w:t>
            </w:r>
          </w:p>
        </w:tc>
        <w:tc>
          <w:tcPr/>
          <w:p>
            <w:pPr>
              <w:spacing w:after="0" w:line="240" w:lineRule="auto"/>
              <w:rPr>
                <w:rFonts w:ascii="Figtree" w:hAnsi="Figtree" w:eastAsia="Figtree"/>
                <w:sz w:val="20"/>
              </w:rPr>
            </w:pPr>
            <w:r>
              <w:rPr>
                <w:rFonts w:ascii="Figtree" w:hAnsi="Figtree" w:eastAsia="Figtree"/>
                <w:sz w:val="20"/>
              </w:rPr>
              <w:t xml:space="preserve">8 hours</w:t>
            </w:r>
          </w:p>
        </w:tc>
      </w:tr>
      <w:tr>
        <w:tc>
          <w:tcPr/>
          <w:p>
            <w:pPr>
              <w:spacing w:after="0" w:line="240" w:lineRule="auto"/>
              <w:rPr>
                <w:rFonts w:ascii="Figtree" w:hAnsi="Figtree" w:eastAsia="Figtree"/>
                <w:sz w:val="20"/>
              </w:rPr>
            </w:pPr>
            <w:r>
              <w:rPr>
                <w:rFonts w:ascii="Figtree" w:hAnsi="Figtree" w:eastAsia="Figtree"/>
                <w:sz w:val="20"/>
              </w:rPr>
              <w:t xml:space="preserve">Severity 3</w:t>
            </w:r>
          </w:p>
        </w:tc>
        <w:tc>
          <w:tcPr/>
          <w:p>
            <w:pPr>
              <w:spacing w:after="0" w:line="240" w:lineRule="auto"/>
              <w:rPr>
                <w:rFonts w:ascii="Figtree" w:hAnsi="Figtree" w:eastAsia="Figtree"/>
                <w:sz w:val="20"/>
              </w:rPr>
            </w:pPr>
            <w:r>
              <w:rPr>
                <w:rFonts w:ascii="Figtree" w:hAnsi="Figtree" w:eastAsia="Figtree"/>
                <w:sz w:val="20"/>
              </w:rPr>
              <w:t xml:space="preserve">Functionality impaired, workaround available</w:t>
            </w:r>
          </w:p>
        </w:tc>
        <w:tc>
          <w:tcPr/>
          <w:p>
            <w:pPr>
              <w:spacing w:after="0" w:line="240" w:lineRule="auto"/>
              <w:rPr>
                <w:rFonts w:ascii="Figtree" w:hAnsi="Figtree" w:eastAsia="Figtree"/>
                <w:sz w:val="20"/>
              </w:rPr>
            </w:pPr>
            <w:r>
              <w:rPr>
                <w:rFonts w:ascii="Figtree" w:hAnsi="Figtree" w:eastAsia="Figtree"/>
                <w:sz w:val="20"/>
              </w:rPr>
              <w:t xml:space="preserve">4 hours</w:t>
            </w:r>
          </w:p>
        </w:tc>
        <w:tc>
          <w:tcPr/>
          <w:p>
            <w:pPr>
              <w:spacing w:after="0" w:line="240" w:lineRule="auto"/>
              <w:rPr>
                <w:rFonts w:ascii="Figtree" w:hAnsi="Figtree" w:eastAsia="Figtree"/>
                <w:sz w:val="20"/>
              </w:rPr>
            </w:pPr>
            <w:r>
              <w:rPr>
                <w:rFonts w:ascii="Figtree" w:hAnsi="Figtree" w:eastAsia="Figtree"/>
                <w:sz w:val="20"/>
              </w:rPr>
              <w:t xml:space="preserve">24 hours</w:t>
            </w:r>
          </w:p>
        </w:tc>
      </w:tr>
      <w:tr>
        <w:tc>
          <w:tcPr/>
          <w:p>
            <w:pPr>
              <w:spacing w:after="0" w:line="240" w:lineRule="auto"/>
              <w:rPr>
                <w:rFonts w:ascii="Figtree" w:hAnsi="Figtree" w:eastAsia="Figtree"/>
                <w:sz w:val="20"/>
              </w:rPr>
            </w:pPr>
            <w:r>
              <w:rPr>
                <w:rFonts w:ascii="Figtree" w:hAnsi="Figtree" w:eastAsia="Figtree"/>
                <w:sz w:val="20"/>
              </w:rPr>
              <w:t xml:space="preserve">Severity 4</w:t>
            </w:r>
          </w:p>
        </w:tc>
        <w:tc>
          <w:tcPr/>
          <w:p>
            <w:pPr>
              <w:spacing w:after="0" w:line="240" w:lineRule="auto"/>
              <w:rPr>
                <w:rFonts w:ascii="Figtree" w:hAnsi="Figtree" w:eastAsia="Figtree"/>
                <w:sz w:val="20"/>
              </w:rPr>
            </w:pPr>
            <w:r>
              <w:rPr>
                <w:rFonts w:ascii="Figtree" w:hAnsi="Figtree" w:eastAsia="Figtree"/>
                <w:sz w:val="20"/>
              </w:rPr>
              <w:t xml:space="preserve">Minor issue, cosmetic, or enhancement request</w:t>
            </w:r>
          </w:p>
        </w:tc>
        <w:tc>
          <w:tcPr/>
          <w:p>
            <w:pPr>
              <w:spacing w:after="0" w:line="240" w:lineRule="auto"/>
              <w:rPr>
                <w:rFonts w:ascii="Figtree" w:hAnsi="Figtree" w:eastAsia="Figtree"/>
                <w:sz w:val="20"/>
              </w:rPr>
            </w:pPr>
            <w:r>
              <w:rPr>
                <w:rFonts w:ascii="Figtree" w:hAnsi="Figtree" w:eastAsia="Figtree"/>
                <w:sz w:val="20"/>
              </w:rPr>
              <w:t xml:space="preserve">1 business day</w:t>
            </w:r>
          </w:p>
        </w:tc>
        <w:tc>
          <w:tcPr/>
          <w:p>
            <w:pPr>
              <w:spacing w:after="0" w:line="240" w:lineRule="auto"/>
              <w:rPr>
                <w:rFonts w:ascii="Figtree" w:hAnsi="Figtree" w:eastAsia="Figtree"/>
                <w:sz w:val="20"/>
              </w:rPr>
            </w:pPr>
            <w:r>
              <w:rPr>
                <w:rFonts w:ascii="Figtree" w:hAnsi="Figtree" w:eastAsia="Figtree"/>
                <w:sz w:val="20"/>
              </w:rPr>
              <w:t xml:space="preserve">Next scheduled release</w:t>
            </w:r>
          </w:p>
        </w:tc>
      </w:tr>
    </w:tbl>
    <w:p>
      <w:pPr>
        <w:pStyle w:val="H3"/>
        <w:numPr>
          <w:ilvl w:val="2"/>
          <w:numId w:val="1"/>
        </w:numPr>
      </w:pPr>
      <w:r>
        <w:rPr/>
        <w:t xml:space="preserve">Support Tiers</w:t>
      </w:r>
    </w:p>
    <w:p>
      <w:pPr/>
      <w:r>
        <w:rPr>
          <w:rFonts w:ascii="Figtree" w:hAnsi="Figtree" w:eastAsia="Figtree"/>
          <w:b/>
          <w:sz w:val="22"/>
        </w:rPr>
        <w:t xml:space="preserve">Tier 1: Platform Operations Support</w:t>
      </w:r>
    </w:p>
    <w:p>
      <w:pPr>
        <w:pStyle w:val="List Paragraph"/>
        <w:numPr>
          <w:ilvl w:val="0"/>
          <w:numId w:val="4"/>
        </w:numPr>
      </w:pPr>
      <w:r>
        <w:rPr>
          <w:rFonts w:ascii="Figtree" w:hAnsi="Figtree" w:eastAsia="Figtree"/>
          <w:sz w:val="22"/>
        </w:rPr>
        <w:t xml:space="preserve">24/7 monitoring and alerting through DALP's built-in observability stack</w:t>
      </w:r>
    </w:p>
    <w:p>
      <w:pPr>
        <w:pStyle w:val="List Paragraph"/>
        <w:numPr>
          <w:ilvl w:val="0"/>
          <w:numId w:val="4"/>
        </w:numPr>
      </w:pPr>
      <w:r>
        <w:rPr>
          <w:rFonts w:ascii="Figtree" w:hAnsi="Figtree" w:eastAsia="Figtree"/>
          <w:sz w:val="22"/>
        </w:rPr>
        <w:t xml:space="preserve">First-response incident triage and classification</w:t>
      </w:r>
    </w:p>
    <w:p>
      <w:pPr>
        <w:pStyle w:val="List Paragraph"/>
        <w:numPr>
          <w:ilvl w:val="0"/>
          <w:numId w:val="4"/>
        </w:numPr>
      </w:pPr>
      <w:r>
        <w:rPr>
          <w:rFonts w:ascii="Figtree" w:hAnsi="Figtree" w:eastAsia="Figtree"/>
          <w:sz w:val="22"/>
        </w:rPr>
        <w:t xml:space="preserve">Known-issue resolution from operational runbooks</w:t>
      </w:r>
    </w:p>
    <w:p>
      <w:pPr>
        <w:pStyle w:val="List Paragraph"/>
        <w:numPr>
          <w:ilvl w:val="0"/>
          <w:numId w:val="4"/>
        </w:numPr>
      </w:pPr>
      <w:r>
        <w:rPr>
          <w:rFonts w:ascii="Figtree" w:hAnsi="Figtree" w:eastAsia="Figtree"/>
          <w:sz w:val="22"/>
        </w:rPr>
        <w:t xml:space="preserve">Escalation to Tier 2 for unresolved issues</w:t>
      </w:r>
    </w:p>
    <w:p>
      <w:pPr/>
      <w:r>
        <w:rPr>
          <w:rFonts w:ascii="Figtree" w:hAnsi="Figtree" w:eastAsia="Figtree"/>
          <w:b/>
          <w:sz w:val="22"/>
        </w:rPr>
        <w:t xml:space="preserve">Tier 2: Technical Support</w:t>
      </w:r>
    </w:p>
    <w:p>
      <w:pPr>
        <w:pStyle w:val="List Paragraph"/>
        <w:numPr>
          <w:ilvl w:val="0"/>
          <w:numId w:val="4"/>
        </w:numPr>
      </w:pPr>
      <w:r>
        <w:rPr>
          <w:rFonts w:ascii="Figtree" w:hAnsi="Figtree" w:eastAsia="Figtree"/>
          <w:sz w:val="22"/>
        </w:rPr>
        <w:t xml:space="preserve">Platform engineering team with deep DALP expertise</w:t>
      </w:r>
    </w:p>
    <w:p>
      <w:pPr>
        <w:pStyle w:val="List Paragraph"/>
        <w:numPr>
          <w:ilvl w:val="0"/>
          <w:numId w:val="4"/>
        </w:numPr>
      </w:pPr>
      <w:r>
        <w:rPr>
          <w:rFonts w:ascii="Figtree" w:hAnsi="Figtree" w:eastAsia="Figtree"/>
          <w:sz w:val="22"/>
        </w:rPr>
        <w:t xml:space="preserve">Root cause analysis for complex issues</w:t>
      </w:r>
    </w:p>
    <w:p>
      <w:pPr>
        <w:pStyle w:val="List Paragraph"/>
        <w:numPr>
          <w:ilvl w:val="0"/>
          <w:numId w:val="4"/>
        </w:numPr>
      </w:pPr>
      <w:r>
        <w:rPr>
          <w:rFonts w:ascii="Figtree" w:hAnsi="Figtree" w:eastAsia="Figtree"/>
          <w:sz w:val="22"/>
        </w:rPr>
        <w:t xml:space="preserve">Configuration changes and compliance module adjustments</w:t>
      </w:r>
    </w:p>
    <w:p>
      <w:pPr>
        <w:pStyle w:val="List Paragraph"/>
        <w:numPr>
          <w:ilvl w:val="0"/>
          <w:numId w:val="4"/>
        </w:numPr>
      </w:pPr>
      <w:r>
        <w:rPr>
          <w:rFonts w:ascii="Figtree" w:hAnsi="Figtree" w:eastAsia="Figtree"/>
          <w:sz w:val="22"/>
        </w:rPr>
        <w:t xml:space="preserve">Performance optimization and capacity planning</w:t>
      </w:r>
    </w:p>
    <w:p>
      <w:pPr/>
      <w:r>
        <w:rPr>
          <w:rFonts w:ascii="Figtree" w:hAnsi="Figtree" w:eastAsia="Figtree"/>
          <w:b/>
          <w:sz w:val="22"/>
        </w:rPr>
        <w:t xml:space="preserve">Tier 3: Engineering Support</w:t>
      </w:r>
    </w:p>
    <w:p>
      <w:pPr>
        <w:pStyle w:val="List Paragraph"/>
        <w:numPr>
          <w:ilvl w:val="0"/>
          <w:numId w:val="4"/>
        </w:numPr>
      </w:pPr>
      <w:r>
        <w:rPr>
          <w:rFonts w:ascii="Figtree" w:hAnsi="Figtree" w:eastAsia="Figtree"/>
          <w:sz w:val="22"/>
        </w:rPr>
        <w:t xml:space="preserve">SettleMint engineering team for platform-level issues</w:t>
      </w:r>
    </w:p>
    <w:p>
      <w:pPr>
        <w:pStyle w:val="List Paragraph"/>
        <w:numPr>
          <w:ilvl w:val="0"/>
          <w:numId w:val="4"/>
        </w:numPr>
      </w:pPr>
      <w:r>
        <w:rPr>
          <w:rFonts w:ascii="Figtree" w:hAnsi="Figtree" w:eastAsia="Figtree"/>
          <w:sz w:val="22"/>
        </w:rPr>
        <w:t xml:space="preserve">Smart contract analysis and blockchain-level investigation</w:t>
      </w:r>
    </w:p>
    <w:p>
      <w:pPr>
        <w:pStyle w:val="List Paragraph"/>
        <w:numPr>
          <w:ilvl w:val="0"/>
          <w:numId w:val="4"/>
        </w:numPr>
      </w:pPr>
      <w:r>
        <w:rPr>
          <w:rFonts w:ascii="Figtree" w:hAnsi="Figtree" w:eastAsia="Figtree"/>
          <w:sz w:val="22"/>
        </w:rPr>
        <w:t xml:space="preserve">Security incident response and forensics</w:t>
      </w:r>
    </w:p>
    <w:p>
      <w:pPr>
        <w:pStyle w:val="List Paragraph"/>
        <w:numPr>
          <w:ilvl w:val="0"/>
          <w:numId w:val="4"/>
        </w:numPr>
      </w:pPr>
      <w:r>
        <w:rPr>
          <w:rFonts w:ascii="Figtree" w:hAnsi="Figtree" w:eastAsia="Figtree"/>
          <w:sz w:val="22"/>
        </w:rPr>
        <w:t xml:space="preserve">Custom feature development and platform enhancements</w:t>
      </w:r>
    </w:p>
    <w:p>
      <w:pPr>
        <w:pStyle w:val="H3"/>
        <w:numPr>
          <w:ilvl w:val="2"/>
          <w:numId w:val="1"/>
        </w:numPr>
      </w:pPr>
      <w:r>
        <w:rPr/>
        <w:t xml:space="preserve">Maintenance Windows</w:t>
      </w:r>
    </w:p>
    <w:p>
      <w:pPr>
        <w:pStyle w:val="List Paragraph"/>
      </w:pPr>
      <w:r>
        <w:rPr>
          <w:rFonts w:ascii="Figtree" w:hAnsi="Figtree" w:eastAsia="Figtree"/>
          <w:b/>
          <w:sz w:val="22"/>
        </w:rPr>
        <w:t xml:space="preserve">Standard maintenance:</w:t>
      </w:r>
      <w:r>
        <w:rPr>
          <w:rFonts w:ascii="Figtree" w:hAnsi="Figtree" w:eastAsia="Figtree"/>
          <w:sz w:val="22"/>
        </w:rPr>
        <w:t xml:space="preserve"> Weekly, during agreed off-peak hours (e.g., Friday 23:00-02:00 GST)</w:t>
      </w:r>
    </w:p>
    <w:p>
      <w:pPr>
        <w:pStyle w:val="List Paragraph"/>
      </w:pPr>
      <w:r>
        <w:rPr>
          <w:rFonts w:ascii="Figtree" w:hAnsi="Figtree" w:eastAsia="Figtree"/>
          <w:b/>
          <w:sz w:val="22"/>
        </w:rPr>
        <w:t xml:space="preserve">Emergency maintenance:</w:t>
      </w:r>
      <w:r>
        <w:rPr>
          <w:rFonts w:ascii="Figtree" w:hAnsi="Figtree" w:eastAsia="Figtree"/>
          <w:sz w:val="22"/>
        </w:rPr>
        <w:t xml:space="preserve"> As required with minimum 2-hour notice for critical security patches</w:t>
      </w:r>
    </w:p>
    <w:p>
      <w:pPr>
        <w:pStyle w:val="List Paragraph"/>
      </w:pPr>
      <w:r>
        <w:rPr>
          <w:rFonts w:ascii="Figtree" w:hAnsi="Figtree" w:eastAsia="Figtree"/>
          <w:b/>
          <w:sz w:val="22"/>
        </w:rPr>
        <w:t xml:space="preserve">Platform updates:</w:t>
      </w:r>
      <w:r>
        <w:rPr>
          <w:rFonts w:ascii="Figtree" w:hAnsi="Figtree" w:eastAsia="Figtree"/>
          <w:sz w:val="22"/>
        </w:rPr>
        <w:t xml:space="preserve"> Quarterly release cycles with staging environment validation before production deployment</w:t>
      </w:r>
    </w:p>
    <w:p>
      <w:pPr>
        <w:pStyle w:val="H3"/>
        <w:numPr>
          <w:ilvl w:val="2"/>
          <w:numId w:val="1"/>
        </w:numPr>
      </w:pPr>
      <w:r>
        <w:rPr/>
        <w:t xml:space="preserve">Platform Updates and Regulatory Change Management</w:t>
      </w:r>
    </w:p>
    <w:p>
      <w:pPr/>
      <w:r>
        <w:rPr>
          <w:rFonts w:ascii="Figtree" w:hAnsi="Figtree" w:eastAsia="Figtree"/>
          <w:sz w:val="22"/>
        </w:rPr>
        <w:t xml:space="preserve">SettleMint provides ongoing platform evolution:</w:t>
      </w:r>
    </w:p>
    <w:p>
      <w:pPr>
        <w:pStyle w:val="List Paragraph"/>
        <w:numPr>
          <w:ilvl w:val="0"/>
          <w:numId w:val="4"/>
        </w:numPr>
      </w:pPr>
      <w:r>
        <w:rPr>
          <w:rFonts w:ascii="Figtree" w:hAnsi="Figtree" w:eastAsia="Figtree"/>
          <w:sz w:val="22"/>
        </w:rPr>
        <w:t xml:space="preserve">Quarterly platform releases with new features, security patches, and performance improvements</w:t>
      </w:r>
    </w:p>
    <w:p>
      <w:pPr>
        <w:pStyle w:val="List Paragraph"/>
        <w:numPr>
          <w:ilvl w:val="0"/>
          <w:numId w:val="4"/>
        </w:numPr>
      </w:pPr>
      <w:r>
        <w:rPr>
          <w:rFonts w:ascii="Figtree" w:hAnsi="Figtree" w:eastAsia="Figtree"/>
          <w:sz w:val="22"/>
        </w:rPr>
        <w:t xml:space="preserve">Regulatory change impact assessments when UAE regulatory frameworks are updated</w:t>
      </w:r>
    </w:p>
    <w:p>
      <w:pPr>
        <w:pStyle w:val="List Paragraph"/>
        <w:numPr>
          <w:ilvl w:val="0"/>
          <w:numId w:val="4"/>
        </w:numPr>
      </w:pPr>
      <w:r>
        <w:rPr>
          <w:rFonts w:ascii="Figtree" w:hAnsi="Figtree" w:eastAsia="Figtree"/>
          <w:sz w:val="22"/>
        </w:rPr>
        <w:t xml:space="preserve">Compliance module updates to align with new regulatory requirements</w:t>
      </w:r>
    </w:p>
    <w:p>
      <w:pPr>
        <w:pStyle w:val="List Paragraph"/>
        <w:numPr>
          <w:ilvl w:val="0"/>
          <w:numId w:val="4"/>
        </w:numPr>
      </w:pPr>
      <w:r>
        <w:rPr>
          <w:rFonts w:ascii="Figtree" w:hAnsi="Figtree" w:eastAsia="Figtree"/>
          <w:sz w:val="22"/>
        </w:rPr>
        <w:t xml:space="preserve">Proactive security patching for identified vulnerabilities</w:t>
      </w:r>
    </w:p>
    <w:p>
      <w:pPr>
        <w:pStyle w:val="List Paragraph"/>
        <w:numPr>
          <w:ilvl w:val="0"/>
          <w:numId w:val="4"/>
        </w:numPr>
      </w:pPr>
      <w:r>
        <w:rPr>
          <w:rFonts w:ascii="Figtree" w:hAnsi="Figtree" w:eastAsia="Figtree"/>
          <w:sz w:val="22"/>
        </w:rPr>
        <w:t xml:space="preserve">Backward-compatible API versioning with documented deprecation windows</w:t>
      </w:r>
    </w:p>
    <w:p>
      <w:r>
        <w:br w:type="page"/>
      </w:r>
    </w:p>
    <w:p>
      <w:pPr>
        <w:pStyle w:val="H2"/>
        <w:numPr>
          <w:ilvl w:val="1"/>
          <w:numId w:val="1"/>
        </w:numPr>
      </w:pPr>
      <w:r>
        <w:rPr/>
        <w:t xml:space="preserve">13. Commercial Framework</w:t>
      </w:r>
    </w:p>
    <w:p>
      <w:pPr>
        <w:pStyle w:val="H3"/>
        <w:numPr>
          <w:ilvl w:val="2"/>
          <w:numId w:val="1"/>
        </w:numPr>
      </w:pPr>
      <w:r>
        <w:rPr/>
        <w:t xml:space="preserve">Platform Licensing</w:t>
      </w:r>
    </w:p>
    <w:p>
      <w:pPr/>
      <w:r>
        <w:rPr>
          <w:rFonts w:ascii="Figtree" w:hAnsi="Figtree" w:eastAsia="Figtree"/>
          <w:sz w:val="22"/>
        </w:rPr>
        <w:t xml:space="preserve">DALP platform licensing follows an AUM/volume tiered model:</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Tier</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AUM Range</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Description</w:t>
            </w:r>
          </w:p>
        </w:tc>
      </w:tr>
      <w:tr>
        <w:tc>
          <w:tcPr/>
          <w:p>
            <w:pPr>
              <w:spacing w:after="0" w:line="240" w:lineRule="auto"/>
              <w:rPr>
                <w:rFonts w:ascii="Figtree" w:hAnsi="Figtree" w:eastAsia="Figtree"/>
                <w:sz w:val="20"/>
              </w:rPr>
            </w:pPr>
            <w:r>
              <w:rPr>
                <w:rFonts w:ascii="Figtree" w:hAnsi="Figtree" w:eastAsia="Figtree"/>
                <w:sz w:val="20"/>
              </w:rPr>
              <w:t xml:space="preserve">Foundation</w:t>
            </w:r>
          </w:p>
        </w:tc>
        <w:tc>
          <w:tcPr/>
          <w:p>
            <w:pPr>
              <w:spacing w:after="0" w:line="240" w:lineRule="auto"/>
              <w:rPr>
                <w:rFonts w:ascii="Figtree" w:hAnsi="Figtree" w:eastAsia="Figtree"/>
                <w:sz w:val="20"/>
              </w:rPr>
            </w:pPr>
            <w:r>
              <w:rPr>
                <w:rFonts w:ascii="Figtree" w:hAnsi="Figtree" w:eastAsia="Figtree"/>
                <w:sz w:val="20"/>
              </w:rPr>
              <w:t xml:space="preserve">Up to $500M AUM</w:t>
            </w:r>
          </w:p>
        </w:tc>
        <w:tc>
          <w:tcPr/>
          <w:p>
            <w:pPr>
              <w:spacing w:after="0" w:line="240" w:lineRule="auto"/>
              <w:rPr>
                <w:rFonts w:ascii="Figtree" w:hAnsi="Figtree" w:eastAsia="Figtree"/>
                <w:sz w:val="20"/>
              </w:rPr>
            </w:pPr>
            <w:r>
              <w:rPr>
                <w:rFonts w:ascii="Figtree" w:hAnsi="Figtree" w:eastAsia="Figtree"/>
                <w:sz w:val="20"/>
              </w:rPr>
              <w:t xml:space="preserve">Core platform with up to 3 asset templates</w:t>
            </w:r>
          </w:p>
        </w:tc>
      </w:tr>
      <w:tr>
        <w:tc>
          <w:tcPr/>
          <w:p>
            <w:pPr>
              <w:spacing w:after="0" w:line="240" w:lineRule="auto"/>
              <w:rPr>
                <w:rFonts w:ascii="Figtree" w:hAnsi="Figtree" w:eastAsia="Figtree"/>
                <w:sz w:val="20"/>
              </w:rPr>
            </w:pPr>
            <w:r>
              <w:rPr>
                <w:rFonts w:ascii="Figtree" w:hAnsi="Figtree" w:eastAsia="Figtree"/>
                <w:sz w:val="20"/>
              </w:rPr>
              <w:t xml:space="preserve">Growth</w:t>
            </w:r>
          </w:p>
        </w:tc>
        <w:tc>
          <w:tcPr/>
          <w:p>
            <w:pPr>
              <w:spacing w:after="0" w:line="240" w:lineRule="auto"/>
              <w:rPr>
                <w:rFonts w:ascii="Figtree" w:hAnsi="Figtree" w:eastAsia="Figtree"/>
                <w:sz w:val="20"/>
              </w:rPr>
            </w:pPr>
            <w:r>
              <w:rPr>
                <w:rFonts w:ascii="Figtree" w:hAnsi="Figtree" w:eastAsia="Figtree"/>
                <w:sz w:val="20"/>
              </w:rPr>
              <w:t xml:space="preserve">$500M - $2B AUM</w:t>
            </w:r>
          </w:p>
        </w:tc>
        <w:tc>
          <w:tcPr/>
          <w:p>
            <w:pPr>
              <w:spacing w:after="0" w:line="240" w:lineRule="auto"/>
              <w:rPr>
                <w:rFonts w:ascii="Figtree" w:hAnsi="Figtree" w:eastAsia="Figtree"/>
                <w:sz w:val="20"/>
              </w:rPr>
            </w:pPr>
            <w:r>
              <w:rPr>
                <w:rFonts w:ascii="Figtree" w:hAnsi="Figtree" w:eastAsia="Figtree"/>
                <w:sz w:val="20"/>
              </w:rPr>
              <w:t xml:space="preserve">Full platform with all 7 asset templates and XvP settlement</w:t>
            </w:r>
          </w:p>
        </w:tc>
      </w:tr>
      <w:tr>
        <w:tc>
          <w:tcPr/>
          <w:p>
            <w:pPr>
              <w:spacing w:after="0" w:line="240" w:lineRule="auto"/>
              <w:rPr>
                <w:rFonts w:ascii="Figtree" w:hAnsi="Figtree" w:eastAsia="Figtree"/>
                <w:sz w:val="20"/>
              </w:rPr>
            </w:pPr>
            <w:r>
              <w:rPr>
                <w:rFonts w:ascii="Figtree" w:hAnsi="Figtree" w:eastAsia="Figtree"/>
                <w:sz w:val="20"/>
              </w:rPr>
              <w:t xml:space="preserve">Scale</w:t>
            </w:r>
          </w:p>
        </w:tc>
        <w:tc>
          <w:tcPr/>
          <w:p>
            <w:pPr>
              <w:spacing w:after="0" w:line="240" w:lineRule="auto"/>
              <w:rPr>
                <w:rFonts w:ascii="Figtree" w:hAnsi="Figtree" w:eastAsia="Figtree"/>
                <w:sz w:val="20"/>
              </w:rPr>
            </w:pPr>
            <w:r>
              <w:rPr>
                <w:rFonts w:ascii="Figtree" w:hAnsi="Figtree" w:eastAsia="Figtree"/>
                <w:sz w:val="20"/>
              </w:rPr>
              <w:t xml:space="preserve">$2B+ AUM</w:t>
            </w:r>
          </w:p>
        </w:tc>
        <w:tc>
          <w:tcPr/>
          <w:p>
            <w:pPr>
              <w:spacing w:after="0" w:line="240" w:lineRule="auto"/>
              <w:rPr>
                <w:rFonts w:ascii="Figtree" w:hAnsi="Figtree" w:eastAsia="Figtree"/>
                <w:sz w:val="20"/>
              </w:rPr>
            </w:pPr>
            <w:r>
              <w:rPr>
                <w:rFonts w:ascii="Figtree" w:hAnsi="Figtree" w:eastAsia="Figtree"/>
                <w:sz w:val="20"/>
              </w:rPr>
              <w:t xml:space="preserve">Full platform with multi-chain, cross-border, and advanced features</w:t>
            </w:r>
          </w:p>
        </w:tc>
      </w:tr>
    </w:tbl>
    <w:p>
      <w:pPr/>
      <w:r>
        <w:rPr>
          <w:rFonts w:ascii="Figtree" w:hAnsi="Figtree" w:eastAsia="Figtree"/>
          <w:sz w:val="22"/>
        </w:rPr>
        <w:t xml:space="preserve">Licensing is annual, covering the DALP platform, all standard updates, and access to new compliance modules and asset template enhancements released during the license period.</w:t>
      </w:r>
    </w:p>
    <w:p>
      <w:pPr>
        <w:pStyle w:val="H3"/>
        <w:numPr>
          <w:ilvl w:val="2"/>
          <w:numId w:val="1"/>
        </w:numPr>
      </w:pPr>
      <w:r>
        <w:rPr/>
        <w:t xml:space="preserve">Implementation Services</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Phase</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Scope</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Commercial Model</w:t>
            </w:r>
          </w:p>
        </w:tc>
      </w:tr>
      <w:tr>
        <w:tc>
          <w:tcPr/>
          <w:p>
            <w:pPr>
              <w:spacing w:after="0" w:line="240" w:lineRule="auto"/>
              <w:rPr>
                <w:rFonts w:ascii="Figtree" w:hAnsi="Figtree" w:eastAsia="Figtree"/>
                <w:sz w:val="20"/>
              </w:rPr>
            </w:pPr>
            <w:r>
              <w:rPr>
                <w:rFonts w:ascii="Figtree" w:hAnsi="Figtree" w:eastAsia="Figtree"/>
                <w:sz w:val="20"/>
              </w:rPr>
              <w:t xml:space="preserve">Phase 1</w:t>
            </w:r>
          </w:p>
        </w:tc>
        <w:tc>
          <w:tcPr/>
          <w:p>
            <w:pPr>
              <w:spacing w:after="0" w:line="240" w:lineRule="auto"/>
              <w:rPr>
                <w:rFonts w:ascii="Figtree" w:hAnsi="Figtree" w:eastAsia="Figtree"/>
                <w:sz w:val="20"/>
              </w:rPr>
            </w:pPr>
            <w:r>
              <w:rPr>
                <w:rFonts w:ascii="Figtree" w:hAnsi="Figtree" w:eastAsia="Figtree"/>
                <w:sz w:val="20"/>
              </w:rPr>
              <w:t xml:space="preserve">Foundation and Bond Lifecycle</w:t>
            </w:r>
          </w:p>
        </w:tc>
        <w:tc>
          <w:tcPr/>
          <w:p>
            <w:pPr>
              <w:spacing w:after="0" w:line="240" w:lineRule="auto"/>
              <w:rPr>
                <w:rFonts w:ascii="Figtree" w:hAnsi="Figtree" w:eastAsia="Figtree"/>
                <w:sz w:val="20"/>
              </w:rPr>
            </w:pPr>
            <w:r>
              <w:rPr>
                <w:rFonts w:ascii="Figtree" w:hAnsi="Figtree" w:eastAsia="Figtree"/>
                <w:sz w:val="20"/>
              </w:rPr>
              <w:t xml:space="preserve">Fixed fee</w:t>
            </w:r>
          </w:p>
        </w:tc>
      </w:tr>
      <w:tr>
        <w:tc>
          <w:tcPr/>
          <w:p>
            <w:pPr>
              <w:spacing w:after="0" w:line="240" w:lineRule="auto"/>
              <w:rPr>
                <w:rFonts w:ascii="Figtree" w:hAnsi="Figtree" w:eastAsia="Figtree"/>
                <w:sz w:val="20"/>
              </w:rPr>
            </w:pPr>
            <w:r>
              <w:rPr>
                <w:rFonts w:ascii="Figtree" w:hAnsi="Figtree" w:eastAsia="Figtree"/>
                <w:sz w:val="20"/>
              </w:rPr>
              <w:t xml:space="preserve">Phase 2</w:t>
            </w:r>
          </w:p>
        </w:tc>
        <w:tc>
          <w:tcPr/>
          <w:p>
            <w:pPr>
              <w:spacing w:after="0" w:line="240" w:lineRule="auto"/>
              <w:rPr>
                <w:rFonts w:ascii="Figtree" w:hAnsi="Figtree" w:eastAsia="Figtree"/>
                <w:sz w:val="20"/>
              </w:rPr>
            </w:pPr>
            <w:r>
              <w:rPr>
                <w:rFonts w:ascii="Figtree" w:hAnsi="Figtree" w:eastAsia="Figtree"/>
                <w:sz w:val="20"/>
              </w:rPr>
              <w:t xml:space="preserve">Multi-Asset Expansion</w:t>
            </w:r>
          </w:p>
        </w:tc>
        <w:tc>
          <w:tcPr/>
          <w:p>
            <w:pPr>
              <w:spacing w:after="0" w:line="240" w:lineRule="auto"/>
              <w:rPr>
                <w:rFonts w:ascii="Figtree" w:hAnsi="Figtree" w:eastAsia="Figtree"/>
                <w:sz w:val="20"/>
              </w:rPr>
            </w:pPr>
            <w:r>
              <w:rPr>
                <w:rFonts w:ascii="Figtree" w:hAnsi="Figtree" w:eastAsia="Figtree"/>
                <w:sz w:val="20"/>
              </w:rPr>
              <w:t xml:space="preserve">Fixed fee</w:t>
            </w:r>
          </w:p>
        </w:tc>
      </w:tr>
      <w:tr>
        <w:tc>
          <w:tcPr/>
          <w:p>
            <w:pPr>
              <w:spacing w:after="0" w:line="240" w:lineRule="auto"/>
              <w:rPr>
                <w:rFonts w:ascii="Figtree" w:hAnsi="Figtree" w:eastAsia="Figtree"/>
                <w:sz w:val="20"/>
              </w:rPr>
            </w:pPr>
            <w:r>
              <w:rPr>
                <w:rFonts w:ascii="Figtree" w:hAnsi="Figtree" w:eastAsia="Figtree"/>
                <w:sz w:val="20"/>
              </w:rPr>
              <w:t xml:space="preserve">Phase 3</w:t>
            </w:r>
          </w:p>
        </w:tc>
        <w:tc>
          <w:tcPr/>
          <w:p>
            <w:pPr>
              <w:spacing w:after="0" w:line="240" w:lineRule="auto"/>
              <w:rPr>
                <w:rFonts w:ascii="Figtree" w:hAnsi="Figtree" w:eastAsia="Figtree"/>
                <w:sz w:val="20"/>
              </w:rPr>
            </w:pPr>
            <w:r>
              <w:rPr>
                <w:rFonts w:ascii="Figtree" w:hAnsi="Figtree" w:eastAsia="Figtree"/>
                <w:sz w:val="20"/>
              </w:rPr>
              <w:t xml:space="preserve">Advanced Settlement and Cross-Border</w:t>
            </w:r>
          </w:p>
        </w:tc>
        <w:tc>
          <w:tcPr/>
          <w:p>
            <w:pPr>
              <w:spacing w:after="0" w:line="240" w:lineRule="auto"/>
              <w:rPr>
                <w:rFonts w:ascii="Figtree" w:hAnsi="Figtree" w:eastAsia="Figtree"/>
                <w:sz w:val="20"/>
              </w:rPr>
            </w:pPr>
            <w:r>
              <w:rPr>
                <w:rFonts w:ascii="Figtree" w:hAnsi="Figtree" w:eastAsia="Figtree"/>
                <w:sz w:val="20"/>
              </w:rPr>
              <w:t xml:space="preserve">Fixed fee</w:t>
            </w:r>
          </w:p>
        </w:tc>
      </w:tr>
    </w:tbl>
    <w:p>
      <w:pPr/>
      <w:r>
        <w:rPr>
          <w:rFonts w:ascii="Figtree" w:hAnsi="Figtree" w:eastAsia="Figtree"/>
          <w:sz w:val="22"/>
        </w:rPr>
        <w:t xml:space="preserve">Fixed-fee phases provide cost certainty for Mashreq Bank. Each phase has defined deliverables and acceptance criteria.</w:t>
      </w:r>
    </w:p>
    <w:p>
      <w:pPr>
        <w:pStyle w:val="H3"/>
        <w:numPr>
          <w:ilvl w:val="2"/>
          <w:numId w:val="1"/>
        </w:numPr>
      </w:pPr>
      <w:r>
        <w:rPr/>
        <w:t xml:space="preserve">Annual Support</w:t>
      </w:r>
    </w:p>
    <w:p>
      <w:pPr/>
      <w:r>
        <w:rPr>
          <w:rFonts w:ascii="Figtree" w:hAnsi="Figtree" w:eastAsia="Figtree"/>
          <w:sz w:val="22"/>
        </w:rPr>
        <w:t xml:space="preserve">Annual support covers:</w:t>
      </w:r>
    </w:p>
    <w:p>
      <w:pPr>
        <w:pStyle w:val="List Paragraph"/>
        <w:numPr>
          <w:ilvl w:val="0"/>
          <w:numId w:val="4"/>
        </w:numPr>
      </w:pPr>
      <w:r>
        <w:rPr>
          <w:rFonts w:ascii="Figtree" w:hAnsi="Figtree" w:eastAsia="Figtree"/>
          <w:sz w:val="22"/>
        </w:rPr>
        <w:t xml:space="preserve">24/7 Severity 1 incident response</w:t>
      </w:r>
    </w:p>
    <w:p>
      <w:pPr>
        <w:pStyle w:val="List Paragraph"/>
        <w:numPr>
          <w:ilvl w:val="0"/>
          <w:numId w:val="4"/>
        </w:numPr>
      </w:pPr>
      <w:r>
        <w:rPr>
          <w:rFonts w:ascii="Figtree" w:hAnsi="Figtree" w:eastAsia="Figtree"/>
          <w:sz w:val="22"/>
        </w:rPr>
        <w:t xml:space="preserve">Business hours Severity 2-4 support</w:t>
      </w:r>
    </w:p>
    <w:p>
      <w:pPr>
        <w:pStyle w:val="List Paragraph"/>
        <w:numPr>
          <w:ilvl w:val="0"/>
          <w:numId w:val="4"/>
        </w:numPr>
      </w:pPr>
      <w:r>
        <w:rPr>
          <w:rFonts w:ascii="Figtree" w:hAnsi="Figtree" w:eastAsia="Figtree"/>
          <w:sz w:val="22"/>
        </w:rPr>
        <w:t xml:space="preserve">Quarterly platform updates</w:t>
      </w:r>
    </w:p>
    <w:p>
      <w:pPr>
        <w:pStyle w:val="List Paragraph"/>
        <w:numPr>
          <w:ilvl w:val="0"/>
          <w:numId w:val="4"/>
        </w:numPr>
      </w:pPr>
      <w:r>
        <w:rPr>
          <w:rFonts w:ascii="Figtree" w:hAnsi="Figtree" w:eastAsia="Figtree"/>
          <w:sz w:val="22"/>
        </w:rPr>
        <w:t xml:space="preserve">Regulatory change management</w:t>
      </w:r>
    </w:p>
    <w:p>
      <w:pPr>
        <w:pStyle w:val="List Paragraph"/>
        <w:numPr>
          <w:ilvl w:val="0"/>
          <w:numId w:val="4"/>
        </w:numPr>
      </w:pPr>
      <w:r>
        <w:rPr>
          <w:rFonts w:ascii="Figtree" w:hAnsi="Figtree" w:eastAsia="Figtree"/>
          <w:sz w:val="22"/>
        </w:rPr>
        <w:t xml:space="preserve">Dedicated customer success manager</w:t>
      </w:r>
    </w:p>
    <w:p>
      <w:pPr>
        <w:pStyle w:val="H3"/>
        <w:numPr>
          <w:ilvl w:val="2"/>
          <w:numId w:val="1"/>
        </w:numPr>
      </w:pPr>
      <w:r>
        <w:rPr/>
        <w:t xml:space="preserve">Commercial Principles</w:t>
      </w:r>
    </w:p>
    <w:p>
      <w:pPr>
        <w:pStyle w:val="List Paragraph"/>
      </w:pPr>
      <w:r>
        <w:rPr>
          <w:rFonts w:ascii="Figtree" w:hAnsi="Figtree" w:eastAsia="Figtree"/>
          <w:b/>
          <w:sz w:val="22"/>
        </w:rPr>
        <w:t xml:space="preserve">No vendor lock-in:</w:t>
      </w:r>
      <w:r>
        <w:rPr>
          <w:rFonts w:ascii="Figtree" w:hAnsi="Figtree" w:eastAsia="Figtree"/>
          <w:sz w:val="22"/>
        </w:rPr>
        <w:t xml:space="preserve"> DALP uses open standards (ERC-3643, EVM, ISO 20022). Mashreq Bank retains full ownership of deployed smart contracts and on-chain data.</w:t>
      </w:r>
    </w:p>
    <w:p>
      <w:pPr>
        <w:pStyle w:val="List Paragraph"/>
      </w:pPr>
      <w:r>
        <w:rPr>
          <w:rFonts w:ascii="Figtree" w:hAnsi="Figtree" w:eastAsia="Figtree"/>
          <w:b/>
          <w:sz w:val="22"/>
        </w:rPr>
        <w:t xml:space="preserve">Transparent pricing:</w:t>
      </w:r>
      <w:r>
        <w:rPr>
          <w:rFonts w:ascii="Figtree" w:hAnsi="Figtree" w:eastAsia="Figtree"/>
          <w:sz w:val="22"/>
        </w:rPr>
        <w:t xml:space="preserve"> No hidden fees for compliance module activation, user counts, or transaction volumes within the licensed tier.</w:t>
      </w:r>
    </w:p>
    <w:p>
      <w:pPr>
        <w:pStyle w:val="List Paragraph"/>
      </w:pPr>
      <w:r>
        <w:rPr>
          <w:rFonts w:ascii="Figtree" w:hAnsi="Figtree" w:eastAsia="Figtree"/>
          <w:b/>
          <w:sz w:val="22"/>
        </w:rPr>
        <w:t xml:space="preserve">Flexible scaling:</w:t>
      </w:r>
      <w:r>
        <w:rPr>
          <w:rFonts w:ascii="Figtree" w:hAnsi="Figtree" w:eastAsia="Figtree"/>
          <w:sz w:val="22"/>
        </w:rPr>
        <w:t xml:space="preserve"> Upgrade between tiers as AUM grows without re-implementation.</w:t>
      </w:r>
    </w:p>
    <w:p>
      <w:pPr>
        <w:pStyle w:val="List Paragraph"/>
      </w:pPr>
      <w:r>
        <w:rPr>
          <w:rFonts w:ascii="Figtree" w:hAnsi="Figtree" w:eastAsia="Figtree"/>
          <w:b/>
          <w:sz w:val="22"/>
        </w:rPr>
        <w:t xml:space="preserve">Data ownership:</w:t>
      </w:r>
      <w:r>
        <w:rPr>
          <w:rFonts w:ascii="Figtree" w:hAnsi="Figtree" w:eastAsia="Figtree"/>
          <w:sz w:val="22"/>
        </w:rPr>
        <w:t xml:space="preserve"> All data generated on Mashreq Bank's infrastructure belongs to Mashreq Bank.</w:t>
      </w:r>
    </w:p>
    <w:p>
      <w:r>
        <w:br w:type="page"/>
      </w:r>
    </w:p>
    <w:p>
      <w:pPr>
        <w:pStyle w:val="H2"/>
        <w:numPr>
          <w:ilvl w:val="1"/>
          <w:numId w:val="1"/>
        </w:numPr>
      </w:pPr>
      <w:r>
        <w:rPr/>
        <w:t xml:space="preserve">14. Why SettleMint</w:t>
      </w:r>
    </w:p>
    <w:p>
      <w:pPr>
        <w:pStyle w:val="H3"/>
        <w:numPr>
          <w:ilvl w:val="2"/>
          <w:numId w:val="1"/>
        </w:numPr>
      </w:pPr>
      <w:r>
        <w:rPr/>
        <w:t xml:space="preserve">Summary of Key Advantages</w:t>
      </w:r>
    </w:p>
    <w:p>
      <w:pPr/>
      <w:r>
        <w:rPr>
          <w:rFonts w:ascii="Figtree" w:hAnsi="Figtree" w:eastAsia="Figtree"/>
          <w:b/>
          <w:sz w:val="22"/>
        </w:rPr>
        <w:t xml:space="preserve">1. The only complete digital asset lifecycle platform designed for regulated institutions</w:t>
      </w:r>
    </w:p>
    <w:p>
      <w:pPr/>
      <w:r>
        <w:rPr>
          <w:rFonts w:ascii="Figtree" w:hAnsi="Figtree" w:eastAsia="Figtree"/>
          <w:sz w:val="22"/>
        </w:rPr>
        <w:t xml:space="preserve">DALP covers issuance, compliance, custody, settlement, and servicing in a single platform. No other vendor offers the combination of multi-asset lifecycle automation, ex-ante compliance enforcement, atomic settlement, institutional custody integration, and multi-jurisdiction compliance coverage in one integrated system.</w:t>
      </w:r>
    </w:p>
    <w:p>
      <w:pPr/>
      <w:r>
        <w:rPr>
          <w:rFonts w:ascii="Figtree" w:hAnsi="Figtree" w:eastAsia="Figtree"/>
          <w:b/>
          <w:sz w:val="22"/>
        </w:rPr>
        <w:t xml:space="preserve">2. Nearly a decade of institutional blockchain delivery</w:t>
      </w:r>
    </w:p>
    <w:p>
      <w:pPr/>
      <w:r>
        <w:rPr>
          <w:rFonts w:ascii="Figtree" w:hAnsi="Figtree" w:eastAsia="Figtree"/>
          <w:sz w:val="22"/>
        </w:rPr>
        <w:t xml:space="preserve">SettleMint has been building blockchain infrastructure for regulated institutions since 2016. This is not a startup pivoting to tokenization; it is a company that has spent its entire existence solving the specific challenges of operating digital assets in regulated environments.</w:t>
      </w:r>
    </w:p>
    <w:p>
      <w:pPr/>
      <w:r>
        <w:rPr>
          <w:rFonts w:ascii="Figtree" w:hAnsi="Figtree" w:eastAsia="Figtree"/>
          <w:b/>
          <w:sz w:val="22"/>
        </w:rPr>
        <w:t xml:space="preserve">3. Production-proven at bank and sovereign scale</w:t>
      </w:r>
    </w:p>
    <w:p>
      <w:pPr/>
      <w:r>
        <w:rPr>
          <w:rFonts w:ascii="Figtree" w:hAnsi="Figtree" w:eastAsia="Figtree"/>
          <w:sz w:val="22"/>
        </w:rPr>
        <w:t xml:space="preserve">Multi-year continuous production deployments with regulated banks and sovereign entities demonstrate operational maturity in compliance-heavy environments. DALP is the product of sustained iteration with regulated clients, not a theoretical architecture.</w:t>
      </w:r>
    </w:p>
    <w:p>
      <w:pPr/>
      <w:r>
        <w:rPr>
          <w:rFonts w:ascii="Figtree" w:hAnsi="Figtree" w:eastAsia="Figtree"/>
          <w:b/>
          <w:sz w:val="22"/>
        </w:rPr>
        <w:t xml:space="preserve">4. MENA presence and UAE regulatory expertise</w:t>
      </w:r>
    </w:p>
    <w:p>
      <w:pPr/>
      <w:r>
        <w:rPr>
          <w:rFonts w:ascii="Figtree" w:hAnsi="Figtree" w:eastAsia="Figtree"/>
          <w:sz w:val="22"/>
        </w:rPr>
        <w:t xml:space="preserve">Active sovereign-scale programs in the Middle East, deep familiarity with CBUAE, VARA, DFSA, and SCA requirements, and deployment experience within GCC regulatory frameworks make SettleMint uniquely positioned to support Mashreq Bank's specific regulatory context.</w:t>
      </w:r>
    </w:p>
    <w:p>
      <w:pPr/>
      <w:r>
        <w:rPr>
          <w:rFonts w:ascii="Figtree" w:hAnsi="Figtree" w:eastAsia="Figtree"/>
          <w:b/>
          <w:sz w:val="22"/>
        </w:rPr>
        <w:t xml:space="preserve">5. ERC-3643: The open standard for regulated tokens</w:t>
      </w:r>
    </w:p>
    <w:p>
      <w:pPr/>
      <w:r>
        <w:rPr>
          <w:rFonts w:ascii="Figtree" w:hAnsi="Figtree" w:eastAsia="Figtree"/>
          <w:sz w:val="22"/>
        </w:rPr>
        <w:t xml:space="preserve">DALP implements ERC-3643 natively, not a proprietary token standard. This means Mashreq Bank's digital assets are interoperable with any other system that supports ERC-3643, avoiding vendor lock-in at the token standard level.</w:t>
      </w:r>
    </w:p>
    <w:p>
      <w:pPr/>
      <w:r>
        <w:rPr>
          <w:rFonts w:ascii="Figtree" w:hAnsi="Figtree" w:eastAsia="Figtree"/>
          <w:b/>
          <w:sz w:val="22"/>
        </w:rPr>
        <w:t xml:space="preserve">6. Deployment flexibility under Mashreq Bank's control</w:t>
      </w:r>
    </w:p>
    <w:p>
      <w:pPr/>
      <w:r>
        <w:rPr>
          <w:rFonts w:ascii="Figtree" w:hAnsi="Figtree" w:eastAsia="Figtree"/>
          <w:sz w:val="22"/>
        </w:rPr>
        <w:t xml:space="preserve">On-premises deployment in UAE data centers, bring-your-own-custodian integration, and support for both private and public EVM networks give Mashreq Bank full architectural control.</w:t>
      </w:r>
    </w:p>
    <w:p>
      <w:pPr>
        <w:pStyle w:val="H3"/>
        <w:numPr>
          <w:ilvl w:val="2"/>
          <w:numId w:val="1"/>
        </w:numPr>
      </w:pPr>
      <w:r>
        <w:rPr/>
        <w:t xml:space="preserve">Reference Experience Relevant to Mashreq</w:t>
      </w:r>
    </w:p>
    <w:p>
      <w:pPr>
        <w:pStyle w:val="List Paragraph"/>
      </w:pPr>
      <w:r>
        <w:rPr>
          <w:rFonts w:ascii="Figtree" w:hAnsi="Figtree" w:eastAsia="Figtree"/>
          <w:b/>
          <w:sz w:val="22"/>
        </w:rPr>
        <w:t xml:space="preserve">Regulated bank deployments:</w:t>
      </w:r>
      <w:r>
        <w:rPr>
          <w:rFonts w:ascii="Figtree" w:hAnsi="Figtree" w:eastAsia="Figtree"/>
          <w:sz w:val="22"/>
        </w:rPr>
        <w:t xml:space="preserve"> Multi-year production deployments with tier-1 and tier-2 banks across Asia, Europe, and MENA, demonstrating the operational maturity Mashreq Bank requires</w:t>
      </w:r>
    </w:p>
    <w:p>
      <w:pPr>
        <w:pStyle w:val="List Paragraph"/>
      </w:pPr>
      <w:r>
        <w:rPr>
          <w:rFonts w:ascii="Figtree" w:hAnsi="Figtree" w:eastAsia="Figtree"/>
          <w:b/>
          <w:sz w:val="22"/>
        </w:rPr>
        <w:t xml:space="preserve">Bond lifecycle programs:</w:t>
      </w:r>
      <w:r>
        <w:rPr>
          <w:rFonts w:ascii="Figtree" w:hAnsi="Figtree" w:eastAsia="Figtree"/>
          <w:sz w:val="22"/>
        </w:rPr>
        <w:t xml:space="preserve"> Live bond issuance and lifecycle management, including fractionalization, automated coupon processing, and secondary market settlement</w:t>
      </w:r>
    </w:p>
    <w:p>
      <w:pPr>
        <w:pStyle w:val="List Paragraph"/>
      </w:pPr>
      <w:r>
        <w:rPr>
          <w:rFonts w:ascii="Figtree" w:hAnsi="Figtree" w:eastAsia="Figtree"/>
          <w:b/>
          <w:sz w:val="22"/>
        </w:rPr>
        <w:t xml:space="preserve">Sovereign-scale programs:</w:t>
      </w:r>
      <w:r>
        <w:rPr>
          <w:rFonts w:ascii="Figtree" w:hAnsi="Figtree" w:eastAsia="Figtree"/>
          <w:sz w:val="22"/>
        </w:rPr>
        <w:t xml:space="preserve"> National real estate tokenization and sovereign-backed digital asset infrastructure in the Middle East, proving DALP operates at country scale under regulatory scrutiny</w:t>
      </w:r>
    </w:p>
    <w:p>
      <w:pPr>
        <w:pStyle w:val="List Paragraph"/>
      </w:pPr>
      <w:r>
        <w:rPr>
          <w:rFonts w:ascii="Figtree" w:hAnsi="Figtree" w:eastAsia="Figtree"/>
          <w:b/>
          <w:sz w:val="22"/>
        </w:rPr>
        <w:t xml:space="preserve">UAE/GCC regulatory alignment:</w:t>
      </w:r>
      <w:r>
        <w:rPr>
          <w:rFonts w:ascii="Figtree" w:hAnsi="Figtree" w:eastAsia="Figtree"/>
          <w:sz w:val="22"/>
        </w:rPr>
        <w:t xml:space="preserve"> Practical experience implementing compliance frameworks aligned with Gulf regulatory requirements, data residency standards, and Islamic finance structures</w:t>
      </w:r>
    </w:p>
    <w:p>
      <w:pPr>
        <w:pStyle w:val="H3"/>
        <w:numPr>
          <w:ilvl w:val="2"/>
          <w:numId w:val="1"/>
        </w:numPr>
      </w:pPr>
      <w:r>
        <w:rPr/>
        <w:t xml:space="preserve">Commitment</w:t>
      </w:r>
    </w:p>
    <w:p>
      <w:pPr/>
      <w:r>
        <w:rPr>
          <w:rFonts w:ascii="Figtree" w:hAnsi="Figtree" w:eastAsia="Figtree"/>
          <w:sz w:val="22"/>
        </w:rPr>
        <w:t xml:space="preserve">SettleMint is committed to making Mashreq Bank's digital asset platform a reference deployment in the Middle East. We bring the technology, the regulatory expertise, the delivery capability, and the long-term partnership approach that institutional-scale digital asset operations demand.</w:t>
      </w:r>
    </w:p>
    <w:p>
      <w:pPr/>
      <w:r>
        <w:rPr>
          <w:rFonts w:ascii="Figtree" w:hAnsi="Figtree" w:eastAsia="Figtree"/>
          <w:sz w:val="22"/>
        </w:rPr>
        <w:t xml:space="preserve">We look forward to the opportunity to discuss this proposal in detail and demonstrate DALP's capabilities to Mashreq Bank's technical, compliance, and business teams.</w:t>
      </w:r>
    </w:p>
    <w:p>
      <w:r>
        <w:br w:type="page"/>
      </w:r>
    </w:p>
    <w:p>
      <w:pPr>
        <w:pStyle w:val="H2"/>
        <w:numPr>
          <w:ilvl w:val="1"/>
          <w:numId w:val="1"/>
        </w:numPr>
      </w:pPr>
      <w:r>
        <w:rPr/>
        <w:t xml:space="preserve">Appendices</w:t>
      </w:r>
    </w:p>
    <w:p>
      <w:pPr>
        <w:pStyle w:val="H3"/>
        <w:numPr>
          <w:ilvl w:val="2"/>
          <w:numId w:val="1"/>
        </w:numPr>
      </w:pPr>
      <w:r>
        <w:rPr/>
        <w:t xml:space="preserve">Appendix A: Technical Specifications</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Specification</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Detail</w:t>
            </w:r>
          </w:p>
        </w:tc>
      </w:tr>
      <w:tr>
        <w:tc>
          <w:tcPr/>
          <w:p>
            <w:pPr>
              <w:spacing w:after="0" w:line="240" w:lineRule="auto"/>
              <w:rPr>
                <w:rFonts w:ascii="Figtree" w:hAnsi="Figtree" w:eastAsia="Figtree"/>
                <w:sz w:val="20"/>
              </w:rPr>
            </w:pPr>
            <w:r>
              <w:rPr>
                <w:rFonts w:ascii="Figtree" w:hAnsi="Figtree" w:eastAsia="Figtree"/>
                <w:sz w:val="20"/>
              </w:rPr>
              <w:t xml:space="preserve">Blockchain compatibility</w:t>
            </w:r>
          </w:p>
        </w:tc>
        <w:tc>
          <w:tcPr/>
          <w:p>
            <w:pPr>
              <w:spacing w:after="0" w:line="240" w:lineRule="auto"/>
              <w:rPr>
                <w:rFonts w:ascii="Figtree" w:hAnsi="Figtree" w:eastAsia="Figtree"/>
                <w:sz w:val="20"/>
              </w:rPr>
            </w:pPr>
            <w:r>
              <w:rPr>
                <w:rFonts w:ascii="Figtree" w:hAnsi="Figtree" w:eastAsia="Figtree"/>
                <w:sz w:val="20"/>
              </w:rPr>
              <w:t xml:space="preserve">Any EVM-compatible network (Ethereum JSON-RPC)</w:t>
            </w:r>
          </w:p>
        </w:tc>
      </w:tr>
      <w:tr>
        <w:tc>
          <w:tcPr/>
          <w:p>
            <w:pPr>
              <w:spacing w:after="0" w:line="240" w:lineRule="auto"/>
              <w:rPr>
                <w:rFonts w:ascii="Figtree" w:hAnsi="Figtree" w:eastAsia="Figtree"/>
                <w:sz w:val="20"/>
              </w:rPr>
            </w:pPr>
            <w:r>
              <w:rPr>
                <w:rFonts w:ascii="Figtree" w:hAnsi="Figtree" w:eastAsia="Figtree"/>
                <w:sz w:val="20"/>
              </w:rPr>
              <w:t xml:space="preserve">Recommended consensus</w:t>
            </w:r>
          </w:p>
        </w:tc>
        <w:tc>
          <w:tcPr/>
          <w:p>
            <w:pPr>
              <w:spacing w:after="0" w:line="240" w:lineRule="auto"/>
              <w:rPr>
                <w:rFonts w:ascii="Figtree" w:hAnsi="Figtree" w:eastAsia="Figtree"/>
                <w:sz w:val="20"/>
              </w:rPr>
            </w:pPr>
            <w:r>
              <w:rPr>
                <w:rFonts w:ascii="Figtree" w:hAnsi="Figtree" w:eastAsia="Figtree"/>
                <w:sz w:val="20"/>
              </w:rPr>
              <w:t xml:space="preserve">QBFT (Hyperledger Besu) for private networks</w:t>
            </w:r>
          </w:p>
        </w:tc>
      </w:tr>
      <w:tr>
        <w:tc>
          <w:tcPr/>
          <w:p>
            <w:pPr>
              <w:spacing w:after="0" w:line="240" w:lineRule="auto"/>
              <w:rPr>
                <w:rFonts w:ascii="Figtree" w:hAnsi="Figtree" w:eastAsia="Figtree"/>
                <w:sz w:val="20"/>
              </w:rPr>
            </w:pPr>
            <w:r>
              <w:rPr>
                <w:rFonts w:ascii="Figtree" w:hAnsi="Figtree" w:eastAsia="Figtree"/>
                <w:sz w:val="20"/>
              </w:rPr>
              <w:t xml:space="preserve">Token standard</w:t>
            </w:r>
          </w:p>
        </w:tc>
        <w:tc>
          <w:tcPr/>
          <w:p>
            <w:pPr>
              <w:spacing w:after="0" w:line="240" w:lineRule="auto"/>
              <w:rPr>
                <w:rFonts w:ascii="Figtree" w:hAnsi="Figtree" w:eastAsia="Figtree"/>
                <w:sz w:val="20"/>
              </w:rPr>
            </w:pPr>
            <w:r>
              <w:rPr>
                <w:rFonts w:ascii="Figtree" w:hAnsi="Figtree" w:eastAsia="Figtree"/>
                <w:sz w:val="20"/>
              </w:rPr>
              <w:t xml:space="preserve">ERC-3643 (T-REX) with SMART Protocol extensions</w:t>
            </w:r>
          </w:p>
        </w:tc>
      </w:tr>
      <w:tr>
        <w:tc>
          <w:tcPr/>
          <w:p>
            <w:pPr>
              <w:spacing w:after="0" w:line="240" w:lineRule="auto"/>
              <w:rPr>
                <w:rFonts w:ascii="Figtree" w:hAnsi="Figtree" w:eastAsia="Figtree"/>
                <w:sz w:val="20"/>
              </w:rPr>
            </w:pPr>
            <w:r>
              <w:rPr>
                <w:rFonts w:ascii="Figtree" w:hAnsi="Figtree" w:eastAsia="Figtree"/>
                <w:sz w:val="20"/>
              </w:rPr>
              <w:t xml:space="preserve">Identity standard</w:t>
            </w:r>
          </w:p>
        </w:tc>
        <w:tc>
          <w:tcPr/>
          <w:p>
            <w:pPr>
              <w:spacing w:after="0" w:line="240" w:lineRule="auto"/>
              <w:rPr>
                <w:rFonts w:ascii="Figtree" w:hAnsi="Figtree" w:eastAsia="Figtree"/>
                <w:sz w:val="20"/>
              </w:rPr>
            </w:pPr>
            <w:r>
              <w:rPr>
                <w:rFonts w:ascii="Figtree" w:hAnsi="Figtree" w:eastAsia="Figtree"/>
                <w:sz w:val="20"/>
              </w:rPr>
              <w:t xml:space="preserve">OnchainID with claim-based verification</w:t>
            </w:r>
          </w:p>
        </w:tc>
      </w:tr>
      <w:tr>
        <w:tc>
          <w:tcPr/>
          <w:p>
            <w:pPr>
              <w:spacing w:after="0" w:line="240" w:lineRule="auto"/>
              <w:rPr>
                <w:rFonts w:ascii="Figtree" w:hAnsi="Figtree" w:eastAsia="Figtree"/>
                <w:sz w:val="20"/>
              </w:rPr>
            </w:pPr>
            <w:r>
              <w:rPr>
                <w:rFonts w:ascii="Figtree" w:hAnsi="Figtree" w:eastAsia="Figtree"/>
                <w:sz w:val="20"/>
              </w:rPr>
              <w:t xml:space="preserve">Compliance modules</w:t>
            </w:r>
          </w:p>
        </w:tc>
        <w:tc>
          <w:tcPr/>
          <w:p>
            <w:pPr>
              <w:spacing w:after="0" w:line="240" w:lineRule="auto"/>
              <w:rPr>
                <w:rFonts w:ascii="Figtree" w:hAnsi="Figtree" w:eastAsia="Figtree"/>
                <w:sz w:val="20"/>
              </w:rPr>
            </w:pPr>
            <w:r>
              <w:rPr>
                <w:rFonts w:ascii="Figtree" w:hAnsi="Figtree" w:eastAsia="Figtree"/>
                <w:sz w:val="20"/>
              </w:rPr>
              <w:t xml:space="preserve">18 types across 6 categories</w:t>
            </w:r>
          </w:p>
        </w:tc>
      </w:tr>
      <w:tr>
        <w:tc>
          <w:tcPr/>
          <w:p>
            <w:pPr>
              <w:spacing w:after="0" w:line="240" w:lineRule="auto"/>
              <w:rPr>
                <w:rFonts w:ascii="Figtree" w:hAnsi="Figtree" w:eastAsia="Figtree"/>
                <w:sz w:val="20"/>
              </w:rPr>
            </w:pPr>
            <w:r>
              <w:rPr>
                <w:rFonts w:ascii="Figtree" w:hAnsi="Figtree" w:eastAsia="Figtree"/>
                <w:sz w:val="20"/>
              </w:rPr>
              <w:t xml:space="preserve">Asset templates</w:t>
            </w:r>
          </w:p>
        </w:tc>
        <w:tc>
          <w:tcPr/>
          <w:p>
            <w:pPr>
              <w:spacing w:after="0" w:line="240" w:lineRule="auto"/>
              <w:rPr>
                <w:rFonts w:ascii="Figtree" w:hAnsi="Figtree" w:eastAsia="Figtree"/>
                <w:sz w:val="20"/>
              </w:rPr>
            </w:pPr>
            <w:r>
              <w:rPr>
                <w:rFonts w:ascii="Figtree" w:hAnsi="Figtree" w:eastAsia="Figtree"/>
                <w:sz w:val="20"/>
              </w:rPr>
              <w:t xml:space="preserve">7 pre-built + configurable token</w:t>
            </w:r>
          </w:p>
        </w:tc>
      </w:tr>
      <w:tr>
        <w:tc>
          <w:tcPr/>
          <w:p>
            <w:pPr>
              <w:spacing w:after="0" w:line="240" w:lineRule="auto"/>
              <w:rPr>
                <w:rFonts w:ascii="Figtree" w:hAnsi="Figtree" w:eastAsia="Figtree"/>
                <w:sz w:val="20"/>
              </w:rPr>
            </w:pPr>
            <w:r>
              <w:rPr>
                <w:rFonts w:ascii="Figtree" w:hAnsi="Figtree" w:eastAsia="Figtree"/>
                <w:sz w:val="20"/>
              </w:rPr>
              <w:t xml:space="preserve">Custody providers</w:t>
            </w:r>
          </w:p>
        </w:tc>
        <w:tc>
          <w:tcPr/>
          <w:p>
            <w:pPr>
              <w:spacing w:after="0" w:line="240" w:lineRule="auto"/>
              <w:rPr>
                <w:rFonts w:ascii="Figtree" w:hAnsi="Figtree" w:eastAsia="Figtree"/>
                <w:sz w:val="20"/>
              </w:rPr>
            </w:pPr>
            <w:r>
              <w:rPr>
                <w:rFonts w:ascii="Figtree" w:hAnsi="Figtree" w:eastAsia="Figtree"/>
                <w:sz w:val="20"/>
              </w:rPr>
              <w:t xml:space="preserve">DFNS, Fireblocks, local HSM, cloud KMS</w:t>
            </w:r>
          </w:p>
        </w:tc>
      </w:tr>
      <w:tr>
        <w:tc>
          <w:tcPr/>
          <w:p>
            <w:pPr>
              <w:spacing w:after="0" w:line="240" w:lineRule="auto"/>
              <w:rPr>
                <w:rFonts w:ascii="Figtree" w:hAnsi="Figtree" w:eastAsia="Figtree"/>
                <w:sz w:val="20"/>
              </w:rPr>
            </w:pPr>
            <w:r>
              <w:rPr>
                <w:rFonts w:ascii="Figtree" w:hAnsi="Figtree" w:eastAsia="Figtree"/>
                <w:sz w:val="20"/>
              </w:rPr>
              <w:t xml:space="preserve">API protocols</w:t>
            </w:r>
          </w:p>
        </w:tc>
        <w:tc>
          <w:tcPr/>
          <w:p>
            <w:pPr>
              <w:spacing w:after="0" w:line="240" w:lineRule="auto"/>
              <w:rPr>
                <w:rFonts w:ascii="Figtree" w:hAnsi="Figtree" w:eastAsia="Figtree"/>
                <w:sz w:val="20"/>
              </w:rPr>
            </w:pPr>
            <w:r>
              <w:rPr>
                <w:rFonts w:ascii="Figtree" w:hAnsi="Figtree" w:eastAsia="Figtree"/>
                <w:sz w:val="20"/>
              </w:rPr>
              <w:t xml:space="preserve">oRPC, REST (v2), GraphQL, webhooks, CLI</w:t>
            </w:r>
          </w:p>
        </w:tc>
      </w:tr>
      <w:tr>
        <w:tc>
          <w:tcPr/>
          <w:p>
            <w:pPr>
              <w:spacing w:after="0" w:line="240" w:lineRule="auto"/>
              <w:rPr>
                <w:rFonts w:ascii="Figtree" w:hAnsi="Figtree" w:eastAsia="Figtree"/>
                <w:sz w:val="20"/>
              </w:rPr>
            </w:pPr>
            <w:r>
              <w:rPr>
                <w:rFonts w:ascii="Figtree" w:hAnsi="Figtree" w:eastAsia="Figtree"/>
                <w:sz w:val="20"/>
              </w:rPr>
              <w:t xml:space="preserve">Workflow runtime</w:t>
            </w:r>
          </w:p>
        </w:tc>
        <w:tc>
          <w:tcPr/>
          <w:p>
            <w:pPr>
              <w:spacing w:after="0" w:line="240" w:lineRule="auto"/>
              <w:rPr>
                <w:rFonts w:ascii="Figtree" w:hAnsi="Figtree" w:eastAsia="Figtree"/>
                <w:sz w:val="20"/>
              </w:rPr>
            </w:pPr>
            <w:r>
              <w:rPr>
                <w:rFonts w:ascii="Figtree" w:hAnsi="Figtree" w:eastAsia="Figtree"/>
                <w:sz w:val="20"/>
              </w:rPr>
              <w:t xml:space="preserve">Restate (durable execution)</w:t>
            </w:r>
          </w:p>
        </w:tc>
      </w:tr>
      <w:tr>
        <w:tc>
          <w:tcPr/>
          <w:p>
            <w:pPr>
              <w:spacing w:after="0" w:line="240" w:lineRule="auto"/>
              <w:rPr>
                <w:rFonts w:ascii="Figtree" w:hAnsi="Figtree" w:eastAsia="Figtree"/>
                <w:sz w:val="20"/>
              </w:rPr>
            </w:pPr>
            <w:r>
              <w:rPr>
                <w:rFonts w:ascii="Figtree" w:hAnsi="Figtree" w:eastAsia="Figtree"/>
                <w:sz w:val="20"/>
              </w:rPr>
              <w:t xml:space="preserve">Database</w:t>
            </w:r>
          </w:p>
        </w:tc>
        <w:tc>
          <w:tcPr/>
          <w:p>
            <w:pPr>
              <w:spacing w:after="0" w:line="240" w:lineRule="auto"/>
              <w:rPr>
                <w:rFonts w:ascii="Figtree" w:hAnsi="Figtree" w:eastAsia="Figtree"/>
                <w:sz w:val="20"/>
              </w:rPr>
            </w:pPr>
            <w:r>
              <w:rPr>
                <w:rFonts w:ascii="Figtree" w:hAnsi="Figtree" w:eastAsia="Figtree"/>
                <w:sz w:val="20"/>
              </w:rPr>
              <w:t xml:space="preserve">PostgreSQL 15+</w:t>
            </w:r>
          </w:p>
        </w:tc>
      </w:tr>
      <w:tr>
        <w:tc>
          <w:tcPr/>
          <w:p>
            <w:pPr>
              <w:spacing w:after="0" w:line="240" w:lineRule="auto"/>
              <w:rPr>
                <w:rFonts w:ascii="Figtree" w:hAnsi="Figtree" w:eastAsia="Figtree"/>
                <w:sz w:val="20"/>
              </w:rPr>
            </w:pPr>
            <w:r>
              <w:rPr>
                <w:rFonts w:ascii="Figtree" w:hAnsi="Figtree" w:eastAsia="Figtree"/>
                <w:sz w:val="20"/>
              </w:rPr>
              <w:t xml:space="preserve">Observability</w:t>
            </w:r>
          </w:p>
        </w:tc>
        <w:tc>
          <w:tcPr/>
          <w:p>
            <w:pPr>
              <w:spacing w:after="0" w:line="240" w:lineRule="auto"/>
              <w:rPr>
                <w:rFonts w:ascii="Figtree" w:hAnsi="Figtree" w:eastAsia="Figtree"/>
                <w:sz w:val="20"/>
              </w:rPr>
            </w:pPr>
            <w:r>
              <w:rPr>
                <w:rFonts w:ascii="Figtree" w:hAnsi="Figtree" w:eastAsia="Figtree"/>
                <w:sz w:val="20"/>
              </w:rPr>
              <w:t xml:space="preserve">VictoriaMetrics, Loki, Tempo, Grafana</w:t>
            </w:r>
          </w:p>
        </w:tc>
      </w:tr>
      <w:tr>
        <w:tc>
          <w:tcPr/>
          <w:p>
            <w:pPr>
              <w:spacing w:after="0" w:line="240" w:lineRule="auto"/>
              <w:rPr>
                <w:rFonts w:ascii="Figtree" w:hAnsi="Figtree" w:eastAsia="Figtree"/>
                <w:sz w:val="20"/>
              </w:rPr>
            </w:pPr>
            <w:r>
              <w:rPr>
                <w:rFonts w:ascii="Figtree" w:hAnsi="Figtree" w:eastAsia="Figtree"/>
                <w:sz w:val="20"/>
              </w:rPr>
              <w:t xml:space="preserve">Container orchestration</w:t>
            </w:r>
          </w:p>
        </w:tc>
        <w:tc>
          <w:tcPr/>
          <w:p>
            <w:pPr>
              <w:spacing w:after="0" w:line="240" w:lineRule="auto"/>
              <w:rPr>
                <w:rFonts w:ascii="Figtree" w:hAnsi="Figtree" w:eastAsia="Figtree"/>
                <w:sz w:val="20"/>
              </w:rPr>
            </w:pPr>
            <w:r>
              <w:rPr>
                <w:rFonts w:ascii="Figtree" w:hAnsi="Figtree" w:eastAsia="Figtree"/>
                <w:sz w:val="20"/>
              </w:rPr>
              <w:t xml:space="preserve">Kubernetes (Helm charts)</w:t>
            </w:r>
          </w:p>
        </w:tc>
      </w:tr>
      <w:tr>
        <w:tc>
          <w:tcPr/>
          <w:p>
            <w:pPr>
              <w:spacing w:after="0" w:line="240" w:lineRule="auto"/>
              <w:rPr>
                <w:rFonts w:ascii="Figtree" w:hAnsi="Figtree" w:eastAsia="Figtree"/>
                <w:sz w:val="20"/>
              </w:rPr>
            </w:pPr>
            <w:r>
              <w:rPr>
                <w:rFonts w:ascii="Figtree" w:hAnsi="Figtree" w:eastAsia="Figtree"/>
                <w:sz w:val="20"/>
              </w:rPr>
              <w:t xml:space="preserve">Secret management</w:t>
            </w:r>
          </w:p>
        </w:tc>
        <w:tc>
          <w:tcPr/>
          <w:p>
            <w:pPr>
              <w:spacing w:after="0" w:line="240" w:lineRule="auto"/>
              <w:rPr>
                <w:rFonts w:ascii="Figtree" w:hAnsi="Figtree" w:eastAsia="Figtree"/>
                <w:sz w:val="20"/>
              </w:rPr>
            </w:pPr>
            <w:r>
              <w:rPr>
                <w:rFonts w:ascii="Figtree" w:hAnsi="Figtree" w:eastAsia="Figtree"/>
                <w:sz w:val="20"/>
              </w:rPr>
              <w:t xml:space="preserve">HashiCorp Vault, AWS SM, GCP SM, Azure KV</w:t>
            </w:r>
          </w:p>
        </w:tc>
      </w:tr>
      <w:tr>
        <w:tc>
          <w:tcPr/>
          <w:p>
            <w:pPr>
              <w:spacing w:after="0" w:line="240" w:lineRule="auto"/>
              <w:rPr>
                <w:rFonts w:ascii="Figtree" w:hAnsi="Figtree" w:eastAsia="Figtree"/>
                <w:sz w:val="20"/>
              </w:rPr>
            </w:pPr>
            <w:r>
              <w:rPr>
                <w:rFonts w:ascii="Figtree" w:hAnsi="Figtree" w:eastAsia="Figtree"/>
                <w:sz w:val="20"/>
              </w:rPr>
              <w:t xml:space="preserve">Deployment model</w:t>
            </w:r>
          </w:p>
        </w:tc>
        <w:tc>
          <w:tcPr/>
          <w:p>
            <w:pPr>
              <w:spacing w:after="0" w:line="240" w:lineRule="auto"/>
              <w:rPr>
                <w:rFonts w:ascii="Figtree" w:hAnsi="Figtree" w:eastAsia="Figtree"/>
                <w:sz w:val="20"/>
              </w:rPr>
            </w:pPr>
            <w:r>
              <w:rPr>
                <w:rFonts w:ascii="Figtree" w:hAnsi="Figtree" w:eastAsia="Figtree"/>
                <w:sz w:val="20"/>
              </w:rPr>
              <w:t xml:space="preserve">On-premises, dedicated cloud, managed SaaS</w:t>
            </w:r>
          </w:p>
        </w:tc>
      </w:tr>
      <w:tr>
        <w:tc>
          <w:tcPr/>
          <w:p>
            <w:pPr>
              <w:spacing w:after="0" w:line="240" w:lineRule="auto"/>
              <w:rPr>
                <w:rFonts w:ascii="Figtree" w:hAnsi="Figtree" w:eastAsia="Figtree"/>
                <w:sz w:val="20"/>
              </w:rPr>
            </w:pPr>
            <w:r>
              <w:rPr>
                <w:rFonts w:ascii="Figtree" w:hAnsi="Figtree" w:eastAsia="Figtree"/>
                <w:sz w:val="20"/>
              </w:rPr>
              <w:t xml:space="preserve">Feature system</w:t>
            </w:r>
          </w:p>
        </w:tc>
        <w:tc>
          <w:tcPr/>
          <w:p>
            <w:pPr>
              <w:spacing w:after="0" w:line="240" w:lineRule="auto"/>
              <w:rPr>
                <w:rFonts w:ascii="Figtree" w:hAnsi="Figtree" w:eastAsia="Figtree"/>
                <w:sz w:val="20"/>
              </w:rPr>
            </w:pPr>
            <w:r>
              <w:rPr>
                <w:rFonts w:ascii="Figtree" w:hAnsi="Figtree" w:eastAsia="Figtree"/>
                <w:sz w:val="20"/>
              </w:rPr>
              <w:t xml:space="preserve">Up to 32 pluggable features per token (SMART Configurable)</w:t>
            </w:r>
          </w:p>
        </w:tc>
      </w:tr>
    </w:tbl>
    <w:p>
      <w:pPr>
        <w:pStyle w:val="H3"/>
        <w:numPr>
          <w:ilvl w:val="2"/>
          <w:numId w:val="1"/>
        </w:numPr>
      </w:pPr>
      <w:r>
        <w:rPr/>
        <w:t xml:space="preserve">Appendix B: Compliance Modules Summary</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Module</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Category</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Description</w:t>
            </w:r>
          </w:p>
        </w:tc>
      </w:tr>
      <w:tr>
        <w:tc>
          <w:tcPr/>
          <w:p>
            <w:pPr>
              <w:spacing w:after="0" w:line="240" w:lineRule="auto"/>
              <w:rPr>
                <w:rFonts w:ascii="Figtree" w:hAnsi="Figtree" w:eastAsia="Figtree"/>
                <w:sz w:val="20"/>
              </w:rPr>
            </w:pPr>
            <w:r>
              <w:rPr>
                <w:rFonts w:ascii="Figtree" w:hAnsi="Figtree" w:eastAsia="Figtree"/>
                <w:sz w:val="20"/>
              </w:rPr>
              <w:t xml:space="preserve">1</w:t>
            </w:r>
          </w:p>
        </w:tc>
        <w:tc>
          <w:tcPr/>
          <w:p>
            <w:pPr>
              <w:spacing w:after="0" w:line="240" w:lineRule="auto"/>
              <w:rPr>
                <w:rFonts w:ascii="Figtree" w:hAnsi="Figtree" w:eastAsia="Figtree"/>
                <w:sz w:val="20"/>
              </w:rPr>
            </w:pPr>
            <w:r>
              <w:rPr>
                <w:rFonts w:ascii="Figtree" w:hAnsi="Figtree" w:eastAsia="Figtree"/>
                <w:sz w:val="20"/>
              </w:rPr>
              <w:t xml:space="preserve">Country Allow List</w:t>
            </w:r>
          </w:p>
        </w:tc>
        <w:tc>
          <w:tcPr/>
          <w:p>
            <w:pPr>
              <w:spacing w:after="0" w:line="240" w:lineRule="auto"/>
              <w:rPr>
                <w:rFonts w:ascii="Figtree" w:hAnsi="Figtree" w:eastAsia="Figtree"/>
                <w:sz w:val="20"/>
              </w:rPr>
            </w:pPr>
            <w:r>
              <w:rPr>
                <w:rFonts w:ascii="Figtree" w:hAnsi="Figtree" w:eastAsia="Figtree"/>
                <w:sz w:val="20"/>
              </w:rPr>
              <w:t xml:space="preserve">Eligibility</w:t>
            </w:r>
          </w:p>
        </w:tc>
        <w:tc>
          <w:tcPr/>
          <w:p>
            <w:pPr>
              <w:spacing w:after="0" w:line="240" w:lineRule="auto"/>
              <w:rPr>
                <w:rFonts w:ascii="Figtree" w:hAnsi="Figtree" w:eastAsia="Figtree"/>
                <w:sz w:val="20"/>
              </w:rPr>
            </w:pPr>
            <w:r>
              <w:rPr>
                <w:rFonts w:ascii="Figtree" w:hAnsi="Figtree" w:eastAsia="Figtree"/>
                <w:sz w:val="20"/>
              </w:rPr>
              <w:t xml:space="preserve">Restrict to approved jurisdictions</w:t>
            </w:r>
          </w:p>
        </w:tc>
      </w:tr>
      <w:tr>
        <w:tc>
          <w:tcPr/>
          <w:p>
            <w:pPr>
              <w:spacing w:after="0" w:line="240" w:lineRule="auto"/>
              <w:rPr>
                <w:rFonts w:ascii="Figtree" w:hAnsi="Figtree" w:eastAsia="Figtree"/>
                <w:sz w:val="20"/>
              </w:rPr>
            </w:pPr>
            <w:r>
              <w:rPr>
                <w:rFonts w:ascii="Figtree" w:hAnsi="Figtree" w:eastAsia="Figtree"/>
                <w:sz w:val="20"/>
              </w:rPr>
              <w:t xml:space="preserve">2</w:t>
            </w:r>
          </w:p>
        </w:tc>
        <w:tc>
          <w:tcPr/>
          <w:p>
            <w:pPr>
              <w:spacing w:after="0" w:line="240" w:lineRule="auto"/>
              <w:rPr>
                <w:rFonts w:ascii="Figtree" w:hAnsi="Figtree" w:eastAsia="Figtree"/>
                <w:sz w:val="20"/>
              </w:rPr>
            </w:pPr>
            <w:r>
              <w:rPr>
                <w:rFonts w:ascii="Figtree" w:hAnsi="Figtree" w:eastAsia="Figtree"/>
                <w:sz w:val="20"/>
              </w:rPr>
              <w:t xml:space="preserve">Country Block List</w:t>
            </w:r>
          </w:p>
        </w:tc>
        <w:tc>
          <w:tcPr/>
          <w:p>
            <w:pPr>
              <w:spacing w:after="0" w:line="240" w:lineRule="auto"/>
              <w:rPr>
                <w:rFonts w:ascii="Figtree" w:hAnsi="Figtree" w:eastAsia="Figtree"/>
                <w:sz w:val="20"/>
              </w:rPr>
            </w:pPr>
            <w:r>
              <w:rPr>
                <w:rFonts w:ascii="Figtree" w:hAnsi="Figtree" w:eastAsia="Figtree"/>
                <w:sz w:val="20"/>
              </w:rPr>
              <w:t xml:space="preserve">Eligibility</w:t>
            </w:r>
          </w:p>
        </w:tc>
        <w:tc>
          <w:tcPr/>
          <w:p>
            <w:pPr>
              <w:spacing w:after="0" w:line="240" w:lineRule="auto"/>
              <w:rPr>
                <w:rFonts w:ascii="Figtree" w:hAnsi="Figtree" w:eastAsia="Figtree"/>
                <w:sz w:val="20"/>
              </w:rPr>
            </w:pPr>
            <w:r>
              <w:rPr>
                <w:rFonts w:ascii="Figtree" w:hAnsi="Figtree" w:eastAsia="Figtree"/>
                <w:sz w:val="20"/>
              </w:rPr>
              <w:t xml:space="preserve">Block sanctioned jurisdictions</w:t>
            </w:r>
          </w:p>
        </w:tc>
      </w:tr>
      <w:tr>
        <w:tc>
          <w:tcPr/>
          <w:p>
            <w:pPr>
              <w:spacing w:after="0" w:line="240" w:lineRule="auto"/>
              <w:rPr>
                <w:rFonts w:ascii="Figtree" w:hAnsi="Figtree" w:eastAsia="Figtree"/>
                <w:sz w:val="20"/>
              </w:rPr>
            </w:pPr>
            <w:r>
              <w:rPr>
                <w:rFonts w:ascii="Figtree" w:hAnsi="Figtree" w:eastAsia="Figtree"/>
                <w:sz w:val="20"/>
              </w:rPr>
              <w:t xml:space="preserve">3</w:t>
            </w:r>
          </w:p>
        </w:tc>
        <w:tc>
          <w:tcPr/>
          <w:p>
            <w:pPr>
              <w:spacing w:after="0" w:line="240" w:lineRule="auto"/>
              <w:rPr>
                <w:rFonts w:ascii="Figtree" w:hAnsi="Figtree" w:eastAsia="Figtree"/>
                <w:sz w:val="20"/>
              </w:rPr>
            </w:pPr>
            <w:r>
              <w:rPr>
                <w:rFonts w:ascii="Figtree" w:hAnsi="Figtree" w:eastAsia="Figtree"/>
                <w:sz w:val="20"/>
              </w:rPr>
              <w:t xml:space="preserve">Investor Accreditation</w:t>
            </w:r>
          </w:p>
        </w:tc>
        <w:tc>
          <w:tcPr/>
          <w:p>
            <w:pPr>
              <w:spacing w:after="0" w:line="240" w:lineRule="auto"/>
              <w:rPr>
                <w:rFonts w:ascii="Figtree" w:hAnsi="Figtree" w:eastAsia="Figtree"/>
                <w:sz w:val="20"/>
              </w:rPr>
            </w:pPr>
            <w:r>
              <w:rPr>
                <w:rFonts w:ascii="Figtree" w:hAnsi="Figtree" w:eastAsia="Figtree"/>
                <w:sz w:val="20"/>
              </w:rPr>
              <w:t xml:space="preserve">Eligibility</w:t>
            </w:r>
          </w:p>
        </w:tc>
        <w:tc>
          <w:tcPr/>
          <w:p>
            <w:pPr>
              <w:spacing w:after="0" w:line="240" w:lineRule="auto"/>
              <w:rPr>
                <w:rFonts w:ascii="Figtree" w:hAnsi="Figtree" w:eastAsia="Figtree"/>
                <w:sz w:val="20"/>
              </w:rPr>
            </w:pPr>
            <w:r>
              <w:rPr>
                <w:rFonts w:ascii="Figtree" w:hAnsi="Figtree" w:eastAsia="Figtree"/>
                <w:sz w:val="20"/>
              </w:rPr>
              <w:t xml:space="preserve">Verify accreditation claims</w:t>
            </w:r>
          </w:p>
        </w:tc>
      </w:tr>
      <w:tr>
        <w:tc>
          <w:tcPr/>
          <w:p>
            <w:pPr>
              <w:spacing w:after="0" w:line="240" w:lineRule="auto"/>
              <w:rPr>
                <w:rFonts w:ascii="Figtree" w:hAnsi="Figtree" w:eastAsia="Figtree"/>
                <w:sz w:val="20"/>
              </w:rPr>
            </w:pPr>
            <w:r>
              <w:rPr>
                <w:rFonts w:ascii="Figtree" w:hAnsi="Figtree" w:eastAsia="Figtree"/>
                <w:sz w:val="20"/>
              </w:rPr>
              <w:t xml:space="preserve">4</w:t>
            </w:r>
          </w:p>
        </w:tc>
        <w:tc>
          <w:tcPr/>
          <w:p>
            <w:pPr>
              <w:spacing w:after="0" w:line="240" w:lineRule="auto"/>
              <w:rPr>
                <w:rFonts w:ascii="Figtree" w:hAnsi="Figtree" w:eastAsia="Figtree"/>
                <w:sz w:val="20"/>
              </w:rPr>
            </w:pPr>
            <w:r>
              <w:rPr>
                <w:rFonts w:ascii="Figtree" w:hAnsi="Figtree" w:eastAsia="Figtree"/>
                <w:sz w:val="20"/>
              </w:rPr>
              <w:t xml:space="preserve">Maximum Holder Count</w:t>
            </w:r>
          </w:p>
        </w:tc>
        <w:tc>
          <w:tcPr/>
          <w:p>
            <w:pPr>
              <w:spacing w:after="0" w:line="240" w:lineRule="auto"/>
              <w:rPr>
                <w:rFonts w:ascii="Figtree" w:hAnsi="Figtree" w:eastAsia="Figtree"/>
                <w:sz w:val="20"/>
              </w:rPr>
            </w:pPr>
            <w:r>
              <w:rPr>
                <w:rFonts w:ascii="Figtree" w:hAnsi="Figtree" w:eastAsia="Figtree"/>
                <w:sz w:val="20"/>
              </w:rPr>
              <w:t xml:space="preserve">Restrictions</w:t>
            </w:r>
          </w:p>
        </w:tc>
        <w:tc>
          <w:tcPr/>
          <w:p>
            <w:pPr>
              <w:spacing w:after="0" w:line="240" w:lineRule="auto"/>
              <w:rPr>
                <w:rFonts w:ascii="Figtree" w:hAnsi="Figtree" w:eastAsia="Figtree"/>
                <w:sz w:val="20"/>
              </w:rPr>
            </w:pPr>
            <w:r>
              <w:rPr>
                <w:rFonts w:ascii="Figtree" w:hAnsi="Figtree" w:eastAsia="Figtree"/>
                <w:sz w:val="20"/>
              </w:rPr>
              <w:t xml:space="preserve">Cap distinct holders</w:t>
            </w:r>
          </w:p>
        </w:tc>
      </w:tr>
      <w:tr>
        <w:tc>
          <w:tcPr/>
          <w:p>
            <w:pPr>
              <w:spacing w:after="0" w:line="240" w:lineRule="auto"/>
              <w:rPr>
                <w:rFonts w:ascii="Figtree" w:hAnsi="Figtree" w:eastAsia="Figtree"/>
                <w:sz w:val="20"/>
              </w:rPr>
            </w:pPr>
            <w:r>
              <w:rPr>
                <w:rFonts w:ascii="Figtree" w:hAnsi="Figtree" w:eastAsia="Figtree"/>
                <w:sz w:val="20"/>
              </w:rPr>
              <w:t xml:space="preserve">5</w:t>
            </w:r>
          </w:p>
        </w:tc>
        <w:tc>
          <w:tcPr/>
          <w:p>
            <w:pPr>
              <w:spacing w:after="0" w:line="240" w:lineRule="auto"/>
              <w:rPr>
                <w:rFonts w:ascii="Figtree" w:hAnsi="Figtree" w:eastAsia="Figtree"/>
                <w:sz w:val="20"/>
              </w:rPr>
            </w:pPr>
            <w:r>
              <w:rPr>
                <w:rFonts w:ascii="Figtree" w:hAnsi="Figtree" w:eastAsia="Figtree"/>
                <w:sz w:val="20"/>
              </w:rPr>
              <w:t xml:space="preserve">Conditional Transfer Restrictions</w:t>
            </w:r>
          </w:p>
        </w:tc>
        <w:tc>
          <w:tcPr/>
          <w:p>
            <w:pPr>
              <w:spacing w:after="0" w:line="240" w:lineRule="auto"/>
              <w:rPr>
                <w:rFonts w:ascii="Figtree" w:hAnsi="Figtree" w:eastAsia="Figtree"/>
                <w:sz w:val="20"/>
              </w:rPr>
            </w:pPr>
            <w:r>
              <w:rPr>
                <w:rFonts w:ascii="Figtree" w:hAnsi="Figtree" w:eastAsia="Figtree"/>
                <w:sz w:val="20"/>
              </w:rPr>
              <w:t xml:space="preserve">Restrictions</w:t>
            </w:r>
          </w:p>
        </w:tc>
        <w:tc>
          <w:tcPr/>
          <w:p>
            <w:pPr>
              <w:spacing w:after="0" w:line="240" w:lineRule="auto"/>
              <w:rPr>
                <w:rFonts w:ascii="Figtree" w:hAnsi="Figtree" w:eastAsia="Figtree"/>
                <w:sz w:val="20"/>
              </w:rPr>
            </w:pPr>
            <w:r>
              <w:rPr>
                <w:rFonts w:ascii="Figtree" w:hAnsi="Figtree" w:eastAsia="Figtree"/>
                <w:sz w:val="20"/>
              </w:rPr>
              <w:t xml:space="preserve">Dynamic condition evaluation</w:t>
            </w:r>
          </w:p>
        </w:tc>
      </w:tr>
      <w:tr>
        <w:tc>
          <w:tcPr/>
          <w:p>
            <w:pPr>
              <w:spacing w:after="0" w:line="240" w:lineRule="auto"/>
              <w:rPr>
                <w:rFonts w:ascii="Figtree" w:hAnsi="Figtree" w:eastAsia="Figtree"/>
                <w:sz w:val="20"/>
              </w:rPr>
            </w:pPr>
            <w:r>
              <w:rPr>
                <w:rFonts w:ascii="Figtree" w:hAnsi="Figtree" w:eastAsia="Figtree"/>
                <w:sz w:val="20"/>
              </w:rPr>
              <w:t xml:space="preserve">6</w:t>
            </w:r>
          </w:p>
        </w:tc>
        <w:tc>
          <w:tcPr/>
          <w:p>
            <w:pPr>
              <w:spacing w:after="0" w:line="240" w:lineRule="auto"/>
              <w:rPr>
                <w:rFonts w:ascii="Figtree" w:hAnsi="Figtree" w:eastAsia="Figtree"/>
                <w:sz w:val="20"/>
              </w:rPr>
            </w:pPr>
            <w:r>
              <w:rPr>
                <w:rFonts w:ascii="Figtree" w:hAnsi="Figtree" w:eastAsia="Figtree"/>
                <w:sz w:val="20"/>
              </w:rPr>
              <w:t xml:space="preserve">Address-Specific Restrictions</w:t>
            </w:r>
          </w:p>
        </w:tc>
        <w:tc>
          <w:tcPr/>
          <w:p>
            <w:pPr>
              <w:spacing w:after="0" w:line="240" w:lineRule="auto"/>
              <w:rPr>
                <w:rFonts w:ascii="Figtree" w:hAnsi="Figtree" w:eastAsia="Figtree"/>
                <w:sz w:val="20"/>
              </w:rPr>
            </w:pPr>
            <w:r>
              <w:rPr>
                <w:rFonts w:ascii="Figtree" w:hAnsi="Figtree" w:eastAsia="Figtree"/>
                <w:sz w:val="20"/>
              </w:rPr>
              <w:t xml:space="preserve">Restrictions</w:t>
            </w:r>
          </w:p>
        </w:tc>
        <w:tc>
          <w:tcPr/>
          <w:p>
            <w:pPr>
              <w:spacing w:after="0" w:line="240" w:lineRule="auto"/>
              <w:rPr>
                <w:rFonts w:ascii="Figtree" w:hAnsi="Figtree" w:eastAsia="Figtree"/>
                <w:sz w:val="20"/>
              </w:rPr>
            </w:pPr>
            <w:r>
              <w:rPr>
                <w:rFonts w:ascii="Figtree" w:hAnsi="Figtree" w:eastAsia="Figtree"/>
                <w:sz w:val="20"/>
              </w:rPr>
              <w:t xml:space="preserve">Per-address controls</w:t>
            </w:r>
          </w:p>
        </w:tc>
      </w:tr>
      <w:tr>
        <w:tc>
          <w:tcPr/>
          <w:p>
            <w:pPr>
              <w:spacing w:after="0" w:line="240" w:lineRule="auto"/>
              <w:rPr>
                <w:rFonts w:ascii="Figtree" w:hAnsi="Figtree" w:eastAsia="Figtree"/>
                <w:sz w:val="20"/>
              </w:rPr>
            </w:pPr>
            <w:r>
              <w:rPr>
                <w:rFonts w:ascii="Figtree" w:hAnsi="Figtree" w:eastAsia="Figtree"/>
                <w:sz w:val="20"/>
              </w:rPr>
              <w:t xml:space="preserve">7</w:t>
            </w:r>
          </w:p>
        </w:tc>
        <w:tc>
          <w:tcPr/>
          <w:p>
            <w:pPr>
              <w:spacing w:after="0" w:line="240" w:lineRule="auto"/>
              <w:rPr>
                <w:rFonts w:ascii="Figtree" w:hAnsi="Figtree" w:eastAsia="Figtree"/>
                <w:sz w:val="20"/>
              </w:rPr>
            </w:pPr>
            <w:r>
              <w:rPr>
                <w:rFonts w:ascii="Figtree" w:hAnsi="Figtree" w:eastAsia="Figtree"/>
                <w:sz w:val="20"/>
              </w:rPr>
              <w:t xml:space="preserve">Transfer Amount Limits</w:t>
            </w:r>
          </w:p>
        </w:tc>
        <w:tc>
          <w:tcPr/>
          <w:p>
            <w:pPr>
              <w:spacing w:after="0" w:line="240" w:lineRule="auto"/>
              <w:rPr>
                <w:rFonts w:ascii="Figtree" w:hAnsi="Figtree" w:eastAsia="Figtree"/>
                <w:sz w:val="20"/>
              </w:rPr>
            </w:pPr>
            <w:r>
              <w:rPr>
                <w:rFonts w:ascii="Figtree" w:hAnsi="Figtree" w:eastAsia="Figtree"/>
                <w:sz w:val="20"/>
              </w:rPr>
              <w:t xml:space="preserve">Transfer Controls</w:t>
            </w:r>
          </w:p>
        </w:tc>
        <w:tc>
          <w:tcPr/>
          <w:p>
            <w:pPr>
              <w:spacing w:after="0" w:line="240" w:lineRule="auto"/>
              <w:rPr>
                <w:rFonts w:ascii="Figtree" w:hAnsi="Figtree" w:eastAsia="Figtree"/>
                <w:sz w:val="20"/>
              </w:rPr>
            </w:pPr>
            <w:r>
              <w:rPr>
                <w:rFonts w:ascii="Figtree" w:hAnsi="Figtree" w:eastAsia="Figtree"/>
                <w:sz w:val="20"/>
              </w:rPr>
              <w:t xml:space="preserve">Min/max transfer sizes</w:t>
            </w:r>
          </w:p>
        </w:tc>
      </w:tr>
      <w:tr>
        <w:tc>
          <w:tcPr/>
          <w:p>
            <w:pPr>
              <w:spacing w:after="0" w:line="240" w:lineRule="auto"/>
              <w:rPr>
                <w:rFonts w:ascii="Figtree" w:hAnsi="Figtree" w:eastAsia="Figtree"/>
                <w:sz w:val="20"/>
              </w:rPr>
            </w:pPr>
            <w:r>
              <w:rPr>
                <w:rFonts w:ascii="Figtree" w:hAnsi="Figtree" w:eastAsia="Figtree"/>
                <w:sz w:val="20"/>
              </w:rPr>
              <w:t xml:space="preserve">8</w:t>
            </w:r>
          </w:p>
        </w:tc>
        <w:tc>
          <w:tcPr/>
          <w:p>
            <w:pPr>
              <w:spacing w:after="0" w:line="240" w:lineRule="auto"/>
              <w:rPr>
                <w:rFonts w:ascii="Figtree" w:hAnsi="Figtree" w:eastAsia="Figtree"/>
                <w:sz w:val="20"/>
              </w:rPr>
            </w:pPr>
            <w:r>
              <w:rPr>
                <w:rFonts w:ascii="Figtree" w:hAnsi="Figtree" w:eastAsia="Figtree"/>
                <w:sz w:val="20"/>
              </w:rPr>
              <w:t xml:space="preserve">Maximum Balance</w:t>
            </w:r>
          </w:p>
        </w:tc>
        <w:tc>
          <w:tcPr/>
          <w:p>
            <w:pPr>
              <w:spacing w:after="0" w:line="240" w:lineRule="auto"/>
              <w:rPr>
                <w:rFonts w:ascii="Figtree" w:hAnsi="Figtree" w:eastAsia="Figtree"/>
                <w:sz w:val="20"/>
              </w:rPr>
            </w:pPr>
            <w:r>
              <w:rPr>
                <w:rFonts w:ascii="Figtree" w:hAnsi="Figtree" w:eastAsia="Figtree"/>
                <w:sz w:val="20"/>
              </w:rPr>
              <w:t xml:space="preserve">Transfer Controls</w:t>
            </w:r>
          </w:p>
        </w:tc>
        <w:tc>
          <w:tcPr/>
          <w:p>
            <w:pPr>
              <w:spacing w:after="0" w:line="240" w:lineRule="auto"/>
              <w:rPr>
                <w:rFonts w:ascii="Figtree" w:hAnsi="Figtree" w:eastAsia="Figtree"/>
                <w:sz w:val="20"/>
              </w:rPr>
            </w:pPr>
            <w:r>
              <w:rPr>
                <w:rFonts w:ascii="Figtree" w:hAnsi="Figtree" w:eastAsia="Figtree"/>
                <w:sz w:val="20"/>
              </w:rPr>
              <w:t xml:space="preserve">Concentration risk limits</w:t>
            </w:r>
          </w:p>
        </w:tc>
      </w:tr>
      <w:tr>
        <w:tc>
          <w:tcPr/>
          <w:p>
            <w:pPr>
              <w:spacing w:after="0" w:line="240" w:lineRule="auto"/>
              <w:rPr>
                <w:rFonts w:ascii="Figtree" w:hAnsi="Figtree" w:eastAsia="Figtree"/>
                <w:sz w:val="20"/>
              </w:rPr>
            </w:pPr>
            <w:r>
              <w:rPr>
                <w:rFonts w:ascii="Figtree" w:hAnsi="Figtree" w:eastAsia="Figtree"/>
                <w:sz w:val="20"/>
              </w:rPr>
              <w:t xml:space="preserve">9</w:t>
            </w:r>
          </w:p>
        </w:tc>
        <w:tc>
          <w:tcPr/>
          <w:p>
            <w:pPr>
              <w:spacing w:after="0" w:line="240" w:lineRule="auto"/>
              <w:rPr>
                <w:rFonts w:ascii="Figtree" w:hAnsi="Figtree" w:eastAsia="Figtree"/>
                <w:sz w:val="20"/>
              </w:rPr>
            </w:pPr>
            <w:r>
              <w:rPr>
                <w:rFonts w:ascii="Figtree" w:hAnsi="Figtree" w:eastAsia="Figtree"/>
                <w:sz w:val="20"/>
              </w:rPr>
              <w:t xml:space="preserve">Transfer Policy</w:t>
            </w:r>
          </w:p>
        </w:tc>
        <w:tc>
          <w:tcPr/>
          <w:p>
            <w:pPr>
              <w:spacing w:after="0" w:line="240" w:lineRule="auto"/>
              <w:rPr>
                <w:rFonts w:ascii="Figtree" w:hAnsi="Figtree" w:eastAsia="Figtree"/>
                <w:sz w:val="20"/>
              </w:rPr>
            </w:pPr>
            <w:r>
              <w:rPr>
                <w:rFonts w:ascii="Figtree" w:hAnsi="Figtree" w:eastAsia="Figtree"/>
                <w:sz w:val="20"/>
              </w:rPr>
              <w:t xml:space="preserve">Transfer Controls</w:t>
            </w:r>
          </w:p>
        </w:tc>
        <w:tc>
          <w:tcPr/>
          <w:p>
            <w:pPr>
              <w:spacing w:after="0" w:line="240" w:lineRule="auto"/>
              <w:rPr>
                <w:rFonts w:ascii="Figtree" w:hAnsi="Figtree" w:eastAsia="Figtree"/>
                <w:sz w:val="20"/>
              </w:rPr>
            </w:pPr>
            <w:r>
              <w:rPr>
                <w:rFonts w:ascii="Figtree" w:hAnsi="Figtree" w:eastAsia="Figtree"/>
                <w:sz w:val="20"/>
              </w:rPr>
              <w:t xml:space="preserve">Comprehensive rule evaluation</w:t>
            </w:r>
          </w:p>
        </w:tc>
      </w:tr>
      <w:tr>
        <w:tc>
          <w:tcPr/>
          <w:p>
            <w:pPr>
              <w:spacing w:after="0" w:line="240" w:lineRule="auto"/>
              <w:rPr>
                <w:rFonts w:ascii="Figtree" w:hAnsi="Figtree" w:eastAsia="Figtree"/>
                <w:sz w:val="20"/>
              </w:rPr>
            </w:pPr>
            <w:r>
              <w:rPr>
                <w:rFonts w:ascii="Figtree" w:hAnsi="Figtree" w:eastAsia="Figtree"/>
                <w:sz w:val="20"/>
              </w:rPr>
              <w:t xml:space="preserve">10</w:t>
            </w:r>
          </w:p>
        </w:tc>
        <w:tc>
          <w:tcPr/>
          <w:p>
            <w:pPr>
              <w:spacing w:after="0" w:line="240" w:lineRule="auto"/>
              <w:rPr>
                <w:rFonts w:ascii="Figtree" w:hAnsi="Figtree" w:eastAsia="Figtree"/>
                <w:sz w:val="20"/>
              </w:rPr>
            </w:pPr>
            <w:r>
              <w:rPr>
                <w:rFonts w:ascii="Figtree" w:hAnsi="Figtree" w:eastAsia="Figtree"/>
                <w:sz w:val="20"/>
              </w:rPr>
              <w:t xml:space="preserve">Supply Cap</w:t>
            </w:r>
          </w:p>
        </w:tc>
        <w:tc>
          <w:tcPr/>
          <w:p>
            <w:pPr>
              <w:spacing w:after="0" w:line="240" w:lineRule="auto"/>
              <w:rPr>
                <w:rFonts w:ascii="Figtree" w:hAnsi="Figtree" w:eastAsia="Figtree"/>
                <w:sz w:val="20"/>
              </w:rPr>
            </w:pPr>
            <w:r>
              <w:rPr>
                <w:rFonts w:ascii="Figtree" w:hAnsi="Figtree" w:eastAsia="Figtree"/>
                <w:sz w:val="20"/>
              </w:rPr>
              <w:t xml:space="preserve">Issuance/Supply</w:t>
            </w:r>
          </w:p>
        </w:tc>
        <w:tc>
          <w:tcPr/>
          <w:p>
            <w:pPr>
              <w:spacing w:after="0" w:line="240" w:lineRule="auto"/>
              <w:rPr>
                <w:rFonts w:ascii="Figtree" w:hAnsi="Figtree" w:eastAsia="Figtree"/>
                <w:sz w:val="20"/>
              </w:rPr>
            </w:pPr>
            <w:r>
              <w:rPr>
                <w:rFonts w:ascii="Figtree" w:hAnsi="Figtree" w:eastAsia="Figtree"/>
                <w:sz w:val="20"/>
              </w:rPr>
              <w:t xml:space="preserve">Hard supply limit</w:t>
            </w:r>
          </w:p>
        </w:tc>
      </w:tr>
      <w:tr>
        <w:tc>
          <w:tcPr/>
          <w:p>
            <w:pPr>
              <w:spacing w:after="0" w:line="240" w:lineRule="auto"/>
              <w:rPr>
                <w:rFonts w:ascii="Figtree" w:hAnsi="Figtree" w:eastAsia="Figtree"/>
                <w:sz w:val="20"/>
              </w:rPr>
            </w:pPr>
            <w:r>
              <w:rPr>
                <w:rFonts w:ascii="Figtree" w:hAnsi="Figtree" w:eastAsia="Figtree"/>
                <w:sz w:val="20"/>
              </w:rPr>
              <w:t xml:space="preserve">11</w:t>
            </w:r>
          </w:p>
        </w:tc>
        <w:tc>
          <w:tcPr/>
          <w:p>
            <w:pPr>
              <w:spacing w:after="0" w:line="240" w:lineRule="auto"/>
              <w:rPr>
                <w:rFonts w:ascii="Figtree" w:hAnsi="Figtree" w:eastAsia="Figtree"/>
                <w:sz w:val="20"/>
              </w:rPr>
            </w:pPr>
            <w:r>
              <w:rPr>
                <w:rFonts w:ascii="Figtree" w:hAnsi="Figtree" w:eastAsia="Figtree"/>
                <w:sz w:val="20"/>
              </w:rPr>
              <w:t xml:space="preserve">Minting Restrictions</w:t>
            </w:r>
          </w:p>
        </w:tc>
        <w:tc>
          <w:tcPr/>
          <w:p>
            <w:pPr>
              <w:spacing w:after="0" w:line="240" w:lineRule="auto"/>
              <w:rPr>
                <w:rFonts w:ascii="Figtree" w:hAnsi="Figtree" w:eastAsia="Figtree"/>
                <w:sz w:val="20"/>
              </w:rPr>
            </w:pPr>
            <w:r>
              <w:rPr>
                <w:rFonts w:ascii="Figtree" w:hAnsi="Figtree" w:eastAsia="Figtree"/>
                <w:sz w:val="20"/>
              </w:rPr>
              <w:t xml:space="preserve">Issuance/Supply</w:t>
            </w:r>
          </w:p>
        </w:tc>
        <w:tc>
          <w:tcPr/>
          <w:p>
            <w:pPr>
              <w:spacing w:after="0" w:line="240" w:lineRule="auto"/>
              <w:rPr>
                <w:rFonts w:ascii="Figtree" w:hAnsi="Figtree" w:eastAsia="Figtree"/>
                <w:sz w:val="20"/>
              </w:rPr>
            </w:pPr>
            <w:r>
              <w:rPr>
                <w:rFonts w:ascii="Figtree" w:hAnsi="Figtree" w:eastAsia="Figtree"/>
                <w:sz w:val="20"/>
              </w:rPr>
              <w:t xml:space="preserve">Controlled minting</w:t>
            </w:r>
          </w:p>
        </w:tc>
      </w:tr>
      <w:tr>
        <w:tc>
          <w:tcPr/>
          <w:p>
            <w:pPr>
              <w:spacing w:after="0" w:line="240" w:lineRule="auto"/>
              <w:rPr>
                <w:rFonts w:ascii="Figtree" w:hAnsi="Figtree" w:eastAsia="Figtree"/>
                <w:sz w:val="20"/>
              </w:rPr>
            </w:pPr>
            <w:r>
              <w:rPr>
                <w:rFonts w:ascii="Figtree" w:hAnsi="Figtree" w:eastAsia="Figtree"/>
                <w:sz w:val="20"/>
              </w:rPr>
              <w:t xml:space="preserve">12</w:t>
            </w:r>
          </w:p>
        </w:tc>
        <w:tc>
          <w:tcPr/>
          <w:p>
            <w:pPr>
              <w:spacing w:after="0" w:line="240" w:lineRule="auto"/>
              <w:rPr>
                <w:rFonts w:ascii="Figtree" w:hAnsi="Figtree" w:eastAsia="Figtree"/>
                <w:sz w:val="20"/>
              </w:rPr>
            </w:pPr>
            <w:r>
              <w:rPr>
                <w:rFonts w:ascii="Figtree" w:hAnsi="Figtree" w:eastAsia="Figtree"/>
                <w:sz w:val="20"/>
              </w:rPr>
              <w:t xml:space="preserve">Capped Supply</w:t>
            </w:r>
          </w:p>
        </w:tc>
        <w:tc>
          <w:tcPr/>
          <w:p>
            <w:pPr>
              <w:spacing w:after="0" w:line="240" w:lineRule="auto"/>
              <w:rPr>
                <w:rFonts w:ascii="Figtree" w:hAnsi="Figtree" w:eastAsia="Figtree"/>
                <w:sz w:val="20"/>
              </w:rPr>
            </w:pPr>
            <w:r>
              <w:rPr>
                <w:rFonts w:ascii="Figtree" w:hAnsi="Figtree" w:eastAsia="Figtree"/>
                <w:sz w:val="20"/>
              </w:rPr>
              <w:t xml:space="preserve">Issuance/Supply</w:t>
            </w:r>
          </w:p>
        </w:tc>
        <w:tc>
          <w:tcPr/>
          <w:p>
            <w:pPr>
              <w:spacing w:after="0" w:line="240" w:lineRule="auto"/>
              <w:rPr>
                <w:rFonts w:ascii="Figtree" w:hAnsi="Figtree" w:eastAsia="Figtree"/>
                <w:sz w:val="20"/>
              </w:rPr>
            </w:pPr>
            <w:r>
              <w:rPr>
                <w:rFonts w:ascii="Figtree" w:hAnsi="Figtree" w:eastAsia="Figtree"/>
                <w:sz w:val="20"/>
              </w:rPr>
              <w:t xml:space="preserve">Dynamic supply management</w:t>
            </w:r>
          </w:p>
        </w:tc>
      </w:tr>
      <w:tr>
        <w:tc>
          <w:tcPr/>
          <w:p>
            <w:pPr>
              <w:spacing w:after="0" w:line="240" w:lineRule="auto"/>
              <w:rPr>
                <w:rFonts w:ascii="Figtree" w:hAnsi="Figtree" w:eastAsia="Figtree"/>
                <w:sz w:val="20"/>
              </w:rPr>
            </w:pPr>
            <w:r>
              <w:rPr>
                <w:rFonts w:ascii="Figtree" w:hAnsi="Figtree" w:eastAsia="Figtree"/>
                <w:sz w:val="20"/>
              </w:rPr>
              <w:t xml:space="preserve">13</w:t>
            </w:r>
          </w:p>
        </w:tc>
        <w:tc>
          <w:tcPr/>
          <w:p>
            <w:pPr>
              <w:spacing w:after="0" w:line="240" w:lineRule="auto"/>
              <w:rPr>
                <w:rFonts w:ascii="Figtree" w:hAnsi="Figtree" w:eastAsia="Figtree"/>
                <w:sz w:val="20"/>
              </w:rPr>
            </w:pPr>
            <w:r>
              <w:rPr>
                <w:rFonts w:ascii="Figtree" w:hAnsi="Figtree" w:eastAsia="Figtree"/>
                <w:sz w:val="20"/>
              </w:rPr>
              <w:t xml:space="preserve">Holding Period</w:t>
            </w:r>
          </w:p>
        </w:tc>
        <w:tc>
          <w:tcPr/>
          <w:p>
            <w:pPr>
              <w:spacing w:after="0" w:line="240" w:lineRule="auto"/>
              <w:rPr>
                <w:rFonts w:ascii="Figtree" w:hAnsi="Figtree" w:eastAsia="Figtree"/>
                <w:sz w:val="20"/>
              </w:rPr>
            </w:pPr>
            <w:r>
              <w:rPr>
                <w:rFonts w:ascii="Figtree" w:hAnsi="Figtree" w:eastAsia="Figtree"/>
                <w:sz w:val="20"/>
              </w:rPr>
              <w:t xml:space="preserve">Time-Based</w:t>
            </w:r>
          </w:p>
        </w:tc>
        <w:tc>
          <w:tcPr/>
          <w:p>
            <w:pPr>
              <w:spacing w:after="0" w:line="240" w:lineRule="auto"/>
              <w:rPr>
                <w:rFonts w:ascii="Figtree" w:hAnsi="Figtree" w:eastAsia="Figtree"/>
                <w:sz w:val="20"/>
              </w:rPr>
            </w:pPr>
            <w:r>
              <w:rPr>
                <w:rFonts w:ascii="Figtree" w:hAnsi="Figtree" w:eastAsia="Figtree"/>
                <w:sz w:val="20"/>
              </w:rPr>
              <w:t xml:space="preserve">Minimum hold duration</w:t>
            </w:r>
          </w:p>
        </w:tc>
      </w:tr>
      <w:tr>
        <w:tc>
          <w:tcPr/>
          <w:p>
            <w:pPr>
              <w:spacing w:after="0" w:line="240" w:lineRule="auto"/>
              <w:rPr>
                <w:rFonts w:ascii="Figtree" w:hAnsi="Figtree" w:eastAsia="Figtree"/>
                <w:sz w:val="20"/>
              </w:rPr>
            </w:pPr>
            <w:r>
              <w:rPr>
                <w:rFonts w:ascii="Figtree" w:hAnsi="Figtree" w:eastAsia="Figtree"/>
                <w:sz w:val="20"/>
              </w:rPr>
              <w:t xml:space="preserve">14</w:t>
            </w:r>
          </w:p>
        </w:tc>
        <w:tc>
          <w:tcPr/>
          <w:p>
            <w:pPr>
              <w:spacing w:after="0" w:line="240" w:lineRule="auto"/>
              <w:rPr>
                <w:rFonts w:ascii="Figtree" w:hAnsi="Figtree" w:eastAsia="Figtree"/>
                <w:sz w:val="20"/>
              </w:rPr>
            </w:pPr>
            <w:r>
              <w:rPr>
                <w:rFonts w:ascii="Figtree" w:hAnsi="Figtree" w:eastAsia="Figtree"/>
                <w:sz w:val="20"/>
              </w:rPr>
              <w:t xml:space="preserve">Lock-Up Windows</w:t>
            </w:r>
          </w:p>
        </w:tc>
        <w:tc>
          <w:tcPr/>
          <w:p>
            <w:pPr>
              <w:spacing w:after="0" w:line="240" w:lineRule="auto"/>
              <w:rPr>
                <w:rFonts w:ascii="Figtree" w:hAnsi="Figtree" w:eastAsia="Figtree"/>
                <w:sz w:val="20"/>
              </w:rPr>
            </w:pPr>
            <w:r>
              <w:rPr>
                <w:rFonts w:ascii="Figtree" w:hAnsi="Figtree" w:eastAsia="Figtree"/>
                <w:sz w:val="20"/>
              </w:rPr>
              <w:t xml:space="preserve">Time-Based</w:t>
            </w:r>
          </w:p>
        </w:tc>
        <w:tc>
          <w:tcPr/>
          <w:p>
            <w:pPr>
              <w:spacing w:after="0" w:line="240" w:lineRule="auto"/>
              <w:rPr>
                <w:rFonts w:ascii="Figtree" w:hAnsi="Figtree" w:eastAsia="Figtree"/>
                <w:sz w:val="20"/>
              </w:rPr>
            </w:pPr>
            <w:r>
              <w:rPr>
                <w:rFonts w:ascii="Figtree" w:hAnsi="Figtree" w:eastAsia="Figtree"/>
                <w:sz w:val="20"/>
              </w:rPr>
              <w:t xml:space="preserve">Period-restricted transfers</w:t>
            </w:r>
          </w:p>
        </w:tc>
      </w:tr>
      <w:tr>
        <w:tc>
          <w:tcPr/>
          <w:p>
            <w:pPr>
              <w:spacing w:after="0" w:line="240" w:lineRule="auto"/>
              <w:rPr>
                <w:rFonts w:ascii="Figtree" w:hAnsi="Figtree" w:eastAsia="Figtree"/>
                <w:sz w:val="20"/>
              </w:rPr>
            </w:pPr>
            <w:r>
              <w:rPr>
                <w:rFonts w:ascii="Figtree" w:hAnsi="Figtree" w:eastAsia="Figtree"/>
                <w:sz w:val="20"/>
              </w:rPr>
              <w:t xml:space="preserve">15</w:t>
            </w:r>
          </w:p>
        </w:tc>
        <w:tc>
          <w:tcPr/>
          <w:p>
            <w:pPr>
              <w:spacing w:after="0" w:line="240" w:lineRule="auto"/>
              <w:rPr>
                <w:rFonts w:ascii="Figtree" w:hAnsi="Figtree" w:eastAsia="Figtree"/>
                <w:sz w:val="20"/>
              </w:rPr>
            </w:pPr>
            <w:r>
              <w:rPr>
                <w:rFonts w:ascii="Figtree" w:hAnsi="Figtree" w:eastAsia="Figtree"/>
                <w:sz w:val="20"/>
              </w:rPr>
              <w:t xml:space="preserve">Time-Restricted Trading</w:t>
            </w:r>
          </w:p>
        </w:tc>
        <w:tc>
          <w:tcPr/>
          <w:p>
            <w:pPr>
              <w:spacing w:after="0" w:line="240" w:lineRule="auto"/>
              <w:rPr>
                <w:rFonts w:ascii="Figtree" w:hAnsi="Figtree" w:eastAsia="Figtree"/>
                <w:sz w:val="20"/>
              </w:rPr>
            </w:pPr>
            <w:r>
              <w:rPr>
                <w:rFonts w:ascii="Figtree" w:hAnsi="Figtree" w:eastAsia="Figtree"/>
                <w:sz w:val="20"/>
              </w:rPr>
              <w:t xml:space="preserve">Time-Based</w:t>
            </w:r>
          </w:p>
        </w:tc>
        <w:tc>
          <w:tcPr/>
          <w:p>
            <w:pPr>
              <w:spacing w:after="0" w:line="240" w:lineRule="auto"/>
              <w:rPr>
                <w:rFonts w:ascii="Figtree" w:hAnsi="Figtree" w:eastAsia="Figtree"/>
                <w:sz w:val="20"/>
              </w:rPr>
            </w:pPr>
            <w:r>
              <w:rPr>
                <w:rFonts w:ascii="Figtree" w:hAnsi="Figtree" w:eastAsia="Figtree"/>
                <w:sz w:val="20"/>
              </w:rPr>
              <w:t xml:space="preserve">Trading window enforcement</w:t>
            </w:r>
          </w:p>
        </w:tc>
      </w:tr>
      <w:tr>
        <w:tc>
          <w:tcPr/>
          <w:p>
            <w:pPr>
              <w:spacing w:after="0" w:line="240" w:lineRule="auto"/>
              <w:rPr>
                <w:rFonts w:ascii="Figtree" w:hAnsi="Figtree" w:eastAsia="Figtree"/>
                <w:sz w:val="20"/>
              </w:rPr>
            </w:pPr>
            <w:r>
              <w:rPr>
                <w:rFonts w:ascii="Figtree" w:hAnsi="Figtree" w:eastAsia="Figtree"/>
                <w:sz w:val="20"/>
              </w:rPr>
              <w:t xml:space="preserve">16</w:t>
            </w:r>
          </w:p>
        </w:tc>
        <w:tc>
          <w:tcPr/>
          <w:p>
            <w:pPr>
              <w:spacing w:after="0" w:line="240" w:lineRule="auto"/>
              <w:rPr>
                <w:rFonts w:ascii="Figtree" w:hAnsi="Figtree" w:eastAsia="Figtree"/>
                <w:sz w:val="20"/>
              </w:rPr>
            </w:pPr>
            <w:r>
              <w:rPr>
                <w:rFonts w:ascii="Figtree" w:hAnsi="Figtree" w:eastAsia="Figtree"/>
                <w:sz w:val="20"/>
              </w:rPr>
              <w:t xml:space="preserve">Collateral Backing</w:t>
            </w:r>
          </w:p>
        </w:tc>
        <w:tc>
          <w:tcPr/>
          <w:p>
            <w:pPr>
              <w:spacing w:after="0" w:line="240" w:lineRule="auto"/>
              <w:rPr>
                <w:rFonts w:ascii="Figtree" w:hAnsi="Figtree" w:eastAsia="Figtree"/>
                <w:sz w:val="20"/>
              </w:rPr>
            </w:pPr>
            <w:r>
              <w:rPr>
                <w:rFonts w:ascii="Figtree" w:hAnsi="Figtree" w:eastAsia="Figtree"/>
                <w:sz w:val="20"/>
              </w:rPr>
              <w:t xml:space="preserve">Settlement/Collateral</w:t>
            </w:r>
          </w:p>
        </w:tc>
        <w:tc>
          <w:tcPr/>
          <w:p>
            <w:pPr>
              <w:spacing w:after="0" w:line="240" w:lineRule="auto"/>
              <w:rPr>
                <w:rFonts w:ascii="Figtree" w:hAnsi="Figtree" w:eastAsia="Figtree"/>
                <w:sz w:val="20"/>
              </w:rPr>
            </w:pPr>
            <w:r>
              <w:rPr>
                <w:rFonts w:ascii="Figtree" w:hAnsi="Figtree" w:eastAsia="Figtree"/>
                <w:sz w:val="20"/>
              </w:rPr>
              <w:t xml:space="preserve">Reserve verification</w:t>
            </w:r>
          </w:p>
        </w:tc>
      </w:tr>
      <w:tr>
        <w:tc>
          <w:tcPr/>
          <w:p>
            <w:pPr>
              <w:spacing w:after="0" w:line="240" w:lineRule="auto"/>
              <w:rPr>
                <w:rFonts w:ascii="Figtree" w:hAnsi="Figtree" w:eastAsia="Figtree"/>
                <w:sz w:val="20"/>
              </w:rPr>
            </w:pPr>
            <w:r>
              <w:rPr>
                <w:rFonts w:ascii="Figtree" w:hAnsi="Figtree" w:eastAsia="Figtree"/>
                <w:sz w:val="20"/>
              </w:rPr>
              <w:t xml:space="preserve">17</w:t>
            </w:r>
          </w:p>
        </w:tc>
        <w:tc>
          <w:tcPr/>
          <w:p>
            <w:pPr>
              <w:spacing w:after="0" w:line="240" w:lineRule="auto"/>
              <w:rPr>
                <w:rFonts w:ascii="Figtree" w:hAnsi="Figtree" w:eastAsia="Figtree"/>
                <w:sz w:val="20"/>
              </w:rPr>
            </w:pPr>
            <w:r>
              <w:rPr>
                <w:rFonts w:ascii="Figtree" w:hAnsi="Figtree" w:eastAsia="Figtree"/>
                <w:sz w:val="20"/>
              </w:rPr>
              <w:t xml:space="preserve">Settlement Conditions</w:t>
            </w:r>
          </w:p>
        </w:tc>
        <w:tc>
          <w:tcPr/>
          <w:p>
            <w:pPr>
              <w:spacing w:after="0" w:line="240" w:lineRule="auto"/>
              <w:rPr>
                <w:rFonts w:ascii="Figtree" w:hAnsi="Figtree" w:eastAsia="Figtree"/>
                <w:sz w:val="20"/>
              </w:rPr>
            </w:pPr>
            <w:r>
              <w:rPr>
                <w:rFonts w:ascii="Figtree" w:hAnsi="Figtree" w:eastAsia="Figtree"/>
                <w:sz w:val="20"/>
              </w:rPr>
              <w:t xml:space="preserve">Settlement/Collateral</w:t>
            </w:r>
          </w:p>
        </w:tc>
        <w:tc>
          <w:tcPr/>
          <w:p>
            <w:pPr>
              <w:spacing w:after="0" w:line="240" w:lineRule="auto"/>
              <w:rPr>
                <w:rFonts w:ascii="Figtree" w:hAnsi="Figtree" w:eastAsia="Figtree"/>
                <w:sz w:val="20"/>
              </w:rPr>
            </w:pPr>
            <w:r>
              <w:rPr>
                <w:rFonts w:ascii="Figtree" w:hAnsi="Figtree" w:eastAsia="Figtree"/>
                <w:sz w:val="20"/>
              </w:rPr>
              <w:t xml:space="preserve">Pre-settlement requirements</w:t>
            </w:r>
          </w:p>
        </w:tc>
      </w:tr>
      <w:tr>
        <w:tc>
          <w:tcPr/>
          <w:p>
            <w:pPr>
              <w:spacing w:after="0" w:line="240" w:lineRule="auto"/>
              <w:rPr>
                <w:rFonts w:ascii="Figtree" w:hAnsi="Figtree" w:eastAsia="Figtree"/>
                <w:sz w:val="20"/>
              </w:rPr>
            </w:pPr>
            <w:r>
              <w:rPr>
                <w:rFonts w:ascii="Figtree" w:hAnsi="Figtree" w:eastAsia="Figtree"/>
                <w:sz w:val="20"/>
              </w:rPr>
              <w:t xml:space="preserve">18</w:t>
            </w:r>
          </w:p>
        </w:tc>
        <w:tc>
          <w:tcPr/>
          <w:p>
            <w:pPr>
              <w:spacing w:after="0" w:line="240" w:lineRule="auto"/>
              <w:rPr>
                <w:rFonts w:ascii="Figtree" w:hAnsi="Figtree" w:eastAsia="Figtree"/>
                <w:sz w:val="20"/>
              </w:rPr>
            </w:pPr>
            <w:r>
              <w:rPr>
                <w:rFonts w:ascii="Figtree" w:hAnsi="Figtree" w:eastAsia="Figtree"/>
                <w:sz w:val="20"/>
              </w:rPr>
              <w:t xml:space="preserve">Transaction Fee</w:t>
            </w:r>
          </w:p>
        </w:tc>
        <w:tc>
          <w:tcPr/>
          <w:p>
            <w:pPr>
              <w:spacing w:after="0" w:line="240" w:lineRule="auto"/>
              <w:rPr>
                <w:rFonts w:ascii="Figtree" w:hAnsi="Figtree" w:eastAsia="Figtree"/>
                <w:sz w:val="20"/>
              </w:rPr>
            </w:pPr>
            <w:r>
              <w:rPr>
                <w:rFonts w:ascii="Figtree" w:hAnsi="Figtree" w:eastAsia="Figtree"/>
                <w:sz w:val="20"/>
              </w:rPr>
              <w:t xml:space="preserve">Settlement/Collateral</w:t>
            </w:r>
          </w:p>
        </w:tc>
        <w:tc>
          <w:tcPr/>
          <w:p>
            <w:pPr>
              <w:spacing w:after="0" w:line="240" w:lineRule="auto"/>
              <w:rPr>
                <w:rFonts w:ascii="Figtree" w:hAnsi="Figtree" w:eastAsia="Figtree"/>
                <w:sz w:val="20"/>
              </w:rPr>
            </w:pPr>
            <w:r>
              <w:rPr>
                <w:rFonts w:ascii="Figtree" w:hAnsi="Figtree" w:eastAsia="Figtree"/>
                <w:sz w:val="20"/>
              </w:rPr>
              <w:t xml:space="preserve">Fee collection enforcement</w:t>
            </w:r>
          </w:p>
        </w:tc>
      </w:tr>
    </w:tbl>
    <w:p>
      <w:pPr>
        <w:pStyle w:val="H3"/>
        <w:numPr>
          <w:ilvl w:val="2"/>
          <w:numId w:val="1"/>
        </w:numPr>
      </w:pPr>
      <w:r>
        <w:rPr/>
        <w:t xml:space="preserve">Appendix C: Asset Template Capabilities</w:t>
      </w:r>
    </w:p>
    <w:tbl>
      <w:tblPr>
        <w:tblStyle w:val="TableGrid"/>
        <w:tblW w:w="5000" w:type="pct"/>
        <w:jc w:val="center"/>
        <w:tblBorders>
          <w:top w:val="single" w:color="C4B4D8" w:sz="4" w:space="0"/>
          <w:left w:val="single" w:color="C4B4D8" w:sz="4" w:space="0"/>
          <w:bottom w:val="single" w:color="C4B4D8" w:sz="4" w:space="0"/>
          <w:right w:val="single" w:color="C4B4D8" w:sz="4" w:space="0"/>
          <w:insideH w:val="single" w:color="C4B4D8" w:sz="4" w:space="0"/>
          <w:insideV w:val="single" w:color="C4B4D8" w:sz="4" w:space="0"/>
        </w:tblBorders>
        <w:tblLook w:val="04A0"/>
      </w:tblPr>
      <w:tblGrid>
        <w:gridCol w:w="2400"/>
        <w:gridCol w:w="2400"/>
        <w:gridCol w:w="2400"/>
        <w:gridCol w:w="2400"/>
        <w:gridCol w:w="2400"/>
        <w:gridCol w:w="2400"/>
        <w:gridCol w:w="2400"/>
        <w:gridCol w:w="2400"/>
      </w:tblGrid>
      <w:tr>
        <w:tc>
          <w:tcPr>
            <w:shd w:val="clear" w:fill="E8E0F0"/>
          </w:tcPr>
          <w:p>
            <w:pPr>
              <w:spacing w:after="0" w:line="240" w:lineRule="auto"/>
              <w:jc w:val="left"/>
              <w:rPr>
                <w:rFonts w:ascii="Figtree" w:hAnsi="Figtree" w:eastAsia="Figtree"/>
                <w:sz w:val="20"/>
                <w:b/>
                <w:color w:val="2D1A8C"/>
              </w:rPr>
            </w:pPr>
            <w:r>
              <w:rPr>
                <w:rFonts w:ascii="Figtree" w:hAnsi="Figtree" w:eastAsia="Figtree"/>
                <w:sz w:val="20"/>
                <w:b/>
                <w:color w:val="2D1A8C"/>
              </w:rPr>
              <w:t xml:space="preserve">Capability</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Bonds</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Equity</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Funds</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Stablecoins</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Deposits</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Real Estate</w:t>
            </w:r>
          </w:p>
        </w:tc>
        <w:tc>
          <w:tcPr>
            <w:shd w:val="clear" w:fill="E8E0F0"/>
          </w:tcPr>
          <w:p>
            <w:pPr>
              <w:spacing w:after="0" w:line="240" w:lineRule="auto"/>
              <w:jc w:val="center"/>
              <w:rPr>
                <w:rFonts w:ascii="Figtree" w:hAnsi="Figtree" w:eastAsia="Figtree"/>
                <w:sz w:val="20"/>
                <w:b/>
                <w:color w:val="2D1A8C"/>
              </w:rPr>
            </w:pPr>
            <w:r>
              <w:rPr>
                <w:rFonts w:ascii="Figtree" w:hAnsi="Figtree" w:eastAsia="Figtree"/>
                <w:sz w:val="20"/>
                <w:b/>
                <w:color w:val="2D1A8C"/>
              </w:rPr>
              <w:t xml:space="preserve">Precious Metals</w:t>
            </w:r>
          </w:p>
        </w:tc>
      </w:tr>
      <w:tr>
        <w:tc>
          <w:tcPr/>
          <w:p>
            <w:pPr>
              <w:spacing w:after="0" w:line="240" w:lineRule="auto"/>
              <w:rPr>
                <w:rFonts w:ascii="Figtree" w:hAnsi="Figtree" w:eastAsia="Figtree"/>
                <w:sz w:val="20"/>
              </w:rPr>
            </w:pPr>
            <w:r>
              <w:rPr>
                <w:rFonts w:ascii="Figtree" w:hAnsi="Figtree" w:eastAsia="Figtree"/>
                <w:sz w:val="20"/>
              </w:rPr>
              <w:t xml:space="preserve">Configurable terms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r>
      <w:tr>
        <w:tc>
          <w:tcPr/>
          <w:p>
            <w:pPr>
              <w:spacing w:after="0" w:line="240" w:lineRule="auto"/>
              <w:rPr>
                <w:rFonts w:ascii="Figtree" w:hAnsi="Figtree" w:eastAsia="Figtree"/>
                <w:sz w:val="20"/>
              </w:rPr>
            </w:pPr>
            <w:r>
              <w:rPr>
                <w:rFonts w:ascii="Figtree" w:hAnsi="Figtree" w:eastAsia="Figtree"/>
                <w:sz w:val="20"/>
              </w:rPr>
              <w:t xml:space="preserve">Compliance modules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r>
      <w:tr>
        <w:tc>
          <w:tcPr/>
          <w:p>
            <w:pPr>
              <w:spacing w:after="0" w:line="240" w:lineRule="auto"/>
              <w:rPr>
                <w:rFonts w:ascii="Figtree" w:hAnsi="Figtree" w:eastAsia="Figtree"/>
                <w:sz w:val="20"/>
              </w:rPr>
            </w:pPr>
            <w:r>
              <w:rPr>
                <w:rFonts w:ascii="Figtree" w:hAnsi="Figtree" w:eastAsia="Figtree"/>
                <w:sz w:val="20"/>
              </w:rPr>
              <w:t xml:space="preserve">Automated distributions</w:t>
            </w:r>
          </w:p>
        </w:tc>
        <w:tc>
          <w:tcPr/>
          <w:p>
            <w:pPr>
              <w:spacing w:after="0" w:line="240" w:lineRule="auto"/>
              <w:rPr>
                <w:rFonts w:ascii="Figtree" w:hAnsi="Figtree" w:eastAsia="Figtree"/>
                <w:sz w:val="20"/>
              </w:rPr>
            </w:pPr>
            <w:r>
              <w:rPr>
                <w:rFonts w:ascii="Figtree" w:hAnsi="Figtree" w:eastAsia="Figtree"/>
                <w:sz w:val="20"/>
              </w:rPr>
              <w:t xml:space="preserve">Coupon</w:t>
            </w:r>
          </w:p>
        </w:tc>
        <w:tc>
          <w:tcPr/>
          <w:p>
            <w:pPr>
              <w:spacing w:after="0" w:line="240" w:lineRule="auto"/>
              <w:rPr>
                <w:rFonts w:ascii="Figtree" w:hAnsi="Figtree" w:eastAsia="Figtree"/>
                <w:sz w:val="20"/>
              </w:rPr>
            </w:pPr>
            <w:r>
              <w:rPr>
                <w:rFonts w:ascii="Figtree" w:hAnsi="Figtree" w:eastAsia="Figtree"/>
                <w:sz w:val="20"/>
              </w:rPr>
              <w:t xml:space="preserve">Dividend</w:t>
            </w:r>
          </w:p>
        </w:tc>
        <w:tc>
          <w:tcPr/>
          <w:p>
            <w:pPr>
              <w:spacing w:after="0" w:line="240" w:lineRule="auto"/>
              <w:rPr>
                <w:rFonts w:ascii="Figtree" w:hAnsi="Figtree" w:eastAsia="Figtree"/>
                <w:sz w:val="20"/>
              </w:rPr>
            </w:pPr>
            <w:r>
              <w:rPr>
                <w:rFonts w:ascii="Figtree" w:hAnsi="Figtree" w:eastAsia="Figtree"/>
                <w:sz w:val="20"/>
              </w:rPr>
              <w:t xml:space="preserve">NAV-based</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Interest</w:t>
            </w:r>
          </w:p>
        </w:tc>
        <w:tc>
          <w:tcPr/>
          <w:p>
            <w:pPr>
              <w:spacing w:after="0" w:line="240" w:lineRule="auto"/>
              <w:rPr>
                <w:rFonts w:ascii="Figtree" w:hAnsi="Figtree" w:eastAsia="Figtree"/>
                <w:sz w:val="20"/>
              </w:rPr>
            </w:pPr>
            <w:r>
              <w:rPr>
                <w:rFonts w:ascii="Figtree" w:hAnsi="Figtree" w:eastAsia="Figtree"/>
                <w:sz w:val="20"/>
              </w:rPr>
              <w:t xml:space="preserve">Rental</w:t>
            </w:r>
          </w:p>
        </w:tc>
        <w:tc>
          <w:tcPr/>
          <w:p>
            <w:pPr>
              <w:spacing w:after="0" w:line="240" w:lineRule="auto"/>
              <w:rPr>
                <w:rFonts w:ascii="Figtree" w:hAnsi="Figtree" w:eastAsia="Figtree"/>
                <w:sz w:val="20"/>
              </w:rPr>
            </w:pPr>
            <w:r>
              <w:rPr>
                <w:rFonts w:ascii="Figtree" w:hAnsi="Figtree" w:eastAsia="Figtree"/>
                <w:sz w:val="20"/>
              </w:rPr>
              <w:t xml:space="preserve">N/A</w:t>
            </w:r>
          </w:p>
        </w:tc>
      </w:tr>
      <w:tr>
        <w:tc>
          <w:tcPr/>
          <w:p>
            <w:pPr>
              <w:spacing w:after="0" w:line="240" w:lineRule="auto"/>
              <w:rPr>
                <w:rFonts w:ascii="Figtree" w:hAnsi="Figtree" w:eastAsia="Figtree"/>
                <w:sz w:val="20"/>
              </w:rPr>
            </w:pPr>
            <w:r>
              <w:rPr>
                <w:rFonts w:ascii="Figtree" w:hAnsi="Figtree" w:eastAsia="Figtree"/>
                <w:sz w:val="20"/>
              </w:rPr>
              <w:t xml:space="preserve">Maturity processing</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N/A</w:t>
            </w:r>
          </w:p>
        </w:tc>
      </w:tr>
      <w:tr>
        <w:tc>
          <w:tcPr/>
          <w:p>
            <w:pPr>
              <w:spacing w:after="0" w:line="240" w:lineRule="auto"/>
              <w:rPr>
                <w:rFonts w:ascii="Figtree" w:hAnsi="Figtree" w:eastAsia="Figtree"/>
                <w:sz w:val="20"/>
              </w:rPr>
            </w:pPr>
            <w:r>
              <w:rPr>
                <w:rFonts w:ascii="Figtree" w:hAnsi="Figtree" w:eastAsia="Figtree"/>
                <w:sz w:val="20"/>
              </w:rPr>
              <w:t xml:space="preserve">Fractional units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r>
      <w:tr>
        <w:tc>
          <w:tcPr/>
          <w:p>
            <w:pPr>
              <w:spacing w:after="0" w:line="240" w:lineRule="auto"/>
              <w:rPr>
                <w:rFonts w:ascii="Figtree" w:hAnsi="Figtree" w:eastAsia="Figtree"/>
                <w:sz w:val="20"/>
              </w:rPr>
            </w:pPr>
            <w:r>
              <w:rPr>
                <w:rFonts w:ascii="Figtree" w:hAnsi="Figtree" w:eastAsia="Figtree"/>
                <w:sz w:val="20"/>
              </w:rPr>
              <w:t xml:space="preserve">Secondary transfer</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r>
      <w:tr>
        <w:tc>
          <w:tcPr/>
          <w:p>
            <w:pPr>
              <w:spacing w:after="0" w:line="240" w:lineRule="auto"/>
              <w:rPr>
                <w:rFonts w:ascii="Figtree" w:hAnsi="Figtree" w:eastAsia="Figtree"/>
                <w:sz w:val="20"/>
              </w:rPr>
            </w:pPr>
            <w:r>
              <w:rPr>
                <w:rFonts w:ascii="Figtree" w:hAnsi="Figtree" w:eastAsia="Figtree"/>
                <w:sz w:val="20"/>
              </w:rPr>
              <w:t xml:space="preserve">Voting rights</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Yes (ERC-5805)</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N/A</w:t>
            </w:r>
          </w:p>
        </w:tc>
      </w:tr>
      <w:tr>
        <w:tc>
          <w:tcPr/>
          <w:p>
            <w:pPr>
              <w:spacing w:after="0" w:line="240" w:lineRule="auto"/>
              <w:rPr>
                <w:rFonts w:ascii="Figtree" w:hAnsi="Figtree" w:eastAsia="Figtree"/>
                <w:sz w:val="20"/>
              </w:rPr>
            </w:pPr>
            <w:r>
              <w:rPr>
                <w:rFonts w:ascii="Figtree" w:hAnsi="Figtree" w:eastAsia="Figtree"/>
                <w:sz w:val="20"/>
              </w:rPr>
              <w:t xml:space="preserve">Convertible mechanics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N/A</w:t>
            </w:r>
          </w:p>
        </w:tc>
      </w:tr>
      <w:tr>
        <w:tc>
          <w:tcPr/>
          <w:p>
            <w:pPr>
              <w:spacing w:after="0" w:line="240" w:lineRule="auto"/>
              <w:rPr>
                <w:rFonts w:ascii="Figtree" w:hAnsi="Figtree" w:eastAsia="Figtree"/>
                <w:sz w:val="20"/>
              </w:rPr>
            </w:pPr>
            <w:r>
              <w:rPr>
                <w:rFonts w:ascii="Figtree" w:hAnsi="Figtree" w:eastAsia="Figtree"/>
                <w:sz w:val="20"/>
              </w:rPr>
              <w:t xml:space="preserve">Reserve monitoring</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Yes</w:t>
            </w:r>
          </w:p>
        </w:tc>
      </w:tr>
      <w:tr>
        <w:tc>
          <w:tcPr/>
          <w:p>
            <w:pPr>
              <w:spacing w:after="0" w:line="240" w:lineRule="auto"/>
              <w:rPr>
                <w:rFonts w:ascii="Figtree" w:hAnsi="Figtree" w:eastAsia="Figtree"/>
                <w:sz w:val="20"/>
              </w:rPr>
            </w:pPr>
            <w:r>
              <w:rPr>
                <w:rFonts w:ascii="Figtree" w:hAnsi="Figtree" w:eastAsia="Figtree"/>
                <w:sz w:val="20"/>
              </w:rPr>
              <w:t xml:space="preserve">Treasury payout</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N/A</w:t>
            </w:r>
          </w:p>
        </w:tc>
      </w:tr>
      <w:tr>
        <w:tc>
          <w:tcPr/>
          <w:p>
            <w:pPr>
              <w:spacing w:after="0" w:line="240" w:lineRule="auto"/>
              <w:rPr>
                <w:rFonts w:ascii="Figtree" w:hAnsi="Figtree" w:eastAsia="Figtree"/>
                <w:sz w:val="20"/>
              </w:rPr>
            </w:pPr>
            <w:r>
              <w:rPr>
                <w:rFonts w:ascii="Figtree" w:hAnsi="Figtree" w:eastAsia="Figtree"/>
                <w:sz w:val="20"/>
              </w:rPr>
              <w:t xml:space="preserve">Token sale/primary offering</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N/A</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r>
      <w:tr>
        <w:tc>
          <w:tcPr/>
          <w:p>
            <w:pPr>
              <w:spacing w:after="0" w:line="240" w:lineRule="auto"/>
              <w:rPr>
                <w:rFonts w:ascii="Figtree" w:hAnsi="Figtree" w:eastAsia="Figtree"/>
                <w:sz w:val="20"/>
              </w:rPr>
            </w:pPr>
            <w:r>
              <w:rPr>
                <w:rFonts w:ascii="Figtree" w:hAnsi="Figtree" w:eastAsia="Figtree"/>
                <w:sz w:val="20"/>
              </w:rPr>
              <w:t xml:space="preserve">XvP settlement</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c>
          <w:tcPr/>
          <w:p>
            <w:pPr>
              <w:spacing w:after="0" w:line="240" w:lineRule="auto"/>
              <w:rPr>
                <w:rFonts w:ascii="Figtree" w:hAnsi="Figtree" w:eastAsia="Figtree"/>
                <w:sz w:val="20"/>
              </w:rPr>
            </w:pPr>
            <w:r>
              <w:rPr>
                <w:rFonts w:ascii="Figtree" w:hAnsi="Figtree" w:eastAsia="Figtree"/>
                <w:sz w:val="20"/>
              </w:rPr>
              <w:t xml:space="preserve">Yes</w:t>
            </w:r>
          </w:p>
        </w:tc>
      </w:tr>
    </w:tbl>
    <w:p>
      <w:r>
        <w:br w:type="page"/>
      </w:r>
    </w:p>
    <w:p>
      <w:pPr/>
      <w:r>
        <w:rPr>
          <w:rFonts w:ascii="Figtree" w:hAnsi="Figtree" w:eastAsia="Figtree"/>
          <w:b/>
          <w:sz w:val="22"/>
        </w:rPr>
        <w:t xml:space="preserve">SettleMint NV</w:t>
      </w:r>
    </w:p>
    <w:p>
      <w:pPr/>
      <w:r>
        <w:rPr>
          <w:rFonts w:ascii="Figtree" w:hAnsi="Figtree" w:eastAsia="Figtree"/>
          <w:sz w:val="22"/>
        </w:rPr>
        <w:t xml:space="preserve">Confidential. This document contains proprietary information intended solely for Mashreq Bank.</w:t>
      </w:r>
    </w:p>
    <w:sectPr w:rsidRPr="00A9690B" w:rsidR="00D852B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4DB8" w:rsidP="00D852BB" w:rsidRDefault="009F4DB8" w14:paraId="756AE061" w14:textId="77777777">
      <w:pPr>
        <w:spacing w:after="0" w:line="240" w:lineRule="auto"/>
      </w:pPr>
      <w:r>
        <w:separator/>
      </w:r>
    </w:p>
  </w:endnote>
  <w:endnote w:type="continuationSeparator" w:id="0">
    <w:p w:rsidR="009F4DB8" w:rsidP="00D852BB" w:rsidRDefault="009F4DB8" w14:paraId="429347A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3551D" w:rsidR="00E32BFB" w:rsidP="00E32BFB" w:rsidRDefault="00E32BFB" w14:paraId="346AAF02" w14:textId="0BD27254">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editId="2A79EDDE" wp14:anchorId="1073185A">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039" strokeweight=".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from="-5.25pt,-14.3pt" to="615.55pt,-14.3pt" w14:anchorId="3FBE3D7E">
              <v:stroke joinstyle="miter"/>
              <w10:wrap anchorx="page"/>
            </v:line>
          </w:pict>
        </mc:Fallback>
      </mc:AlternateContent>
    </w:r>
    <w:r w:rsidRPr="00E32BFB">
      <w:rPr>
        <w:sz w:val="20"/>
        <w:szCs w:val="20"/>
      </w:rPr>
      <w:ptab w:alignment="center" w:relativeTo="margin" w:leader="none"/>
    </w:r>
    <w:r w:rsidRPr="0093551D">
      <w:rPr>
        <w:color w:val="0E2841" w:themeColor="text2"/>
        <w:sz w:val="20"/>
        <w:szCs w:val="20"/>
      </w:rPr>
      <w:t>SettleMint Confidential, All Rights Reserved</w:t>
    </w:r>
    <w:r w:rsidRPr="0093551D">
      <w:rPr>
        <w:color w:val="0E2841" w:themeColor="text2"/>
        <w:sz w:val="20"/>
        <w:szCs w:val="20"/>
      </w:rPr>
      <w:ptab w:alignment="right" w:relativeTo="margin"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4DB8" w:rsidP="00D852BB" w:rsidRDefault="009F4DB8" w14:paraId="5ECD5B74" w14:textId="77777777">
      <w:pPr>
        <w:spacing w:after="0" w:line="240" w:lineRule="auto"/>
      </w:pPr>
      <w:r>
        <w:separator/>
      </w:r>
    </w:p>
  </w:footnote>
  <w:footnote w:type="continuationSeparator" w:id="0">
    <w:p w:rsidR="009F4DB8" w:rsidP="00D852BB" w:rsidRDefault="009F4DB8" w14:paraId="62AEAD1A"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52BB" w:rsidRDefault="00E32BFB" w14:paraId="5EB648D1" w14:textId="77777777">
    <w:pPr>
      <w:pStyle w:val="Header"/>
    </w:pPr>
    <w:r>
      <w:rPr>
        <w:noProof/>
      </w:rPr>
      <w:drawing>
        <wp:anchor distT="0" distB="0" distL="114300" distR="114300" simplePos="0" relativeHeight="251659264" behindDoc="0" locked="0" layoutInCell="1" allowOverlap="1" wp14:editId="4494BAB8" wp14:anchorId="633C2A67">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editId="18CBED61" wp14:anchorId="55A84FA9">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editId="1E61291E" wp14:anchorId="18A21DE2">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9" strokeweight=".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from="-76.5pt,22.35pt" to="544.3pt,22.35pt" w14:anchorId="3A7DB5CA">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hint="default" w:ascii="Figtree" w:hAnsi="Figtree"/>
        <w:b/>
        <w:i w:val="0"/>
        <w:color w:val="000099"/>
        <w:sz w:val="32"/>
      </w:rPr>
    </w:lvl>
    <w:lvl w:ilvl="1">
      <w:start w:val="1"/>
      <w:numFmt w:val="decimal"/>
      <w:pStyle w:val="Heading2"/>
      <w:suff w:val="space"/>
      <w:lvlText w:val="%1.%2"/>
      <w:lvlJc w:val="left"/>
      <w:pPr>
        <w:ind w:left="0" w:firstLine="0"/>
      </w:pPr>
      <w:rPr>
        <w:rFonts w:hint="default" w:ascii="Figtree" w:hAnsi="Figtree"/>
        <w:b/>
        <w:i w:val="0"/>
        <w:color w:val="000099"/>
        <w:sz w:val="28"/>
      </w:rPr>
    </w:lvl>
    <w:lvl w:ilvl="2">
      <w:start w:val="1"/>
      <w:numFmt w:val="decimal"/>
      <w:pStyle w:val="Heading3"/>
      <w:suff w:val="space"/>
      <w:lvlText w:val="%1.%2.%3"/>
      <w:lvlJc w:val="left"/>
      <w:pPr>
        <w:ind w:left="0" w:firstLine="0"/>
      </w:pPr>
      <w:rPr>
        <w:rFonts w:hint="default" w:ascii="Figtree" w:hAnsi="Figtree"/>
        <w:b/>
        <w:i w:val="0"/>
        <w:color w:val="000099"/>
        <w:sz w:val="24"/>
      </w:rPr>
      <w:lvlRestart w:val="1"/>
    </w:lvl>
    <w:lvl w:ilvl="3">
      <w:start w:val="1"/>
      <w:numFmt w:val="decimal"/>
      <w:pStyle w:val="Heading4"/>
      <w:suff w:val="space"/>
      <w:lvlText w:val="%1.%2.%3.%4"/>
      <w:lvlJc w:val="left"/>
      <w:pPr>
        <w:ind w:left="0" w:firstLine="0"/>
      </w:pPr>
      <w:rPr>
        <w:rFonts w:hint="default" w:ascii="Figtree" w:hAnsi="Figtree"/>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hint="default" w:ascii="Figtree" w:hAnsi="Figtree"/>
        <w:b/>
        <w:i w:val="0"/>
        <w:color w:val="0070C0"/>
        <w:sz w:val="32"/>
      </w:rPr>
    </w:lvl>
    <w:lvl w:ilvl="1">
      <w:start w:val="1"/>
      <w:numFmt w:val="decimal"/>
      <w:suff w:val="space"/>
      <w:lvlText w:val="%1.%2"/>
      <w:lvlJc w:val="left"/>
      <w:pPr>
        <w:ind w:left="0" w:firstLine="0"/>
      </w:pPr>
      <w:rPr>
        <w:rFonts w:hint="default" w:ascii="Figtree" w:hAnsi="Figtree"/>
        <w:b/>
        <w:i w:val="0"/>
        <w:color w:val="0070C0"/>
        <w:sz w:val="28"/>
      </w:rPr>
    </w:lvl>
    <w:lvl w:ilvl="2">
      <w:start w:val="1"/>
      <w:numFmt w:val="decimal"/>
      <w:suff w:val="space"/>
      <w:lvlText w:val="%1.%2.%3"/>
      <w:lvlJc w:val="left"/>
      <w:pPr>
        <w:ind w:left="0" w:firstLine="0"/>
      </w:pPr>
      <w:rPr>
        <w:rFonts w:hint="default" w:ascii="Figtree" w:hAnsi="Figtree"/>
        <w:b/>
        <w:i w:val="0"/>
        <w:color w:val="0070C0"/>
        <w:sz w:val="24"/>
      </w:rPr>
    </w:lvl>
    <w:lvl w:ilvl="3">
      <w:start w:val="1"/>
      <w:numFmt w:val="decimal"/>
      <w:suff w:val="space"/>
      <w:lvlText w:val="%1.%2.%3.%4"/>
      <w:lvlJc w:val="left"/>
      <w:pPr>
        <w:ind w:left="0" w:firstLine="0"/>
      </w:pPr>
      <w:rPr>
        <w:rFonts w:hint="default" w:ascii="Figtree" w:hAnsi="Figtree"/>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hAnsiTheme="majorHAnsi" w:eastAsiaTheme="majorEastAsia"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hAnsiTheme="majorHAnsi" w:eastAsiaTheme="majorEastAsia"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D6333"/>
    <w:rPr>
      <w:rFonts w:asciiTheme="majorHAnsi" w:hAnsiTheme="majorHAnsi" w:eastAsiaTheme="majorEastAsia" w:cstheme="majorBidi"/>
      <w:color w:val="000072" w:themeColor="accent1" w:themeShade="BF"/>
      <w:sz w:val="40"/>
      <w:szCs w:val="40"/>
    </w:rPr>
  </w:style>
  <w:style w:type="character" w:styleId="Heading2Char" w:customStyle="1">
    <w:name w:val="Heading 2 Char"/>
    <w:basedOn w:val="DefaultParagraphFont"/>
    <w:link w:val="Heading2"/>
    <w:uiPriority w:val="9"/>
    <w:rsid w:val="00FD6333"/>
    <w:rPr>
      <w:rFonts w:asciiTheme="majorHAnsi" w:hAnsiTheme="majorHAnsi" w:eastAsiaTheme="majorEastAsia" w:cstheme="majorBidi"/>
      <w:color w:val="000072" w:themeColor="accent1" w:themeShade="BF"/>
      <w:sz w:val="32"/>
      <w:szCs w:val="32"/>
    </w:rPr>
  </w:style>
  <w:style w:type="character" w:styleId="Heading3Char" w:customStyle="1">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styleId="Heading4Char" w:customStyle="1">
    <w:name w:val="Heading 4 Char"/>
    <w:basedOn w:val="DefaultParagraphFont"/>
    <w:link w:val="Heading4"/>
    <w:uiPriority w:val="9"/>
    <w:rsid w:val="00FD6333"/>
    <w:rPr>
      <w:rFonts w:eastAsiaTheme="majorEastAsia" w:cstheme="majorBidi"/>
      <w:i/>
      <w:iCs/>
      <w:color w:val="000072" w:themeColor="accent1" w:themeShade="BF"/>
    </w:rPr>
  </w:style>
  <w:style w:type="character" w:styleId="Heading5Char" w:customStyle="1">
    <w:name w:val="Heading 5 Char"/>
    <w:basedOn w:val="DefaultParagraphFont"/>
    <w:link w:val="Heading5"/>
    <w:uiPriority w:val="9"/>
    <w:semiHidden/>
    <w:rsid w:val="00FD6333"/>
    <w:rPr>
      <w:rFonts w:eastAsiaTheme="majorEastAsia" w:cstheme="majorBidi"/>
      <w:color w:val="000072" w:themeColor="accent1" w:themeShade="BF"/>
    </w:rPr>
  </w:style>
  <w:style w:type="character" w:styleId="Heading6Char" w:customStyle="1">
    <w:name w:val="Heading 6 Char"/>
    <w:basedOn w:val="DefaultParagraphFont"/>
    <w:link w:val="Heading6"/>
    <w:uiPriority w:val="9"/>
    <w:semiHidden/>
    <w:rsid w:val="00FD633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D633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D633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D633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styleId="QuoteChar" w:customStyle="1">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color="000072" w:themeColor="accent1" w:themeShade="BF" w:sz="4" w:space="10"/>
        <w:bottom w:val="single" w:color="000072" w:themeColor="accent1" w:themeShade="BF" w:sz="4" w:space="10"/>
      </w:pBdr>
      <w:spacing w:before="360" w:after="360"/>
      <w:ind w:left="864" w:right="864"/>
      <w:jc w:val="center"/>
    </w:pPr>
    <w:rPr>
      <w:i/>
      <w:iCs/>
      <w:color w:val="000072" w:themeColor="accent1" w:themeShade="BF"/>
    </w:rPr>
  </w:style>
  <w:style w:type="character" w:styleId="IntenseQuoteChar" w:customStyle="1">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styleId="HeaderChar" w:customStyle="1">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styleId="FooterChar" w:customStyle="1">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1F6184"/>
    <w:rPr>
      <w:rFonts w:eastAsiaTheme="minorEastAsia"/>
      <w:kern w:val="0"/>
      <w:sz w:val="22"/>
      <w:szCs w:val="22"/>
      <w:lang w:val="en-US"/>
      <w14:ligatures w14:val="none"/>
    </w:rPr>
  </w:style>
  <w:style w:type="paragraph" w:styleId="H1" w:customStyle="1">
    <w:name w:val="H1"/>
    <w:basedOn w:val="Heading1"/>
    <w:link w:val="H1Char"/>
    <w:autoRedefine/>
    <w:qFormat/>
    <w:rsid w:val="000A6351"/>
    <w:pPr>
      <w:ind w:left="0" w:firstLine="0"/>
      <w:jc w:val="left"/>
    </w:pPr>
    <w:rPr>
      <w:rFonts w:ascii="Figtree" w:hAnsi="Figtree"/>
      <w:b/>
      <w:color w:val="000099"/>
      <w:sz w:val="32"/>
    </w:rPr>
  </w:style>
  <w:style w:type="character" w:styleId="H1Char" w:customStyle="1">
    <w:name w:val="H1 Char"/>
    <w:basedOn w:val="Heading1Char"/>
    <w:link w:val="H1"/>
    <w:rsid w:val="000A6351"/>
    <w:rPr>
      <w:rFonts w:ascii="Figtree" w:hAnsi="Figtree" w:eastAsiaTheme="majorEastAsia" w:cstheme="majorBidi"/>
      <w:b/>
      <w:color w:val="000099"/>
      <w:sz w:val="32"/>
      <w:szCs w:val="40"/>
    </w:rPr>
  </w:style>
  <w:style w:type="paragraph" w:styleId="H2" w:customStyle="1">
    <w:name w:val="H2"/>
    <w:basedOn w:val="Heading2"/>
    <w:link w:val="H2Char"/>
    <w:autoRedefine/>
    <w:qFormat/>
    <w:rsid w:val="000A6351"/>
    <w:pPr>
      <w:ind w:left="0" w:firstLine="0"/>
      <w:jc w:val="left"/>
    </w:pPr>
    <w:rPr>
      <w:rFonts w:ascii="Figtree" w:hAnsi="Figtree"/>
      <w:b/>
      <w:color w:val="000099"/>
      <w:sz w:val="28"/>
    </w:rPr>
  </w:style>
  <w:style w:type="character" w:styleId="H2Char" w:customStyle="1">
    <w:name w:val="H2 Char"/>
    <w:basedOn w:val="Heading2Char"/>
    <w:link w:val="H2"/>
    <w:rsid w:val="000A6351"/>
    <w:rPr>
      <w:rFonts w:ascii="Figtree" w:hAnsi="Figtree" w:eastAsiaTheme="majorEastAsia" w:cstheme="majorBidi"/>
      <w:b/>
      <w:color w:val="000099"/>
      <w:sz w:val="28"/>
      <w:szCs w:val="32"/>
    </w:rPr>
  </w:style>
  <w:style w:type="paragraph" w:styleId="H3" w:customStyle="1">
    <w:name w:val="H3"/>
    <w:basedOn w:val="Heading3"/>
    <w:link w:val="H3Char"/>
    <w:autoRedefine/>
    <w:qFormat/>
    <w:rsid w:val="000A6351"/>
    <w:pPr>
      <w:ind w:left="0" w:firstLine="0"/>
      <w:jc w:val="left"/>
    </w:pPr>
    <w:rPr>
      <w:rFonts w:ascii="Figtree" w:hAnsi="Figtree"/>
      <w:b/>
      <w:color w:val="000099"/>
      <w:sz w:val="24"/>
    </w:rPr>
  </w:style>
  <w:style w:type="character" w:styleId="H3Char" w:customStyle="1">
    <w:name w:val="H3 Char"/>
    <w:basedOn w:val="Heading3Char"/>
    <w:link w:val="H3"/>
    <w:rsid w:val="000A6351"/>
    <w:rPr>
      <w:rFonts w:ascii="Figtree" w:hAnsi="Figtree" w:eastAsiaTheme="majorEastAsia" w:cstheme="majorBidi"/>
      <w:b/>
      <w:color w:val="000099"/>
      <w:sz w:val="28"/>
      <w:szCs w:val="28"/>
    </w:rPr>
  </w:style>
  <w:style w:type="paragraph" w:styleId="H4" w:customStyle="1">
    <w:name w:val="H4"/>
    <w:basedOn w:val="Heading4"/>
    <w:link w:val="H4Char"/>
    <w:autoRedefine/>
    <w:qFormat/>
    <w:rsid w:val="000A6351"/>
    <w:pPr>
      <w:ind w:left="0" w:firstLine="0"/>
      <w:jc w:val="left"/>
    </w:pPr>
    <w:rPr>
      <w:rFonts w:ascii="Figtree" w:hAnsi="Figtree"/>
      <w:b/>
      <w:i w:val="0"/>
      <w:color w:val="000099"/>
    </w:rPr>
  </w:style>
  <w:style w:type="character" w:styleId="H4Char" w:customStyle="1">
    <w:name w:val="H4 Char"/>
    <w:basedOn w:val="Heading4Char"/>
    <w:link w:val="H4"/>
    <w:rsid w:val="000A6351"/>
    <w:rPr>
      <w:rFonts w:ascii="Figtree" w:hAnsi="Figtree" w:eastAsiaTheme="majorEastAsia"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cs="Times New Roman" w:eastAsiaTheme="minorEastAsia"/>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cs="Times New Roman" w:eastAsiaTheme="minorEastAsia"/>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cs="Times New Roman" w:eastAsiaTheme="minorEastAsia"/>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glossaryDocument" Target="glossary/document.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thm15="http://schemas.microsoft.com/office/thememl/2012/main"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