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2"/>
        <w:numPr>
          <w:ilvl w:val="1"/>
          <w:numId w:val="1"/>
        </w:numPr>
      </w:pPr>
      <w:r>
        <w:t>Executive Summary</w:t>
      </w:r>
    </w:p>
    <w:p>
      <w:pPr>
        <w:pStyle w:val="ListParagraph"/>
        <w:numPr>
          <w:ilvl w:val="0"/>
          <w:numId w:val="4"/>
        </w:numPr>
      </w:pPr>
      <w:r>
        <w:rPr>
          <w:rFonts w:ascii="Figtree" w:hAnsi="Figtree"/>
          <w:b/>
          <w:i w:val="0"/>
          <w:sz w:val="22"/>
        </w:rPr>
        <w:t>Verdict:</w:t>
      </w:r>
      <w:r>
        <w:rPr>
          <w:rFonts w:ascii="Figtree" w:hAnsi="Figtree"/>
          <w:b w:val="0"/>
          <w:i w:val="0"/>
          <w:sz w:val="22"/>
        </w:rPr>
        <w:t xml:space="preserve"> Revise</w:t>
      </w:r>
    </w:p>
    <w:p>
      <w:pPr>
        <w:pStyle w:val="ListParagraph"/>
        <w:numPr>
          <w:ilvl w:val="0"/>
          <w:numId w:val="4"/>
        </w:numPr>
      </w:pPr>
      <w:r>
        <w:rPr>
          <w:rFonts w:ascii="Figtree" w:hAnsi="Figtree"/>
          <w:b/>
          <w:i w:val="0"/>
          <w:sz w:val="22"/>
        </w:rPr>
        <w:t>Review date:</w:t>
      </w:r>
      <w:r>
        <w:rPr>
          <w:rFonts w:ascii="Figtree" w:hAnsi="Figtree"/>
          <w:b w:val="0"/>
          <w:i w:val="0"/>
          <w:sz w:val="22"/>
        </w:rPr>
        <w:t xml:space="preserve"> 2026-03-20</w:t>
      </w:r>
    </w:p>
    <w:p>
      <w:pPr>
        <w:pStyle w:val="ListParagraph"/>
        <w:numPr>
          <w:ilvl w:val="0"/>
          <w:numId w:val="4"/>
        </w:numPr>
      </w:pPr>
      <w:r>
        <w:rPr>
          <w:rFonts w:ascii="Figtree" w:hAnsi="Figtree"/>
          <w:b/>
          <w:i w:val="0"/>
          <w:sz w:val="22"/>
        </w:rPr>
        <w:t>Slide count:</w:t>
      </w:r>
      <w:r>
        <w:rPr>
          <w:rFonts w:ascii="Figtree" w:hAnsi="Figtree"/>
          <w:b w:val="0"/>
          <w:i w:val="0"/>
          <w:sz w:val="22"/>
        </w:rPr>
        <w:t xml:space="preserve"> 20</w:t>
      </w:r>
    </w:p>
    <w:p>
      <w:pPr>
        <w:pStyle w:val="ListParagraph"/>
        <w:numPr>
          <w:ilvl w:val="0"/>
          <w:numId w:val="4"/>
        </w:numPr>
      </w:pPr>
      <w:r>
        <w:rPr>
          <w:rFonts w:ascii="Figtree" w:hAnsi="Figtree"/>
          <w:b/>
          <w:i w:val="0"/>
          <w:sz w:val="22"/>
        </w:rPr>
        <w:t>Audience fit:</w:t>
      </w:r>
      <w:r>
        <w:rPr>
          <w:rFonts w:ascii="Figtree" w:hAnsi="Figtree"/>
          <w:b w:val="0"/>
          <w:i w:val="0"/>
          <w:sz w:val="22"/>
        </w:rPr>
        <w:t xml:space="preserve"> MEA commercial / business-development conversations around DALP</w:t>
      </w:r>
    </w:p>
    <w:p>
      <w:pPr>
        <w:pStyle w:val="ListParagraph"/>
        <w:numPr>
          <w:ilvl w:val="0"/>
          <w:numId w:val="4"/>
        </w:numPr>
      </w:pPr>
      <w:r>
        <w:rPr>
          <w:rFonts w:ascii="Figtree" w:hAnsi="Figtree"/>
          <w:b/>
          <w:i w:val="0"/>
          <w:sz w:val="22"/>
        </w:rPr>
        <w:t>Hard failures:</w:t>
      </w:r>
      <w:r>
        <w:rPr>
          <w:rFonts w:ascii="Figtree" w:hAnsi="Figtree"/>
          <w:b w:val="0"/>
          <w:i w:val="0"/>
          <w:sz w:val="22"/>
        </w:rPr>
        <w:t xml:space="preserve"> Non-template slide dimensions; empty final slide</w:t>
      </w:r>
    </w:p>
    <w:p>
      <w:pPr>
        <w:pStyle w:val="ListParagraph"/>
        <w:numPr>
          <w:ilvl w:val="0"/>
          <w:numId w:val="4"/>
        </w:numPr>
      </w:pPr>
      <w:r>
        <w:rPr>
          <w:rFonts w:ascii="Figtree" w:hAnsi="Figtree"/>
          <w:b/>
          <w:i w:val="0"/>
          <w:sz w:val="22"/>
        </w:rPr>
        <w:t>Highest-risk slides:</w:t>
      </w:r>
      <w:r>
        <w:rPr>
          <w:rFonts w:ascii="Figtree" w:hAnsi="Figtree"/>
          <w:b w:val="0"/>
          <w:i w:val="0"/>
          <w:sz w:val="22"/>
        </w:rPr>
        <w:t xml:space="preserve"> 8, 9, 13, 19, 20</w:t>
      </w:r>
    </w:p>
    <w:p>
      <w:pPr>
        <w:pStyle w:val="ListParagraph"/>
        <w:numPr>
          <w:ilvl w:val="0"/>
          <w:numId w:val="4"/>
        </w:numPr>
      </w:pPr>
      <w:r>
        <w:rPr>
          <w:rFonts w:ascii="Figtree" w:hAnsi="Figtree"/>
          <w:b/>
          <w:i w:val="0"/>
          <w:sz w:val="22"/>
        </w:rPr>
        <w:t>Overall read:</w:t>
      </w:r>
      <w:r>
        <w:rPr>
          <w:rFonts w:ascii="Figtree" w:hAnsi="Figtree"/>
          <w:b w:val="0"/>
          <w:i w:val="0"/>
          <w:sz w:val="22"/>
        </w:rPr>
        <w:t xml:space="preserve"> The deck has a usable commercial arc and mostly disciplined DALP positioning, but it still behaves too much like a briefing document in the middle section. The biggest issues are structural rather than strategic: wrong template size, an empty ending, inconsistent footer/page-number behavior, and a few slides that ask the audience to read far too much.</w:t>
      </w:r>
    </w:p>
    <w:p>
      <w:pPr>
        <w:pStyle w:val="H2"/>
        <w:numPr>
          <w:ilvl w:val="1"/>
          <w:numId w:val="1"/>
        </w:numPr>
      </w:pPr>
      <w:r>
        <w:t>PPT Output Structure</w:t>
      </w:r>
    </w:p>
    <w:p>
      <w:pPr>
        <w:pStyle w:val="H3"/>
        <w:numPr>
          <w:ilvl w:val="2"/>
          <w:numId w:val="1"/>
        </w:numPr>
      </w:pPr>
      <w:r>
        <w:t>Deck-Level Structural Readout</w:t>
      </w:r>
    </w:p>
    <w:p>
      <w:pPr>
        <w:pStyle w:val="ListParagraph"/>
        <w:numPr>
          <w:ilvl w:val="0"/>
          <w:numId w:val="4"/>
        </w:numPr>
      </w:pPr>
      <w:r>
        <w:rPr>
          <w:rFonts w:ascii="Figtree" w:hAnsi="Figtree"/>
          <w:b/>
          <w:i w:val="0"/>
          <w:sz w:val="22"/>
        </w:rPr>
        <w:t>Template size compliance:</w:t>
      </w:r>
      <w:r>
        <w:rPr>
          <w:rFonts w:ascii="Figtree" w:hAnsi="Figtree"/>
          <w:b w:val="0"/>
          <w:i w:val="0"/>
          <w:sz w:val="22"/>
        </w:rPr>
        <w:t xml:space="preserve"> Fail — the deck is 13.333" × 7.5" (12192000 × 6858000 EMU), not the official ppt-maker / ppt-checker baseline of 10.0" × 5.6" (9144000 × 5143500 EMU).</w:t>
      </w:r>
    </w:p>
    <w:p>
      <w:pPr>
        <w:pStyle w:val="ListParagraph"/>
        <w:numPr>
          <w:ilvl w:val="0"/>
          <w:numId w:val="4"/>
        </w:numPr>
      </w:pPr>
      <w:r>
        <w:rPr>
          <w:rFonts w:ascii="Figtree" w:hAnsi="Figtree"/>
          <w:b/>
          <w:i w:val="0"/>
          <w:sz w:val="22"/>
        </w:rPr>
        <w:t>Empty slides:</w:t>
      </w:r>
      <w:r>
        <w:rPr>
          <w:rFonts w:ascii="Figtree" w:hAnsi="Figtree"/>
          <w:b w:val="0"/>
          <w:i w:val="0"/>
          <w:sz w:val="22"/>
        </w:rPr>
        <w:t xml:space="preserve"> Slide 20 is blank.</w:t>
      </w:r>
    </w:p>
    <w:p>
      <w:pPr>
        <w:pStyle w:val="ListParagraph"/>
        <w:numPr>
          <w:ilvl w:val="0"/>
          <w:numId w:val="4"/>
        </w:numPr>
      </w:pPr>
      <w:r>
        <w:rPr>
          <w:rFonts w:ascii="Figtree" w:hAnsi="Figtree"/>
          <w:b/>
          <w:i w:val="0"/>
          <w:sz w:val="22"/>
        </w:rPr>
        <w:t>Dense slides over 100 words:</w:t>
      </w:r>
      <w:r>
        <w:rPr>
          <w:rFonts w:ascii="Figtree" w:hAnsi="Figtree"/>
          <w:b w:val="0"/>
          <w:i w:val="0"/>
          <w:sz w:val="22"/>
        </w:rPr>
        <w:t xml:space="preserve"> Slides 8, 9, and 19.</w:t>
      </w:r>
    </w:p>
    <w:p>
      <w:pPr>
        <w:pStyle w:val="ListParagraph"/>
        <w:numPr>
          <w:ilvl w:val="0"/>
          <w:numId w:val="4"/>
        </w:numPr>
      </w:pPr>
      <w:r>
        <w:rPr>
          <w:rFonts w:ascii="Figtree" w:hAnsi="Figtree"/>
          <w:b/>
          <w:i w:val="0"/>
          <w:sz w:val="22"/>
        </w:rPr>
        <w:t>Near-density limit slides:</w:t>
      </w:r>
      <w:r>
        <w:rPr>
          <w:rFonts w:ascii="Figtree" w:hAnsi="Figtree"/>
          <w:b w:val="0"/>
          <w:i w:val="0"/>
          <w:sz w:val="22"/>
        </w:rPr>
        <w:t xml:space="preserve"> Slides 4, 5, and 13 are close enough to the upper limit that live-editing or layout changes could tip them into overcrowding.</w:t>
      </w:r>
    </w:p>
    <w:p>
      <w:pPr>
        <w:pStyle w:val="ListParagraph"/>
        <w:numPr>
          <w:ilvl w:val="0"/>
          <w:numId w:val="4"/>
        </w:numPr>
      </w:pPr>
      <w:r>
        <w:rPr>
          <w:rFonts w:ascii="Figtree" w:hAnsi="Figtree"/>
          <w:b/>
          <w:i w:val="0"/>
          <w:sz w:val="22"/>
        </w:rPr>
        <w:t>Dark / blue background content slides:</w:t>
      </w:r>
      <w:r>
        <w:rPr>
          <w:rFonts w:ascii="Figtree" w:hAnsi="Figtree"/>
          <w:b w:val="0"/>
          <w:i w:val="0"/>
          <w:sz w:val="22"/>
        </w:rPr>
        <w:t xml:space="preserve"> 3, 7, 12, 17 are section-divider style slides using brand/dark backgrounds. That is acceptable only if they are truly acting as dividers rather than content-bearing slides.</w:t>
      </w:r>
    </w:p>
    <w:p>
      <w:pPr>
        <w:pStyle w:val="ListParagraph"/>
        <w:numPr>
          <w:ilvl w:val="0"/>
          <w:numId w:val="4"/>
        </w:numPr>
      </w:pPr>
      <w:r>
        <w:rPr>
          <w:rFonts w:ascii="Figtree" w:hAnsi="Figtree"/>
          <w:b/>
          <w:i w:val="0"/>
          <w:sz w:val="22"/>
        </w:rPr>
        <w:t>Font discipline:</w:t>
      </w:r>
      <w:r>
        <w:rPr>
          <w:rFonts w:ascii="Figtree" w:hAnsi="Figtree"/>
          <w:b w:val="0"/>
          <w:i w:val="0"/>
          <w:sz w:val="22"/>
        </w:rPr>
        <w:t xml:space="preserve"> No non-Figtree fonts surfaced in the automated pass.</w:t>
      </w:r>
    </w:p>
    <w:p>
      <w:pPr>
        <w:pStyle w:val="ListParagraph"/>
        <w:numPr>
          <w:ilvl w:val="0"/>
          <w:numId w:val="4"/>
        </w:numPr>
      </w:pPr>
      <w:r>
        <w:rPr>
          <w:rFonts w:ascii="Figtree" w:hAnsi="Figtree"/>
          <w:b/>
          <w:i w:val="0"/>
          <w:sz w:val="22"/>
        </w:rPr>
        <w:t>Tables present:</w:t>
      </w:r>
      <w:r>
        <w:rPr>
          <w:rFonts w:ascii="Figtree" w:hAnsi="Figtree"/>
          <w:b w:val="0"/>
          <w:i w:val="0"/>
          <w:sz w:val="22"/>
        </w:rPr>
        <w:t xml:space="preserve"> Slides 13 and 19.</w:t>
      </w:r>
    </w:p>
    <w:p>
      <w:pPr>
        <w:pStyle w:val="ListParagraph"/>
        <w:numPr>
          <w:ilvl w:val="0"/>
          <w:numId w:val="4"/>
        </w:numPr>
      </w:pPr>
      <w:r>
        <w:rPr>
          <w:rFonts w:ascii="Figtree" w:hAnsi="Figtree"/>
          <w:b/>
          <w:i w:val="0"/>
          <w:sz w:val="22"/>
        </w:rPr>
        <w:t>Image-bearing slides:</w:t>
      </w:r>
      <w:r>
        <w:rPr>
          <w:rFonts w:ascii="Figtree" w:hAnsi="Figtree"/>
          <w:b w:val="0"/>
          <w:i w:val="0"/>
          <w:sz w:val="22"/>
        </w:rPr>
        <w:t xml:space="preserve"> 6, 10, 11, 14, 15, 16.</w:t>
      </w:r>
    </w:p>
    <w:p>
      <w:pPr>
        <w:pStyle w:val="ListParagraph"/>
        <w:numPr>
          <w:ilvl w:val="0"/>
          <w:numId w:val="4"/>
        </w:numPr>
      </w:pPr>
      <w:r>
        <w:rPr>
          <w:rFonts w:ascii="Figtree" w:hAnsi="Figtree"/>
          <w:b/>
          <w:i w:val="0"/>
          <w:sz w:val="22"/>
        </w:rPr>
        <w:t>Duplicate text blocks:</w:t>
      </w:r>
      <w:r>
        <w:rPr>
          <w:rFonts w:ascii="Figtree" w:hAnsi="Figtree"/>
          <w:b w:val="0"/>
          <w:i w:val="0"/>
          <w:sz w:val="22"/>
        </w:rPr>
        <w:t xml:space="preserve"> None surfaced.</w:t>
      </w:r>
    </w:p>
    <w:p>
      <w:pPr>
        <w:pStyle w:val="ListParagraph"/>
        <w:numPr>
          <w:ilvl w:val="0"/>
          <w:numId w:val="4"/>
        </w:numPr>
      </w:pPr>
      <w:r>
        <w:rPr>
          <w:rFonts w:ascii="Figtree" w:hAnsi="Figtree"/>
          <w:b/>
          <w:i w:val="0"/>
          <w:sz w:val="22"/>
        </w:rPr>
        <w:t>Agenda / orientation:</w:t>
      </w:r>
      <w:r>
        <w:rPr>
          <w:rFonts w:ascii="Figtree" w:hAnsi="Figtree"/>
          <w:b w:val="0"/>
          <w:i w:val="0"/>
          <w:sz w:val="22"/>
        </w:rPr>
        <w:t xml:space="preserve"> Agenda exists on Slide 2 and the flow is understandable.</w:t>
      </w:r>
    </w:p>
    <w:p>
      <w:pPr>
        <w:pStyle w:val="H3"/>
        <w:numPr>
          <w:ilvl w:val="2"/>
          <w:numId w:val="1"/>
        </w:numPr>
      </w:pPr>
      <w:r>
        <w:t>What Is Structurally Working</w:t>
      </w:r>
    </w:p>
    <w:p>
      <w:pPr>
        <w:pStyle w:val="ListParagraph"/>
        <w:numPr>
          <w:ilvl w:val="0"/>
          <w:numId w:val="4"/>
        </w:numPr>
      </w:pPr>
      <w:r>
        <w:rPr>
          <w:rFonts w:ascii="Figtree" w:hAnsi="Figtree"/>
          <w:b w:val="0"/>
          <w:i w:val="0"/>
          <w:sz w:val="22"/>
        </w:rPr>
        <w:t>The deck has a clear top-level sequence: cover → agenda → market context → DALP fit → operating model → use cases / proof.</w:t>
      </w:r>
    </w:p>
    <w:p>
      <w:pPr>
        <w:pStyle w:val="ListParagraph"/>
        <w:numPr>
          <w:ilvl w:val="0"/>
          <w:numId w:val="4"/>
        </w:numPr>
      </w:pPr>
      <w:r>
        <w:rPr>
          <w:rFonts w:ascii="Figtree" w:hAnsi="Figtree"/>
          <w:b w:val="0"/>
          <w:i w:val="0"/>
          <w:sz w:val="22"/>
        </w:rPr>
        <w:t>Section-divider usage is reasonably clear, with distinct transition slides at 3, 7, 12, and 17.</w:t>
      </w:r>
    </w:p>
    <w:p>
      <w:pPr>
        <w:pStyle w:val="ListParagraph"/>
        <w:numPr>
          <w:ilvl w:val="0"/>
          <w:numId w:val="4"/>
        </w:numPr>
      </w:pPr>
      <w:r>
        <w:rPr>
          <w:rFonts w:ascii="Figtree" w:hAnsi="Figtree"/>
          <w:b w:val="0"/>
          <w:i w:val="0"/>
          <w:sz w:val="22"/>
        </w:rPr>
        <w:t>Most slides appear native and editable rather than flattened into images.</w:t>
      </w:r>
    </w:p>
    <w:p>
      <w:pPr>
        <w:pStyle w:val="ListParagraph"/>
        <w:numPr>
          <w:ilvl w:val="0"/>
          <w:numId w:val="4"/>
        </w:numPr>
      </w:pPr>
      <w:r>
        <w:rPr>
          <w:rFonts w:ascii="Figtree" w:hAnsi="Figtree"/>
          <w:b w:val="0"/>
          <w:i w:val="0"/>
          <w:sz w:val="22"/>
        </w:rPr>
        <w:t>There is enough layout variety to avoid the impression of one repeated text box pattern.</w:t>
      </w:r>
    </w:p>
    <w:p>
      <w:pPr>
        <w:pStyle w:val="H3"/>
        <w:numPr>
          <w:ilvl w:val="2"/>
          <w:numId w:val="1"/>
        </w:numPr>
      </w:pPr>
      <w:r>
        <w:t>Hard Structural Failures</w:t>
      </w:r>
    </w:p>
    <w:p>
      <w:pPr>
        <w:pStyle w:val="ListParagraph"/>
        <w:numPr>
          <w:ilvl w:val="0"/>
          <w:numId w:val="4"/>
        </w:numPr>
      </w:pPr>
      <w:r>
        <w:rPr>
          <w:rFonts w:ascii="Figtree" w:hAnsi="Figtree"/>
          <w:b/>
          <w:i w:val="0"/>
          <w:sz w:val="22"/>
        </w:rPr>
        <w:t>Whole deck — wrong master/template dimensions.</w:t>
      </w:r>
      <w:r>
        <w:rPr>
          <w:rFonts w:ascii="Figtree" w:hAnsi="Figtree"/>
          <w:b w:val="0"/>
          <w:i w:val="0"/>
          <w:sz w:val="22"/>
        </w:rPr>
        <w:t xml:space="preserve"> This is not a cosmetic nit. If the deck is meant to live inside the official SettleMint template system, the dimensions mismatch creates avoidable downstream formatting risk and signals that the deck was built outside the expected baseline.</w:t>
      </w:r>
    </w:p>
    <w:p>
      <w:pPr>
        <w:pStyle w:val="ListParagraph"/>
        <w:numPr>
          <w:ilvl w:val="0"/>
          <w:numId w:val="4"/>
        </w:numPr>
      </w:pPr>
      <w:r>
        <w:rPr>
          <w:rFonts w:ascii="Figtree" w:hAnsi="Figtree"/>
          <w:b/>
          <w:i w:val="0"/>
          <w:sz w:val="22"/>
        </w:rPr>
        <w:t>Slide 20 — empty closing slide.</w:t>
      </w:r>
      <w:r>
        <w:rPr>
          <w:rFonts w:ascii="Figtree" w:hAnsi="Figtree"/>
          <w:b w:val="0"/>
          <w:i w:val="0"/>
          <w:sz w:val="22"/>
        </w:rPr>
        <w:t xml:space="preserve"> An empty last slide reads like a leftover template artifact or an unfinished export. It weakens confidence right at the finish.</w:t>
      </w:r>
    </w:p>
    <w:p>
      <w:pPr>
        <w:pStyle w:val="H3"/>
        <w:numPr>
          <w:ilvl w:val="2"/>
          <w:numId w:val="1"/>
        </w:numPr>
      </w:pPr>
      <w:r>
        <w:t>Major Structural Risks</w:t>
      </w:r>
    </w:p>
    <w:p>
      <w:pPr>
        <w:pStyle w:val="ListParagraph"/>
        <w:numPr>
          <w:ilvl w:val="0"/>
          <w:numId w:val="4"/>
        </w:numPr>
      </w:pPr>
      <w:r>
        <w:rPr>
          <w:rFonts w:ascii="Figtree" w:hAnsi="Figtree"/>
          <w:b/>
          <w:i w:val="0"/>
          <w:sz w:val="22"/>
        </w:rPr>
        <w:t>Slides 8, 9, and 19 are document-dense.</w:t>
      </w:r>
      <w:r>
        <w:rPr>
          <w:rFonts w:ascii="Figtree" w:hAnsi="Figtree"/>
          <w:b w:val="0"/>
          <w:i w:val="0"/>
          <w:sz w:val="22"/>
        </w:rPr>
        <w:t xml:space="preserve"> They may technically fit, but they are asking the audience to read instead of scan.</w:t>
      </w:r>
    </w:p>
    <w:p>
      <w:pPr>
        <w:pStyle w:val="ListParagraph"/>
        <w:numPr>
          <w:ilvl w:val="0"/>
          <w:numId w:val="4"/>
        </w:numPr>
      </w:pPr>
      <w:r>
        <w:rPr>
          <w:rFonts w:ascii="Figtree" w:hAnsi="Figtree"/>
          <w:b/>
          <w:i w:val="0"/>
          <w:sz w:val="22"/>
        </w:rPr>
        <w:t>Footer / page-number behavior looks inherited and inconsistent.</w:t>
      </w:r>
      <w:r>
        <w:rPr>
          <w:rFonts w:ascii="Figtree" w:hAnsi="Figtree"/>
          <w:b w:val="0"/>
          <w:i w:val="0"/>
          <w:sz w:val="22"/>
        </w:rPr>
        <w:t xml:space="preserve"> Extracted footer values jump between numbers like 11, 16, 12, 13, 8, 6, 14, 8, 19, and 7 rather than a stable sequence. That makes the deck feel assembled rather than production-controlled.</w:t>
      </w:r>
    </w:p>
    <w:p>
      <w:pPr>
        <w:pStyle w:val="ListParagraph"/>
        <w:numPr>
          <w:ilvl w:val="0"/>
          <w:numId w:val="4"/>
        </w:numPr>
      </w:pPr>
      <w:r>
        <w:rPr>
          <w:rFonts w:ascii="Figtree" w:hAnsi="Figtree"/>
          <w:b/>
          <w:i w:val="0"/>
          <w:sz w:val="22"/>
        </w:rPr>
        <w:t>Slide 13 uses a table for a concept that may be too detailed for a core narrative slide.</w:t>
      </w:r>
      <w:r>
        <w:rPr>
          <w:rFonts w:ascii="Figtree" w:hAnsi="Figtree"/>
          <w:b w:val="0"/>
          <w:i w:val="0"/>
          <w:sz w:val="22"/>
        </w:rPr>
        <w:t xml:space="preserve"> It is useful, but it risks becoming a pause-and-read moment.</w:t>
      </w:r>
    </w:p>
    <w:p>
      <w:pPr>
        <w:pStyle w:val="H3"/>
        <w:numPr>
          <w:ilvl w:val="2"/>
          <w:numId w:val="1"/>
        </w:numPr>
      </w:pPr>
      <w:r>
        <w:t>Slide-by-Slide Structural Notes</w:t>
      </w:r>
    </w:p>
    <w:p>
      <w:pPr>
        <w:pStyle w:val="ListParagraph"/>
        <w:numPr>
          <w:ilvl w:val="0"/>
          <w:numId w:val="4"/>
        </w:numPr>
      </w:pPr>
      <w:r>
        <w:rPr>
          <w:rFonts w:ascii="Figtree" w:hAnsi="Figtree"/>
          <w:b/>
          <w:i w:val="0"/>
          <w:sz w:val="22"/>
        </w:rPr>
        <w:t>Slide 1 — Digital Assets for MEA:</w:t>
      </w:r>
      <w:r>
        <w:rPr>
          <w:rFonts w:ascii="Figtree" w:hAnsi="Figtree"/>
          <w:b w:val="0"/>
          <w:i w:val="0"/>
          <w:sz w:val="22"/>
        </w:rPr>
        <w:t xml:space="preserve"> Cover is doing its job. Title is clear and audience-specific.</w:t>
      </w:r>
    </w:p>
    <w:p>
      <w:pPr>
        <w:pStyle w:val="ListParagraph"/>
        <w:numPr>
          <w:ilvl w:val="0"/>
          <w:numId w:val="4"/>
        </w:numPr>
      </w:pPr>
      <w:r>
        <w:rPr>
          <w:rFonts w:ascii="Figtree" w:hAnsi="Figtree"/>
          <w:b/>
          <w:i w:val="0"/>
          <w:sz w:val="22"/>
        </w:rPr>
        <w:t>Slide 2 — Agenda:</w:t>
      </w:r>
      <w:r>
        <w:rPr>
          <w:rFonts w:ascii="Figtree" w:hAnsi="Figtree"/>
          <w:b w:val="0"/>
          <w:i w:val="0"/>
          <w:sz w:val="22"/>
        </w:rPr>
        <w:t xml:space="preserve"> Structurally useful, but still generic as a title. It also appears to retain footer/page-number treatment that makes the slide feel less clean than it should.</w:t>
      </w:r>
    </w:p>
    <w:p>
      <w:pPr>
        <w:pStyle w:val="ListParagraph"/>
        <w:numPr>
          <w:ilvl w:val="0"/>
          <w:numId w:val="4"/>
        </w:numPr>
      </w:pPr>
      <w:r>
        <w:rPr>
          <w:rFonts w:ascii="Figtree" w:hAnsi="Figtree"/>
          <w:b/>
          <w:i w:val="0"/>
          <w:sz w:val="22"/>
        </w:rPr>
        <w:t>Slide 3 — Market Context:</w:t>
      </w:r>
      <w:r>
        <w:rPr>
          <w:rFonts w:ascii="Figtree" w:hAnsi="Figtree"/>
          <w:b w:val="0"/>
          <w:i w:val="0"/>
          <w:sz w:val="22"/>
        </w:rPr>
        <w:t xml:space="preserve"> Good divider behavior. Keep it if it is truly a section reset.</w:t>
      </w:r>
    </w:p>
    <w:p>
      <w:pPr>
        <w:pStyle w:val="ListParagraph"/>
        <w:numPr>
          <w:ilvl w:val="0"/>
          <w:numId w:val="4"/>
        </w:numPr>
      </w:pPr>
      <w:r>
        <w:rPr>
          <w:rFonts w:ascii="Figtree" w:hAnsi="Figtree"/>
          <w:b/>
          <w:i w:val="0"/>
          <w:sz w:val="22"/>
        </w:rPr>
        <w:t>Slide 4 — MEA demand is becoming operational:</w:t>
      </w:r>
      <w:r>
        <w:rPr>
          <w:rFonts w:ascii="Figtree" w:hAnsi="Figtree"/>
          <w:b w:val="0"/>
          <w:i w:val="0"/>
          <w:sz w:val="22"/>
        </w:rPr>
        <w:t xml:space="preserve"> Strong opening content slide, but close to text saturation. It scans more like briefing copy than slide copy.</w:t>
      </w:r>
    </w:p>
    <w:p>
      <w:pPr>
        <w:pStyle w:val="ListParagraph"/>
        <w:numPr>
          <w:ilvl w:val="0"/>
          <w:numId w:val="4"/>
        </w:numPr>
      </w:pPr>
      <w:r>
        <w:rPr>
          <w:rFonts w:ascii="Figtree" w:hAnsi="Figtree"/>
          <w:b/>
          <w:i w:val="0"/>
          <w:sz w:val="22"/>
        </w:rPr>
        <w:t>Slide 5 — What buyers in MEA typically need:</w:t>
      </w:r>
      <w:r>
        <w:rPr>
          <w:rFonts w:ascii="Figtree" w:hAnsi="Figtree"/>
          <w:b w:val="0"/>
          <w:i w:val="0"/>
          <w:sz w:val="22"/>
        </w:rPr>
        <w:t xml:space="preserve"> The 3-column / multi-point structure is directionally right, but sentence length is still too heavy for presentation use.</w:t>
      </w:r>
    </w:p>
    <w:p>
      <w:pPr>
        <w:pStyle w:val="ListParagraph"/>
        <w:numPr>
          <w:ilvl w:val="0"/>
          <w:numId w:val="4"/>
        </w:numPr>
      </w:pPr>
      <w:r>
        <w:rPr>
          <w:rFonts w:ascii="Figtree" w:hAnsi="Figtree"/>
          <w:b/>
          <w:i w:val="0"/>
          <w:sz w:val="22"/>
        </w:rPr>
        <w:t>Slide 6 — The conversation is strategic and regional:</w:t>
      </w:r>
      <w:r>
        <w:rPr>
          <w:rFonts w:ascii="Figtree" w:hAnsi="Figtree"/>
          <w:b w:val="0"/>
          <w:i w:val="0"/>
          <w:sz w:val="22"/>
        </w:rPr>
        <w:t xml:space="preserve"> Clear single-message slide. Better paced than the slides around it.</w:t>
      </w:r>
    </w:p>
    <w:p>
      <w:pPr>
        <w:pStyle w:val="ListParagraph"/>
        <w:numPr>
          <w:ilvl w:val="0"/>
          <w:numId w:val="4"/>
        </w:numPr>
      </w:pPr>
      <w:r>
        <w:rPr>
          <w:rFonts w:ascii="Figtree" w:hAnsi="Figtree"/>
          <w:b/>
          <w:i w:val="0"/>
          <w:sz w:val="22"/>
        </w:rPr>
        <w:t>Slide 7 — Why DALP:</w:t>
      </w:r>
      <w:r>
        <w:rPr>
          <w:rFonts w:ascii="Figtree" w:hAnsi="Figtree"/>
          <w:b w:val="0"/>
          <w:i w:val="0"/>
          <w:sz w:val="22"/>
        </w:rPr>
        <w:t xml:space="preserve"> Works as a divider, but only if the following slides become more concise.</w:t>
      </w:r>
    </w:p>
    <w:p>
      <w:pPr>
        <w:pStyle w:val="ListParagraph"/>
        <w:numPr>
          <w:ilvl w:val="0"/>
          <w:numId w:val="4"/>
        </w:numPr>
      </w:pPr>
      <w:r>
        <w:rPr>
          <w:rFonts w:ascii="Figtree" w:hAnsi="Figtree"/>
          <w:b/>
          <w:i w:val="0"/>
          <w:sz w:val="22"/>
        </w:rPr>
        <w:t>Slide 8 — DALP is the operating layer:</w:t>
      </w:r>
      <w:r>
        <w:rPr>
          <w:rFonts w:ascii="Figtree" w:hAnsi="Figtree"/>
          <w:b w:val="0"/>
          <w:i w:val="0"/>
          <w:sz w:val="22"/>
        </w:rPr>
        <w:t xml:space="preserve"> Overloaded. This should be one of the most important slides in the deck, but it currently asks the audience to process too many sentences before the takeaway lands.</w:t>
      </w:r>
    </w:p>
    <w:p>
      <w:pPr>
        <w:pStyle w:val="ListParagraph"/>
        <w:numPr>
          <w:ilvl w:val="0"/>
          <w:numId w:val="4"/>
        </w:numPr>
      </w:pPr>
      <w:r>
        <w:rPr>
          <w:rFonts w:ascii="Figtree" w:hAnsi="Figtree"/>
          <w:b/>
          <w:i w:val="0"/>
          <w:sz w:val="22"/>
        </w:rPr>
        <w:t>Slide 9 — DALP building blocks for MEA:</w:t>
      </w:r>
      <w:r>
        <w:rPr>
          <w:rFonts w:ascii="Figtree" w:hAnsi="Figtree"/>
          <w:b w:val="0"/>
          <w:i w:val="0"/>
          <w:sz w:val="22"/>
        </w:rPr>
        <w:t xml:space="preserve"> Good topic choice, weak execution. It tries to explain multiple platform blocks and their MEA relevance in one pass.</w:t>
      </w:r>
    </w:p>
    <w:p>
      <w:pPr>
        <w:pStyle w:val="ListParagraph"/>
        <w:numPr>
          <w:ilvl w:val="0"/>
          <w:numId w:val="4"/>
        </w:numPr>
      </w:pPr>
      <w:r>
        <w:rPr>
          <w:rFonts w:ascii="Figtree" w:hAnsi="Figtree"/>
          <w:b/>
          <w:i w:val="0"/>
          <w:sz w:val="22"/>
        </w:rPr>
        <w:t>Slide 10 — Configurable asset design:</w:t>
      </w:r>
      <w:r>
        <w:rPr>
          <w:rFonts w:ascii="Figtree" w:hAnsi="Figtree"/>
          <w:b w:val="0"/>
          <w:i w:val="0"/>
          <w:sz w:val="22"/>
        </w:rPr>
        <w:t xml:space="preserve"> Visually more balanced than 8 and 9. Good candidate for keeping as-is with light copy trimming.</w:t>
      </w:r>
    </w:p>
    <w:p>
      <w:pPr>
        <w:pStyle w:val="ListParagraph"/>
        <w:numPr>
          <w:ilvl w:val="0"/>
          <w:numId w:val="4"/>
        </w:numPr>
      </w:pPr>
      <w:r>
        <w:rPr>
          <w:rFonts w:ascii="Figtree" w:hAnsi="Figtree"/>
          <w:b/>
          <w:i w:val="0"/>
          <w:sz w:val="22"/>
        </w:rPr>
        <w:t>Slide 11 — Lifecycle on one platform:</w:t>
      </w:r>
      <w:r>
        <w:rPr>
          <w:rFonts w:ascii="Figtree" w:hAnsi="Figtree"/>
          <w:b w:val="0"/>
          <w:i w:val="0"/>
          <w:sz w:val="22"/>
        </w:rPr>
        <w:t xml:space="preserve"> Solid structural role. The message is credible and commercially useful.</w:t>
      </w:r>
    </w:p>
    <w:p>
      <w:pPr>
        <w:pStyle w:val="ListParagraph"/>
        <w:numPr>
          <w:ilvl w:val="0"/>
          <w:numId w:val="4"/>
        </w:numPr>
      </w:pPr>
      <w:r>
        <w:rPr>
          <w:rFonts w:ascii="Figtree" w:hAnsi="Figtree"/>
          <w:b/>
          <w:i w:val="0"/>
          <w:sz w:val="22"/>
        </w:rPr>
        <w:t>Slide 12 — Operating Model:</w:t>
      </w:r>
      <w:r>
        <w:rPr>
          <w:rFonts w:ascii="Figtree" w:hAnsi="Figtree"/>
          <w:b w:val="0"/>
          <w:i w:val="0"/>
          <w:sz w:val="22"/>
        </w:rPr>
        <w:t xml:space="preserve"> Works as a section divider.</w:t>
      </w:r>
    </w:p>
    <w:p>
      <w:pPr>
        <w:pStyle w:val="ListParagraph"/>
        <w:numPr>
          <w:ilvl w:val="0"/>
          <w:numId w:val="4"/>
        </w:numPr>
      </w:pPr>
      <w:r>
        <w:rPr>
          <w:rFonts w:ascii="Figtree" w:hAnsi="Figtree"/>
          <w:b/>
          <w:i w:val="0"/>
          <w:sz w:val="22"/>
        </w:rPr>
        <w:t>Slide 13 — Regional requirements mapped to DALP:</w:t>
      </w:r>
      <w:r>
        <w:rPr>
          <w:rFonts w:ascii="Figtree" w:hAnsi="Figtree"/>
          <w:b w:val="0"/>
          <w:i w:val="0"/>
          <w:sz w:val="22"/>
        </w:rPr>
        <w:t xml:space="preserve"> Useful table, but a high-friction slide in a sales narrative. It risks turning into “read the matrix” instead of “see the logic.”</w:t>
      </w:r>
    </w:p>
    <w:p>
      <w:pPr>
        <w:pStyle w:val="ListParagraph"/>
        <w:numPr>
          <w:ilvl w:val="0"/>
          <w:numId w:val="4"/>
        </w:numPr>
      </w:pPr>
      <w:r>
        <w:rPr>
          <w:rFonts w:ascii="Figtree" w:hAnsi="Figtree"/>
          <w:b/>
          <w:i w:val="0"/>
          <w:sz w:val="22"/>
        </w:rPr>
        <w:t>Slide 14 — Identity and policy guide execution:</w:t>
      </w:r>
      <w:r>
        <w:rPr>
          <w:rFonts w:ascii="Figtree" w:hAnsi="Figtree"/>
          <w:b w:val="0"/>
          <w:i w:val="0"/>
          <w:sz w:val="22"/>
        </w:rPr>
        <w:t xml:space="preserve"> Good topic and likely persuasive to regulated buyers, but the diagram/supporting content must stay visually simple.</w:t>
      </w:r>
    </w:p>
    <w:p>
      <w:pPr>
        <w:pStyle w:val="ListParagraph"/>
        <w:numPr>
          <w:ilvl w:val="0"/>
          <w:numId w:val="4"/>
        </w:numPr>
      </w:pPr>
      <w:r>
        <w:rPr>
          <w:rFonts w:ascii="Figtree" w:hAnsi="Figtree"/>
          <w:b/>
          <w:i w:val="0"/>
          <w:sz w:val="22"/>
        </w:rPr>
        <w:t>Slide 15 — Transfer decisions are policy-led:</w:t>
      </w:r>
      <w:r>
        <w:rPr>
          <w:rFonts w:ascii="Figtree" w:hAnsi="Figtree"/>
          <w:b w:val="0"/>
          <w:i w:val="0"/>
          <w:sz w:val="22"/>
        </w:rPr>
        <w:t xml:space="preserve"> Strong conceptual role. This is the kind of proof slide that helps make DALP feel operational rather than theoretical.</w:t>
      </w:r>
    </w:p>
    <w:p>
      <w:pPr>
        <w:pStyle w:val="ListParagraph"/>
        <w:numPr>
          <w:ilvl w:val="0"/>
          <w:numId w:val="4"/>
        </w:numPr>
      </w:pPr>
      <w:r>
        <w:rPr>
          <w:rFonts w:ascii="Figtree" w:hAnsi="Figtree"/>
          <w:b/>
          <w:i w:val="0"/>
          <w:sz w:val="22"/>
        </w:rPr>
        <w:t>Slide 16 — Institutional rollout needs business ownership:</w:t>
      </w:r>
      <w:r>
        <w:rPr>
          <w:rFonts w:ascii="Figtree" w:hAnsi="Figtree"/>
          <w:b w:val="0"/>
          <w:i w:val="0"/>
          <w:sz w:val="22"/>
        </w:rPr>
        <w:t xml:space="preserve"> Important message, but still paragraph-heavy.</w:t>
      </w:r>
    </w:p>
    <w:p>
      <w:pPr>
        <w:pStyle w:val="ListParagraph"/>
        <w:numPr>
          <w:ilvl w:val="0"/>
          <w:numId w:val="4"/>
        </w:numPr>
      </w:pPr>
      <w:r>
        <w:rPr>
          <w:rFonts w:ascii="Figtree" w:hAnsi="Figtree"/>
          <w:b/>
          <w:i w:val="0"/>
          <w:sz w:val="22"/>
        </w:rPr>
        <w:t>Slide 17 — Use Cases and Proof:</w:t>
      </w:r>
      <w:r>
        <w:rPr>
          <w:rFonts w:ascii="Figtree" w:hAnsi="Figtree"/>
          <w:b w:val="0"/>
          <w:i w:val="0"/>
          <w:sz w:val="22"/>
        </w:rPr>
        <w:t xml:space="preserve"> Fine as a divider.</w:t>
      </w:r>
    </w:p>
    <w:p>
      <w:pPr>
        <w:pStyle w:val="ListParagraph"/>
        <w:numPr>
          <w:ilvl w:val="0"/>
          <w:numId w:val="4"/>
        </w:numPr>
      </w:pPr>
      <w:r>
        <w:rPr>
          <w:rFonts w:ascii="Figtree" w:hAnsi="Figtree"/>
          <w:b/>
          <w:i w:val="0"/>
          <w:sz w:val="22"/>
        </w:rPr>
        <w:t>Slide 18 — Priority MEA use cases:</w:t>
      </w:r>
      <w:r>
        <w:rPr>
          <w:rFonts w:ascii="Figtree" w:hAnsi="Figtree"/>
          <w:b w:val="0"/>
          <w:i w:val="0"/>
          <w:sz w:val="22"/>
        </w:rPr>
        <w:t xml:space="preserve"> Good section choice, but breadth needs tighter prioritization.</w:t>
      </w:r>
    </w:p>
    <w:p>
      <w:pPr>
        <w:pStyle w:val="ListParagraph"/>
        <w:numPr>
          <w:ilvl w:val="0"/>
          <w:numId w:val="4"/>
        </w:numPr>
      </w:pPr>
      <w:r>
        <w:rPr>
          <w:rFonts w:ascii="Figtree" w:hAnsi="Figtree"/>
          <w:b/>
          <w:i w:val="0"/>
          <w:sz w:val="22"/>
        </w:rPr>
        <w:t>Slide 19 — Regional proof points and expansion path:</w:t>
      </w:r>
      <w:r>
        <w:rPr>
          <w:rFonts w:ascii="Figtree" w:hAnsi="Figtree"/>
          <w:b w:val="0"/>
          <w:i w:val="0"/>
          <w:sz w:val="22"/>
        </w:rPr>
        <w:t xml:space="preserve"> The most overloaded slide in the deck. It is trying to combine evidence, relevance, and sequencing in one place.</w:t>
      </w:r>
    </w:p>
    <w:p>
      <w:pPr>
        <w:pStyle w:val="ListParagraph"/>
        <w:numPr>
          <w:ilvl w:val="0"/>
          <w:numId w:val="4"/>
        </w:numPr>
      </w:pPr>
      <w:r>
        <w:rPr>
          <w:rFonts w:ascii="Figtree" w:hAnsi="Figtree"/>
          <w:b/>
          <w:i w:val="0"/>
          <w:sz w:val="22"/>
        </w:rPr>
        <w:t>Slide 20 — [untitled]:</w:t>
      </w:r>
      <w:r>
        <w:rPr>
          <w:rFonts w:ascii="Figtree" w:hAnsi="Figtree"/>
          <w:b w:val="0"/>
          <w:i w:val="0"/>
          <w:sz w:val="22"/>
        </w:rPr>
        <w:t xml:space="preserve"> Must be replaced with a proper close / next step / Q&amp;A slide.</w:t>
      </w:r>
    </w:p>
    <w:p>
      <w:pPr>
        <w:pStyle w:val="H3"/>
        <w:numPr>
          <w:ilvl w:val="2"/>
          <w:numId w:val="1"/>
        </w:numPr>
      </w:pPr>
      <w:r>
        <w:t>Structural Actions to Take</w:t>
      </w:r>
    </w:p>
    <w:p>
      <w:pPr>
        <w:pStyle w:val="ListParagraph"/>
        <w:numPr>
          <w:ilvl w:val="0"/>
          <w:numId w:val="6"/>
        </w:numPr>
      </w:pPr>
      <w:r>
        <w:rPr>
          <w:rFonts w:ascii="Figtree" w:hAnsi="Figtree"/>
          <w:b w:val="0"/>
          <w:i w:val="0"/>
          <w:sz w:val="22"/>
        </w:rPr>
        <w:t>Rebuild the file onto the official 10.0" × 5.6" template baseline before final delivery.</w:t>
      </w:r>
    </w:p>
    <w:p>
      <w:pPr>
        <w:pStyle w:val="ListParagraph"/>
        <w:numPr>
          <w:ilvl w:val="0"/>
          <w:numId w:val="6"/>
        </w:numPr>
      </w:pPr>
      <w:r>
        <w:rPr>
          <w:rFonts w:ascii="Figtree" w:hAnsi="Figtree"/>
          <w:b w:val="0"/>
          <w:i w:val="0"/>
          <w:sz w:val="22"/>
        </w:rPr>
        <w:t>Replace Slide 20 with a real close slide.</w:t>
      </w:r>
    </w:p>
    <w:p>
      <w:pPr>
        <w:pStyle w:val="ListParagraph"/>
        <w:numPr>
          <w:ilvl w:val="0"/>
          <w:numId w:val="6"/>
        </w:numPr>
      </w:pPr>
      <w:r>
        <w:rPr>
          <w:rFonts w:ascii="Figtree" w:hAnsi="Figtree"/>
          <w:b w:val="0"/>
          <w:i w:val="0"/>
          <w:sz w:val="22"/>
        </w:rPr>
        <w:t>Normalize footer/page-number behavior across all content slides.</w:t>
      </w:r>
    </w:p>
    <w:p>
      <w:pPr>
        <w:pStyle w:val="ListParagraph"/>
        <w:numPr>
          <w:ilvl w:val="0"/>
          <w:numId w:val="6"/>
        </w:numPr>
      </w:pPr>
      <w:r>
        <w:rPr>
          <w:rFonts w:ascii="Figtree" w:hAnsi="Figtree"/>
          <w:b w:val="0"/>
          <w:i w:val="0"/>
          <w:sz w:val="22"/>
        </w:rPr>
        <w:t>Reduce content on Slides 8, 9, and 19 by at least 25–40%.</w:t>
      </w:r>
    </w:p>
    <w:p>
      <w:pPr>
        <w:pStyle w:val="ListParagraph"/>
        <w:numPr>
          <w:ilvl w:val="0"/>
          <w:numId w:val="6"/>
        </w:numPr>
      </w:pPr>
      <w:r>
        <w:rPr>
          <w:rFonts w:ascii="Figtree" w:hAnsi="Figtree"/>
          <w:b w:val="0"/>
          <w:i w:val="0"/>
          <w:sz w:val="22"/>
        </w:rPr>
        <w:t>Decide whether Slide 13 belongs in the main story or in an appendix / backup section.</w:t>
      </w:r>
    </w:p>
    <w:p>
      <w:pPr>
        <w:pStyle w:val="H2"/>
        <w:numPr>
          <w:ilvl w:val="1"/>
          <w:numId w:val="1"/>
        </w:numPr>
      </w:pPr>
      <w:r>
        <w:t>Content Review</w:t>
      </w:r>
    </w:p>
    <w:p>
      <w:pPr>
        <w:pStyle w:val="H3"/>
        <w:numPr>
          <w:ilvl w:val="2"/>
          <w:numId w:val="1"/>
        </w:numPr>
      </w:pPr>
      <w:r>
        <w:t>Story and Positioning Assessment</w:t>
      </w:r>
    </w:p>
    <w:p>
      <w:r>
        <w:rPr>
          <w:rFonts w:ascii="Figtree" w:hAnsi="Figtree"/>
          <w:b w:val="0"/>
          <w:i w:val="0"/>
          <w:sz w:val="22"/>
        </w:rPr>
        <w:t>The core story is commercially sensible. It starts with regional demand, moves into why the market now needs operational discipline, introduces DALP as the enabling platform, then progresses into operating-model mechanics and use-case proof. That is the right broad shape for MEA conversations.</w:t>
      </w:r>
    </w:p>
    <w:p>
      <w:r>
        <w:rPr>
          <w:rFonts w:ascii="Figtree" w:hAnsi="Figtree"/>
          <w:b w:val="0"/>
          <w:i w:val="0"/>
          <w:sz w:val="22"/>
        </w:rPr>
        <w:t>The strongest content choice in the deck is that DALP is framed as a lifecycle / operating platform rather than a generic “tokenization engine.” That matters. The copy generally avoids crypto-hype and keeps the narrative in institutional language around governance, compliance, ownership, rollout, and servicing.</w:t>
      </w:r>
    </w:p>
    <w:p>
      <w:r>
        <w:rPr>
          <w:rFonts w:ascii="Figtree" w:hAnsi="Figtree"/>
          <w:b w:val="0"/>
          <w:i w:val="0"/>
          <w:sz w:val="22"/>
        </w:rPr>
        <w:t>Where the content weakens is not strategic confusion so much as message compression. Several slides explain too much in full sentences, which slows persuasion. In a live commercial deck, the audience should get the point in a glance and hear the nuance from the presenter. Here, the middle section often tries to do both on-slide.</w:t>
      </w:r>
    </w:p>
    <w:p>
      <w:pPr>
        <w:pStyle w:val="H3"/>
        <w:numPr>
          <w:ilvl w:val="2"/>
          <w:numId w:val="1"/>
        </w:numPr>
      </w:pPr>
      <w:r>
        <w:t>What Content Is Working</w:t>
      </w:r>
    </w:p>
    <w:p>
      <w:pPr>
        <w:pStyle w:val="ListParagraph"/>
        <w:numPr>
          <w:ilvl w:val="0"/>
          <w:numId w:val="4"/>
        </w:numPr>
      </w:pPr>
      <w:r>
        <w:rPr>
          <w:rFonts w:ascii="Figtree" w:hAnsi="Figtree"/>
          <w:b/>
          <w:i w:val="0"/>
          <w:sz w:val="22"/>
        </w:rPr>
        <w:t>Institutional framing is mostly disciplined.</w:t>
      </w:r>
      <w:r>
        <w:rPr>
          <w:rFonts w:ascii="Figtree" w:hAnsi="Figtree"/>
          <w:b w:val="0"/>
          <w:i w:val="0"/>
          <w:sz w:val="22"/>
        </w:rPr>
        <w:t xml:space="preserve"> The deck talks about governance, compliance, ownership, settlement coordination, and rollout discipline rather than abstract blockchain enthusiasm.</w:t>
      </w:r>
    </w:p>
    <w:p>
      <w:pPr>
        <w:pStyle w:val="ListParagraph"/>
        <w:numPr>
          <w:ilvl w:val="0"/>
          <w:numId w:val="4"/>
        </w:numPr>
      </w:pPr>
      <w:r>
        <w:rPr>
          <w:rFonts w:ascii="Figtree" w:hAnsi="Figtree"/>
          <w:b/>
          <w:i w:val="0"/>
          <w:sz w:val="22"/>
        </w:rPr>
        <w:t>MEA relevance is explicit.</w:t>
      </w:r>
      <w:r>
        <w:rPr>
          <w:rFonts w:ascii="Figtree" w:hAnsi="Figtree"/>
          <w:b w:val="0"/>
          <w:i w:val="0"/>
          <w:sz w:val="22"/>
        </w:rPr>
        <w:t xml:space="preserve"> The content does try to connect DALP to regional buyer concerns instead of dumping generic global product copy.</w:t>
      </w:r>
    </w:p>
    <w:p>
      <w:pPr>
        <w:pStyle w:val="ListParagraph"/>
        <w:numPr>
          <w:ilvl w:val="0"/>
          <w:numId w:val="4"/>
        </w:numPr>
      </w:pPr>
      <w:r>
        <w:rPr>
          <w:rFonts w:ascii="Figtree" w:hAnsi="Figtree"/>
          <w:b/>
          <w:i w:val="0"/>
          <w:sz w:val="22"/>
        </w:rPr>
        <w:t>DALP is positioned credibly.</w:t>
      </w:r>
      <w:r>
        <w:rPr>
          <w:rFonts w:ascii="Figtree" w:hAnsi="Figtree"/>
          <w:b w:val="0"/>
          <w:i w:val="0"/>
          <w:sz w:val="22"/>
        </w:rPr>
        <w:t xml:space="preserve"> The lifecycle-control theme is stronger and more believable than a feature-sprawl pitch.</w:t>
      </w:r>
    </w:p>
    <w:p>
      <w:pPr>
        <w:pStyle w:val="ListParagraph"/>
        <w:numPr>
          <w:ilvl w:val="0"/>
          <w:numId w:val="4"/>
        </w:numPr>
      </w:pPr>
      <w:r>
        <w:rPr>
          <w:rFonts w:ascii="Figtree" w:hAnsi="Figtree"/>
          <w:b/>
          <w:i w:val="0"/>
          <w:sz w:val="22"/>
        </w:rPr>
        <w:t>The use-case section is directionally appropriate.</w:t>
      </w:r>
      <w:r>
        <w:rPr>
          <w:rFonts w:ascii="Figtree" w:hAnsi="Figtree"/>
          <w:b w:val="0"/>
          <w:i w:val="0"/>
          <w:sz w:val="22"/>
        </w:rPr>
        <w:t xml:space="preserve"> Bonds / sukuk, deposits / stablecoins, and controlled settlement workflows are stronger commercial territory than vague innovation claims.</w:t>
      </w:r>
    </w:p>
    <w:p>
      <w:pPr>
        <w:pStyle w:val="H3"/>
        <w:numPr>
          <w:ilvl w:val="2"/>
          <w:numId w:val="1"/>
        </w:numPr>
      </w:pPr>
      <w:r>
        <w:t>Content Problems to Fix</w:t>
      </w:r>
    </w:p>
    <w:p>
      <w:pPr>
        <w:pStyle w:val="ListParagraph"/>
        <w:numPr>
          <w:ilvl w:val="0"/>
          <w:numId w:val="4"/>
        </w:numPr>
      </w:pPr>
      <w:r>
        <w:rPr>
          <w:rFonts w:ascii="Figtree" w:hAnsi="Figtree"/>
          <w:b/>
          <w:i w:val="0"/>
          <w:sz w:val="22"/>
        </w:rPr>
        <w:t>Slide density is muting the message.</w:t>
      </w:r>
      <w:r>
        <w:rPr>
          <w:rFonts w:ascii="Figtree" w:hAnsi="Figtree"/>
          <w:b w:val="0"/>
          <w:i w:val="0"/>
          <w:sz w:val="22"/>
        </w:rPr>
        <w:t xml:space="preserve"> The audience has to read too much before the slide earns its conclusion.</w:t>
      </w:r>
    </w:p>
    <w:p>
      <w:pPr>
        <w:pStyle w:val="ListParagraph"/>
        <w:numPr>
          <w:ilvl w:val="0"/>
          <w:numId w:val="4"/>
        </w:numPr>
      </w:pPr>
      <w:r>
        <w:rPr>
          <w:rFonts w:ascii="Figtree" w:hAnsi="Figtree"/>
          <w:b/>
          <w:i w:val="0"/>
          <w:sz w:val="22"/>
        </w:rPr>
        <w:t>Some headlines still label a topic instead of landing a point.</w:t>
      </w:r>
      <w:r>
        <w:rPr>
          <w:rFonts w:ascii="Figtree" w:hAnsi="Figtree"/>
          <w:b w:val="0"/>
          <w:i w:val="0"/>
          <w:sz w:val="22"/>
        </w:rPr>
        <w:t xml:space="preserve"> Slide 2 is the clearest example, but several slides could still be sharpened into more point-of-view headlines.</w:t>
      </w:r>
    </w:p>
    <w:p>
      <w:pPr>
        <w:pStyle w:val="ListParagraph"/>
        <w:numPr>
          <w:ilvl w:val="0"/>
          <w:numId w:val="4"/>
        </w:numPr>
      </w:pPr>
      <w:r>
        <w:rPr>
          <w:rFonts w:ascii="Figtree" w:hAnsi="Figtree"/>
          <w:b/>
          <w:i w:val="0"/>
          <w:sz w:val="22"/>
        </w:rPr>
        <w:t>Proof and expansion logic are currently over-combined.</w:t>
      </w:r>
      <w:r>
        <w:rPr>
          <w:rFonts w:ascii="Figtree" w:hAnsi="Figtree"/>
          <w:b w:val="0"/>
          <w:i w:val="0"/>
          <w:sz w:val="22"/>
        </w:rPr>
        <w:t xml:space="preserve"> Slide 19 especially tries to do reference proof, regional relevance, and future sequencing all at once.</w:t>
      </w:r>
    </w:p>
    <w:p>
      <w:pPr>
        <w:pStyle w:val="ListParagraph"/>
        <w:numPr>
          <w:ilvl w:val="0"/>
          <w:numId w:val="4"/>
        </w:numPr>
      </w:pPr>
      <w:r>
        <w:rPr>
          <w:rFonts w:ascii="Figtree" w:hAnsi="Figtree"/>
          <w:b/>
          <w:i w:val="0"/>
          <w:sz w:val="22"/>
        </w:rPr>
        <w:t>Some slides are too paragraph-led for sales use.</w:t>
      </w:r>
      <w:r>
        <w:rPr>
          <w:rFonts w:ascii="Figtree" w:hAnsi="Figtree"/>
          <w:b w:val="0"/>
          <w:i w:val="0"/>
          <w:sz w:val="22"/>
        </w:rPr>
        <w:t xml:space="preserve"> Slides 4, 5, 8, 9, 16, and 19 would all be stronger if the copy were converted into shorter claims plus proof.</w:t>
      </w:r>
    </w:p>
    <w:p>
      <w:pPr>
        <w:pStyle w:val="H3"/>
        <w:numPr>
          <w:ilvl w:val="2"/>
          <w:numId w:val="1"/>
        </w:numPr>
      </w:pPr>
      <w:r>
        <w:t>Slide-Specific Content Findings</w:t>
      </w:r>
    </w:p>
    <w:p>
      <w:pPr>
        <w:pStyle w:val="ListParagraph"/>
        <w:numPr>
          <w:ilvl w:val="0"/>
          <w:numId w:val="4"/>
        </w:numPr>
      </w:pPr>
      <w:r>
        <w:rPr>
          <w:rFonts w:ascii="Figtree" w:hAnsi="Figtree"/>
          <w:b/>
          <w:i w:val="0"/>
          <w:sz w:val="22"/>
        </w:rPr>
        <w:t>Slide 4 — MEA demand is becoming operational:</w:t>
      </w:r>
      <w:r>
        <w:rPr>
          <w:rFonts w:ascii="Figtree" w:hAnsi="Figtree"/>
          <w:b w:val="0"/>
          <w:i w:val="0"/>
          <w:sz w:val="22"/>
        </w:rPr>
        <w:t xml:space="preserve"> Good strategic opener. The message is right: the market has moved from curiosity to operating-model questions. But the slide should sound more decisive and less explanatory. Each bullet could be shortened into a claim + consequence.</w:t>
      </w:r>
    </w:p>
    <w:p>
      <w:pPr>
        <w:pStyle w:val="ListParagraph"/>
        <w:numPr>
          <w:ilvl w:val="0"/>
          <w:numId w:val="4"/>
        </w:numPr>
      </w:pPr>
      <w:r>
        <w:rPr>
          <w:rFonts w:ascii="Figtree" w:hAnsi="Figtree"/>
          <w:b/>
          <w:i w:val="0"/>
          <w:sz w:val="22"/>
        </w:rPr>
        <w:t>Slide 5 — What buyers in MEA typically need:</w:t>
      </w:r>
      <w:r>
        <w:rPr>
          <w:rFonts w:ascii="Figtree" w:hAnsi="Figtree"/>
          <w:b w:val="0"/>
          <w:i w:val="0"/>
          <w:sz w:val="22"/>
        </w:rPr>
        <w:t xml:space="preserve"> Strong buyer-centered framing. The risk is that each need is explained with too much prose. Better version: each need becomes a sharper commercial label with one supporting line.</w:t>
      </w:r>
    </w:p>
    <w:p>
      <w:pPr>
        <w:pStyle w:val="ListParagraph"/>
        <w:numPr>
          <w:ilvl w:val="0"/>
          <w:numId w:val="4"/>
        </w:numPr>
      </w:pPr>
      <w:r>
        <w:rPr>
          <w:rFonts w:ascii="Figtree" w:hAnsi="Figtree"/>
          <w:b/>
          <w:i w:val="0"/>
          <w:sz w:val="22"/>
        </w:rPr>
        <w:t>Slide 6 — The conversation is strategic and regional:</w:t>
      </w:r>
      <w:r>
        <w:rPr>
          <w:rFonts w:ascii="Figtree" w:hAnsi="Figtree"/>
          <w:b w:val="0"/>
          <w:i w:val="0"/>
          <w:sz w:val="22"/>
        </w:rPr>
        <w:t xml:space="preserve"> This is one of the better written slides. It translates DALP from technology into business adoption logic.</w:t>
      </w:r>
    </w:p>
    <w:p>
      <w:pPr>
        <w:pStyle w:val="ListParagraph"/>
        <w:numPr>
          <w:ilvl w:val="0"/>
          <w:numId w:val="4"/>
        </w:numPr>
      </w:pPr>
      <w:r>
        <w:rPr>
          <w:rFonts w:ascii="Figtree" w:hAnsi="Figtree"/>
          <w:b/>
          <w:i w:val="0"/>
          <w:sz w:val="22"/>
        </w:rPr>
        <w:t>Slide 8 — DALP is the operating layer:</w:t>
      </w:r>
      <w:r>
        <w:rPr>
          <w:rFonts w:ascii="Figtree" w:hAnsi="Figtree"/>
          <w:b w:val="0"/>
          <w:i w:val="0"/>
          <w:sz w:val="22"/>
        </w:rPr>
        <w:t xml:space="preserve"> The positioning is good, but the slide tries to define DALP, explain why that matters in MEA, show platform breadth, and provide sales talk-track guidance all on the same canvas. Split or cut. The last bullet in particular feels more like presenter guidance than slide copy.</w:t>
      </w:r>
    </w:p>
    <w:p>
      <w:pPr>
        <w:pStyle w:val="ListParagraph"/>
        <w:numPr>
          <w:ilvl w:val="0"/>
          <w:numId w:val="4"/>
        </w:numPr>
      </w:pPr>
      <w:r>
        <w:rPr>
          <w:rFonts w:ascii="Figtree" w:hAnsi="Figtree"/>
          <w:b/>
          <w:i w:val="0"/>
          <w:sz w:val="22"/>
        </w:rPr>
        <w:t>Slide 9 — DALP building blocks for MEA:</w:t>
      </w:r>
      <w:r>
        <w:rPr>
          <w:rFonts w:ascii="Figtree" w:hAnsi="Figtree"/>
          <w:b w:val="0"/>
          <w:i w:val="0"/>
          <w:sz w:val="22"/>
        </w:rPr>
        <w:t xml:space="preserve"> This content is relevant, but the audience likely does not need every block explained at this level in the main story. If kept, reduce the number of blocks or shorten every description to one line.</w:t>
      </w:r>
    </w:p>
    <w:p>
      <w:pPr>
        <w:pStyle w:val="ListParagraph"/>
        <w:numPr>
          <w:ilvl w:val="0"/>
          <w:numId w:val="4"/>
        </w:numPr>
      </w:pPr>
      <w:r>
        <w:rPr>
          <w:rFonts w:ascii="Figtree" w:hAnsi="Figtree"/>
          <w:b/>
          <w:i w:val="0"/>
          <w:sz w:val="22"/>
        </w:rPr>
        <w:t>Slide 10 — Configurable asset design:</w:t>
      </w:r>
      <w:r>
        <w:rPr>
          <w:rFonts w:ascii="Figtree" w:hAnsi="Figtree"/>
          <w:b w:val="0"/>
          <w:i w:val="0"/>
          <w:sz w:val="22"/>
        </w:rPr>
        <w:t xml:space="preserve"> Good argument for governed product design. Could become stronger by replacing abstract wording with one buyer outcome such as faster controlled launch, lower delivery ambiguity, or clearer product-owner control.</w:t>
      </w:r>
    </w:p>
    <w:p>
      <w:pPr>
        <w:pStyle w:val="ListParagraph"/>
        <w:numPr>
          <w:ilvl w:val="0"/>
          <w:numId w:val="4"/>
        </w:numPr>
      </w:pPr>
      <w:r>
        <w:rPr>
          <w:rFonts w:ascii="Figtree" w:hAnsi="Figtree"/>
          <w:b/>
          <w:i w:val="0"/>
          <w:sz w:val="22"/>
        </w:rPr>
        <w:t>Slide 11 — Lifecycle on one platform:</w:t>
      </w:r>
      <w:r>
        <w:rPr>
          <w:rFonts w:ascii="Figtree" w:hAnsi="Figtree"/>
          <w:b w:val="0"/>
          <w:i w:val="0"/>
          <w:sz w:val="22"/>
        </w:rPr>
        <w:t xml:space="preserve"> Strong commercially because it addresses what happens after launch day. This is one of the better proof-of-operating-model slides.</w:t>
      </w:r>
    </w:p>
    <w:p>
      <w:pPr>
        <w:pStyle w:val="ListParagraph"/>
        <w:numPr>
          <w:ilvl w:val="0"/>
          <w:numId w:val="4"/>
        </w:numPr>
      </w:pPr>
      <w:r>
        <w:rPr>
          <w:rFonts w:ascii="Figtree" w:hAnsi="Figtree"/>
          <w:b/>
          <w:i w:val="0"/>
          <w:sz w:val="22"/>
        </w:rPr>
        <w:t>Slide 13 — Regional requirements mapped to DALP:</w:t>
      </w:r>
      <w:r>
        <w:rPr>
          <w:rFonts w:ascii="Figtree" w:hAnsi="Figtree"/>
          <w:b w:val="0"/>
          <w:i w:val="0"/>
          <w:sz w:val="22"/>
        </w:rPr>
        <w:t xml:space="preserve"> Useful internal logic slide, but not naturally persuasive in a live pitch unless heavily simplified. If this stays in the core deck, reduce the table to the 3–4 highest-value rows.</w:t>
      </w:r>
    </w:p>
    <w:p>
      <w:pPr>
        <w:pStyle w:val="ListParagraph"/>
        <w:numPr>
          <w:ilvl w:val="0"/>
          <w:numId w:val="4"/>
        </w:numPr>
      </w:pPr>
      <w:r>
        <w:rPr>
          <w:rFonts w:ascii="Figtree" w:hAnsi="Figtree"/>
          <w:b/>
          <w:i w:val="0"/>
          <w:sz w:val="22"/>
        </w:rPr>
        <w:t>Slide 14 — Identity and policy guide execution:</w:t>
      </w:r>
      <w:r>
        <w:rPr>
          <w:rFonts w:ascii="Figtree" w:hAnsi="Figtree"/>
          <w:b w:val="0"/>
          <w:i w:val="0"/>
          <w:sz w:val="22"/>
        </w:rPr>
        <w:t xml:space="preserve"> Good regulated-market message. Helpful because it makes control logic tangible.</w:t>
      </w:r>
    </w:p>
    <w:p>
      <w:pPr>
        <w:pStyle w:val="ListParagraph"/>
        <w:numPr>
          <w:ilvl w:val="0"/>
          <w:numId w:val="4"/>
        </w:numPr>
      </w:pPr>
      <w:r>
        <w:rPr>
          <w:rFonts w:ascii="Figtree" w:hAnsi="Figtree"/>
          <w:b/>
          <w:i w:val="0"/>
          <w:sz w:val="22"/>
        </w:rPr>
        <w:t>Slide 15 — Transfer decisions are policy-led:</w:t>
      </w:r>
      <w:r>
        <w:rPr>
          <w:rFonts w:ascii="Figtree" w:hAnsi="Figtree"/>
          <w:b w:val="0"/>
          <w:i w:val="0"/>
          <w:sz w:val="22"/>
        </w:rPr>
        <w:t xml:space="preserve"> Also strong. It turns compliance from a generic promise into a decision model.</w:t>
      </w:r>
    </w:p>
    <w:p>
      <w:pPr>
        <w:pStyle w:val="ListParagraph"/>
        <w:numPr>
          <w:ilvl w:val="0"/>
          <w:numId w:val="4"/>
        </w:numPr>
      </w:pPr>
      <w:r>
        <w:rPr>
          <w:rFonts w:ascii="Figtree" w:hAnsi="Figtree"/>
          <w:b/>
          <w:i w:val="0"/>
          <w:sz w:val="22"/>
        </w:rPr>
        <w:t>Slide 16 — Institutional rollout needs business ownership:</w:t>
      </w:r>
      <w:r>
        <w:rPr>
          <w:rFonts w:ascii="Figtree" w:hAnsi="Figtree"/>
          <w:b w:val="0"/>
          <w:i w:val="0"/>
          <w:sz w:val="22"/>
        </w:rPr>
        <w:t xml:space="preserve"> Important point, but this should probably become a 3-pillar slide rather than a paragraph. It is a message that benefits from crisp stakeholder labels.</w:t>
      </w:r>
    </w:p>
    <w:p>
      <w:pPr>
        <w:pStyle w:val="ListParagraph"/>
        <w:numPr>
          <w:ilvl w:val="0"/>
          <w:numId w:val="4"/>
        </w:numPr>
      </w:pPr>
      <w:r>
        <w:rPr>
          <w:rFonts w:ascii="Figtree" w:hAnsi="Figtree"/>
          <w:b/>
          <w:i w:val="0"/>
          <w:sz w:val="22"/>
        </w:rPr>
        <w:t>Slide 18 — Priority MEA use cases:</w:t>
      </w:r>
      <w:r>
        <w:rPr>
          <w:rFonts w:ascii="Figtree" w:hAnsi="Figtree"/>
          <w:b w:val="0"/>
          <w:i w:val="0"/>
          <w:sz w:val="22"/>
        </w:rPr>
        <w:t xml:space="preserve"> Good direction, but prioritize. If everything is a priority, nothing is. Lead with the two or three use cases most likely to matter in current MEA conversations.</w:t>
      </w:r>
    </w:p>
    <w:p>
      <w:pPr>
        <w:pStyle w:val="ListParagraph"/>
        <w:numPr>
          <w:ilvl w:val="0"/>
          <w:numId w:val="4"/>
        </w:numPr>
      </w:pPr>
      <w:r>
        <w:rPr>
          <w:rFonts w:ascii="Figtree" w:hAnsi="Figtree"/>
          <w:b/>
          <w:i w:val="0"/>
          <w:sz w:val="22"/>
        </w:rPr>
        <w:t>Slide 19 — Regional proof points and expansion path:</w:t>
      </w:r>
      <w:r>
        <w:rPr>
          <w:rFonts w:ascii="Figtree" w:hAnsi="Figtree"/>
          <w:b w:val="0"/>
          <w:i w:val="0"/>
          <w:sz w:val="22"/>
        </w:rPr>
        <w:t xml:space="preserve"> Highest rewrite priority. This should become either (a) one clean proof slide and one clean expansion slide, or (b) one concise evidence table with far less prose.</w:t>
      </w:r>
    </w:p>
    <w:p>
      <w:pPr>
        <w:pStyle w:val="H3"/>
        <w:numPr>
          <w:ilvl w:val="2"/>
          <w:numId w:val="1"/>
        </w:numPr>
      </w:pPr>
      <w:r>
        <w:t>Recommended Rewrites by Priority</w:t>
      </w:r>
    </w:p>
    <w:p>
      <w:pPr>
        <w:pStyle w:val="H4"/>
        <w:numPr>
          <w:ilvl w:val="3"/>
          <w:numId w:val="1"/>
        </w:numPr>
      </w:pPr>
      <w:r>
        <w:t>Highest priority</w:t>
      </w:r>
    </w:p>
    <w:p>
      <w:pPr>
        <w:pStyle w:val="ListParagraph"/>
        <w:numPr>
          <w:ilvl w:val="0"/>
          <w:numId w:val="4"/>
        </w:numPr>
      </w:pPr>
      <w:r>
        <w:rPr>
          <w:rFonts w:ascii="Figtree" w:hAnsi="Figtree"/>
          <w:b/>
          <w:i w:val="0"/>
          <w:sz w:val="22"/>
        </w:rPr>
        <w:t>Slide 20:</w:t>
      </w:r>
      <w:r>
        <w:rPr>
          <w:rFonts w:ascii="Figtree" w:hAnsi="Figtree"/>
          <w:b w:val="0"/>
          <w:i w:val="0"/>
          <w:sz w:val="22"/>
        </w:rPr>
        <w:t xml:space="preserve"> Add a proper close / CTA / next-steps slide.</w:t>
      </w:r>
    </w:p>
    <w:p>
      <w:pPr>
        <w:pStyle w:val="ListParagraph"/>
        <w:numPr>
          <w:ilvl w:val="0"/>
          <w:numId w:val="4"/>
        </w:numPr>
      </w:pPr>
      <w:r>
        <w:rPr>
          <w:rFonts w:ascii="Figtree" w:hAnsi="Figtree"/>
          <w:b/>
          <w:i w:val="0"/>
          <w:sz w:val="22"/>
        </w:rPr>
        <w:t>Slide 19:</w:t>
      </w:r>
      <w:r>
        <w:rPr>
          <w:rFonts w:ascii="Figtree" w:hAnsi="Figtree"/>
          <w:b w:val="0"/>
          <w:i w:val="0"/>
          <w:sz w:val="22"/>
        </w:rPr>
        <w:t xml:space="preserve"> Separate proof from expansion logic; reduce copy dramatically.</w:t>
      </w:r>
    </w:p>
    <w:p>
      <w:pPr>
        <w:pStyle w:val="ListParagraph"/>
        <w:numPr>
          <w:ilvl w:val="0"/>
          <w:numId w:val="4"/>
        </w:numPr>
      </w:pPr>
      <w:r>
        <w:rPr>
          <w:rFonts w:ascii="Figtree" w:hAnsi="Figtree"/>
          <w:b/>
          <w:i w:val="0"/>
          <w:sz w:val="22"/>
        </w:rPr>
        <w:t>Slide 8:</w:t>
      </w:r>
      <w:r>
        <w:rPr>
          <w:rFonts w:ascii="Figtree" w:hAnsi="Figtree"/>
          <w:b w:val="0"/>
          <w:i w:val="0"/>
          <w:sz w:val="22"/>
        </w:rPr>
        <w:t xml:space="preserve"> Turn into either two slides or one much tighter “DALP = operating layer” proof slide.</w:t>
      </w:r>
    </w:p>
    <w:p>
      <w:pPr>
        <w:pStyle w:val="ListParagraph"/>
        <w:numPr>
          <w:ilvl w:val="0"/>
          <w:numId w:val="4"/>
        </w:numPr>
      </w:pPr>
      <w:r>
        <w:rPr>
          <w:rFonts w:ascii="Figtree" w:hAnsi="Figtree"/>
          <w:b/>
          <w:i w:val="0"/>
          <w:sz w:val="22"/>
        </w:rPr>
        <w:t>Slide 9:</w:t>
      </w:r>
      <w:r>
        <w:rPr>
          <w:rFonts w:ascii="Figtree" w:hAnsi="Figtree"/>
          <w:b w:val="0"/>
          <w:i w:val="0"/>
          <w:sz w:val="22"/>
        </w:rPr>
        <w:t xml:space="preserve"> Simplify the platform-block explanation so it scans in under 10 seconds.</w:t>
      </w:r>
    </w:p>
    <w:p>
      <w:pPr>
        <w:pStyle w:val="H4"/>
        <w:numPr>
          <w:ilvl w:val="3"/>
          <w:numId w:val="1"/>
        </w:numPr>
      </w:pPr>
      <w:r>
        <w:t>Medium priority</w:t>
      </w:r>
    </w:p>
    <w:p>
      <w:pPr>
        <w:pStyle w:val="ListParagraph"/>
        <w:numPr>
          <w:ilvl w:val="0"/>
          <w:numId w:val="4"/>
        </w:numPr>
      </w:pPr>
      <w:r>
        <w:rPr>
          <w:rFonts w:ascii="Figtree" w:hAnsi="Figtree"/>
          <w:b/>
          <w:i w:val="0"/>
          <w:sz w:val="22"/>
        </w:rPr>
        <w:t>Slide 13:</w:t>
      </w:r>
      <w:r>
        <w:rPr>
          <w:rFonts w:ascii="Figtree" w:hAnsi="Figtree"/>
          <w:b w:val="0"/>
          <w:i w:val="0"/>
          <w:sz w:val="22"/>
        </w:rPr>
        <w:t xml:space="preserve"> Move detailed mapping into appendix or compress it into fewer rows.</w:t>
      </w:r>
    </w:p>
    <w:p>
      <w:pPr>
        <w:pStyle w:val="ListParagraph"/>
        <w:numPr>
          <w:ilvl w:val="0"/>
          <w:numId w:val="4"/>
        </w:numPr>
      </w:pPr>
      <w:r>
        <w:rPr>
          <w:rFonts w:ascii="Figtree" w:hAnsi="Figtree"/>
          <w:b/>
          <w:i w:val="0"/>
          <w:sz w:val="22"/>
        </w:rPr>
        <w:t>Slide 4:</w:t>
      </w:r>
      <w:r>
        <w:rPr>
          <w:rFonts w:ascii="Figtree" w:hAnsi="Figtree"/>
          <w:b w:val="0"/>
          <w:i w:val="0"/>
          <w:sz w:val="22"/>
        </w:rPr>
        <w:t xml:space="preserve"> Shorten bullets into harder commercial claims.</w:t>
      </w:r>
    </w:p>
    <w:p>
      <w:pPr>
        <w:pStyle w:val="ListParagraph"/>
        <w:numPr>
          <w:ilvl w:val="0"/>
          <w:numId w:val="4"/>
        </w:numPr>
      </w:pPr>
      <w:r>
        <w:rPr>
          <w:rFonts w:ascii="Figtree" w:hAnsi="Figtree"/>
          <w:b/>
          <w:i w:val="0"/>
          <w:sz w:val="22"/>
        </w:rPr>
        <w:t>Slide 5:</w:t>
      </w:r>
      <w:r>
        <w:rPr>
          <w:rFonts w:ascii="Figtree" w:hAnsi="Figtree"/>
          <w:b w:val="0"/>
          <w:i w:val="0"/>
          <w:sz w:val="22"/>
        </w:rPr>
        <w:t xml:space="preserve"> Reduce prose and make each buyer need more scannable.</w:t>
      </w:r>
    </w:p>
    <w:p>
      <w:pPr>
        <w:pStyle w:val="ListParagraph"/>
        <w:numPr>
          <w:ilvl w:val="0"/>
          <w:numId w:val="4"/>
        </w:numPr>
      </w:pPr>
      <w:r>
        <w:rPr>
          <w:rFonts w:ascii="Figtree" w:hAnsi="Figtree"/>
          <w:b/>
          <w:i w:val="0"/>
          <w:sz w:val="22"/>
        </w:rPr>
        <w:t>Slide 16:</w:t>
      </w:r>
      <w:r>
        <w:rPr>
          <w:rFonts w:ascii="Figtree" w:hAnsi="Figtree"/>
          <w:b w:val="0"/>
          <w:i w:val="0"/>
          <w:sz w:val="22"/>
        </w:rPr>
        <w:t xml:space="preserve"> Replace paragraph format with stakeholder-led structure.</w:t>
      </w:r>
    </w:p>
    <w:p>
      <w:pPr>
        <w:pStyle w:val="H4"/>
        <w:numPr>
          <w:ilvl w:val="3"/>
          <w:numId w:val="1"/>
        </w:numPr>
      </w:pPr>
      <w:r>
        <w:t>Nice-to-have improvements</w:t>
      </w:r>
    </w:p>
    <w:p>
      <w:pPr>
        <w:pStyle w:val="ListParagraph"/>
        <w:numPr>
          <w:ilvl w:val="0"/>
          <w:numId w:val="4"/>
        </w:numPr>
      </w:pPr>
      <w:r>
        <w:rPr>
          <w:rFonts w:ascii="Figtree" w:hAnsi="Figtree"/>
          <w:b/>
          <w:i w:val="0"/>
          <w:sz w:val="22"/>
        </w:rPr>
        <w:t>Slide 2:</w:t>
      </w:r>
      <w:r>
        <w:rPr>
          <w:rFonts w:ascii="Figtree" w:hAnsi="Figtree"/>
          <w:b w:val="0"/>
          <w:i w:val="0"/>
          <w:sz w:val="22"/>
        </w:rPr>
        <w:t xml:space="preserve"> Consider a more directional title than “Agenda,” or keep the slide but make the section names more outcome-oriented.</w:t>
      </w:r>
    </w:p>
    <w:p>
      <w:pPr>
        <w:pStyle w:val="ListParagraph"/>
        <w:numPr>
          <w:ilvl w:val="0"/>
          <w:numId w:val="4"/>
        </w:numPr>
      </w:pPr>
      <w:r>
        <w:rPr>
          <w:rFonts w:ascii="Figtree" w:hAnsi="Figtree"/>
          <w:b/>
          <w:i w:val="0"/>
          <w:sz w:val="22"/>
        </w:rPr>
        <w:t>Slide 18:</w:t>
      </w:r>
      <w:r>
        <w:rPr>
          <w:rFonts w:ascii="Figtree" w:hAnsi="Figtree"/>
          <w:b w:val="0"/>
          <w:i w:val="0"/>
          <w:sz w:val="22"/>
        </w:rPr>
        <w:t xml:space="preserve"> Narrow the use-case set to the most credible commercial plays.</w:t>
      </w:r>
    </w:p>
    <w:p>
      <w:pPr>
        <w:pStyle w:val="H3"/>
        <w:numPr>
          <w:ilvl w:val="2"/>
          <w:numId w:val="1"/>
        </w:numPr>
      </w:pPr>
      <w:r>
        <w:t>Strongest Slides / Messages</w:t>
      </w:r>
    </w:p>
    <w:p>
      <w:pPr>
        <w:pStyle w:val="ListParagraph"/>
        <w:numPr>
          <w:ilvl w:val="0"/>
          <w:numId w:val="4"/>
        </w:numPr>
      </w:pPr>
      <w:r>
        <w:rPr>
          <w:rFonts w:ascii="Figtree" w:hAnsi="Figtree"/>
          <w:b/>
          <w:i w:val="0"/>
          <w:sz w:val="22"/>
        </w:rPr>
        <w:t>Slide 6:</w:t>
      </w:r>
      <w:r>
        <w:rPr>
          <w:rFonts w:ascii="Figtree" w:hAnsi="Figtree"/>
          <w:b w:val="0"/>
          <w:i w:val="0"/>
          <w:sz w:val="22"/>
        </w:rPr>
        <w:t xml:space="preserve"> Best example of business-facing explanation.</w:t>
      </w:r>
    </w:p>
    <w:p>
      <w:pPr>
        <w:pStyle w:val="ListParagraph"/>
        <w:numPr>
          <w:ilvl w:val="0"/>
          <w:numId w:val="4"/>
        </w:numPr>
      </w:pPr>
      <w:r>
        <w:rPr>
          <w:rFonts w:ascii="Figtree" w:hAnsi="Figtree"/>
          <w:b/>
          <w:i w:val="0"/>
          <w:sz w:val="22"/>
        </w:rPr>
        <w:t>Slides 11, 14, 15:</w:t>
      </w:r>
      <w:r>
        <w:rPr>
          <w:rFonts w:ascii="Figtree" w:hAnsi="Figtree"/>
          <w:b w:val="0"/>
          <w:i w:val="0"/>
          <w:sz w:val="22"/>
        </w:rPr>
        <w:t xml:space="preserve"> Strongest operating-model proof cluster.</w:t>
      </w:r>
    </w:p>
    <w:p>
      <w:pPr>
        <w:pStyle w:val="ListParagraph"/>
        <w:numPr>
          <w:ilvl w:val="0"/>
          <w:numId w:val="4"/>
        </w:numPr>
      </w:pPr>
      <w:r>
        <w:rPr>
          <w:rFonts w:ascii="Figtree" w:hAnsi="Figtree"/>
          <w:b/>
          <w:i w:val="0"/>
          <w:sz w:val="22"/>
        </w:rPr>
        <w:t>Overall DALP framing:</w:t>
      </w:r>
      <w:r>
        <w:rPr>
          <w:rFonts w:ascii="Figtree" w:hAnsi="Figtree"/>
          <w:b w:val="0"/>
          <w:i w:val="0"/>
          <w:sz w:val="22"/>
        </w:rPr>
        <w:t xml:space="preserve"> Sensibly positioned as controlled lifecycle infrastructure rather than a hype object.</w:t>
      </w:r>
    </w:p>
    <w:p>
      <w:pPr>
        <w:pStyle w:val="H3"/>
        <w:numPr>
          <w:ilvl w:val="2"/>
          <w:numId w:val="1"/>
        </w:numPr>
      </w:pPr>
      <w:r>
        <w:t>Quick Win Fix Path</w:t>
      </w:r>
    </w:p>
    <w:p>
      <w:pPr>
        <w:pStyle w:val="ListParagraph"/>
        <w:numPr>
          <w:ilvl w:val="0"/>
          <w:numId w:val="4"/>
        </w:numPr>
      </w:pPr>
      <w:r>
        <w:rPr>
          <w:rFonts w:ascii="Figtree" w:hAnsi="Figtree"/>
          <w:b w:val="0"/>
          <w:i w:val="0"/>
          <w:sz w:val="22"/>
        </w:rPr>
        <w:t>Remove the blank final slide issue immediately.</w:t>
      </w:r>
    </w:p>
    <w:p>
      <w:pPr>
        <w:pStyle w:val="ListParagraph"/>
        <w:numPr>
          <w:ilvl w:val="0"/>
          <w:numId w:val="4"/>
        </w:numPr>
      </w:pPr>
      <w:r>
        <w:rPr>
          <w:rFonts w:ascii="Figtree" w:hAnsi="Figtree"/>
          <w:b w:val="0"/>
          <w:i w:val="0"/>
          <w:sz w:val="22"/>
        </w:rPr>
        <w:t>Fix footer/page numbers.</w:t>
      </w:r>
    </w:p>
    <w:p>
      <w:pPr>
        <w:pStyle w:val="ListParagraph"/>
        <w:numPr>
          <w:ilvl w:val="0"/>
          <w:numId w:val="4"/>
        </w:numPr>
      </w:pPr>
      <w:r>
        <w:rPr>
          <w:rFonts w:ascii="Figtree" w:hAnsi="Figtree"/>
          <w:b w:val="0"/>
          <w:i w:val="0"/>
          <w:sz w:val="22"/>
        </w:rPr>
        <w:t>Cut Slides 8 and 19 by at least one-third.</w:t>
      </w:r>
    </w:p>
    <w:p>
      <w:pPr>
        <w:pStyle w:val="ListParagraph"/>
        <w:numPr>
          <w:ilvl w:val="0"/>
          <w:numId w:val="4"/>
        </w:numPr>
      </w:pPr>
      <w:r>
        <w:rPr>
          <w:rFonts w:ascii="Figtree" w:hAnsi="Figtree"/>
          <w:b w:val="0"/>
          <w:i w:val="0"/>
          <w:sz w:val="22"/>
        </w:rPr>
        <w:t>Simplify Slide 9 to fewer building blocks.</w:t>
      </w:r>
    </w:p>
    <w:p>
      <w:pPr>
        <w:pStyle w:val="ListParagraph"/>
        <w:numPr>
          <w:ilvl w:val="0"/>
          <w:numId w:val="4"/>
        </w:numPr>
      </w:pPr>
      <w:r>
        <w:rPr>
          <w:rFonts w:ascii="Figtree" w:hAnsi="Figtree"/>
          <w:b w:val="0"/>
          <w:i w:val="0"/>
          <w:sz w:val="22"/>
        </w:rPr>
        <w:t>Decide whether Slide 13 is core-story material or appendix material.</w:t>
      </w:r>
    </w:p>
    <w:p>
      <w:pPr>
        <w:pStyle w:val="H3"/>
        <w:numPr>
          <w:ilvl w:val="2"/>
          <w:numId w:val="1"/>
        </w:numPr>
      </w:pPr>
      <w:r>
        <w:t>Bottom Line</w:t>
      </w:r>
    </w:p>
    <w:p>
      <w:r>
        <w:rPr>
          <w:rFonts w:ascii="Figtree" w:hAnsi="Figtree"/>
          <w:b w:val="0"/>
          <w:i w:val="0"/>
          <w:sz w:val="22"/>
        </w:rPr>
        <w:t>This is not a bad deck. It is a deck with a credible commercial story that has not yet been edited hard enough for presentation use. Once the template-size issue, blank ending, footer inconsistency, and text-density problems are fixed, the narrative should become much more convincing.</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