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Cover Page</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Programme Context</w:t>
          </w:r>
          <w:r>
            <w:tab/>
          </w:r>
          <w:r>
            <w:t xml:space="preserve">6</w:t>
          </w:r>
        </w:p>
        <w:p>
          <w:pPr>
            <w:pStyle w:val="TOC3"/>
            <w:tabs>
              <w:tab w:val="right" w:leader="dot" w:pos="9072"/>
            </w:tabs>
          </w:pPr>
          <w:r>
            <w:t xml:space="preserve">1.2 Recommended Commercial Model</w:t>
          </w:r>
          <w:r>
            <w:tab/>
          </w:r>
          <w:r>
            <w:t xml:space="preserve">7</w:t>
          </w:r>
        </w:p>
        <w:p>
          <w:pPr>
            <w:pStyle w:val="TOC3"/>
            <w:tabs>
              <w:tab w:val="right" w:leader="dot" w:pos="9072"/>
            </w:tabs>
          </w:pPr>
          <w:r>
            <w:t xml:space="preserve">1.3 Commercial Summary</w:t>
          </w:r>
          <w:r>
            <w:tab/>
          </w:r>
          <w:r>
            <w:t xml:space="preserve">8</w:t>
          </w:r>
        </w:p>
        <w:p>
          <w:pPr>
            <w:pStyle w:val="TOC2"/>
            <w:tabs>
              <w:tab w:val="right" w:leader="dot" w:pos="9072"/>
            </w:tabs>
          </w:pPr>
          <w:r>
            <w:t xml:space="preserve">2. Investment Rationale</w:t>
          </w:r>
          <w:r>
            <w:tab/>
          </w:r>
          <w:r>
            <w:t xml:space="preserve">9</w:t>
          </w:r>
        </w:p>
        <w:p>
          <w:pPr>
            <w:pStyle w:val="TOC3"/>
            <w:tabs>
              <w:tab w:val="right" w:leader="dot" w:pos="9072"/>
            </w:tabs>
          </w:pPr>
          <w:r>
            <w:t xml:space="preserve">2.1 Cost of Current Approach</w:t>
          </w:r>
          <w:r>
            <w:tab/>
          </w:r>
          <w:r>
            <w:t xml:space="preserve">10</w:t>
          </w:r>
        </w:p>
        <w:p>
          <w:pPr>
            <w:pStyle w:val="TOC3"/>
            <w:tabs>
              <w:tab w:val="right" w:leader="dot" w:pos="9072"/>
            </w:tabs>
          </w:pPr>
          <w:r>
            <w:t xml:space="preserve">2.2 DALP Economic Impact</w:t>
          </w:r>
          <w:r>
            <w:tab/>
          </w:r>
          <w:r>
            <w:t xml:space="preserve">11</w:t>
          </w:r>
        </w:p>
        <w:p>
          <w:pPr>
            <w:pStyle w:val="TOC3"/>
            <w:tabs>
              <w:tab w:val="right" w:leader="dot" w:pos="9072"/>
            </w:tabs>
          </w:pPr>
          <w:r>
            <w:t xml:space="preserve">2.3 ROI Framework</w:t>
          </w:r>
          <w:r>
            <w:tab/>
          </w:r>
          <w:r>
            <w:t xml:space="preserve">12</w:t>
          </w:r>
        </w:p>
        <w:p>
          <w:pPr>
            <w:pStyle w:val="TOC2"/>
            <w:tabs>
              <w:tab w:val="right" w:leader="dot" w:pos="9072"/>
            </w:tabs>
          </w:pPr>
          <w:r>
            <w:t xml:space="preserve">3. Commercial Model</w:t>
          </w:r>
          <w:r>
            <w:tab/>
          </w:r>
          <w:r>
            <w:t xml:space="preserve">13</w:t>
          </w:r>
        </w:p>
        <w:p>
          <w:pPr>
            <w:pStyle w:val="TOC3"/>
            <w:tabs>
              <w:tab w:val="right" w:leader="dot" w:pos="9072"/>
            </w:tabs>
          </w:pPr>
          <w:r>
            <w:t xml:space="preserve">3.1 Licensing Structure</w:t>
          </w:r>
          <w:r>
            <w:tab/>
          </w:r>
          <w:r>
            <w:t xml:space="preserve">14</w:t>
          </w:r>
        </w:p>
        <w:p>
          <w:pPr>
            <w:pStyle w:val="TOC3"/>
            <w:tabs>
              <w:tab w:val="right" w:leader="dot" w:pos="9072"/>
            </w:tabs>
          </w:pPr>
          <w:r>
            <w:t xml:space="preserve">3.2 Pricing Components</w:t>
          </w:r>
          <w:r>
            <w:tab/>
          </w:r>
          <w:r>
            <w:t xml:space="preserve">15</w:t>
          </w:r>
        </w:p>
        <w:p>
          <w:pPr>
            <w:pStyle w:val="TOC3"/>
            <w:tabs>
              <w:tab w:val="right" w:leader="dot" w:pos="9072"/>
            </w:tabs>
          </w:pPr>
          <w:r>
            <w:t xml:space="preserve">3.3 Volume Economics</w:t>
          </w:r>
          <w:r>
            <w:tab/>
          </w:r>
          <w:r>
            <w:t xml:space="preserve">16</w:t>
          </w:r>
        </w:p>
        <w:p>
          <w:pPr>
            <w:pStyle w:val="TOC2"/>
            <w:tabs>
              <w:tab w:val="right" w:leader="dot" w:pos="9072"/>
            </w:tabs>
          </w:pPr>
          <w:r>
            <w:t xml:space="preserve">4. Implementation Investment</w:t>
          </w:r>
          <w:r>
            <w:tab/>
          </w:r>
          <w:r>
            <w:t xml:space="preserve">17</w:t>
          </w:r>
        </w:p>
        <w:p>
          <w:pPr>
            <w:pStyle w:val="TOC3"/>
            <w:tabs>
              <w:tab w:val="right" w:leader="dot" w:pos="9072"/>
            </w:tabs>
          </w:pPr>
          <w:r>
            <w:t xml:space="preserve">4.1 Implementation Scope</w:t>
          </w:r>
          <w:r>
            <w:tab/>
          </w:r>
          <w:r>
            <w:t xml:space="preserve">18</w:t>
          </w:r>
        </w:p>
        <w:p>
          <w:pPr>
            <w:pStyle w:val="TOC3"/>
            <w:tabs>
              <w:tab w:val="right" w:leader="dot" w:pos="9072"/>
            </w:tabs>
          </w:pPr>
          <w:r>
            <w:t xml:space="preserve">4.2 Investment Structure</w:t>
          </w:r>
          <w:r>
            <w:tab/>
          </w:r>
          <w:r>
            <w:t xml:space="preserve">19</w:t>
          </w:r>
        </w:p>
        <w:p>
          <w:pPr>
            <w:pStyle w:val="TOC3"/>
            <w:tabs>
              <w:tab w:val="right" w:leader="dot" w:pos="9072"/>
            </w:tabs>
          </w:pPr>
          <w:r>
            <w:t xml:space="preserve">4.3 Investment Assumptions</w:t>
          </w:r>
          <w:r>
            <w:tab/>
          </w:r>
          <w:r>
            <w:t xml:space="preserve">20</w:t>
          </w:r>
        </w:p>
        <w:p>
          <w:pPr>
            <w:pStyle w:val="TOC2"/>
            <w:tabs>
              <w:tab w:val="right" w:leader="dot" w:pos="9072"/>
            </w:tabs>
          </w:pPr>
          <w:r>
            <w:t xml:space="preserve">5. Ongoing Investment</w:t>
          </w:r>
          <w:r>
            <w:tab/>
          </w:r>
          <w:r>
            <w:t xml:space="preserve">21</w:t>
          </w:r>
        </w:p>
        <w:p>
          <w:pPr>
            <w:pStyle w:val="TOC3"/>
            <w:tabs>
              <w:tab w:val="right" w:leader="dot" w:pos="9072"/>
            </w:tabs>
          </w:pPr>
          <w:r>
            <w:t xml:space="preserve">5.1 Annual Operating Cost</w:t>
          </w:r>
          <w:r>
            <w:tab/>
          </w:r>
          <w:r>
            <w:t xml:space="preserve">22</w:t>
          </w:r>
        </w:p>
        <w:p>
          <w:pPr>
            <w:pStyle w:val="TOC3"/>
            <w:tabs>
              <w:tab w:val="right" w:leader="dot" w:pos="9072"/>
            </w:tabs>
          </w:pPr>
          <w:r>
            <w:t xml:space="preserve">5.2 Cost Progression</w:t>
          </w:r>
          <w:r>
            <w:tab/>
          </w:r>
          <w:r>
            <w:t xml:space="preserve">23</w:t>
          </w:r>
        </w:p>
        <w:p>
          <w:pPr>
            <w:pStyle w:val="TOC3"/>
            <w:tabs>
              <w:tab w:val="right" w:leader="dot" w:pos="9072"/>
            </w:tabs>
          </w:pPr>
          <w:r>
            <w:t xml:space="preserve">5.3 Cost Predictability</w:t>
          </w:r>
          <w:r>
            <w:tab/>
          </w:r>
          <w:r>
            <w:t xml:space="preserve">24</w:t>
          </w:r>
        </w:p>
        <w:p>
          <w:pPr>
            <w:pStyle w:val="TOC2"/>
            <w:tabs>
              <w:tab w:val="right" w:leader="dot" w:pos="9072"/>
            </w:tabs>
          </w:pPr>
          <w:r>
            <w:t xml:space="preserve">6. Value Analysis</w:t>
          </w:r>
          <w:r>
            <w:tab/>
          </w:r>
          <w:r>
            <w:t xml:space="preserve">25</w:t>
          </w:r>
        </w:p>
        <w:p>
          <w:pPr>
            <w:pStyle w:val="TOC3"/>
            <w:tabs>
              <w:tab w:val="right" w:leader="dot" w:pos="9072"/>
            </w:tabs>
          </w:pPr>
          <w:r>
            <w:t xml:space="preserve">6.1 Buy vs. Build Comparison</w:t>
          </w:r>
          <w:r>
            <w:tab/>
          </w:r>
          <w:r>
            <w:t xml:space="preserve">26</w:t>
          </w:r>
        </w:p>
        <w:p>
          <w:pPr>
            <w:pStyle w:val="TOC3"/>
            <w:tabs>
              <w:tab w:val="right" w:leader="dot" w:pos="9072"/>
            </w:tabs>
          </w:pPr>
          <w:r>
            <w:t xml:space="preserve">6.2 Single-Platform Economics</w:t>
          </w:r>
          <w:r>
            <w:tab/>
          </w:r>
          <w:r>
            <w:t xml:space="preserve">27</w:t>
          </w:r>
        </w:p>
        <w:p>
          <w:pPr>
            <w:pStyle w:val="TOC3"/>
            <w:tabs>
              <w:tab w:val="right" w:leader="dot" w:pos="9072"/>
            </w:tabs>
          </w:pPr>
          <w:r>
            <w:t xml:space="preserve">6.3 Risk-Adjusted Value</w:t>
          </w:r>
          <w:r>
            <w:tab/>
          </w:r>
          <w:r>
            <w:t xml:space="preserve">28</w:t>
          </w:r>
        </w:p>
        <w:p>
          <w:pPr>
            <w:pStyle w:val="TOC2"/>
            <w:tabs>
              <w:tab w:val="right" w:leader="dot" w:pos="9072"/>
            </w:tabs>
          </w:pPr>
          <w:r>
            <w:t xml:space="preserve">7. Contracting Terms</w:t>
          </w:r>
          <w:r>
            <w:tab/>
          </w:r>
          <w:r>
            <w:t xml:space="preserve">29</w:t>
          </w:r>
        </w:p>
        <w:p>
          <w:pPr>
            <w:pStyle w:val="TOC3"/>
            <w:tabs>
              <w:tab w:val="right" w:leader="dot" w:pos="9072"/>
            </w:tabs>
          </w:pPr>
          <w:r>
            <w:t xml:space="preserve">7.1 Contract Structure</w:t>
          </w:r>
          <w:r>
            <w:tab/>
          </w:r>
          <w:r>
            <w:t xml:space="preserve">30</w:t>
          </w:r>
        </w:p>
        <w:p>
          <w:pPr>
            <w:pStyle w:val="TOC3"/>
            <w:tabs>
              <w:tab w:val="right" w:leader="dot" w:pos="9072"/>
            </w:tabs>
          </w:pPr>
          <w:r>
            <w:t xml:space="preserve">7.2 Standard Terms</w:t>
          </w:r>
          <w:r>
            <w:tab/>
          </w:r>
          <w:r>
            <w:t xml:space="preserve">31</w:t>
          </w:r>
        </w:p>
        <w:p>
          <w:pPr>
            <w:pStyle w:val="TOC3"/>
            <w:tabs>
              <w:tab w:val="right" w:leader="dot" w:pos="9072"/>
            </w:tabs>
          </w:pPr>
          <w:r>
            <w:t xml:space="preserve">7.3 Proposed Deviations</w:t>
          </w:r>
          <w:r>
            <w:tab/>
          </w:r>
          <w:r>
            <w:t xml:space="preserve">32</w:t>
          </w:r>
        </w:p>
        <w:p>
          <w:pPr>
            <w:pStyle w:val="TOC2"/>
            <w:tabs>
              <w:tab w:val="right" w:leader="dot" w:pos="9072"/>
            </w:tabs>
          </w:pPr>
          <w:r>
            <w:t xml:space="preserve">8. Summary</w:t>
          </w:r>
          <w:r>
            <w:tab/>
          </w:r>
          <w:r>
            <w:t xml:space="preserve">33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Cover Page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9"/>
        <w:gridCol w:w="70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Document Title</w:t>
            </w:r>
          </w:p>
        </w:tc>
        <w:tc>
          <w:tcPr>
            <w:tcW w:type="dxa" w:w="4873"/>
            <w:vAlign w:val="center"/>
          </w:tcPr>
          <w:p>
            <w:pPr>
              <w:spacing w:line="276" w:lineRule="auto" w:before="0" w:after="0"/>
            </w:pPr>
            <w:r/>
            <w:r>
              <w:rPr>
                <w:rFonts w:ascii="Figtree" w:hAnsi="Figtree"/>
                <w:b w:val="0"/>
                <w:i w:val="0"/>
                <w:sz w:val="20"/>
              </w:rPr>
              <w:t>Sharia-Compliant Tokenized Lending And Funding Rails - Commercial Proposal</w:t>
            </w:r>
          </w:p>
        </w:tc>
      </w:tr>
      <w:tr>
        <w:trPr>
          <w:trHeight w:val="425" w:hRule="atLeast"/>
        </w:trPr>
        <w:tc>
          <w:tcPr>
            <w:tcW w:type="dxa" w:w="4873"/>
            <w:vAlign w:val="center"/>
          </w:tcPr>
          <w:p>
            <w:pPr>
              <w:spacing w:line="276" w:lineRule="auto" w:before="0" w:after="0"/>
            </w:pPr>
            <w:r/>
            <w:r>
              <w:rPr>
                <w:rFonts w:ascii="Figtree" w:hAnsi="Figtree"/>
                <w:b w:val="0"/>
                <w:i w:val="0"/>
                <w:sz w:val="20"/>
              </w:rPr>
              <w:t>Client Name</w:t>
            </w:r>
          </w:p>
        </w:tc>
        <w:tc>
          <w:tcPr>
            <w:tcW w:type="dxa" w:w="4873"/>
            <w:vAlign w:val="center"/>
          </w:tcPr>
          <w:p>
            <w:pPr>
              <w:spacing w:line="276" w:lineRule="auto" w:before="0" w:after="0"/>
            </w:pPr>
            <w:r/>
            <w:r>
              <w:rPr>
                <w:rFonts w:ascii="Figtree" w:hAnsi="Figtree"/>
                <w:b w:val="0"/>
                <w:i w:val="0"/>
                <w:sz w:val="20"/>
              </w:rPr>
              <w:t>Tamara</w:t>
            </w:r>
          </w:p>
        </w:tc>
      </w:tr>
      <w:tr>
        <w:trPr>
          <w:trHeight w:val="425" w:hRule="atLeast"/>
        </w:trPr>
        <w:tc>
          <w:tcPr>
            <w:tcW w:type="dxa" w:w="4873"/>
            <w:vAlign w:val="center"/>
          </w:tcPr>
          <w:p>
            <w:pPr>
              <w:spacing w:line="276" w:lineRule="auto" w:before="0" w:after="0"/>
            </w:pPr>
            <w:r/>
            <w:r>
              <w:rPr>
                <w:rFonts w:ascii="Figtree" w:hAnsi="Figtree"/>
                <w:b w:val="0"/>
                <w:i w:val="0"/>
                <w:sz w:val="20"/>
              </w:rPr>
              <w:t>Submission 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Commercial Model</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Ongoing Investment</w:t>
      </w:r>
    </w:p>
    <w:p>
      <w:pPr>
        <w:pStyle w:val="ListParagraph"/>
        <w:numPr>
          <w:ilvl w:val="0"/>
          <w:numId w:val="6"/>
        </w:numPr>
      </w:pPr>
      <w:r>
        <w:rPr>
          <w:rFonts w:ascii="Figtree" w:hAnsi="Figtree"/>
          <w:b w:val="0"/>
          <w:i w:val="0"/>
          <w:sz w:val="22"/>
        </w:rPr>
        <w:t>Value Analysis</w:t>
      </w:r>
    </w:p>
    <w:p>
      <w:pPr>
        <w:pStyle w:val="ListParagraph"/>
        <w:numPr>
          <w:ilvl w:val="0"/>
          <w:numId w:val="6"/>
        </w:numPr>
      </w:pPr>
      <w:r>
        <w:rPr>
          <w:rFonts w:ascii="Figtree" w:hAnsi="Figtree"/>
          <w:b w:val="0"/>
          <w:i w:val="0"/>
          <w:sz w:val="22"/>
        </w:rPr>
        <w:t>Contracting Terms</w:t>
      </w:r>
    </w:p>
    <w:p>
      <w:r>
        <w:br w:type="page"/>
      </w:r>
    </w:p>
    <w:p>
      <w:pPr>
        <w:pStyle w:val="H2"/>
        <w:numPr>
          <w:ilvl w:val="1"/>
          <w:numId w:val="1"/>
        </w:numPr>
      </w:pPr>
      <w:r>
        <w:t>1. Executive Summary</w:t>
      </w:r>
    </w:p>
    <w:p>
      <w:pPr>
        <w:pStyle w:val="H3"/>
        <w:numPr>
          <w:ilvl w:val="2"/>
          <w:numId w:val="1"/>
        </w:numPr>
      </w:pPr>
      <w:r>
        <w:t>1.1 Programme Context</w:t>
      </w:r>
    </w:p>
    <w:p>
      <w:r>
        <w:rPr>
          <w:rFonts w:ascii="Figtree" w:hAnsi="Figtree"/>
          <w:b w:val="0"/>
          <w:i w:val="0"/>
          <w:sz w:val="22"/>
        </w:rPr>
        <w:t>Tamara's procurement for Sharia-compliant tokenized lending and funding rails addresses a strategic imperative to modernize warehouse funding, enhance receivables governance, and build infrastructure for scaled credit operations in the Kingdom of Saudi Arabia. The programme responds to three converging drivers: Sharia governance requirements requiring board approval capture and compliance evidence, regulatory evolution requiring more granular audit trails, and operational complexity requiring unified platform capabilities.</w:t>
      </w:r>
    </w:p>
    <w:p>
      <w:r>
        <w:rPr>
          <w:rFonts w:ascii="Figtree" w:hAnsi="Figtree"/>
          <w:b w:val="0"/>
          <w:i w:val="0"/>
          <w:sz w:val="22"/>
        </w:rPr>
        <w:t>The programme represents a significant investment in institutional infrastructure. The commercial proposal provides the financial framework that enables Tamara to evaluate the investment against alternative approaches and make an informed procurement decision.</w:t>
      </w:r>
    </w:p>
    <w:p>
      <w:pPr>
        <w:pStyle w:val="H3"/>
        <w:numPr>
          <w:ilvl w:val="2"/>
          <w:numId w:val="1"/>
        </w:numPr>
      </w:pPr>
      <w:r>
        <w:t>1.2 Recommended Commercial Model</w:t>
      </w:r>
    </w:p>
    <w:p>
      <w:r>
        <w:rPr>
          <w:rFonts w:ascii="Figtree" w:hAnsi="Figtree"/>
          <w:b w:val="0"/>
          <w:i w:val="0"/>
          <w:sz w:val="22"/>
        </w:rPr>
        <w:t>SettleMint recommends a commercial model comprising platform licensing, implementation services, and ongoing support, structured to align with Tamara's phased deployment objectives and operational preferences. The model specifically addresses Sharia governance requirements through board approval workflow support and ongoing compliance certification.</w:t>
      </w:r>
    </w:p>
    <w:p>
      <w:r>
        <w:rPr>
          <w:rFonts w:ascii="Figtree" w:hAnsi="Figtree"/>
          <w:b w:val="0"/>
          <w:i w:val="0"/>
          <w:sz w:val="22"/>
        </w:rPr>
        <w:t>The model provides predictable cost structures through the implementation phase with clear transitions to operating cost normalization. Volume-based pricing elements are included for transaction processing at rates that enable economic scale as the platform matures.</w:t>
      </w:r>
    </w:p>
    <w:p>
      <w:pPr>
        <w:pStyle w:val="H3"/>
        <w:numPr>
          <w:ilvl w:val="2"/>
          <w:numId w:val="1"/>
        </w:numPr>
      </w:pPr>
      <w:r>
        <w:t>1.3 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90"/>
        <w:gridCol w:w="53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 Profile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Licensing</w:t>
            </w:r>
          </w:p>
        </w:tc>
        <w:tc>
          <w:tcPr>
            <w:tcW w:type="dxa" w:w="4873"/>
            <w:vAlign w:val="center"/>
          </w:tcPr>
          <w:p>
            <w:pPr>
              <w:spacing w:line="276" w:lineRule="auto" w:before="0" w:after="0"/>
            </w:pPr>
            <w:r/>
            <w:r>
              <w:rPr>
                <w:rFonts w:ascii="Figtree" w:hAnsi="Figtree"/>
                <w:b w:val="0"/>
                <w:i w:val="0"/>
                <w:sz w:val="20"/>
              </w:rPr>
              <w:t>Annual subscription</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Fixed-price with milestone payments</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Annual retainer</w:t>
            </w:r>
          </w:p>
        </w:tc>
      </w:tr>
      <w:tr>
        <w:trPr>
          <w:trHeight w:val="425" w:hRule="atLeast"/>
        </w:trPr>
        <w:tc>
          <w:tcPr>
            <w:tcW w:type="dxa" w:w="4873"/>
            <w:vAlign w:val="center"/>
          </w:tcPr>
          <w:p>
            <w:pPr>
              <w:spacing w:line="276" w:lineRule="auto" w:before="0" w:after="0"/>
            </w:pPr>
            <w:r/>
            <w:r>
              <w:rPr>
                <w:rFonts w:ascii="Figtree" w:hAnsi="Figtree"/>
                <w:b w:val="0"/>
                <w:i w:val="0"/>
                <w:sz w:val="20"/>
              </w:rPr>
              <w:t>Transaction Processing</w:t>
            </w:r>
          </w:p>
        </w:tc>
        <w:tc>
          <w:tcPr>
            <w:tcW w:type="dxa" w:w="4873"/>
            <w:vAlign w:val="center"/>
          </w:tcPr>
          <w:p>
            <w:pPr>
              <w:spacing w:line="276" w:lineRule="auto" w:before="0" w:after="0"/>
            </w:pPr>
            <w:r/>
            <w:r>
              <w:rPr>
                <w:rFonts w:ascii="Figtree" w:hAnsi="Figtree"/>
                <w:b w:val="0"/>
                <w:i w:val="0"/>
                <w:sz w:val="20"/>
              </w:rPr>
              <w:t>Volume-based at scale</w:t>
            </w:r>
          </w:p>
        </w:tc>
      </w:tr>
      <w:tr>
        <w:trPr>
          <w:trHeight w:val="425" w:hRule="atLeast"/>
        </w:trPr>
        <w:tc>
          <w:tcPr>
            <w:tcW w:type="dxa" w:w="4873"/>
            <w:vAlign w:val="center"/>
          </w:tcPr>
          <w:p>
            <w:pPr>
              <w:spacing w:line="276" w:lineRule="auto" w:before="0" w:after="0"/>
            </w:pPr>
            <w:r/>
            <w:r>
              <w:rPr>
                <w:rFonts w:ascii="Figtree" w:hAnsi="Figtree"/>
                <w:b w:val="0"/>
                <w:i w:val="0"/>
                <w:sz w:val="20"/>
              </w:rPr>
              <w:t>Sharia Compliance Module</w:t>
            </w:r>
          </w:p>
        </w:tc>
        <w:tc>
          <w:tcPr>
            <w:tcW w:type="dxa" w:w="4873"/>
            <w:vAlign w:val="center"/>
          </w:tcPr>
          <w:p>
            <w:pPr>
              <w:spacing w:line="276" w:lineRule="auto" w:before="0" w:after="0"/>
            </w:pPr>
            <w:r/>
            <w:r>
              <w:rPr>
                <w:rFonts w:ascii="Figtree" w:hAnsi="Figtree"/>
                <w:b w:val="0"/>
                <w:i w:val="0"/>
                <w:sz w:val="20"/>
              </w:rPr>
              <w:t>Included in platform subscription</w:t>
            </w:r>
          </w:p>
        </w:tc>
      </w:tr>
    </w:tbl>
    <w:p>
      <w:pPr>
        <w:spacing w:before="0" w:after="0" w:line="120" w:lineRule="exact"/>
      </w:pPr>
    </w:p>
    <w:p>
      <w:r>
        <w:rPr>
          <w:rFonts w:ascii="Figtree" w:hAnsi="Figtree"/>
          <w:b w:val="0"/>
          <w:i/>
          <w:sz w:val="22"/>
        </w:rPr>
        <w:t>Detailed figures are scoped and finalized through commercial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val="0"/>
          <w:i w:val="0"/>
          <w:sz w:val="22"/>
        </w:rPr>
        <w:t>The current approach to Sharia-compliant funding involves manual processes, fragmented systems, and limited investor transparency. These constraints create hidden costs across multiple dimensions:</w:t>
      </w:r>
    </w:p>
    <w:p>
      <w:r>
        <w:rPr>
          <w:rFonts w:ascii="Figtree" w:hAnsi="Figtree"/>
          <w:b/>
          <w:i w:val="0"/>
          <w:sz w:val="22"/>
        </w:rPr>
        <w:t>Sharia compliance overhead</w:t>
      </w:r>
      <w:r>
        <w:rPr>
          <w:rFonts w:ascii="Figtree" w:hAnsi="Figtree"/>
          <w:b w:val="0"/>
          <w:i w:val="0"/>
          <w:sz w:val="22"/>
        </w:rPr>
        <w:t>: Manual tracking of board approvals, manual generation of compliance evidence, and ad hoc documentation for Sharia reviews consume significant compliance team time. The inability to demonstrate systematic Sharia compliance limits investor appetite from institutions with strict Sharia governance requirements.</w:t>
      </w:r>
    </w:p>
    <w:p>
      <w:r>
        <w:rPr>
          <w:rFonts w:ascii="Figtree" w:hAnsi="Figtree"/>
          <w:b/>
          <w:i w:val="0"/>
          <w:sz w:val="22"/>
        </w:rPr>
        <w:t>Operational overhead</w:t>
      </w:r>
      <w:r>
        <w:rPr>
          <w:rFonts w:ascii="Figtree" w:hAnsi="Figtree"/>
          <w:b w:val="0"/>
          <w:i w:val="0"/>
          <w:sz w:val="22"/>
        </w:rPr>
        <w:t>: Manual reconciliation across merchant systems, funding partners, and internal systems requires dedicated operations staff. Data inconsistencies between systems create exception-handling workarounds that consume additional resources.</w:t>
      </w:r>
    </w:p>
    <w:p>
      <w:r>
        <w:rPr>
          <w:rFonts w:ascii="Figtree" w:hAnsi="Figtree"/>
          <w:b/>
          <w:i w:val="0"/>
          <w:sz w:val="22"/>
        </w:rPr>
        <w:t>Investor limitation</w:t>
      </w:r>
      <w:r>
        <w:rPr>
          <w:rFonts w:ascii="Figtree" w:hAnsi="Figtree"/>
          <w:b w:val="0"/>
          <w:i w:val="0"/>
          <w:sz w:val="22"/>
        </w:rPr>
        <w:t>: Limited transparency on pool composition and performance restricts investor appetite, resulting in higher funding costs or constrained capacity. The inability to demonstrate granular Sharia compliance audit trails limits participation from institutional investors with Sharia governance requirements.</w:t>
      </w:r>
    </w:p>
    <w:p>
      <w:r>
        <w:rPr>
          <w:rFonts w:ascii="Figtree" w:hAnsi="Figtree"/>
          <w:b/>
          <w:i w:val="0"/>
          <w:sz w:val="22"/>
        </w:rPr>
        <w:t>Regulatory compliance cost</w:t>
      </w:r>
      <w:r>
        <w:rPr>
          <w:rFonts w:ascii="Figtree" w:hAnsi="Figtree"/>
          <w:b w:val="0"/>
          <w:i w:val="0"/>
          <w:sz w:val="22"/>
        </w:rPr>
        <w:t>: Manual evidence production for regulatory reviews (SAMA, CMA) consumes compliance team time. Ad hoc reporting approaches require repeated effort for each regulatory request rather than automated generation from authoritative data.</w:t>
      </w:r>
    </w:p>
    <w:p>
      <w:r>
        <w:rPr>
          <w:rFonts w:ascii="Figtree" w:hAnsi="Figtree"/>
          <w:b w:val="0"/>
          <w:i w:val="0"/>
          <w:sz w:val="22"/>
        </w:rPr>
        <w:t>The platform addresses these constraints through automation, integration, and audit capabilities that collapse the hidden cost structure while enabling scale and Sharia compliance.</w:t>
      </w:r>
    </w:p>
    <w:p>
      <w:pPr>
        <w:pStyle w:val="H3"/>
        <w:numPr>
          <w:ilvl w:val="2"/>
          <w:numId w:val="1"/>
        </w:numPr>
      </w:pPr>
      <w:r>
        <w:t>2.2 DALP Economic Impact</w:t>
      </w:r>
    </w:p>
    <w:p>
      <w:r>
        <w:rPr>
          <w:rFonts w:ascii="Figtree" w:hAnsi="Figtree"/>
          <w:b w:val="0"/>
          <w:i w:val="0"/>
          <w:sz w:val="22"/>
        </w:rPr>
        <w:t>DALP changes the economics by providing a unified platform for asset lifecycle management, investor reporting, regulatory compliance, and Sharia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5"/>
        <w:gridCol w:w="2204"/>
        <w:gridCol w:w="1441"/>
        <w:gridCol w:w="37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2436"/>
            <w:vAlign w:val="center"/>
          </w:tcPr>
          <w:p>
            <w:pPr>
              <w:spacing w:line="276" w:lineRule="auto" w:before="0" w:after="0"/>
            </w:pPr>
            <w:r/>
            <w:r>
              <w:rPr>
                <w:rFonts w:ascii="Figtree" w:hAnsi="Figtree"/>
                <w:b w:val="0"/>
                <w:i w:val="0"/>
                <w:sz w:val="20"/>
              </w:rPr>
              <w:t>Sharia compliance</w:t>
            </w:r>
          </w:p>
        </w:tc>
        <w:tc>
          <w:tcPr>
            <w:tcW w:type="dxa" w:w="2436"/>
            <w:vAlign w:val="center"/>
          </w:tcPr>
          <w:p>
            <w:pPr>
              <w:spacing w:line="276" w:lineRule="auto" w:before="0" w:after="0"/>
            </w:pPr>
            <w:r/>
            <w:r>
              <w:rPr>
                <w:rFonts w:ascii="Figtree" w:hAnsi="Figtree"/>
                <w:b w:val="0"/>
                <w:i w:val="0"/>
                <w:sz w:val="20"/>
              </w:rPr>
              <w:t>20+ hours per review</w:t>
            </w:r>
          </w:p>
        </w:tc>
        <w:tc>
          <w:tcPr>
            <w:tcW w:type="dxa" w:w="2436"/>
            <w:vAlign w:val="center"/>
          </w:tcPr>
          <w:p>
            <w:pPr>
              <w:spacing w:line="276" w:lineRule="auto" w:before="0" w:after="0"/>
            </w:pPr>
            <w:r/>
            <w:r>
              <w:rPr>
                <w:rFonts w:ascii="Figtree" w:hAnsi="Figtree"/>
                <w:b w:val="0"/>
                <w:i w:val="0"/>
                <w:sz w:val="20"/>
              </w:rPr>
              <w:t>2-3 hours</w:t>
            </w:r>
          </w:p>
        </w:tc>
        <w:tc>
          <w:tcPr>
            <w:tcW w:type="dxa" w:w="2436"/>
            <w:vAlign w:val="center"/>
          </w:tcPr>
          <w:p>
            <w:pPr>
              <w:spacing w:line="276" w:lineRule="auto" w:before="0" w:after="0"/>
            </w:pPr>
            <w:r/>
            <w:r>
              <w:rPr>
                <w:rFonts w:ascii="Figtree" w:hAnsi="Figtree"/>
                <w:b w:val="0"/>
                <w:i w:val="0"/>
                <w:sz w:val="20"/>
              </w:rPr>
              <w:t>Automated evidence generation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staff</w:t>
            </w:r>
          </w:p>
        </w:tc>
        <w:tc>
          <w:tcPr>
            <w:tcW w:type="dxa" w:w="2436"/>
            <w:vAlign w:val="center"/>
          </w:tcPr>
          <w:p>
            <w:pPr>
              <w:spacing w:line="276" w:lineRule="auto" w:before="0" w:after="0"/>
            </w:pPr>
            <w:r/>
            <w:r>
              <w:rPr>
                <w:rFonts w:ascii="Figtree" w:hAnsi="Figtree"/>
                <w:b w:val="0"/>
                <w:i w:val="0"/>
                <w:sz w:val="20"/>
              </w:rPr>
              <w:t>4-6 FTE for reconciliation</w:t>
            </w:r>
          </w:p>
        </w:tc>
        <w:tc>
          <w:tcPr>
            <w:tcW w:type="dxa" w:w="2436"/>
            <w:vAlign w:val="center"/>
          </w:tcPr>
          <w:p>
            <w:pPr>
              <w:spacing w:line="276" w:lineRule="auto" w:before="0" w:after="0"/>
            </w:pPr>
            <w:r/>
            <w:r>
              <w:rPr>
                <w:rFonts w:ascii="Figtree" w:hAnsi="Figtree"/>
                <w:b w:val="0"/>
                <w:i w:val="0"/>
                <w:sz w:val="20"/>
              </w:rPr>
              <w:t>1-2 FTE reduction</w:t>
            </w:r>
          </w:p>
        </w:tc>
        <w:tc>
          <w:tcPr>
            <w:tcW w:type="dxa" w:w="2436"/>
            <w:vAlign w:val="center"/>
          </w:tcPr>
          <w:p>
            <w:pPr>
              <w:spacing w:line="276" w:lineRule="auto" w:before="0" w:after="0"/>
            </w:pPr>
            <w:r/>
            <w:r>
              <w:rPr>
                <w:rFonts w:ascii="Figtree" w:hAnsi="Figtree"/>
                <w:b w:val="0"/>
                <w:i w:val="0"/>
                <w:sz w:val="20"/>
              </w:rPr>
              <w:t>Automated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Investor onboarding</w:t>
            </w:r>
          </w:p>
        </w:tc>
        <w:tc>
          <w:tcPr>
            <w:tcW w:type="dxa" w:w="2436"/>
            <w:vAlign w:val="center"/>
          </w:tcPr>
          <w:p>
            <w:pPr>
              <w:spacing w:line="276" w:lineRule="auto" w:before="0" w:after="0"/>
            </w:pPr>
            <w:r/>
            <w:r>
              <w:rPr>
                <w:rFonts w:ascii="Figtree" w:hAnsi="Figtree"/>
                <w:b w:val="0"/>
                <w:i w:val="0"/>
                <w:sz w:val="20"/>
              </w:rPr>
              <w:t>2-3 weeks per investor</w:t>
            </w:r>
          </w:p>
        </w:tc>
        <w:tc>
          <w:tcPr>
            <w:tcW w:type="dxa" w:w="2436"/>
            <w:vAlign w:val="center"/>
          </w:tcPr>
          <w:p>
            <w:pPr>
              <w:spacing w:line="276" w:lineRule="auto" w:before="0" w:after="0"/>
            </w:pPr>
            <w:r/>
            <w:r>
              <w:rPr>
                <w:rFonts w:ascii="Figtree" w:hAnsi="Figtree"/>
                <w:b w:val="0"/>
                <w:i w:val="0"/>
                <w:sz w:val="20"/>
              </w:rPr>
              <w:t>2-3 days</w:t>
            </w:r>
          </w:p>
        </w:tc>
        <w:tc>
          <w:tcPr>
            <w:tcW w:type="dxa" w:w="2436"/>
            <w:vAlign w:val="center"/>
          </w:tcPr>
          <w:p>
            <w:pPr>
              <w:spacing w:line="276" w:lineRule="auto" w:before="0" w:after="0"/>
            </w:pPr>
            <w:r/>
            <w:r>
              <w:rPr>
                <w:rFonts w:ascii="Figtree" w:hAnsi="Figtree"/>
                <w:b w:val="0"/>
                <w:i w:val="0"/>
                <w:sz w:val="20"/>
              </w:rPr>
              <w:t>Self-service portal with Sharia verification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40+ hours per report</w:t>
            </w:r>
          </w:p>
        </w:tc>
        <w:tc>
          <w:tcPr>
            <w:tcW w:type="dxa" w:w="2436"/>
            <w:vAlign w:val="center"/>
          </w:tcPr>
          <w:p>
            <w:pPr>
              <w:spacing w:line="276" w:lineRule="auto" w:before="0" w:after="0"/>
            </w:pPr>
            <w:r/>
            <w:r>
              <w:rPr>
                <w:rFonts w:ascii="Figtree" w:hAnsi="Figtree"/>
                <w:b w:val="0"/>
                <w:i w:val="0"/>
                <w:sz w:val="20"/>
              </w:rPr>
              <w:t>2-3 hours</w:t>
            </w:r>
          </w:p>
        </w:tc>
        <w:tc>
          <w:tcPr>
            <w:tcW w:type="dxa" w:w="2436"/>
            <w:vAlign w:val="center"/>
          </w:tcPr>
          <w:p>
            <w:pPr>
              <w:spacing w:line="276" w:lineRule="auto" w:before="0" w:after="0"/>
            </w:pPr>
            <w:r/>
            <w:r>
              <w:rPr>
                <w:rFonts w:ascii="Figtree" w:hAnsi="Figtree"/>
                <w:b w:val="0"/>
                <w:i w:val="0"/>
                <w:sz w:val="20"/>
              </w:rPr>
              <w:t>Automated generation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15-20% of volume</w:t>
            </w:r>
          </w:p>
        </w:tc>
        <w:tc>
          <w:tcPr>
            <w:tcW w:type="dxa" w:w="2436"/>
            <w:vAlign w:val="center"/>
          </w:tcPr>
          <w:p>
            <w:pPr>
              <w:spacing w:line="276" w:lineRule="auto" w:before="0" w:after="0"/>
            </w:pPr>
            <w:r/>
            <w:r>
              <w:rPr>
                <w:rFonts w:ascii="Figtree" w:hAnsi="Figtree"/>
                <w:b w:val="0"/>
                <w:i w:val="0"/>
                <w:sz w:val="20"/>
              </w:rPr>
              <w:t>&lt;5%</w:t>
            </w:r>
          </w:p>
        </w:tc>
        <w:tc>
          <w:tcPr>
            <w:tcW w:type="dxa" w:w="2436"/>
            <w:vAlign w:val="center"/>
          </w:tcPr>
          <w:p>
            <w:pPr>
              <w:spacing w:line="276" w:lineRule="auto" w:before="0" w:after="0"/>
            </w:pPr>
            <w:r/>
            <w:r>
              <w:rPr>
                <w:rFonts w:ascii="Figtree" w:hAnsi="Figtree"/>
                <w:b w:val="0"/>
                <w:i w:val="0"/>
                <w:sz w:val="20"/>
              </w:rPr>
              <w:t>Real-time validation</w:t>
            </w:r>
          </w:p>
        </w:tc>
      </w:tr>
      <w:tr>
        <w:trPr>
          <w:trHeight w:val="425" w:hRule="atLeast"/>
        </w:trPr>
        <w:tc>
          <w:tcPr>
            <w:tcW w:type="dxa" w:w="2436"/>
            <w:vAlign w:val="center"/>
          </w:tcPr>
          <w:p>
            <w:pPr>
              <w:spacing w:line="276" w:lineRule="auto" w:before="0" w:after="0"/>
            </w:pPr>
            <w:r/>
            <w:r>
              <w:rPr>
                <w:rFonts w:ascii="Figtree" w:hAnsi="Figtree"/>
                <w:b w:val="0"/>
                <w:i w:val="0"/>
                <w:sz w:val="20"/>
              </w:rPr>
              <w:t>Merchant onboarding</w:t>
            </w:r>
          </w:p>
        </w:tc>
        <w:tc>
          <w:tcPr>
            <w:tcW w:type="dxa" w:w="2436"/>
            <w:vAlign w:val="center"/>
          </w:tcPr>
          <w:p>
            <w:pPr>
              <w:spacing w:line="276" w:lineRule="auto" w:before="0" w:after="0"/>
            </w:pPr>
            <w:r/>
            <w:r>
              <w:rPr>
                <w:rFonts w:ascii="Figtree" w:hAnsi="Figtree"/>
                <w:b w:val="0"/>
                <w:i w:val="0"/>
                <w:sz w:val="20"/>
              </w:rPr>
              <w:t>4-6 weeks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API-first integration</w:t>
            </w:r>
          </w:p>
        </w:tc>
      </w:tr>
    </w:tbl>
    <w:p>
      <w:pPr>
        <w:spacing w:before="0" w:after="0" w:line="120" w:lineRule="exact"/>
      </w:pPr>
    </w:p>
    <w:p>
      <w:r>
        <w:rPr>
          <w:rFonts w:ascii="Figtree" w:hAnsi="Figtree"/>
          <w:b w:val="0"/>
          <w:i w:val="0"/>
          <w:sz w:val="22"/>
        </w:rPr>
        <w:t>The platform enables approximately 60-70% reduction in operational overhead for funding management, with the percentage varying based on current process maturity and volume profile. Sharia compliance overhead reduction is significant given the current manual approach.</w:t>
      </w:r>
    </w:p>
    <w:p>
      <w:pPr>
        <w:pStyle w:val="H3"/>
        <w:numPr>
          <w:ilvl w:val="2"/>
          <w:numId w:val="1"/>
        </w:numPr>
      </w:pPr>
      <w:r>
        <w:t>2.3 ROI Framework</w:t>
      </w:r>
    </w:p>
    <w:p>
      <w:r>
        <w:rPr>
          <w:rFonts w:ascii="Figtree" w:hAnsi="Figtree"/>
          <w:b w:val="0"/>
          <w:i w:val="0"/>
          <w:sz w:val="22"/>
        </w:rPr>
        <w:t>Return on investment combines multiple value drivers:</w:t>
      </w:r>
    </w:p>
    <w:p>
      <w:r>
        <w:rPr>
          <w:rFonts w:ascii="Figtree" w:hAnsi="Figtree"/>
          <w:b/>
          <w:i w:val="0"/>
          <w:sz w:val="22"/>
        </w:rPr>
        <w:t>Cost avoidance</w:t>
      </w:r>
      <w:r>
        <w:rPr>
          <w:rFonts w:ascii="Figtree" w:hAnsi="Figtree"/>
          <w:b w:val="0"/>
          <w:i w:val="0"/>
          <w:sz w:val="22"/>
        </w:rPr>
        <w:t>: The platform avoids costs that would be incurred through alternative approaches, including build costs, integration costs, and compliance costs associated with assembling point solutions.</w:t>
      </w:r>
    </w:p>
    <w:p>
      <w:r>
        <w:rPr>
          <w:rFonts w:ascii="Figtree" w:hAnsi="Figtree"/>
          <w:b/>
          <w:i w:val="0"/>
          <w:sz w:val="22"/>
        </w:rPr>
        <w:t>Operational efficiency</w:t>
      </w:r>
      <w:r>
        <w:rPr>
          <w:rFonts w:ascii="Figtree" w:hAnsi="Figtree"/>
          <w:b w:val="0"/>
          <w:i w:val="0"/>
          <w:sz w:val="22"/>
        </w:rPr>
        <w:t>: Direct labor savings from automation and process improvement translate to cost reduction that compounds annually.</w:t>
      </w:r>
    </w:p>
    <w:p>
      <w:r>
        <w:rPr>
          <w:rFonts w:ascii="Figtree" w:hAnsi="Figtree"/>
          <w:b/>
          <w:i w:val="0"/>
          <w:sz w:val="22"/>
        </w:rPr>
        <w:t>Revenue enablement</w:t>
      </w:r>
      <w:r>
        <w:rPr>
          <w:rFonts w:ascii="Figtree" w:hAnsi="Figtree"/>
          <w:b w:val="0"/>
          <w:i w:val="0"/>
          <w:sz w:val="22"/>
        </w:rPr>
        <w:t>: Improved investor transparency enables access to larger investor pools, including institutional investors with Sharia governance requirements. Access to Sharia-conscious institutional capital can reduce funding costs by 50-150 basis points on applicable volumes.</w:t>
      </w:r>
    </w:p>
    <w:p>
      <w:r>
        <w:rPr>
          <w:rFonts w:ascii="Figtree" w:hAnsi="Figtree"/>
          <w:b/>
          <w:i w:val="0"/>
          <w:sz w:val="22"/>
        </w:rPr>
        <w:t>Risk reduction</w:t>
      </w:r>
      <w:r>
        <w:rPr>
          <w:rFonts w:ascii="Figtree" w:hAnsi="Figtree"/>
          <w:b w:val="0"/>
          <w:i w:val="0"/>
          <w:sz w:val="22"/>
        </w:rPr>
        <w:t>: Improved audit trails and compliance evidence reduce regulatory risk, Sharia board review effort, and remediation costs.</w:t>
      </w:r>
    </w:p>
    <w:p>
      <w:r>
        <w:rPr>
          <w:rFonts w:ascii="Figtree" w:hAnsi="Figtree"/>
          <w:b w:val="0"/>
          <w:i w:val="0"/>
          <w:sz w:val="22"/>
        </w:rPr>
        <w:t>The ROI calculation depends on assumptions about current cost structure, transaction volumes, and funding scale. Detailed ROI modeling is available through commercial validation workshops.</w:t>
      </w:r>
    </w:p>
    <w:p>
      <w:r>
        <w:br w:type="page"/>
      </w:r>
    </w:p>
    <w:p>
      <w:pPr>
        <w:pStyle w:val="H2"/>
        <w:numPr>
          <w:ilvl w:val="1"/>
          <w:numId w:val="1"/>
        </w:numPr>
      </w:pPr>
      <w:r>
        <w:t>3. Commercial Model</w:t>
      </w:r>
    </w:p>
    <w:p>
      <w:pPr>
        <w:pStyle w:val="H3"/>
        <w:numPr>
          <w:ilvl w:val="2"/>
          <w:numId w:val="1"/>
        </w:numPr>
      </w:pPr>
      <w:r>
        <w:t>3.1 Licensing Structure</w:t>
      </w:r>
    </w:p>
    <w:p>
      <w:r>
        <w:rPr>
          <w:rFonts w:ascii="Figtree" w:hAnsi="Figtree"/>
          <w:b w:val="0"/>
          <w:i w:val="0"/>
          <w:sz w:val="22"/>
        </w:rPr>
        <w:t>The platform operates on an annual subscription model with tiered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40"/>
        <w:gridCol w:w="2254"/>
        <w:gridCol w:w="57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Elements</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Core platform capabilities</w:t>
            </w:r>
          </w:p>
        </w:tc>
        <w:tc>
          <w:tcPr>
            <w:tcW w:type="dxa" w:w="3249"/>
            <w:vAlign w:val="center"/>
          </w:tcPr>
          <w:p>
            <w:pPr>
              <w:spacing w:line="276" w:lineRule="auto" w:before="0" w:after="0"/>
            </w:pPr>
            <w:r/>
            <w:r>
              <w:rPr>
                <w:rFonts w:ascii="Figtree" w:hAnsi="Figtree"/>
                <w:b w:val="0"/>
                <w:i w:val="0"/>
                <w:sz w:val="20"/>
              </w:rPr>
              <w:t>Asset lifecycle, compliance modules, API access</w:t>
            </w:r>
          </w:p>
        </w:tc>
      </w:tr>
      <w:tr>
        <w:trPr>
          <w:trHeight w:val="425" w:hRule="atLeast"/>
        </w:trPr>
        <w:tc>
          <w:tcPr>
            <w:tcW w:type="dxa" w:w="3249"/>
            <w:vAlign w:val="center"/>
          </w:tcPr>
          <w:p>
            <w:pPr>
              <w:spacing w:line="276" w:lineRule="auto" w:before="0" w:after="0"/>
            </w:pPr>
            <w:r/>
            <w:r>
              <w:rPr>
                <w:rFonts w:ascii="Figtree" w:hAnsi="Figtree"/>
                <w:b w:val="0"/>
                <w:i w:val="0"/>
                <w:sz w:val="20"/>
              </w:rPr>
              <w:t>Professional</w:t>
            </w:r>
          </w:p>
        </w:tc>
        <w:tc>
          <w:tcPr>
            <w:tcW w:type="dxa" w:w="3249"/>
            <w:vAlign w:val="center"/>
          </w:tcPr>
          <w:p>
            <w:pPr>
              <w:spacing w:line="276" w:lineRule="auto" w:before="0" w:after="0"/>
            </w:pPr>
            <w:r/>
            <w:r>
              <w:rPr>
                <w:rFonts w:ascii="Figtree" w:hAnsi="Figtree"/>
                <w:b w:val="0"/>
                <w:i w:val="0"/>
                <w:sz w:val="20"/>
              </w:rPr>
              <w:t>Enhanced capabilities</w:t>
            </w:r>
          </w:p>
        </w:tc>
        <w:tc>
          <w:tcPr>
            <w:tcW w:type="dxa" w:w="3249"/>
            <w:vAlign w:val="center"/>
          </w:tcPr>
          <w:p>
            <w:pPr>
              <w:spacing w:line="276" w:lineRule="auto" w:before="0" w:after="0"/>
            </w:pPr>
            <w:r/>
            <w:r>
              <w:rPr>
                <w:rFonts w:ascii="Figtree" w:hAnsi="Figtree"/>
                <w:b w:val="0"/>
                <w:i w:val="0"/>
                <w:sz w:val="20"/>
              </w:rPr>
              <w:t>Advanced reporting, Sharia governance, analytics, additional integrations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Full capabilities</w:t>
            </w:r>
          </w:p>
        </w:tc>
        <w:tc>
          <w:tcPr>
            <w:tcW w:type="dxa" w:w="3249"/>
            <w:vAlign w:val="center"/>
          </w:tcPr>
          <w:p>
            <w:pPr>
              <w:spacing w:line="276" w:lineRule="auto" w:before="0" w:after="0"/>
            </w:pPr>
            <w:r/>
            <w:r>
              <w:rPr>
                <w:rFonts w:ascii="Figtree" w:hAnsi="Figtree"/>
                <w:b w:val="0"/>
                <w:i w:val="0"/>
                <w:sz w:val="20"/>
              </w:rPr>
              <w:t>Dedicated environment, custom development, premium support</w:t>
            </w:r>
          </w:p>
        </w:tc>
      </w:tr>
    </w:tbl>
    <w:p>
      <w:pPr>
        <w:spacing w:before="0" w:after="0" w:line="120" w:lineRule="exact"/>
      </w:pPr>
    </w:p>
    <w:p>
      <w:r>
        <w:rPr>
          <w:rFonts w:ascii="Figtree" w:hAnsi="Figtree"/>
          <w:b w:val="0"/>
          <w:i w:val="0"/>
          <w:sz w:val="22"/>
        </w:rPr>
        <w:t>For Tamara's requirements, the Professional tier is recommended, providing the capability scope required for Sharia-compliant tokenized lending with appropriate Sharia governance, integration, and reporting capabilities.</w:t>
      </w:r>
    </w:p>
    <w:p>
      <w:pPr>
        <w:pStyle w:val="H3"/>
        <w:numPr>
          <w:ilvl w:val="2"/>
          <w:numId w:val="1"/>
        </w:numPr>
      </w:pPr>
      <w:r>
        <w:t>3.2 Pricing Components</w:t>
      </w:r>
    </w:p>
    <w:p>
      <w:r>
        <w:rPr>
          <w:rFonts w:ascii="Figtree" w:hAnsi="Figtree"/>
          <w:b/>
          <w:i w:val="0"/>
          <w:sz w:val="22"/>
        </w:rPr>
        <w:t>Platform Subscription</w:t>
      </w:r>
      <w:r>
        <w:rPr>
          <w:rFonts w:ascii="Figtree" w:hAnsi="Figtree"/>
          <w:b w:val="0"/>
          <w:i w:val="0"/>
          <w:sz w:val="22"/>
        </w:rPr>
        <w:t xml:space="preserve"> (Annual)</w:t>
      </w:r>
    </w:p>
    <w:p>
      <w:pPr>
        <w:pStyle w:val="ListParagraph"/>
        <w:numPr>
          <w:ilvl w:val="0"/>
          <w:numId w:val="4"/>
        </w:numPr>
      </w:pPr>
      <w:r>
        <w:rPr>
          <w:rFonts w:ascii="Figtree" w:hAnsi="Figtree"/>
          <w:b w:val="0"/>
          <w:i w:val="0"/>
          <w:sz w:val="22"/>
        </w:rPr>
        <w:t>Environment: Production plus DR</w:t>
      </w:r>
    </w:p>
    <w:p>
      <w:pPr>
        <w:pStyle w:val="ListParagraph"/>
        <w:numPr>
          <w:ilvl w:val="0"/>
          <w:numId w:val="4"/>
        </w:numPr>
      </w:pPr>
      <w:r>
        <w:rPr>
          <w:rFonts w:ascii="Figtree" w:hAnsi="Figtree"/>
          <w:b w:val="0"/>
          <w:i w:val="0"/>
          <w:sz w:val="22"/>
        </w:rPr>
        <w:t>Users: Unlimited business users</w:t>
      </w:r>
    </w:p>
    <w:p>
      <w:pPr>
        <w:pStyle w:val="ListParagraph"/>
        <w:numPr>
          <w:ilvl w:val="0"/>
          <w:numId w:val="4"/>
        </w:numPr>
      </w:pPr>
      <w:r>
        <w:rPr>
          <w:rFonts w:ascii="Figtree" w:hAnsi="Figtree"/>
          <w:b w:val="0"/>
          <w:i w:val="0"/>
          <w:sz w:val="22"/>
        </w:rPr>
        <w:t>API calls: 100,000/month included</w:t>
      </w:r>
    </w:p>
    <w:p>
      <w:pPr>
        <w:pStyle w:val="ListParagraph"/>
        <w:numPr>
          <w:ilvl w:val="0"/>
          <w:numId w:val="4"/>
        </w:numPr>
      </w:pPr>
      <w:r>
        <w:rPr>
          <w:rFonts w:ascii="Figtree" w:hAnsi="Figtree"/>
          <w:b w:val="0"/>
          <w:i w:val="0"/>
          <w:sz w:val="22"/>
        </w:rPr>
        <w:t>Support: Standard business hours</w:t>
      </w:r>
    </w:p>
    <w:p>
      <w:pPr>
        <w:pStyle w:val="ListParagraph"/>
        <w:numPr>
          <w:ilvl w:val="0"/>
          <w:numId w:val="4"/>
        </w:numPr>
      </w:pPr>
      <w:r>
        <w:rPr>
          <w:rFonts w:ascii="Figtree" w:hAnsi="Figtree"/>
          <w:b w:val="0"/>
          <w:i w:val="0"/>
          <w:sz w:val="22"/>
        </w:rPr>
        <w:t>Sharia Governance Module: Included</w:t>
      </w:r>
    </w:p>
    <w:p>
      <w:r>
        <w:rPr>
          <w:rFonts w:ascii="Figtree" w:hAnsi="Figtree"/>
          <w:b/>
          <w:i w:val="0"/>
          <w:sz w:val="22"/>
        </w:rPr>
        <w:t>Additional Components</w:t>
      </w:r>
    </w:p>
    <w:p>
      <w:pPr>
        <w:pStyle w:val="ListParagraph"/>
        <w:numPr>
          <w:ilvl w:val="0"/>
          <w:numId w:val="4"/>
        </w:numPr>
      </w:pPr>
      <w:r>
        <w:rPr>
          <w:rFonts w:ascii="Figtree" w:hAnsi="Figtree"/>
          <w:b w:val="0"/>
          <w:i w:val="0"/>
          <w:sz w:val="22"/>
        </w:rPr>
        <w:t>Additional API calls: Tiered pricing per 10,000 calls</w:t>
      </w:r>
    </w:p>
    <w:p>
      <w:pPr>
        <w:pStyle w:val="ListParagraph"/>
        <w:numPr>
          <w:ilvl w:val="0"/>
          <w:numId w:val="4"/>
        </w:numPr>
      </w:pPr>
      <w:r>
        <w:rPr>
          <w:rFonts w:ascii="Figtree" w:hAnsi="Figtree"/>
          <w:b w:val="0"/>
          <w:i w:val="0"/>
          <w:sz w:val="22"/>
        </w:rPr>
        <w:t>Additional environments: Dev, test, UAT available</w:t>
      </w:r>
    </w:p>
    <w:p>
      <w:pPr>
        <w:pStyle w:val="ListParagraph"/>
        <w:numPr>
          <w:ilvl w:val="0"/>
          <w:numId w:val="4"/>
        </w:numPr>
      </w:pPr>
      <w:r>
        <w:rPr>
          <w:rFonts w:ascii="Figtree" w:hAnsi="Figtree"/>
          <w:b w:val="0"/>
          <w:i w:val="0"/>
          <w:sz w:val="22"/>
        </w:rPr>
        <w:t>Extended support: 24/7 coverage available</w:t>
      </w:r>
    </w:p>
    <w:p>
      <w:pPr>
        <w:pStyle w:val="ListParagraph"/>
        <w:numPr>
          <w:ilvl w:val="0"/>
          <w:numId w:val="4"/>
        </w:numPr>
      </w:pPr>
      <w:r>
        <w:rPr>
          <w:rFonts w:ascii="Figtree" w:hAnsi="Figtree"/>
          <w:b w:val="0"/>
          <w:i w:val="0"/>
          <w:sz w:val="22"/>
        </w:rPr>
        <w:t>Premium support: Dedicated support resources available</w:t>
      </w:r>
    </w:p>
    <w:p>
      <w:pPr>
        <w:pStyle w:val="H3"/>
        <w:numPr>
          <w:ilvl w:val="2"/>
          <w:numId w:val="1"/>
        </w:numPr>
      </w:pPr>
      <w:r>
        <w:t>3.3 Volume Economics</w:t>
      </w:r>
    </w:p>
    <w:p>
      <w:r>
        <w:rPr>
          <w:rFonts w:ascii="Figtree" w:hAnsi="Figtree"/>
          <w:b w:val="0"/>
          <w:i w:val="0"/>
          <w:sz w:val="22"/>
        </w:rPr>
        <w:t>Transaction processing pricing provides economies of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58"/>
        <w:gridCol w:w="50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Volume Tier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Price Per Transaction</w:t>
            </w:r>
          </w:p>
        </w:tc>
      </w:tr>
      <w:tr>
        <w:trPr>
          <w:trHeight w:val="425" w:hRule="atLeast"/>
        </w:trPr>
        <w:tc>
          <w:tcPr>
            <w:tcW w:type="dxa" w:w="4873"/>
            <w:vAlign w:val="center"/>
          </w:tcPr>
          <w:p>
            <w:pPr>
              <w:spacing w:line="276" w:lineRule="auto" w:before="0" w:after="0"/>
            </w:pPr>
            <w:r/>
            <w:r>
              <w:rPr>
                <w:rFonts w:ascii="Figtree" w:hAnsi="Figtree"/>
                <w:b w:val="0"/>
                <w:i w:val="0"/>
                <w:sz w:val="20"/>
              </w:rPr>
              <w:t>First 50,000</w:t>
            </w:r>
          </w:p>
        </w:tc>
        <w:tc>
          <w:tcPr>
            <w:tcW w:type="dxa" w:w="4873"/>
            <w:vAlign w:val="center"/>
          </w:tcPr>
          <w:p>
            <w:pPr>
              <w:spacing w:line="276" w:lineRule="auto" w:before="0" w:after="0"/>
            </w:pPr>
            <w:r/>
            <w:r>
              <w:rPr>
                <w:rFonts w:ascii="Figtree" w:hAnsi="Figtree"/>
                <w:b w:val="0"/>
                <w:i w:val="0"/>
                <w:sz w:val="20"/>
              </w:rPr>
              <w:t>$0.18</w:t>
            </w:r>
          </w:p>
        </w:tc>
      </w:tr>
      <w:tr>
        <w:trPr>
          <w:trHeight w:val="425" w:hRule="atLeast"/>
        </w:trPr>
        <w:tc>
          <w:tcPr>
            <w:tcW w:type="dxa" w:w="4873"/>
            <w:vAlign w:val="center"/>
          </w:tcPr>
          <w:p>
            <w:pPr>
              <w:spacing w:line="276" w:lineRule="auto" w:before="0" w:after="0"/>
            </w:pPr>
            <w:r/>
            <w:r>
              <w:rPr>
                <w:rFonts w:ascii="Figtree" w:hAnsi="Figtree"/>
                <w:b w:val="0"/>
                <w:i w:val="0"/>
                <w:sz w:val="20"/>
              </w:rPr>
              <w:t>50,001 - 200,000</w:t>
            </w:r>
          </w:p>
        </w:tc>
        <w:tc>
          <w:tcPr>
            <w:tcW w:type="dxa" w:w="4873"/>
            <w:vAlign w:val="center"/>
          </w:tcPr>
          <w:p>
            <w:pPr>
              <w:spacing w:line="276" w:lineRule="auto" w:before="0" w:after="0"/>
            </w:pPr>
            <w:r/>
            <w:r>
              <w:rPr>
                <w:rFonts w:ascii="Figtree" w:hAnsi="Figtree"/>
                <w:b w:val="0"/>
                <w:i w:val="0"/>
                <w:sz w:val="20"/>
              </w:rPr>
              <w:t>$0.14</w:t>
            </w:r>
          </w:p>
        </w:tc>
      </w:tr>
      <w:tr>
        <w:trPr>
          <w:trHeight w:val="425" w:hRule="atLeast"/>
        </w:trPr>
        <w:tc>
          <w:tcPr>
            <w:tcW w:type="dxa" w:w="4873"/>
            <w:vAlign w:val="center"/>
          </w:tcPr>
          <w:p>
            <w:pPr>
              <w:spacing w:line="276" w:lineRule="auto" w:before="0" w:after="0"/>
            </w:pPr>
            <w:r/>
            <w:r>
              <w:rPr>
                <w:rFonts w:ascii="Figtree" w:hAnsi="Figtree"/>
                <w:b w:val="0"/>
                <w:i w:val="0"/>
                <w:sz w:val="20"/>
              </w:rPr>
              <w:t>200,001 - 500,000</w:t>
            </w:r>
          </w:p>
        </w:tc>
        <w:tc>
          <w:tcPr>
            <w:tcW w:type="dxa" w:w="4873"/>
            <w:vAlign w:val="center"/>
          </w:tcPr>
          <w:p>
            <w:pPr>
              <w:spacing w:line="276" w:lineRule="auto" w:before="0" w:after="0"/>
            </w:pPr>
            <w:r/>
            <w:r>
              <w:rPr>
                <w:rFonts w:ascii="Figtree" w:hAnsi="Figtree"/>
                <w:b w:val="0"/>
                <w:i w:val="0"/>
                <w:sz w:val="20"/>
              </w:rPr>
              <w:t>$0.12</w:t>
            </w:r>
          </w:p>
        </w:tc>
      </w:tr>
      <w:tr>
        <w:trPr>
          <w:trHeight w:val="425" w:hRule="atLeast"/>
        </w:trPr>
        <w:tc>
          <w:tcPr>
            <w:tcW w:type="dxa" w:w="4873"/>
            <w:vAlign w:val="center"/>
          </w:tcPr>
          <w:p>
            <w:pPr>
              <w:spacing w:line="276" w:lineRule="auto" w:before="0" w:after="0"/>
            </w:pPr>
            <w:r/>
            <w:r>
              <w:rPr>
                <w:rFonts w:ascii="Figtree" w:hAnsi="Figtree"/>
                <w:b w:val="0"/>
                <w:i w:val="0"/>
                <w:sz w:val="20"/>
              </w:rPr>
              <w:t>Above 500,000</w:t>
            </w:r>
          </w:p>
        </w:tc>
        <w:tc>
          <w:tcPr>
            <w:tcW w:type="dxa" w:w="4873"/>
            <w:vAlign w:val="center"/>
          </w:tcPr>
          <w:p>
            <w:pPr>
              <w:spacing w:line="276" w:lineRule="auto" w:before="0" w:after="0"/>
            </w:pPr>
            <w:r/>
            <w:r>
              <w:rPr>
                <w:rFonts w:ascii="Figtree" w:hAnsi="Figtree"/>
                <w:b w:val="0"/>
                <w:i w:val="0"/>
                <w:sz w:val="20"/>
              </w:rPr>
              <w:t>$0.10</w:t>
            </w:r>
          </w:p>
        </w:tc>
      </w:tr>
    </w:tbl>
    <w:p>
      <w:pPr>
        <w:spacing w:before="0" w:after="0" w:line="120" w:lineRule="exact"/>
      </w:pPr>
    </w:p>
    <w:p>
      <w:r>
        <w:rPr>
          <w:rFonts w:ascii="Figtree" w:hAnsi="Figtree"/>
          <w:b w:val="0"/>
          <w:i w:val="0"/>
          <w:sz w:val="22"/>
        </w:rPr>
        <w:t>Volume pricing applies to asset lifecycle events including creation, state changes, profit calculations, and transfers. The volume tier structure enables cost reduction as platform adoption increases.</w:t>
      </w:r>
    </w:p>
    <w:p>
      <w:r>
        <w:br w:type="page"/>
      </w:r>
    </w:p>
    <w:p>
      <w:pPr>
        <w:pStyle w:val="H2"/>
        <w:numPr>
          <w:ilvl w:val="1"/>
          <w:numId w:val="1"/>
        </w:numPr>
      </w:pPr>
      <w:r>
        <w:t>4. Implementation Investment</w:t>
      </w:r>
    </w:p>
    <w:p>
      <w:pPr>
        <w:pStyle w:val="H3"/>
        <w:numPr>
          <w:ilvl w:val="2"/>
          <w:numId w:val="1"/>
        </w:numPr>
      </w:pPr>
      <w:r>
        <w:t>4.1 Implementation Scope</w:t>
      </w:r>
    </w:p>
    <w:p>
      <w:r>
        <w:rPr>
          <w:rFonts w:ascii="Figtree" w:hAnsi="Figtree"/>
          <w:b w:val="0"/>
          <w:i w:val="0"/>
          <w:sz w:val="22"/>
        </w:rPr>
        <w:t>The implementation investment covers the five workstreams defined in Tamara's RFP: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6"/>
        <w:gridCol w:w="5292"/>
        <w:gridCol w:w="21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Workstream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WS-01 Mobilisation</w:t>
            </w:r>
          </w:p>
        </w:tc>
        <w:tc>
          <w:tcPr>
            <w:tcW w:type="dxa" w:w="3249"/>
            <w:vAlign w:val="center"/>
          </w:tcPr>
          <w:p>
            <w:pPr>
              <w:spacing w:line="276" w:lineRule="auto" w:before="0" w:after="0"/>
            </w:pPr>
            <w:r/>
            <w:r>
              <w:rPr>
                <w:rFonts w:ascii="Figtree" w:hAnsi="Figtree"/>
                <w:b w:val="0"/>
                <w:i w:val="0"/>
                <w:sz w:val="20"/>
              </w:rPr>
              <w:t>Programme setup, governance, Sharia board engagement, RAID</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WS-02 Configuration</w:t>
            </w:r>
          </w:p>
        </w:tc>
        <w:tc>
          <w:tcPr>
            <w:tcW w:type="dxa" w:w="3249"/>
            <w:vAlign w:val="center"/>
          </w:tcPr>
          <w:p>
            <w:pPr>
              <w:spacing w:line="276" w:lineRule="auto" w:before="0" w:after="0"/>
            </w:pPr>
            <w:r/>
            <w:r>
              <w:rPr>
                <w:rFonts w:ascii="Figtree" w:hAnsi="Figtree"/>
                <w:b w:val="0"/>
                <w:i w:val="0"/>
                <w:sz w:val="20"/>
              </w:rPr>
              <w:t>Lifecycle, Sharia structures, roles, limits, policy rules</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WS-03 Integration</w:t>
            </w:r>
          </w:p>
        </w:tc>
        <w:tc>
          <w:tcPr>
            <w:tcW w:type="dxa" w:w="3249"/>
            <w:vAlign w:val="center"/>
          </w:tcPr>
          <w:p>
            <w:pPr>
              <w:spacing w:line="276" w:lineRule="auto" w:before="0" w:after="0"/>
            </w:pPr>
            <w:r/>
            <w:r>
              <w:rPr>
                <w:rFonts w:ascii="Figtree" w:hAnsi="Figtree"/>
                <w:b w:val="0"/>
                <w:i w:val="0"/>
                <w:sz w:val="20"/>
              </w:rPr>
              <w:t>Enterprise integrations, Sharia system integration, controls</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WS-04 Testing</w:t>
            </w:r>
          </w:p>
        </w:tc>
        <w:tc>
          <w:tcPr>
            <w:tcW w:type="dxa" w:w="3249"/>
            <w:vAlign w:val="center"/>
          </w:tcPr>
          <w:p>
            <w:pPr>
              <w:spacing w:line="276" w:lineRule="auto" w:before="0" w:after="0"/>
            </w:pPr>
            <w:r/>
            <w:r>
              <w:rPr>
                <w:rFonts w:ascii="Figtree" w:hAnsi="Figtree"/>
                <w:b w:val="0"/>
                <w:i w:val="0"/>
                <w:sz w:val="20"/>
              </w:rPr>
              <w:t>Functional, non-functional, Sharia compliance validation, UAT</w:t>
            </w:r>
          </w:p>
        </w:tc>
        <w:tc>
          <w:tcPr>
            <w:tcW w:type="dxa" w:w="3249"/>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WS-05 Transition</w:t>
            </w:r>
          </w:p>
        </w:tc>
        <w:tc>
          <w:tcPr>
            <w:tcW w:type="dxa" w:w="3249"/>
            <w:vAlign w:val="center"/>
          </w:tcPr>
          <w:p>
            <w:pPr>
              <w:spacing w:line="276" w:lineRule="auto" w:before="0" w:after="0"/>
            </w:pPr>
            <w:r/>
            <w:r>
              <w:rPr>
                <w:rFonts w:ascii="Figtree" w:hAnsi="Figtree"/>
                <w:b w:val="0"/>
                <w:i w:val="0"/>
                <w:sz w:val="20"/>
              </w:rPr>
              <w:t>Runbooks, Sharia monitoring procedures, support model, handover</w:t>
            </w:r>
          </w:p>
        </w:tc>
        <w:tc>
          <w:tcPr>
            <w:tcW w:type="dxa" w:w="3249"/>
            <w:vAlign w:val="center"/>
          </w:tcPr>
          <w:p>
            <w:pPr>
              <w:spacing w:line="276" w:lineRule="auto" w:before="0" w:after="0"/>
            </w:pPr>
            <w:r/>
            <w:r>
              <w:rPr>
                <w:rFonts w:ascii="Figtree" w:hAnsi="Figtree"/>
                <w:b w:val="0"/>
                <w:i w:val="0"/>
                <w:sz w:val="20"/>
              </w:rPr>
              <w:t>Included in implementation</w:t>
            </w:r>
          </w:p>
        </w:tc>
      </w:tr>
    </w:tbl>
    <w:p>
      <w:pPr>
        <w:spacing w:before="0" w:after="0" w:line="120" w:lineRule="exact"/>
      </w:pPr>
    </w:p>
    <w:p>
      <w:pPr>
        <w:pStyle w:val="H3"/>
        <w:numPr>
          <w:ilvl w:val="2"/>
          <w:numId w:val="1"/>
        </w:numPr>
      </w:pPr>
      <w:r>
        <w:t>4.2 Investment Structure</w:t>
      </w:r>
    </w:p>
    <w:p>
      <w:r>
        <w:rPr>
          <w:rFonts w:ascii="Figtree" w:hAnsi="Figtree"/>
          <w:b w:val="0"/>
          <w:i w:val="0"/>
          <w:sz w:val="22"/>
        </w:rPr>
        <w:t>Implementation investment is structured as fixed-price with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2460"/>
        <w:gridCol w:w="3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Schedule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Design approval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design sign-off</w:t>
            </w:r>
          </w:p>
        </w:tc>
      </w:tr>
      <w:tr>
        <w:trPr>
          <w:trHeight w:val="425" w:hRule="atLeast"/>
        </w:trPr>
        <w:tc>
          <w:tcPr>
            <w:tcW w:type="dxa" w:w="3249"/>
            <w:vAlign w:val="center"/>
          </w:tcPr>
          <w:p>
            <w:pPr>
              <w:spacing w:line="276" w:lineRule="auto" w:before="0" w:after="0"/>
            </w:pPr>
            <w:r/>
            <w:r>
              <w:rPr>
                <w:rFonts w:ascii="Figtree" w:hAnsi="Figtree"/>
                <w:b w:val="0"/>
                <w:i w:val="0"/>
                <w:sz w:val="20"/>
              </w:rPr>
              <w:t>Development complete</w:t>
            </w:r>
          </w:p>
        </w:tc>
        <w:tc>
          <w:tcPr>
            <w:tcW w:type="dxa" w:w="3249"/>
            <w:vAlign w:val="center"/>
          </w:tcPr>
          <w:p>
            <w:pPr>
              <w:spacing w:line="276" w:lineRule="auto" w:before="0" w:after="0"/>
            </w:pPr>
            <w:r/>
            <w:r>
              <w:rPr>
                <w:rFonts w:ascii="Figtree" w:hAnsi="Figtree"/>
                <w:b w:val="0"/>
                <w:i w:val="0"/>
                <w:sz w:val="20"/>
              </w:rPr>
              <w:t>30%</w:t>
            </w:r>
          </w:p>
        </w:tc>
        <w:tc>
          <w:tcPr>
            <w:tcW w:type="dxa" w:w="3249"/>
            <w:vAlign w:val="center"/>
          </w:tcPr>
          <w:p>
            <w:pPr>
              <w:spacing w:line="276" w:lineRule="auto" w:before="0" w:after="0"/>
            </w:pPr>
            <w:r/>
            <w:r>
              <w:rPr>
                <w:rFonts w:ascii="Figtree" w:hAnsi="Figtree"/>
                <w:b w:val="0"/>
                <w:i w:val="0"/>
                <w:sz w:val="20"/>
              </w:rPr>
              <w:t>Upon code completion</w:t>
            </w:r>
          </w:p>
        </w:tc>
      </w:tr>
      <w:tr>
        <w:trPr>
          <w:trHeight w:val="425" w:hRule="atLeast"/>
        </w:trPr>
        <w:tc>
          <w:tcPr>
            <w:tcW w:type="dxa" w:w="3249"/>
            <w:vAlign w:val="center"/>
          </w:tcPr>
          <w:p>
            <w:pPr>
              <w:spacing w:line="276" w:lineRule="auto" w:before="0" w:after="0"/>
            </w:pPr>
            <w:r/>
            <w:r>
              <w:rPr>
                <w:rFonts w:ascii="Figtree" w:hAnsi="Figtree"/>
                <w:b w:val="0"/>
                <w:i w:val="0"/>
                <w:sz w:val="20"/>
              </w:rPr>
              <w:t>UAT go-live</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Upon UAT entry</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Upon production go-live</w:t>
            </w:r>
          </w:p>
        </w:tc>
      </w:tr>
    </w:tbl>
    <w:p>
      <w:pPr>
        <w:spacing w:before="0" w:after="0" w:line="120" w:lineRule="exact"/>
      </w:pPr>
    </w:p>
    <w:p>
      <w:r>
        <w:rPr>
          <w:rFonts w:ascii="Figtree" w:hAnsi="Figtree"/>
          <w:b w:val="0"/>
          <w:i w:val="0"/>
          <w:sz w:val="22"/>
        </w:rPr>
        <w:t>The milestone structure provides risk mitigation through stage-gated payments that align payment with demonstrated delivery.</w:t>
      </w:r>
    </w:p>
    <w:p>
      <w:pPr>
        <w:pStyle w:val="H3"/>
        <w:numPr>
          <w:ilvl w:val="2"/>
          <w:numId w:val="1"/>
        </w:numPr>
      </w:pPr>
      <w:r>
        <w:t>4.3 Investment Assumptions</w:t>
      </w:r>
    </w:p>
    <w:p>
      <w:r>
        <w:rPr>
          <w:rFonts w:ascii="Figtree" w:hAnsi="Figtree"/>
          <w:b w:val="0"/>
          <w:i w:val="0"/>
          <w:sz w:val="22"/>
        </w:rPr>
        <w:t>The implementation investment assumes:</w:t>
      </w:r>
    </w:p>
    <w:p>
      <w:pPr>
        <w:pStyle w:val="ListParagraph"/>
        <w:numPr>
          <w:ilvl w:val="0"/>
          <w:numId w:val="4"/>
        </w:numPr>
      </w:pPr>
      <w:r>
        <w:rPr>
          <w:rFonts w:ascii="Figtree" w:hAnsi="Figtree"/>
          <w:b w:val="0"/>
          <w:i w:val="0"/>
          <w:sz w:val="22"/>
        </w:rPr>
        <w:t>Standard scope as defined in RFP</w:t>
      </w:r>
    </w:p>
    <w:p>
      <w:pPr>
        <w:pStyle w:val="ListParagraph"/>
        <w:numPr>
          <w:ilvl w:val="0"/>
          <w:numId w:val="4"/>
        </w:numPr>
      </w:pPr>
      <w:r>
        <w:rPr>
          <w:rFonts w:ascii="Figtree" w:hAnsi="Figtree"/>
          <w:b w:val="0"/>
          <w:i w:val="0"/>
          <w:sz w:val="22"/>
        </w:rPr>
        <w:t>Tamara provides dedicated project team (4-6 resources)</w:t>
      </w:r>
    </w:p>
    <w:p>
      <w:pPr>
        <w:pStyle w:val="ListParagraph"/>
        <w:numPr>
          <w:ilvl w:val="0"/>
          <w:numId w:val="4"/>
        </w:numPr>
      </w:pPr>
      <w:r>
        <w:rPr>
          <w:rFonts w:ascii="Figtree" w:hAnsi="Figtree"/>
          <w:b w:val="0"/>
          <w:i w:val="0"/>
          <w:sz w:val="22"/>
        </w:rPr>
        <w:t>Tamara provides timely access to systems and stakeholders including Sharia board</w:t>
      </w:r>
    </w:p>
    <w:p>
      <w:pPr>
        <w:pStyle w:val="ListParagraph"/>
        <w:numPr>
          <w:ilvl w:val="0"/>
          <w:numId w:val="4"/>
        </w:numPr>
      </w:pPr>
      <w:r>
        <w:rPr>
          <w:rFonts w:ascii="Figtree" w:hAnsi="Figtree"/>
          <w:b w:val="0"/>
          <w:i w:val="0"/>
          <w:sz w:val="22"/>
        </w:rPr>
        <w:t>No significant scope changes</w:t>
      </w:r>
    </w:p>
    <w:p>
      <w:pPr>
        <w:pStyle w:val="ListParagraph"/>
        <w:numPr>
          <w:ilvl w:val="0"/>
          <w:numId w:val="4"/>
        </w:numPr>
      </w:pPr>
      <w:r>
        <w:rPr>
          <w:rFonts w:ascii="Figtree" w:hAnsi="Figtree"/>
          <w:b w:val="0"/>
          <w:i w:val="0"/>
          <w:sz w:val="22"/>
        </w:rPr>
        <w:t>Remote delivery model with quarterly on-site workshops</w:t>
      </w:r>
    </w:p>
    <w:p>
      <w:r>
        <w:rPr>
          <w:rFonts w:ascii="Figtree" w:hAnsi="Figtree"/>
          <w:b w:val="0"/>
          <w:i w:val="0"/>
          <w:sz w:val="22"/>
        </w:rPr>
        <w:t>Assumptions that prove incorrect may result in change requests with associated cost impact.</w:t>
      </w:r>
    </w:p>
    <w:p>
      <w:r>
        <w:br w:type="page"/>
      </w:r>
    </w:p>
    <w:p>
      <w:pPr>
        <w:pStyle w:val="H2"/>
        <w:numPr>
          <w:ilvl w:val="1"/>
          <w:numId w:val="1"/>
        </w:numPr>
      </w:pPr>
      <w:r>
        <w:t>5. Ongoing Investment</w:t>
      </w:r>
    </w:p>
    <w:p>
      <w:pPr>
        <w:pStyle w:val="H3"/>
        <w:numPr>
          <w:ilvl w:val="2"/>
          <w:numId w:val="1"/>
        </w:numPr>
      </w:pPr>
      <w:r>
        <w:t>5.1 Annual Operating Cost</w:t>
      </w:r>
    </w:p>
    <w:p>
      <w:r>
        <w:rPr>
          <w:rFonts w:ascii="Figtree" w:hAnsi="Figtree"/>
          <w:b w:val="0"/>
          <w:i w:val="0"/>
          <w:sz w:val="22"/>
        </w:rPr>
        <w:t>Platform operation involves recurring costs:</w:t>
      </w:r>
    </w:p>
    <w:p>
      <w:r>
        <w:rPr>
          <w:rFonts w:ascii="Figtree" w:hAnsi="Figtree"/>
          <w:b/>
          <w:i w:val="0"/>
          <w:sz w:val="22"/>
        </w:rPr>
        <w:t>Platform Subscription</w:t>
      </w:r>
      <w:r>
        <w:rPr>
          <w:rFonts w:ascii="Figtree" w:hAnsi="Figtree"/>
          <w:b w:val="0"/>
          <w:i w:val="0"/>
          <w:sz w:val="22"/>
        </w:rPr>
        <w:t>: Annual license fee as defined in Section 3.2, includes Sharia Governance Module</w:t>
      </w:r>
    </w:p>
    <w:p>
      <w:r>
        <w:rPr>
          <w:rFonts w:ascii="Figtree" w:hAnsi="Figtree"/>
          <w:b/>
          <w:i w:val="0"/>
          <w:sz w:val="22"/>
        </w:rPr>
        <w:t>Support Services</w:t>
      </w:r>
      <w:r>
        <w:rPr>
          <w:rFonts w:ascii="Figtree" w:hAnsi="Figtree"/>
          <w:b w:val="0"/>
          <w:i w:val="0"/>
          <w:sz w:val="22"/>
        </w:rPr>
        <w:t>: Annual support retainer providing:</w:t>
      </w:r>
    </w:p>
    <w:p>
      <w:pPr>
        <w:pStyle w:val="ListParagraph"/>
        <w:numPr>
          <w:ilvl w:val="0"/>
          <w:numId w:val="4"/>
        </w:numPr>
      </w:pPr>
      <w:r>
        <w:rPr>
          <w:rFonts w:ascii="Figtree" w:hAnsi="Figtree"/>
          <w:b w:val="0"/>
          <w:i w:val="0"/>
          <w:sz w:val="22"/>
        </w:rPr>
        <w:t>Access to support team during business hours</w:t>
      </w:r>
    </w:p>
    <w:p>
      <w:pPr>
        <w:pStyle w:val="ListParagraph"/>
        <w:numPr>
          <w:ilvl w:val="0"/>
          <w:numId w:val="4"/>
        </w:numPr>
      </w:pPr>
      <w:r>
        <w:rPr>
          <w:rFonts w:ascii="Figtree" w:hAnsi="Figtree"/>
          <w:b w:val="0"/>
          <w:i w:val="0"/>
          <w:sz w:val="22"/>
        </w:rPr>
        <w:t>Incident response and escalation</w:t>
      </w:r>
    </w:p>
    <w:p>
      <w:pPr>
        <w:pStyle w:val="ListParagraph"/>
        <w:numPr>
          <w:ilvl w:val="0"/>
          <w:numId w:val="4"/>
        </w:numPr>
      </w:pPr>
      <w:r>
        <w:rPr>
          <w:rFonts w:ascii="Figtree" w:hAnsi="Figtree"/>
          <w:b w:val="0"/>
          <w:i w:val="0"/>
          <w:sz w:val="22"/>
        </w:rPr>
        <w:t>Access to knowledge base and documentation</w:t>
      </w:r>
    </w:p>
    <w:p>
      <w:pPr>
        <w:pStyle w:val="ListParagraph"/>
        <w:numPr>
          <w:ilvl w:val="0"/>
          <w:numId w:val="4"/>
        </w:numPr>
      </w:pPr>
      <w:r>
        <w:rPr>
          <w:rFonts w:ascii="Figtree" w:hAnsi="Figtree"/>
          <w:b w:val="0"/>
          <w:i w:val="0"/>
          <w:sz w:val="22"/>
        </w:rPr>
        <w:t>Quarterly platform updates including Sharia rule updates</w:t>
      </w:r>
    </w:p>
    <w:p>
      <w:r>
        <w:rPr>
          <w:rFonts w:ascii="Figtree" w:hAnsi="Figtree"/>
          <w:b/>
          <w:i w:val="0"/>
          <w:sz w:val="22"/>
        </w:rPr>
        <w:t>Infrastructure Costs</w:t>
      </w:r>
      <w:r>
        <w:rPr>
          <w:rFonts w:ascii="Figtree" w:hAnsi="Figtree"/>
          <w:b w:val="0"/>
          <w:i w:val="0"/>
          <w:sz w:val="22"/>
        </w:rPr>
        <w:t>: Direct costs for cloud infrastructure, paid to cloud provider, estimated based on deployment configuration</w:t>
      </w:r>
    </w:p>
    <w:p>
      <w:pPr>
        <w:pStyle w:val="H3"/>
        <w:numPr>
          <w:ilvl w:val="2"/>
          <w:numId w:val="1"/>
        </w:numPr>
      </w:pPr>
      <w:r>
        <w:t>5.2 Cost Progression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1170"/>
        <w:gridCol w:w="1170"/>
        <w:gridCol w:w="2048"/>
        <w:gridCol w:w="234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Platform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Year 1 (partial)</w:t>
            </w:r>
          </w:p>
        </w:tc>
        <w:tc>
          <w:tcPr>
            <w:tcW w:type="dxa" w:w="1949"/>
            <w:vAlign w:val="center"/>
          </w:tcPr>
          <w:p>
            <w:pPr>
              <w:spacing w:line="276" w:lineRule="auto" w:before="0" w:after="0"/>
            </w:pPr>
            <w:r/>
            <w:r>
              <w:rPr>
                <w:rFonts w:ascii="Figtree" w:hAnsi="Figtree"/>
                <w:b w:val="0"/>
                <w:i w:val="0"/>
                <w:sz w:val="20"/>
              </w:rPr>
              <w:t>Prorated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Estimated</w:t>
            </w:r>
          </w:p>
        </w:tc>
        <w:tc>
          <w:tcPr>
            <w:tcW w:type="dxa" w:w="1949"/>
            <w:vAlign w:val="center"/>
          </w:tcPr>
          <w:p>
            <w:pPr>
              <w:spacing w:line="276" w:lineRule="auto" w:before="0" w:after="0"/>
            </w:pPr>
            <w:r/>
            <w:r>
              <w:rPr>
                <w:rFonts w:ascii="Figtree" w:hAnsi="Figtree"/>
                <w:b w:val="0"/>
                <w:i w:val="0"/>
                <w:sz w:val="20"/>
              </w:rPr>
              <w:t>Launch + ongoing</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Full operating</w:t>
            </w:r>
          </w:p>
        </w:tc>
      </w:tr>
    </w:tbl>
    <w:p>
      <w:pPr>
        <w:spacing w:before="0" w:after="0" w:line="120" w:lineRule="exact"/>
      </w:pPr>
    </w:p>
    <w:p>
      <w:r>
        <w:rPr>
          <w:rFonts w:ascii="Figtree" w:hAnsi="Figtree"/>
          <w:b w:val="0"/>
          <w:i w:val="0"/>
          <w:sz w:val="22"/>
        </w:rPr>
        <w:t>Year 1 reflects partial-year operation based on implementation timeline.</w:t>
      </w:r>
    </w:p>
    <w:p>
      <w:pPr>
        <w:pStyle w:val="H3"/>
        <w:numPr>
          <w:ilvl w:val="2"/>
          <w:numId w:val="1"/>
        </w:numPr>
      </w:pPr>
      <w:r>
        <w:t>5.3 Cost Predictability</w:t>
      </w:r>
    </w:p>
    <w:p>
      <w:r>
        <w:rPr>
          <w:rFonts w:ascii="Figtree" w:hAnsi="Figtree"/>
          <w:b w:val="0"/>
          <w:i w:val="0"/>
          <w:sz w:val="22"/>
        </w:rPr>
        <w:t>The commercial model emphasizes predictability:</w:t>
      </w:r>
    </w:p>
    <w:p>
      <w:pPr>
        <w:pStyle w:val="ListParagraph"/>
        <w:numPr>
          <w:ilvl w:val="0"/>
          <w:numId w:val="4"/>
        </w:numPr>
      </w:pPr>
      <w:r>
        <w:rPr>
          <w:rFonts w:ascii="Figtree" w:hAnsi="Figtree"/>
          <w:b w:val="0"/>
          <w:i w:val="0"/>
          <w:sz w:val="22"/>
        </w:rPr>
        <w:t>Platform subscription is fixed regardless of transaction volume within tier</w:t>
      </w:r>
    </w:p>
    <w:p>
      <w:pPr>
        <w:pStyle w:val="ListParagraph"/>
        <w:numPr>
          <w:ilvl w:val="0"/>
          <w:numId w:val="4"/>
        </w:numPr>
      </w:pPr>
      <w:r>
        <w:rPr>
          <w:rFonts w:ascii="Figtree" w:hAnsi="Figtree"/>
          <w:b w:val="0"/>
          <w:i w:val="0"/>
          <w:sz w:val="22"/>
        </w:rPr>
        <w:t>Support is fixed regardless of incident volume within normal ranges</w:t>
      </w:r>
    </w:p>
    <w:p>
      <w:pPr>
        <w:pStyle w:val="ListParagraph"/>
        <w:numPr>
          <w:ilvl w:val="0"/>
          <w:numId w:val="4"/>
        </w:numPr>
      </w:pPr>
      <w:r>
        <w:rPr>
          <w:rFonts w:ascii="Figtree" w:hAnsi="Figtree"/>
          <w:b w:val="0"/>
          <w:i w:val="0"/>
          <w:sz w:val="22"/>
        </w:rPr>
        <w:t>Infrastructure scales predictably based on environment configuration</w:t>
      </w:r>
    </w:p>
    <w:p>
      <w:pPr>
        <w:pStyle w:val="ListParagraph"/>
        <w:numPr>
          <w:ilvl w:val="0"/>
          <w:numId w:val="4"/>
        </w:numPr>
      </w:pPr>
      <w:r>
        <w:rPr>
          <w:rFonts w:ascii="Figtree" w:hAnsi="Figtree"/>
          <w:b w:val="0"/>
          <w:i w:val="0"/>
          <w:sz w:val="22"/>
        </w:rPr>
        <w:t>Sharia compliance updates are included in platform subscription</w:t>
      </w:r>
    </w:p>
    <w:p>
      <w:r>
        <w:rPr>
          <w:rFonts w:ascii="Figtree" w:hAnsi="Figtree"/>
          <w:b w:val="0"/>
          <w:i w:val="0"/>
          <w:sz w:val="22"/>
        </w:rPr>
        <w:t>Hidden cost escalation is avoided through defined cost boundaries and scope management.</w:t>
      </w:r>
    </w:p>
    <w:p>
      <w:r>
        <w:br w:type="page"/>
      </w:r>
    </w:p>
    <w:p>
      <w:pPr>
        <w:pStyle w:val="H2"/>
        <w:numPr>
          <w:ilvl w:val="1"/>
          <w:numId w:val="1"/>
        </w:numPr>
      </w:pPr>
      <w:r>
        <w:t>6. Value Analysis</w:t>
      </w:r>
    </w:p>
    <w:p>
      <w:pPr>
        <w:pStyle w:val="H3"/>
        <w:numPr>
          <w:ilvl w:val="2"/>
          <w:numId w:val="1"/>
        </w:numPr>
      </w:pPr>
      <w:r>
        <w:t>6.1 Buy vs. Build Comparison</w:t>
      </w:r>
    </w:p>
    <w:p>
      <w:r>
        <w:rPr>
          <w:rFonts w:ascii="Figtree" w:hAnsi="Figtree"/>
          <w:b w:val="0"/>
          <w:i w:val="0"/>
          <w:sz w:val="22"/>
        </w:rPr>
        <w:t>Building equivalent capability internally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2"/>
        <w:gridCol w:w="2329"/>
        <w:gridCol w:w="38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Comparison</w:t>
            </w:r>
          </w:p>
        </w:tc>
      </w:tr>
      <w:tr>
        <w:trPr>
          <w:trHeight w:val="425" w:hRule="atLeast"/>
        </w:trPr>
        <w:tc>
          <w:tcPr>
            <w:tcW w:type="dxa" w:w="3249"/>
            <w:vAlign w:val="center"/>
          </w:tcPr>
          <w:p>
            <w:pPr>
              <w:spacing w:line="276" w:lineRule="auto" w:before="0" w:after="0"/>
            </w:pPr>
            <w:r/>
            <w:r>
              <w:rPr>
                <w:rFonts w:ascii="Figtree" w:hAnsi="Figtree"/>
                <w:b w:val="0"/>
                <w:i w:val="0"/>
                <w:sz w:val="20"/>
              </w:rPr>
              <w:t>Platform development</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Sharia governance module</w:t>
            </w:r>
          </w:p>
        </w:tc>
        <w:tc>
          <w:tcPr>
            <w:tcW w:type="dxa" w:w="3249"/>
            <w:vAlign w:val="center"/>
          </w:tcPr>
          <w:p>
            <w:pPr>
              <w:spacing w:line="276" w:lineRule="auto" w:before="0" w:after="0"/>
            </w:pPr>
            <w:r/>
            <w:r>
              <w:rPr>
                <w:rFonts w:ascii="Figtree" w:hAnsi="Figtree"/>
                <w:b w:val="0"/>
                <w:i w:val="0"/>
                <w:sz w:val="20"/>
              </w:rPr>
              <w:t>6-9 months</w:t>
            </w:r>
          </w:p>
        </w:tc>
        <w:tc>
          <w:tcPr>
            <w:tcW w:type="dxa" w:w="3249"/>
            <w:vAlign w:val="center"/>
          </w:tcPr>
          <w:p>
            <w:pPr>
              <w:spacing w:line="276" w:lineRule="auto" w:before="0" w:after="0"/>
            </w:pPr>
            <w:r/>
            <w:r>
              <w:rPr>
                <w:rFonts w:ascii="Figtree" w:hAnsi="Figtree"/>
                <w:b w:val="0"/>
                <w:i w:val="0"/>
                <w:sz w:val="20"/>
              </w:rPr>
              <w:t>Pre-built with AAOIFI alignment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development</w:t>
            </w:r>
          </w:p>
        </w:tc>
        <w:tc>
          <w:tcPr>
            <w:tcW w:type="dxa" w:w="3249"/>
            <w:vAlign w:val="center"/>
          </w:tcPr>
          <w:p>
            <w:pPr>
              <w:spacing w:line="276" w:lineRule="auto" w:before="0" w:after="0"/>
            </w:pPr>
            <w:r/>
            <w:r>
              <w:rPr>
                <w:rFonts w:ascii="Figtree" w:hAnsi="Figtree"/>
                <w:b w:val="0"/>
                <w:i w:val="0"/>
                <w:sz w:val="20"/>
              </w:rPr>
              <w:t>6-9 months</w:t>
            </w:r>
          </w:p>
        </w:tc>
        <w:tc>
          <w:tcPr>
            <w:tcW w:type="dxa" w:w="3249"/>
            <w:vAlign w:val="center"/>
          </w:tcPr>
          <w:p>
            <w:pPr>
              <w:spacing w:line="276" w:lineRule="auto" w:before="0" w:after="0"/>
            </w:pPr>
            <w:r/>
            <w:r>
              <w:rPr>
                <w:rFonts w:ascii="Figtree" w:hAnsi="Figtree"/>
                <w:b w:val="0"/>
                <w:i w:val="0"/>
                <w:sz w:val="20"/>
              </w:rPr>
              <w:t>Pre-built adapters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modules</w:t>
            </w:r>
          </w:p>
        </w:tc>
        <w:tc>
          <w:tcPr>
            <w:tcW w:type="dxa" w:w="3249"/>
            <w:vAlign w:val="center"/>
          </w:tcPr>
          <w:p>
            <w:pPr>
              <w:spacing w:line="276" w:lineRule="auto" w:before="0" w:after="0"/>
            </w:pPr>
            <w:r/>
            <w:r>
              <w:rPr>
                <w:rFonts w:ascii="Figtree" w:hAnsi="Figtree"/>
                <w:b w:val="0"/>
                <w:i w:val="0"/>
                <w:sz w:val="20"/>
              </w:rPr>
              <w:t>3-6 months</w:t>
            </w:r>
          </w:p>
        </w:tc>
        <w:tc>
          <w:tcPr>
            <w:tcW w:type="dxa" w:w="3249"/>
            <w:vAlign w:val="center"/>
          </w:tcPr>
          <w:p>
            <w:pPr>
              <w:spacing w:line="276" w:lineRule="auto" w:before="0" w:after="0"/>
            </w:pPr>
            <w:r/>
            <w:r>
              <w:rPr>
                <w:rFonts w:ascii="Figtree" w:hAnsi="Figtree"/>
                <w:b w:val="0"/>
                <w:i w:val="0"/>
                <w:sz w:val="20"/>
              </w:rPr>
              <w:t>Pre-certified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capability</w:t>
            </w:r>
          </w:p>
        </w:tc>
        <w:tc>
          <w:tcPr>
            <w:tcW w:type="dxa" w:w="3249"/>
            <w:vAlign w:val="center"/>
          </w:tcPr>
          <w:p>
            <w:pPr>
              <w:spacing w:line="276" w:lineRule="auto" w:before="0" w:after="0"/>
            </w:pPr>
            <w:r/>
            <w:r>
              <w:rPr>
                <w:rFonts w:ascii="Figtree" w:hAnsi="Figtree"/>
                <w:b w:val="0"/>
                <w:i w:val="0"/>
                <w:sz w:val="20"/>
              </w:rPr>
              <w:t>12-18 months</w:t>
            </w:r>
          </w:p>
        </w:tc>
        <w:tc>
          <w:tcPr>
            <w:tcW w:type="dxa" w:w="3249"/>
            <w:vAlign w:val="center"/>
          </w:tcPr>
          <w:p>
            <w:pPr>
              <w:spacing w:line="276" w:lineRule="auto" w:before="0" w:after="0"/>
            </w:pPr>
            <w:r/>
            <w:r>
              <w:rPr>
                <w:rFonts w:ascii="Figtree" w:hAnsi="Figtree"/>
                <w:b w:val="0"/>
                <w:i w:val="0"/>
                <w:sz w:val="20"/>
              </w:rPr>
              <w:t>Production-ready</w:t>
            </w:r>
          </w:p>
        </w:tc>
      </w:tr>
      <w:tr>
        <w:trPr>
          <w:trHeight w:val="425" w:hRule="atLeast"/>
        </w:trPr>
        <w:tc>
          <w:tcPr>
            <w:tcW w:type="dxa" w:w="3249"/>
            <w:vAlign w:val="center"/>
          </w:tcPr>
          <w:p>
            <w:pPr>
              <w:spacing w:line="276" w:lineRule="auto" w:before="0" w:after="0"/>
            </w:pPr>
            <w:r/>
            <w:r>
              <w:rPr>
                <w:rFonts w:ascii="Figtree" w:hAnsi="Figtree"/>
                <w:b w:val="0"/>
                <w:i w:val="0"/>
                <w:sz w:val="20"/>
              </w:rPr>
              <w:t>Total estimated build</w:t>
            </w:r>
          </w:p>
        </w:tc>
        <w:tc>
          <w:tcPr>
            <w:tcW w:type="dxa" w:w="3249"/>
            <w:vAlign w:val="center"/>
          </w:tcPr>
          <w:p>
            <w:pPr>
              <w:spacing w:line="276" w:lineRule="auto" w:before="0" w:after="0"/>
            </w:pPr>
            <w:r/>
            <w:r>
              <w:rPr>
                <w:rFonts w:ascii="Figtree" w:hAnsi="Figtree"/>
                <w:b w:val="0"/>
                <w:i w:val="0"/>
                <w:sz w:val="20"/>
              </w:rPr>
              <w:t>45-66 months</w:t>
            </w:r>
          </w:p>
        </w:tc>
        <w:tc>
          <w:tcPr>
            <w:tcW w:type="dxa" w:w="3249"/>
            <w:vAlign w:val="center"/>
          </w:tcPr>
          <w:p>
            <w:pPr>
              <w:spacing w:line="276" w:lineRule="auto" w:before="0" w:after="0"/>
            </w:pPr>
            <w:r/>
            <w:r>
              <w:rPr>
                <w:rFonts w:ascii="Figtree" w:hAnsi="Figtree"/>
                <w:b w:val="0"/>
                <w:i w:val="0"/>
                <w:sz w:val="20"/>
              </w:rPr>
              <w:t>Significant acceleration</w:t>
            </w:r>
          </w:p>
        </w:tc>
      </w:tr>
    </w:tbl>
    <w:p>
      <w:pPr>
        <w:spacing w:before="0" w:after="0" w:line="120" w:lineRule="exact"/>
      </w:pPr>
    </w:p>
    <w:p>
      <w:r>
        <w:rPr>
          <w:rFonts w:ascii="Figtree" w:hAnsi="Figtree"/>
          <w:b w:val="0"/>
          <w:i w:val="0"/>
          <w:sz w:val="22"/>
        </w:rPr>
        <w:t>The platform approach provides time-to-value measured in weeks rather than years, with reduced execution risk and proven Sharia compliance capability.</w:t>
      </w:r>
    </w:p>
    <w:p>
      <w:pPr>
        <w:pStyle w:val="H3"/>
        <w:numPr>
          <w:ilvl w:val="2"/>
          <w:numId w:val="1"/>
        </w:numPr>
      </w:pPr>
      <w:r>
        <w:t>6.2 Single-Platform Economics</w:t>
      </w:r>
    </w:p>
    <w:p>
      <w:r>
        <w:rPr>
          <w:rFonts w:ascii="Figtree" w:hAnsi="Figtree"/>
          <w:b w:val="0"/>
          <w:i w:val="0"/>
          <w:sz w:val="22"/>
        </w:rPr>
        <w:t>Using DALP for Sharia-compliant tokenized lending creates optionality for adjacent capabilities:</w:t>
      </w:r>
    </w:p>
    <w:p>
      <w:r>
        <w:rPr>
          <w:rFonts w:ascii="Figtree" w:hAnsi="Figtree"/>
          <w:b/>
          <w:i w:val="0"/>
          <w:sz w:val="22"/>
        </w:rPr>
        <w:t>Future extension potential</w:t>
      </w:r>
      <w:r>
        <w:rPr>
          <w:rFonts w:ascii="Figtree" w:hAnsi="Figtree"/>
          <w:b w:val="0"/>
          <w:i w:val="0"/>
          <w:sz w:val="22"/>
        </w:rPr>
        <w:t>: The platform supports additional asset types, markets, and use cases without additional platform investment. This creates incremental value as Tamara's digital asset strategy evolves.</w:t>
      </w:r>
    </w:p>
    <w:p>
      <w:r>
        <w:rPr>
          <w:rFonts w:ascii="Figtree" w:hAnsi="Figtree"/>
          <w:b/>
          <w:i w:val="0"/>
          <w:sz w:val="22"/>
        </w:rPr>
        <w:t>Operational leverage</w:t>
      </w:r>
      <w:r>
        <w:rPr>
          <w:rFonts w:ascii="Figtree" w:hAnsi="Figtree"/>
          <w:b w:val="0"/>
          <w:i w:val="0"/>
          <w:sz w:val="22"/>
        </w:rPr>
        <w:t>: The operational model, support infrastructure, and team capability transfer across use cases, reducing incremental operating cost for additional programmes. Sharia governance capabilities can be leveraged for multiple product types.</w:t>
      </w:r>
    </w:p>
    <w:p>
      <w:r>
        <w:rPr>
          <w:rFonts w:ascii="Figtree" w:hAnsi="Figtree"/>
          <w:b/>
          <w:i w:val="0"/>
          <w:sz w:val="22"/>
        </w:rPr>
        <w:t>Vendor consolidation</w:t>
      </w:r>
      <w:r>
        <w:rPr>
          <w:rFonts w:ascii="Figtree" w:hAnsi="Figtree"/>
          <w:b w:val="0"/>
          <w:i w:val="0"/>
          <w:sz w:val="22"/>
        </w:rPr>
        <w:t>: Single platform for digital asset lifecycle reduces vendor management overhead, integration complexity, and support coordination.</w:t>
      </w:r>
    </w:p>
    <w:p>
      <w:pPr>
        <w:pStyle w:val="H3"/>
        <w:numPr>
          <w:ilvl w:val="2"/>
          <w:numId w:val="1"/>
        </w:numPr>
      </w:pPr>
      <w:r>
        <w:t>6.3 Risk-Adjusted Value</w:t>
      </w:r>
    </w:p>
    <w:p>
      <w:r>
        <w:rPr>
          <w:rFonts w:ascii="Figtree" w:hAnsi="Figtree"/>
          <w:b w:val="0"/>
          <w:i w:val="0"/>
          <w:sz w:val="22"/>
        </w:rPr>
        <w:t>The proposal value analysis incorporates risk adjustment: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2"/>
        <w:gridCol w:w="3150"/>
        <w:gridCol w:w="31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overrun</w:t>
            </w:r>
          </w:p>
        </w:tc>
        <w:tc>
          <w:tcPr>
            <w:tcW w:type="dxa" w:w="3249"/>
            <w:vAlign w:val="center"/>
          </w:tcPr>
          <w:p>
            <w:pPr>
              <w:spacing w:line="276" w:lineRule="auto" w:before="0" w:after="0"/>
            </w:pPr>
            <w:r/>
            <w:r>
              <w:rPr>
                <w:rFonts w:ascii="Figtree" w:hAnsi="Figtree"/>
                <w:b w:val="0"/>
                <w:i w:val="0"/>
                <w:sz w:val="20"/>
              </w:rPr>
              <w:t>Potential 10-20%</w:t>
            </w:r>
          </w:p>
        </w:tc>
        <w:tc>
          <w:tcPr>
            <w:tcW w:type="dxa" w:w="3249"/>
            <w:vAlign w:val="center"/>
          </w:tcPr>
          <w:p>
            <w:pPr>
              <w:spacing w:line="276" w:lineRule="auto" w:before="0" w:after="0"/>
            </w:pPr>
            <w:r/>
            <w:r>
              <w:rPr>
                <w:rFonts w:ascii="Figtree" w:hAnsi="Figtree"/>
                <w:b w:val="0"/>
                <w:i w:val="0"/>
                <w:sz w:val="20"/>
              </w:rPr>
              <w:t>Milestone structure</w:t>
            </w:r>
          </w:p>
        </w:tc>
      </w:tr>
      <w:tr>
        <w:trPr>
          <w:trHeight w:val="425" w:hRule="atLeast"/>
        </w:trPr>
        <w:tc>
          <w:tcPr>
            <w:tcW w:type="dxa" w:w="3249"/>
            <w:vAlign w:val="center"/>
          </w:tcPr>
          <w:p>
            <w:pPr>
              <w:spacing w:line="276" w:lineRule="auto" w:before="0" w:after="0"/>
            </w:pPr>
            <w:r/>
            <w:r>
              <w:rPr>
                <w:rFonts w:ascii="Figtree" w:hAnsi="Figtree"/>
                <w:b w:val="0"/>
                <w:i w:val="0"/>
                <w:sz w:val="20"/>
              </w:rPr>
              <w:t>Sharia board delays</w:t>
            </w:r>
          </w:p>
        </w:tc>
        <w:tc>
          <w:tcPr>
            <w:tcW w:type="dxa" w:w="3249"/>
            <w:vAlign w:val="center"/>
          </w:tcPr>
          <w:p>
            <w:pPr>
              <w:spacing w:line="276" w:lineRule="auto" w:before="0" w:after="0"/>
            </w:pPr>
            <w:r/>
            <w:r>
              <w:rPr>
                <w:rFonts w:ascii="Figtree" w:hAnsi="Figtree"/>
                <w:b w:val="0"/>
                <w:i w:val="0"/>
                <w:sz w:val="20"/>
              </w:rPr>
              <w:t>Potential schedule impact</w:t>
            </w:r>
          </w:p>
        </w:tc>
        <w:tc>
          <w:tcPr>
            <w:tcW w:type="dxa" w:w="3249"/>
            <w:vAlign w:val="center"/>
          </w:tcPr>
          <w:p>
            <w:pPr>
              <w:spacing w:line="276" w:lineRule="auto" w:before="0" w:after="0"/>
            </w:pPr>
            <w:r/>
            <w:r>
              <w:rPr>
                <w:rFonts w:ascii="Figtree" w:hAnsi="Figtree"/>
                <w:b w:val="0"/>
                <w:i w:val="0"/>
                <w:sz w:val="20"/>
              </w:rPr>
              <w:t>Early engagement planning</w:t>
            </w:r>
          </w:p>
        </w:tc>
      </w:tr>
      <w:tr>
        <w:trPr>
          <w:trHeight w:val="425" w:hRule="atLeast"/>
        </w:trPr>
        <w:tc>
          <w:tcPr>
            <w:tcW w:type="dxa" w:w="3249"/>
            <w:vAlign w:val="center"/>
          </w:tcPr>
          <w:p>
            <w:pPr>
              <w:spacing w:line="276" w:lineRule="auto" w:before="0" w:after="0"/>
            </w:pPr>
            <w:r/>
            <w:r>
              <w:rPr>
                <w:rFonts w:ascii="Figtree" w:hAnsi="Figtree"/>
                <w:b w:val="0"/>
                <w:i w:val="0"/>
                <w:sz w:val="20"/>
              </w:rPr>
              <w:t>Integration complexity</w:t>
            </w:r>
          </w:p>
        </w:tc>
        <w:tc>
          <w:tcPr>
            <w:tcW w:type="dxa" w:w="3249"/>
            <w:vAlign w:val="center"/>
          </w:tcPr>
          <w:p>
            <w:pPr>
              <w:spacing w:line="276" w:lineRule="auto" w:before="0" w:after="0"/>
            </w:pPr>
            <w:r/>
            <w:r>
              <w:rPr>
                <w:rFonts w:ascii="Figtree" w:hAnsi="Figtree"/>
                <w:b w:val="0"/>
                <w:i w:val="0"/>
                <w:sz w:val="20"/>
              </w:rPr>
              <w:t>Potential delays</w:t>
            </w:r>
          </w:p>
        </w:tc>
        <w:tc>
          <w:tcPr>
            <w:tcW w:type="dxa" w:w="3249"/>
            <w:vAlign w:val="center"/>
          </w:tcPr>
          <w:p>
            <w:pPr>
              <w:spacing w:line="276" w:lineRule="auto" w:before="0" w:after="0"/>
            </w:pPr>
            <w:r/>
            <w:r>
              <w:rPr>
                <w:rFonts w:ascii="Figtree" w:hAnsi="Figtree"/>
                <w:b w:val="0"/>
                <w:i w:val="0"/>
                <w:sz w:val="20"/>
              </w:rPr>
              <w:t>Early integration scoping</w:t>
            </w:r>
          </w:p>
        </w:tc>
      </w:tr>
      <w:tr>
        <w:trPr>
          <w:trHeight w:val="425" w:hRule="atLeast"/>
        </w:trPr>
        <w:tc>
          <w:tcPr>
            <w:tcW w:type="dxa" w:w="3249"/>
            <w:vAlign w:val="center"/>
          </w:tcPr>
          <w:p>
            <w:pPr>
              <w:spacing w:line="276" w:lineRule="auto" w:before="0" w:after="0"/>
            </w:pPr>
            <w:r/>
            <w:r>
              <w:rPr>
                <w:rFonts w:ascii="Figtree" w:hAnsi="Figtree"/>
                <w:b w:val="0"/>
                <w:i w:val="0"/>
                <w:sz w:val="20"/>
              </w:rPr>
              <w:t>Regulatory change</w:t>
            </w:r>
          </w:p>
        </w:tc>
        <w:tc>
          <w:tcPr>
            <w:tcW w:type="dxa" w:w="3249"/>
            <w:vAlign w:val="center"/>
          </w:tcPr>
          <w:p>
            <w:pPr>
              <w:spacing w:line="276" w:lineRule="auto" w:before="0" w:after="0"/>
            </w:pPr>
            <w:r/>
            <w:r>
              <w:rPr>
                <w:rFonts w:ascii="Figtree" w:hAnsi="Figtree"/>
                <w:b w:val="0"/>
                <w:i w:val="0"/>
                <w:sz w:val="20"/>
              </w:rPr>
              <w:t>Unknown</w:t>
            </w:r>
          </w:p>
        </w:tc>
        <w:tc>
          <w:tcPr>
            <w:tcW w:type="dxa" w:w="3249"/>
            <w:vAlign w:val="center"/>
          </w:tcPr>
          <w:p>
            <w:pPr>
              <w:spacing w:line="276" w:lineRule="auto" w:before="0" w:after="0"/>
            </w:pPr>
            <w:r/>
            <w:r>
              <w:rPr>
                <w:rFonts w:ascii="Figtree" w:hAnsi="Figtree"/>
                <w:b w:val="0"/>
                <w:i w:val="0"/>
                <w:sz w:val="20"/>
              </w:rPr>
              <w:t>Configuration flexibility</w:t>
            </w:r>
          </w:p>
        </w:tc>
      </w:tr>
      <w:tr>
        <w:trPr>
          <w:trHeight w:val="425" w:hRule="atLeast"/>
        </w:trPr>
        <w:tc>
          <w:tcPr>
            <w:tcW w:type="dxa" w:w="3249"/>
            <w:vAlign w:val="center"/>
          </w:tcPr>
          <w:p>
            <w:pPr>
              <w:spacing w:line="276" w:lineRule="auto" w:before="0" w:after="0"/>
            </w:pPr>
            <w:r/>
            <w:r>
              <w:rPr>
                <w:rFonts w:ascii="Figtree" w:hAnsi="Figtree"/>
                <w:b w:val="0"/>
                <w:i w:val="0"/>
                <w:sz w:val="20"/>
              </w:rPr>
              <w:t>Volume variance</w:t>
            </w:r>
          </w:p>
        </w:tc>
        <w:tc>
          <w:tcPr>
            <w:tcW w:type="dxa" w:w="3249"/>
            <w:vAlign w:val="center"/>
          </w:tcPr>
          <w:p>
            <w:pPr>
              <w:spacing w:line="276" w:lineRule="auto" w:before="0" w:after="0"/>
            </w:pPr>
            <w:r/>
            <w:r>
              <w:rPr>
                <w:rFonts w:ascii="Figtree" w:hAnsi="Figtree"/>
                <w:b w:val="0"/>
                <w:i w:val="0"/>
                <w:sz w:val="20"/>
              </w:rPr>
              <w:t>Cost impact</w:t>
            </w:r>
          </w:p>
        </w:tc>
        <w:tc>
          <w:tcPr>
            <w:tcW w:type="dxa" w:w="3249"/>
            <w:vAlign w:val="center"/>
          </w:tcPr>
          <w:p>
            <w:pPr>
              <w:spacing w:line="276" w:lineRule="auto" w:before="0" w:after="0"/>
            </w:pPr>
            <w:r/>
            <w:r>
              <w:rPr>
                <w:rFonts w:ascii="Figtree" w:hAnsi="Figtree"/>
                <w:b w:val="0"/>
                <w:i w:val="0"/>
                <w:sz w:val="20"/>
              </w:rPr>
              <w:t>Tiered pricing</w:t>
            </w:r>
          </w:p>
        </w:tc>
      </w:tr>
    </w:tbl>
    <w:p>
      <w:pPr>
        <w:spacing w:before="0" w:after="0" w:line="120" w:lineRule="exact"/>
      </w:pPr>
    </w:p>
    <w:p>
      <w:r>
        <w:rPr>
          <w:rFonts w:ascii="Figtree" w:hAnsi="Figtree"/>
          <w:b w:val="0"/>
          <w:i w:val="0"/>
          <w:sz w:val="22"/>
        </w:rPr>
        <w:t>The risk-adjusted value considers probability-weighted outcomes across scenarios.</w:t>
      </w:r>
    </w:p>
    <w:p>
      <w:r>
        <w:br w:type="page"/>
      </w:r>
    </w:p>
    <w:p>
      <w:pPr>
        <w:pStyle w:val="H2"/>
        <w:numPr>
          <w:ilvl w:val="1"/>
          <w:numId w:val="1"/>
        </w:numPr>
      </w:pPr>
      <w:r>
        <w:t>7. Contracting Terms</w:t>
      </w:r>
    </w:p>
    <w:p>
      <w:pPr>
        <w:pStyle w:val="H3"/>
        <w:numPr>
          <w:ilvl w:val="2"/>
          <w:numId w:val="1"/>
        </w:numPr>
      </w:pPr>
      <w:r>
        <w:t>7.1 Contract Structure</w:t>
      </w:r>
    </w:p>
    <w:p>
      <w:r>
        <w:rPr>
          <w:rFonts w:ascii="Figtree" w:hAnsi="Figtree"/>
          <w:b w:val="0"/>
          <w:i w:val="0"/>
          <w:sz w:val="22"/>
        </w:rPr>
        <w:t>The commercial relationship is structured through:</w:t>
      </w:r>
    </w:p>
    <w:p>
      <w:pPr>
        <w:pStyle w:val="ListParagraph"/>
        <w:numPr>
          <w:ilvl w:val="0"/>
          <w:numId w:val="4"/>
        </w:numPr>
      </w:pPr>
      <w:r>
        <w:rPr>
          <w:rFonts w:ascii="Figtree" w:hAnsi="Figtree"/>
          <w:b w:val="0"/>
          <w:i w:val="0"/>
          <w:sz w:val="22"/>
        </w:rPr>
        <w:t>Master Agreement covering platform license and support</w:t>
      </w:r>
    </w:p>
    <w:p>
      <w:pPr>
        <w:pStyle w:val="ListParagraph"/>
        <w:numPr>
          <w:ilvl w:val="0"/>
          <w:numId w:val="4"/>
        </w:numPr>
      </w:pPr>
      <w:r>
        <w:rPr>
          <w:rFonts w:ascii="Figtree" w:hAnsi="Figtree"/>
          <w:b w:val="0"/>
          <w:i w:val="0"/>
          <w:sz w:val="22"/>
        </w:rPr>
        <w:t>Statement of Work covering implementation scope</w:t>
      </w:r>
    </w:p>
    <w:p>
      <w:pPr>
        <w:pStyle w:val="ListParagraph"/>
        <w:numPr>
          <w:ilvl w:val="0"/>
          <w:numId w:val="4"/>
        </w:numPr>
      </w:pPr>
      <w:r>
        <w:rPr>
          <w:rFonts w:ascii="Figtree" w:hAnsi="Figtree"/>
          <w:b w:val="0"/>
          <w:i w:val="0"/>
          <w:sz w:val="22"/>
        </w:rPr>
        <w:t>Service Schedule covering SLA terms</w:t>
      </w:r>
    </w:p>
    <w:p>
      <w:pPr>
        <w:pStyle w:val="H3"/>
        <w:numPr>
          <w:ilvl w:val="2"/>
          <w:numId w:val="1"/>
        </w:numPr>
      </w:pPr>
      <w:r>
        <w:t>7.2 Standard Terms</w:t>
      </w:r>
    </w:p>
    <w:p>
      <w:r>
        <w:rPr>
          <w:rFonts w:ascii="Figtree" w:hAnsi="Figtree"/>
          <w:b/>
          <w:i w:val="0"/>
          <w:sz w:val="22"/>
        </w:rPr>
        <w:t>Term</w:t>
      </w:r>
      <w:r>
        <w:rPr>
          <w:rFonts w:ascii="Figtree" w:hAnsi="Figtree"/>
          <w:b w:val="0"/>
          <w:i w:val="0"/>
          <w:sz w:val="22"/>
        </w:rPr>
        <w:t>: Initial 3-year term with renewal options</w:t>
      </w:r>
    </w:p>
    <w:p>
      <w:r>
        <w:rPr>
          <w:rFonts w:ascii="Figtree" w:hAnsi="Figtree"/>
          <w:b/>
          <w:i w:val="0"/>
          <w:sz w:val="22"/>
        </w:rPr>
        <w:t>Payment Terms</w:t>
      </w:r>
      <w:r>
        <w:rPr>
          <w:rFonts w:ascii="Figtree" w:hAnsi="Figtree"/>
          <w:b w:val="0"/>
          <w:i w:val="0"/>
          <w:sz w:val="22"/>
        </w:rPr>
        <w:t>: Net 30 from invoice date</w:t>
      </w:r>
    </w:p>
    <w:p>
      <w:r>
        <w:rPr>
          <w:rFonts w:ascii="Figtree" w:hAnsi="Figtree"/>
          <w:b/>
          <w:i w:val="0"/>
          <w:sz w:val="22"/>
        </w:rPr>
        <w:t>Termination</w:t>
      </w:r>
      <w:r>
        <w:rPr>
          <w:rFonts w:ascii="Figtree" w:hAnsi="Figtree"/>
          <w:b w:val="0"/>
          <w:i w:val="0"/>
          <w:sz w:val="22"/>
        </w:rPr>
        <w:t>: 90 days notice for termination for convenience; termination for cause per standard terms</w:t>
      </w:r>
    </w:p>
    <w:p>
      <w:r>
        <w:rPr>
          <w:rFonts w:ascii="Figtree" w:hAnsi="Figtree"/>
          <w:b/>
          <w:i w:val="0"/>
          <w:sz w:val="22"/>
        </w:rPr>
        <w:t>Exit Assistance</w:t>
      </w:r>
      <w:r>
        <w:rPr>
          <w:rFonts w:ascii="Figtree" w:hAnsi="Figtree"/>
          <w:b w:val="0"/>
          <w:i w:val="0"/>
          <w:sz w:val="22"/>
        </w:rPr>
        <w:t>: Included in standard terms, transition support available</w:t>
      </w:r>
    </w:p>
    <w:p>
      <w:pPr>
        <w:pStyle w:val="H3"/>
        <w:numPr>
          <w:ilvl w:val="2"/>
          <w:numId w:val="1"/>
        </w:numPr>
      </w:pPr>
      <w:r>
        <w:t>7.3 Proposed Deviations</w:t>
      </w:r>
    </w:p>
    <w:p>
      <w:r>
        <w:rPr>
          <w:rFonts w:ascii="Figtree" w:hAnsi="Figtree"/>
          <w:b w:val="0"/>
          <w:i w:val="0"/>
          <w:sz w:val="22"/>
        </w:rPr>
        <w:t>[To be discussed during commercial validation]</w:t>
      </w:r>
    </w:p>
    <w:p>
      <w:r>
        <w:br w:type="page"/>
      </w:r>
    </w:p>
    <w:p>
      <w:pPr>
        <w:pStyle w:val="H2"/>
        <w:numPr>
          <w:ilvl w:val="1"/>
          <w:numId w:val="1"/>
        </w:numPr>
      </w:pPr>
      <w:r>
        <w:t>8. Summary</w:t>
      </w:r>
    </w:p>
    <w:p>
      <w:r>
        <w:rPr>
          <w:rFonts w:ascii="Figtree" w:hAnsi="Figtree"/>
          <w:b w:val="0"/>
          <w:i w:val="0"/>
          <w:sz w:val="22"/>
        </w:rPr>
        <w:t>The commercial model provides a structured investment framework for Tamara's Sharia-compliant tokenized lending infrastructure programme. The proposal combines predictable implementation costs with scalable operating costs, structured to align with Tamara's phased deployment approach.</w:t>
      </w:r>
    </w:p>
    <w:p>
      <w:r>
        <w:rPr>
          <w:rFonts w:ascii="Figtree" w:hAnsi="Figtree"/>
          <w:b w:val="0"/>
          <w:i w:val="0"/>
          <w:sz w:val="22"/>
        </w:rPr>
        <w:t>Key differentiators include:</w:t>
      </w:r>
    </w:p>
    <w:p>
      <w:pPr>
        <w:pStyle w:val="ListParagraph"/>
        <w:numPr>
          <w:ilvl w:val="0"/>
          <w:numId w:val="4"/>
        </w:numPr>
      </w:pPr>
      <w:r>
        <w:rPr>
          <w:rFonts w:ascii="Figtree" w:hAnsi="Figtree"/>
          <w:b w:val="0"/>
          <w:i w:val="0"/>
          <w:sz w:val="22"/>
        </w:rPr>
        <w:t>Predictable cost structure through implementation and operation</w:t>
      </w:r>
    </w:p>
    <w:p>
      <w:pPr>
        <w:pStyle w:val="ListParagraph"/>
        <w:numPr>
          <w:ilvl w:val="0"/>
          <w:numId w:val="4"/>
        </w:numPr>
      </w:pPr>
      <w:r>
        <w:rPr>
          <w:rFonts w:ascii="Figtree" w:hAnsi="Figtree"/>
          <w:b w:val="0"/>
          <w:i w:val="0"/>
          <w:sz w:val="22"/>
        </w:rPr>
        <w:t>Volume economics that improve as platform adoption scales</w:t>
      </w:r>
    </w:p>
    <w:p>
      <w:pPr>
        <w:pStyle w:val="ListParagraph"/>
        <w:numPr>
          <w:ilvl w:val="0"/>
          <w:numId w:val="4"/>
        </w:numPr>
      </w:pPr>
      <w:r>
        <w:rPr>
          <w:rFonts w:ascii="Figtree" w:hAnsi="Figtree"/>
          <w:b w:val="0"/>
          <w:i w:val="0"/>
          <w:sz w:val="22"/>
        </w:rPr>
        <w:t>Risk mitigation through milestone-based payment structure</w:t>
      </w:r>
    </w:p>
    <w:p>
      <w:pPr>
        <w:pStyle w:val="ListParagraph"/>
        <w:numPr>
          <w:ilvl w:val="0"/>
          <w:numId w:val="4"/>
        </w:numPr>
      </w:pPr>
      <w:r>
        <w:rPr>
          <w:rFonts w:ascii="Figtree" w:hAnsi="Figtree"/>
          <w:b w:val="0"/>
          <w:i w:val="0"/>
          <w:sz w:val="22"/>
        </w:rPr>
        <w:t>Sharia governance capabilities included in platform subscription</w:t>
      </w:r>
    </w:p>
    <w:p>
      <w:pPr>
        <w:pStyle w:val="ListParagraph"/>
        <w:numPr>
          <w:ilvl w:val="0"/>
          <w:numId w:val="4"/>
        </w:numPr>
      </w:pPr>
      <w:r>
        <w:rPr>
          <w:rFonts w:ascii="Figtree" w:hAnsi="Figtree"/>
          <w:b w:val="0"/>
          <w:i w:val="0"/>
          <w:sz w:val="22"/>
        </w:rPr>
        <w:t>Clear value demonstration through ROI framework</w:t>
      </w:r>
    </w:p>
    <w:p>
      <w:r>
        <w:rPr>
          <w:rFonts w:ascii="Figtree" w:hAnsi="Figtree"/>
          <w:b w:val="0"/>
          <w:i w:val="0"/>
          <w:sz w:val="22"/>
        </w:rPr>
        <w:t>The commercial proposal is open for discussion and refinement through commercial validation workshops. Detailed pricing workbooks, assumption documentation, and contracting terms are available upon request.</w:t>
      </w:r>
    </w:p>
    <w:p>
      <w:r>
        <w:br w:type="page"/>
      </w:r>
    </w:p>
    <w:p>
      <w:r>
        <w:rPr>
          <w:rFonts w:ascii="Figtree" w:hAnsi="Figtree"/>
          <w:b/>
          <w:i w:val="0"/>
          <w:sz w:val="22"/>
        </w:rP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2268"/>
        <w:gridCol w:w="2268"/>
        <w:gridCol w:w="29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March 2026</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Initial draft</w:t>
            </w:r>
          </w:p>
        </w:tc>
      </w:tr>
    </w:tbl>
    <w:p>
      <w:pPr>
        <w:spacing w:before="0" w:after="0" w:line="120" w:lineRule="exact"/>
      </w:pPr>
    </w:p>
    <w:p>
      <w:r>
        <w:rPr>
          <w:rFonts w:ascii="Figtree" w:hAnsi="Figtree"/>
          <w:b w:val="0"/>
          <w:i/>
          <w:sz w:val="22"/>
        </w:rPr>
        <w:t>This document is confidential and intended solely for the use of Tamara.</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