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Fit</w:t>
          </w:r>
          <w:r>
            <w:tab/>
          </w:r>
          <w:r>
            <w:t xml:space="preserve">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This is a minimal Bid Manager smoke test.</w:t>
      </w:r>
    </w:p>
    <w:p>
      <w:pPr>
        <w:pStyle w:val="H1"/>
        <w:numPr>
          <w:ilvl w:val="0"/>
          <w:numId w:val="1"/>
        </w:numPr>
      </w:pPr>
      <w:r>
        <w:t>Fit</w:t>
      </w:r>
    </w:p>
    <w:p>
      <w:r>
        <w:rPr>
          <w:rFonts w:ascii="Figtree" w:hAnsi="Figtree"/>
          <w:b w:val="0"/>
          <w:i w:val="0"/>
          <w:sz w:val="22"/>
        </w:rPr>
        <w:t>SettleMint provides a governed digital asset platform for EVM-based tokenization workflows.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43"/>
        <w:gridCol w:w="36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4873"/>
            <w:vAlign w:val="center"/>
          </w:tcPr>
          <w:p>
            <w:pPr>
              <w:spacing w:line="276" w:lineRule="auto" w:before="0" w:after="0"/>
            </w:pPr>
            <w:r/>
            <w:r>
              <w:rPr>
                <w:rFonts w:ascii="Figtree" w:hAnsi="Figtree"/>
                <w:b w:val="0"/>
                <w:i w:val="0"/>
                <w:sz w:val="20"/>
              </w:rPr>
              <w:t>Runtime wrapper</w:t>
            </w:r>
          </w:p>
        </w:tc>
        <w:tc>
          <w:tcPr>
            <w:tcW w:type="dxa" w:w="4873"/>
            <w:vAlign w:val="center"/>
          </w:tcPr>
          <w:p>
            <w:pPr>
              <w:spacing w:line="276" w:lineRule="auto" w:before="0" w:after="0"/>
            </w:pPr>
            <w:r/>
            <w:r>
              <w:rPr>
                <w:rFonts w:ascii="Figtree" w:hAnsi="Figtree"/>
                <w:b w:val="0"/>
                <w:i w:val="0"/>
                <w:sz w:val="20"/>
              </w:rPr>
              <w:t>Wired</w:t>
            </w:r>
          </w:p>
        </w:tc>
      </w:tr>
      <w:tr>
        <w:trPr>
          <w:trHeight w:val="425" w:hRule="atLeast"/>
        </w:trPr>
        <w:tc>
          <w:tcPr>
            <w:tcW w:type="dxa" w:w="4873"/>
            <w:vAlign w:val="center"/>
          </w:tcPr>
          <w:p>
            <w:pPr>
              <w:spacing w:line="276" w:lineRule="auto" w:before="0" w:after="0"/>
            </w:pPr>
            <w:r/>
            <w:r>
              <w:rPr>
                <w:rFonts w:ascii="Figtree" w:hAnsi="Figtree"/>
                <w:b w:val="0"/>
                <w:i w:val="0"/>
                <w:sz w:val="20"/>
              </w:rPr>
              <w:t>DOCX conversion</w:t>
            </w:r>
          </w:p>
        </w:tc>
        <w:tc>
          <w:tcPr>
            <w:tcW w:type="dxa" w:w="4873"/>
            <w:vAlign w:val="center"/>
          </w:tcPr>
          <w:p>
            <w:pPr>
              <w:spacing w:line="276" w:lineRule="auto" w:before="0" w:after="0"/>
            </w:pPr>
            <w:r/>
            <w:r>
              <w:rPr>
                <w:rFonts w:ascii="Figtree" w:hAnsi="Figtree"/>
                <w:b w:val="0"/>
                <w:i w:val="0"/>
                <w:sz w:val="20"/>
              </w:rPr>
              <w:t>Under test</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