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Nordea's Programme Objectives</w:t>
          </w:r>
          <w:r>
            <w:tab/>
          </w:r>
          <w:r>
            <w:t xml:space="preserve">5</w:t>
          </w:r>
        </w:p>
        <w:p>
          <w:pPr>
            <w:pStyle w:val="TOC3"/>
            <w:tabs>
              <w:tab w:val="right" w:leader="dot" w:pos="9072"/>
            </w:tabs>
          </w:pPr>
          <w:r>
            <w:t xml:space="preserve">The European Fund Tokenization Landscape</w:t>
          </w:r>
          <w:r>
            <w:tab/>
          </w:r>
          <w:r>
            <w:t xml:space="preserve">6</w:t>
          </w:r>
        </w:p>
        <w:p>
          <w:pPr>
            <w:pStyle w:val="TOC3"/>
            <w:tabs>
              <w:tab w:val="right" w:leader="dot" w:pos="9072"/>
            </w:tabs>
          </w:pPr>
          <w:r>
            <w:t xml:space="preserve">Programme Challenges</w:t>
          </w:r>
          <w:r>
            <w:tab/>
          </w:r>
          <w:r>
            <w:t xml:space="preserve">7</w:t>
          </w:r>
        </w:p>
        <w:p>
          <w:pPr>
            <w:pStyle w:val="TOC2"/>
            <w:tabs>
              <w:tab w:val="right" w:leader="dot" w:pos="9072"/>
            </w:tabs>
          </w:pPr>
          <w:r>
            <w:t xml:space="preserve">Proposed DALP Operating Model for Tokenized Funds</w:t>
          </w:r>
          <w:r>
            <w:tab/>
          </w:r>
          <w:r>
            <w:t xml:space="preserve">8</w:t>
          </w:r>
        </w:p>
        <w:p>
          <w:pPr>
            <w:pStyle w:val="TOC3"/>
            <w:tabs>
              <w:tab w:val="right" w:leader="dot" w:pos="9072"/>
            </w:tabs>
          </w:pPr>
          <w:r>
            <w:t xml:space="preserve">Deployment Model Recommendation</w:t>
          </w:r>
          <w:r>
            <w:tab/>
          </w:r>
          <w:r>
            <w:t xml:space="preserve">9</w:t>
          </w:r>
        </w:p>
        <w:p>
          <w:pPr>
            <w:pStyle w:val="TOC3"/>
            <w:tabs>
              <w:tab w:val="right" w:leader="dot" w:pos="9072"/>
            </w:tabs>
          </w:pPr>
          <w:r>
            <w:t xml:space="preserve">Target Asset Scope</w:t>
          </w:r>
          <w:r>
            <w:tab/>
          </w:r>
          <w:r>
            <w:t xml:space="preserve">10</w:t>
          </w:r>
        </w:p>
        <w:p>
          <w:pPr>
            <w:pStyle w:val="TOC3"/>
            <w:tabs>
              <w:tab w:val="right" w:leader="dot" w:pos="9072"/>
            </w:tabs>
          </w:pPr>
          <w:r>
            <w:t xml:space="preserve">Regulatory Alignment Approach</w:t>
          </w:r>
          <w:r>
            <w:tab/>
          </w:r>
          <w:r>
            <w:t xml:space="preserve">11</w:t>
          </w:r>
        </w:p>
        <w:p>
          <w:pPr>
            <w:pStyle w:val="TOC2"/>
            <w:tabs>
              <w:tab w:val="right" w:leader="dot" w:pos="9072"/>
            </w:tabs>
          </w:pPr>
          <w:r>
            <w:t xml:space="preserve">Technical Architecture and Integration Boundaries</w:t>
          </w:r>
          <w:r>
            <w:tab/>
          </w:r>
          <w:r>
            <w:t xml:space="preserve">12</w:t>
          </w:r>
        </w:p>
        <w:p>
          <w:pPr>
            <w:pStyle w:val="TOC3"/>
            <w:tabs>
              <w:tab w:val="right" w:leader="dot" w:pos="9072"/>
            </w:tabs>
          </w:pPr>
          <w:r>
            <w:t xml:space="preserve">Platform Architecture</w:t>
          </w:r>
          <w:r>
            <w:tab/>
          </w:r>
          <w:r>
            <w:t xml:space="preserve">13</w:t>
          </w:r>
        </w:p>
        <w:p>
          <w:pPr>
            <w:pStyle w:val="TOC3"/>
            <w:tabs>
              <w:tab w:val="right" w:leader="dot" w:pos="9072"/>
            </w:tabs>
          </w:pPr>
          <w:r>
            <w:t xml:space="preserve">Integration Architecture</w:t>
          </w:r>
          <w:r>
            <w:tab/>
          </w:r>
          <w:r>
            <w:t xml:space="preserve">14</w:t>
          </w:r>
        </w:p>
        <w:p>
          <w:pPr>
            <w:pStyle w:val="TOC3"/>
            <w:tabs>
              <w:tab w:val="right" w:leader="dot" w:pos="9072"/>
            </w:tabs>
          </w:pPr>
          <w:r>
            <w:t xml:space="preserve">Network Deployment Options</w:t>
          </w:r>
          <w:r>
            <w:tab/>
          </w:r>
          <w:r>
            <w:t xml:space="preserve">15</w:t>
          </w:r>
        </w:p>
        <w:p>
          <w:pPr>
            <w:pStyle w:val="TOC2"/>
            <w:tabs>
              <w:tab w:val="right" w:leader="dot" w:pos="9072"/>
            </w:tabs>
          </w:pPr>
          <w:r>
            <w:t xml:space="preserve">Fund-Specific Smart Contract Architecture</w:t>
          </w:r>
          <w:r>
            <w:tab/>
          </w:r>
          <w:r>
            <w:t xml:space="preserve">16</w:t>
          </w:r>
        </w:p>
        <w:p>
          <w:pPr>
            <w:pStyle w:val="TOC3"/>
            <w:tabs>
              <w:tab w:val="right" w:leader="dot" w:pos="9072"/>
            </w:tabs>
          </w:pPr>
          <w:r>
            <w:t xml:space="preserve">SMART Protocol Foundation</w:t>
          </w:r>
          <w:r>
            <w:tab/>
          </w:r>
          <w:r>
            <w:t xml:space="preserve">17</w:t>
          </w:r>
        </w:p>
        <w:p>
          <w:pPr>
            <w:pStyle w:val="TOC3"/>
            <w:tabs>
              <w:tab w:val="right" w:leader="dot" w:pos="9072"/>
            </w:tabs>
          </w:pPr>
          <w:r>
            <w:t xml:space="preserve">Fund Contract Architecture</w:t>
          </w:r>
          <w:r>
            <w:tab/>
          </w:r>
          <w:r>
            <w:t xml:space="preserve">18</w:t>
          </w:r>
        </w:p>
        <w:p>
          <w:pPr>
            <w:pStyle w:val="TOC3"/>
            <w:tabs>
              <w:tab w:val="right" w:leader="dot" w:pos="9072"/>
            </w:tabs>
          </w:pPr>
          <w:r>
            <w:t xml:space="preserve">Factory Deployment</w:t>
          </w:r>
          <w:r>
            <w:tab/>
          </w:r>
          <w:r>
            <w:t xml:space="preserve">19</w:t>
          </w:r>
        </w:p>
        <w:p>
          <w:pPr>
            <w:pStyle w:val="TOC2"/>
            <w:tabs>
              <w:tab w:val="right" w:leader="dot" w:pos="9072"/>
            </w:tabs>
          </w:pPr>
          <w:r>
            <w:t xml:space="preserve">Identity, Compliance, and MiFID II Controls</w:t>
          </w:r>
          <w:r>
            <w:tab/>
          </w:r>
          <w:r>
            <w:t xml:space="preserve">20</w:t>
          </w:r>
        </w:p>
        <w:p>
          <w:pPr>
            <w:pStyle w:val="TOC3"/>
            <w:tabs>
              <w:tab w:val="right" w:leader="dot" w:pos="9072"/>
            </w:tabs>
          </w:pPr>
          <w:r>
            <w:t xml:space="preserve">Identity Management</w:t>
          </w:r>
          <w:r>
            <w:tab/>
          </w:r>
          <w:r>
            <w:t xml:space="preserve">21</w:t>
          </w:r>
        </w:p>
        <w:p>
          <w:pPr>
            <w:pStyle w:val="TOC3"/>
            <w:tabs>
              <w:tab w:val="right" w:leader="dot" w:pos="9072"/>
            </w:tabs>
          </w:pPr>
          <w:r>
            <w:t xml:space="preserve">Compliance Module System</w:t>
          </w:r>
          <w:r>
            <w:tab/>
          </w:r>
          <w:r>
            <w:t xml:space="preserve">22</w:t>
          </w:r>
        </w:p>
        <w:p>
          <w:pPr>
            <w:pStyle w:val="TOC3"/>
            <w:tabs>
              <w:tab w:val="right" w:leader="dot" w:pos="9072"/>
            </w:tabs>
          </w:pPr>
          <w:r>
            <w:t xml:space="preserve">MiFID II Alignment</w:t>
          </w:r>
          <w:r>
            <w:tab/>
          </w:r>
          <w:r>
            <w:t xml:space="preserve">23</w:t>
          </w:r>
        </w:p>
        <w:p>
          <w:pPr>
            <w:pStyle w:val="TOC2"/>
            <w:tabs>
              <w:tab w:val="right" w:leader="dot" w:pos="9072"/>
            </w:tabs>
          </w:pPr>
          <w:r>
            <w:t xml:space="preserve">Fund Servicing and Distribution</w:t>
          </w:r>
          <w:r>
            <w:tab/>
          </w:r>
          <w:r>
            <w:t xml:space="preserve">24</w:t>
          </w:r>
        </w:p>
        <w:p>
          <w:pPr>
            <w:pStyle w:val="TOC3"/>
            <w:tabs>
              <w:tab w:val="right" w:leader="dot" w:pos="9072"/>
            </w:tabs>
          </w:pPr>
          <w:r>
            <w:t xml:space="preserve">Fund Distribution</w:t>
          </w:r>
          <w:r>
            <w:tab/>
          </w:r>
          <w:r>
            <w:t xml:space="preserve">25</w:t>
          </w:r>
        </w:p>
        <w:p>
          <w:pPr>
            <w:pStyle w:val="TOC3"/>
            <w:tabs>
              <w:tab w:val="right" w:leader="dot" w:pos="9072"/>
            </w:tabs>
          </w:pPr>
          <w:r>
            <w:t xml:space="preserve">Dividend Processing</w:t>
          </w:r>
          <w:r>
            <w:tab/>
          </w:r>
          <w:r>
            <w:t xml:space="preserve">26</w:t>
          </w:r>
        </w:p>
        <w:p>
          <w:pPr>
            <w:pStyle w:val="TOC3"/>
            <w:tabs>
              <w:tab w:val="right" w:leader="dot" w:pos="9072"/>
            </w:tabs>
          </w:pPr>
          <w:r>
            <w:t xml:space="preserve">Settlement</w:t>
          </w:r>
          <w:r>
            <w:tab/>
          </w:r>
          <w:r>
            <w:t xml:space="preserve">27</w:t>
          </w:r>
        </w:p>
        <w:p>
          <w:pPr>
            <w:pStyle w:val="TOC2"/>
            <w:tabs>
              <w:tab w:val="right" w:leader="dot" w:pos="9072"/>
            </w:tabs>
          </w:pPr>
          <w:r>
            <w:t xml:space="preserve">Security, Resilience, and Operational Assurance</w:t>
          </w:r>
          <w:r>
            <w:tab/>
          </w:r>
          <w:r>
            <w:t xml:space="preserve">28</w:t>
          </w:r>
        </w:p>
        <w:p>
          <w:pPr>
            <w:pStyle w:val="TOC3"/>
            <w:tabs>
              <w:tab w:val="right" w:leader="dot" w:pos="9072"/>
            </w:tabs>
          </w:pPr>
          <w:r>
            <w:t xml:space="preserve">Security Architecture</w:t>
          </w:r>
          <w:r>
            <w:tab/>
          </w:r>
          <w:r>
            <w:t xml:space="preserve">29</w:t>
          </w:r>
        </w:p>
        <w:p>
          <w:pPr>
            <w:pStyle w:val="TOC3"/>
            <w:tabs>
              <w:tab w:val="right" w:leader="dot" w:pos="9072"/>
            </w:tabs>
          </w:pPr>
          <w:r>
            <w:t xml:space="preserve">Certifications</w:t>
          </w:r>
          <w:r>
            <w:tab/>
          </w:r>
          <w:r>
            <w:t xml:space="preserve">30</w:t>
          </w:r>
        </w:p>
        <w:p>
          <w:pPr>
            <w:pStyle w:val="TOC3"/>
            <w:tabs>
              <w:tab w:val="right" w:leader="dot" w:pos="9072"/>
            </w:tabs>
          </w:pPr>
          <w:r>
            <w:t xml:space="preserve">Disaster Recovery</w:t>
          </w:r>
          <w:r>
            <w:tab/>
          </w:r>
          <w:r>
            <w:t xml:space="preserve">31</w:t>
          </w:r>
        </w:p>
        <w:p>
          <w:pPr>
            <w:pStyle w:val="TOC2"/>
            <w:tabs>
              <w:tab w:val="right" w:leader="dot" w:pos="9072"/>
            </w:tabs>
          </w:pPr>
          <w:r>
            <w:t xml:space="preserve">Implementation Approach and Delivery Phases</w:t>
          </w:r>
          <w:r>
            <w:tab/>
          </w:r>
          <w:r>
            <w:t xml:space="preserve">32</w:t>
          </w:r>
        </w:p>
        <w:p>
          <w:pPr>
            <w:pStyle w:val="TOC3"/>
            <w:tabs>
              <w:tab w:val="right" w:leader="dot" w:pos="9072"/>
            </w:tabs>
          </w:pPr>
          <w:r>
            <w:t xml:space="preserve">Implementation Timeline</w:t>
          </w:r>
          <w:r>
            <w:tab/>
          </w:r>
          <w:r>
            <w:t xml:space="preserve">33</w:t>
          </w:r>
        </w:p>
        <w:p>
          <w:pPr>
            <w:pStyle w:val="TOC3"/>
            <w:tabs>
              <w:tab w:val="right" w:leader="dot" w:pos="9072"/>
            </w:tabs>
          </w:pPr>
          <w:r>
            <w:t xml:space="preserve">Resource Requirements</w:t>
          </w:r>
          <w:r>
            <w:tab/>
          </w:r>
          <w:r>
            <w:t xml:space="preserve">34</w:t>
          </w:r>
        </w:p>
        <w:p>
          <w:pPr>
            <w:pStyle w:val="TOC2"/>
            <w:tabs>
              <w:tab w:val="right" w:leader="dot" w:pos="9072"/>
            </w:tabs>
          </w:pPr>
          <w:r>
            <w:t xml:space="preserve">Current Coverage, Dependencies, and Qualified Gaps</w:t>
          </w:r>
          <w:r>
            <w:tab/>
          </w:r>
          <w:r>
            <w:t xml:space="preserve">35</w:t>
          </w:r>
        </w:p>
        <w:p>
          <w:pPr>
            <w:pStyle w:val="TOC3"/>
            <w:tabs>
              <w:tab w:val="right" w:leader="dot" w:pos="9072"/>
            </w:tabs>
          </w:pPr>
          <w:r>
            <w:t xml:space="preserve">Platform Coverage</w:t>
          </w:r>
          <w:r>
            <w:tab/>
          </w:r>
          <w:r>
            <w:t xml:space="preserve">36</w:t>
          </w:r>
        </w:p>
        <w:p>
          <w:pPr>
            <w:pStyle w:val="TOC3"/>
            <w:tabs>
              <w:tab w:val="right" w:leader="dot" w:pos="9072"/>
            </w:tabs>
          </w:pPr>
          <w:r>
            <w:t xml:space="preserve">Dependencies</w:t>
          </w:r>
          <w:r>
            <w:tab/>
          </w:r>
          <w:r>
            <w:t xml:space="preserve">37</w:t>
          </w:r>
        </w:p>
        <w:p>
          <w:pPr>
            <w:pStyle w:val="TOC2"/>
            <w:tabs>
              <w:tab w:val="right" w:leader="dot" w:pos="9072"/>
            </w:tabs>
          </w:pPr>
          <w:r>
            <w:t xml:space="preserve">Appendices</w:t>
          </w:r>
          <w:r>
            <w:tab/>
          </w:r>
          <w:r>
            <w:t xml:space="preserve">38</w:t>
          </w:r>
        </w:p>
        <w:p>
          <w:pPr>
            <w:pStyle w:val="TOC3"/>
            <w:tabs>
              <w:tab w:val="right" w:leader="dot" w:pos="9072"/>
            </w:tabs>
          </w:pPr>
          <w:r>
            <w:t xml:space="preserve">Appendix A: API Namespace Reference</w:t>
          </w:r>
          <w:r>
            <w:tab/>
          </w:r>
          <w:r>
            <w:t xml:space="preserve">39</w:t>
          </w:r>
        </w:p>
        <w:p>
          <w:pPr>
            <w:pStyle w:val="TOC3"/>
            <w:tabs>
              <w:tab w:val="right" w:leader="dot" w:pos="9072"/>
            </w:tabs>
          </w:pPr>
          <w:r>
            <w:t xml:space="preserve">Appendix B: Glossary</w:t>
          </w:r>
          <w:r>
            <w:tab/>
          </w:r>
          <w:r>
            <w:t xml:space="preserve">40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4"/>
        <w:gridCol w:w="67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Funds Distribution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Nordea</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NORDEA-RFP-TOKENIZED-FUNDS-202603</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Adam Popat, CEO</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Nordea's Programme Objectives</w:t>
      </w:r>
    </w:p>
    <w:p>
      <w:pPr>
        <w:pStyle w:val="ListParagraph"/>
        <w:numPr>
          <w:ilvl w:val="0"/>
          <w:numId w:val="4"/>
        </w:numPr>
      </w:pPr>
      <w:r>
        <w:rPr>
          <w:rFonts w:ascii="Figtree" w:hAnsi="Figtree"/>
          <w:b w:val="0"/>
          <w:i w:val="0"/>
          <w:sz w:val="22"/>
        </w:rPr>
        <w:t>Proposed DALP Operating Model for Tokenized Funds</w:t>
      </w:r>
    </w:p>
    <w:p>
      <w:pPr>
        <w:pStyle w:val="ListParagraph"/>
        <w:numPr>
          <w:ilvl w:val="0"/>
          <w:numId w:val="4"/>
        </w:numPr>
      </w:pPr>
      <w:r>
        <w:rPr>
          <w:rFonts w:ascii="Figtree" w:hAnsi="Figtree"/>
          <w:b w:val="0"/>
          <w:i w:val="0"/>
          <w:sz w:val="22"/>
        </w:rPr>
        <w:t>Technical Architecture and Integration Boundaries</w:t>
      </w:r>
    </w:p>
    <w:p>
      <w:pPr>
        <w:pStyle w:val="ListParagraph"/>
        <w:numPr>
          <w:ilvl w:val="0"/>
          <w:numId w:val="4"/>
        </w:numPr>
      </w:pPr>
      <w:r>
        <w:rPr>
          <w:rFonts w:ascii="Figtree" w:hAnsi="Figtree"/>
          <w:b w:val="0"/>
          <w:i w:val="0"/>
          <w:sz w:val="22"/>
        </w:rPr>
        <w:t>Fund-Specific Smart Contract Architecture</w:t>
      </w:r>
    </w:p>
    <w:p>
      <w:pPr>
        <w:pStyle w:val="ListParagraph"/>
        <w:numPr>
          <w:ilvl w:val="0"/>
          <w:numId w:val="4"/>
        </w:numPr>
      </w:pPr>
      <w:r>
        <w:rPr>
          <w:rFonts w:ascii="Figtree" w:hAnsi="Figtree"/>
          <w:b w:val="0"/>
          <w:i w:val="0"/>
          <w:sz w:val="22"/>
        </w:rPr>
        <w:t>Identity, Compliance, and MiFID II Controls</w:t>
      </w:r>
    </w:p>
    <w:p>
      <w:pPr>
        <w:pStyle w:val="ListParagraph"/>
        <w:numPr>
          <w:ilvl w:val="0"/>
          <w:numId w:val="4"/>
        </w:numPr>
      </w:pPr>
      <w:r>
        <w:rPr>
          <w:rFonts w:ascii="Figtree" w:hAnsi="Figtree"/>
          <w:b w:val="0"/>
          <w:i w:val="0"/>
          <w:sz w:val="22"/>
        </w:rPr>
        <w:t>Fund Servicing and Distribution</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Nordea is establishing a production-grade platform for tokenized investment fund distribution across the Nordic region and broader European markets. The EU's Capital Markets Union agenda, combined with updated UCITS and AIFMD frameworks, has created the regulatory environment for digital fund units. The challenge is operational: building infrastructure that can issue, distribute, service, and redeem tokenized fund units at institutional scale within Nordic banking supervision requirements.</w:t>
      </w:r>
    </w:p>
    <w:p>
      <w:r>
        <w:rPr>
          <w:rFonts w:ascii="Figtree" w:hAnsi="Figtree"/>
          <w:b w:val="0"/>
          <w:i w:val="0"/>
          <w:sz w:val="22"/>
        </w:rPr>
        <w:t>SettleMint's Digital Asset Lifecycle Platform (DALP) provides the complete fund lifecycle, from fund structuring and issuance through investor onboarding, distribution, dividend processing, and redemption at maturity, with compliance enforcement embedded at the smart contract level and enterprise integration designed for Nordic banking group requirements.</w:t>
      </w:r>
    </w:p>
    <w:p>
      <w:r>
        <w:rPr>
          <w:rFonts w:ascii="Figtree" w:hAnsi="Figtree"/>
          <w:b/>
          <w:i w:val="0"/>
          <w:sz w:val="22"/>
        </w:rPr>
        <w:t>Why DALP fits Nordea's requirements:</w:t>
      </w:r>
    </w:p>
    <w:p>
      <w:pPr>
        <w:pStyle w:val="ListParagraph"/>
        <w:numPr>
          <w:ilvl w:val="0"/>
          <w:numId w:val="4"/>
        </w:numPr>
      </w:pPr>
      <w:r>
        <w:rPr>
          <w:rFonts w:ascii="Figtree" w:hAnsi="Figtree"/>
          <w:b/>
          <w:i w:val="0"/>
          <w:sz w:val="22"/>
        </w:rPr>
        <w:t>Production-proven fund infrastructure.</w:t>
      </w:r>
      <w:r>
        <w:rPr>
          <w:rFonts w:ascii="Figtree" w:hAnsi="Figtree"/>
          <w:b w:val="0"/>
          <w:i w:val="0"/>
          <w:sz w:val="22"/>
        </w:rPr>
        <w:t xml:space="preserve"> DALP powers institutional fund tokenization programmes across European banks, with production deployments handling significant AUM. This demonstrates production readiness for Nordic fund distribution.</w:t>
      </w:r>
    </w:p>
    <w:p>
      <w:pPr>
        <w:pStyle w:val="ListParagraph"/>
        <w:numPr>
          <w:ilvl w:val="0"/>
          <w:numId w:val="4"/>
        </w:numPr>
      </w:pPr>
      <w:r>
        <w:rPr>
          <w:rFonts w:ascii="Figtree" w:hAnsi="Figtree"/>
          <w:b/>
          <w:i w:val="0"/>
          <w:sz w:val="22"/>
        </w:rPr>
        <w:t>MiFID II compliance readiness.</w:t>
      </w:r>
      <w:r>
        <w:rPr>
          <w:rFonts w:ascii="Figtree" w:hAnsi="Figtree"/>
          <w:b w:val="0"/>
          <w:i w:val="0"/>
          <w:sz w:val="22"/>
        </w:rPr>
        <w:t xml:space="preserve"> DALP's compliance engine supports jurisdiction-specific regulatory configurations including MiFID II investor eligibility, cross-border distribution rules, and reporting obligations. Compliance modules enforce investor eligibility, jurisdiction restrictions, and transfer restrictions at the smart contract level.</w:t>
      </w:r>
    </w:p>
    <w:p>
      <w:pPr>
        <w:pStyle w:val="ListParagraph"/>
        <w:numPr>
          <w:ilvl w:val="0"/>
          <w:numId w:val="4"/>
        </w:numPr>
      </w:pPr>
      <w:r>
        <w:rPr>
          <w:rFonts w:ascii="Figtree" w:hAnsi="Figtree"/>
          <w:b/>
          <w:i w:val="0"/>
          <w:sz w:val="22"/>
        </w:rPr>
        <w:t>Nordic banking integration.</w:t>
      </w:r>
      <w:r>
        <w:rPr>
          <w:rFonts w:ascii="Figtree" w:hAnsi="Figtree"/>
          <w:b w:val="0"/>
          <w:i w:val="0"/>
          <w:sz w:val="22"/>
        </w:rPr>
        <w:t xml:space="preserve"> DALP provides the integration patterns required for Nordic banking infrastructure, including integration with Nordea's existing fund administration systems and Nordic securities depositories.</w:t>
      </w:r>
    </w:p>
    <w:p>
      <w:pPr>
        <w:pStyle w:val="ListParagraph"/>
        <w:numPr>
          <w:ilvl w:val="0"/>
          <w:numId w:val="4"/>
        </w:numPr>
      </w:pPr>
      <w:r>
        <w:rPr>
          <w:rFonts w:ascii="Figtree" w:hAnsi="Figtree"/>
          <w:b/>
          <w:i w:val="0"/>
          <w:sz w:val="22"/>
        </w:rPr>
        <w:t>Deterministic settlement.</w:t>
      </w:r>
      <w:r>
        <w:rPr>
          <w:rFonts w:ascii="Figtree" w:hAnsi="Figtree"/>
          <w:b w:val="0"/>
          <w:i w:val="0"/>
          <w:sz w:val="22"/>
        </w:rPr>
        <w:t xml:space="preserve"> Under tested conditions, DALP achieves median settlement latency of 2.3 seconds with P99 at 4.1 seconds using IBFT consensus. This provides T+0 settlement with deterministic finality.</w:t>
      </w:r>
    </w:p>
    <w:p>
      <w:pPr>
        <w:jc w:val="center"/>
      </w:pPr>
      <w:r>
        <w:drawing>
          <wp:inline xmlns:a="http://schemas.openxmlformats.org/drawingml/2006/main" xmlns:pic="http://schemas.openxmlformats.org/drawingml/2006/picture">
            <wp:extent cx="5486400" cy="147656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476569"/>
                    </a:xfrm>
                    <a:prstGeom prst="rect"/>
                  </pic:spPr>
                </pic:pic>
              </a:graphicData>
            </a:graphic>
          </wp:inline>
        </w:drawing>
      </w:r>
    </w:p>
    <w:p>
      <w:r>
        <w:br w:type="page"/>
      </w:r>
    </w:p>
    <w:p>
      <w:pPr>
        <w:pStyle w:val="H2"/>
        <w:numPr>
          <w:ilvl w:val="1"/>
          <w:numId w:val="1"/>
        </w:numPr>
      </w:pPr>
      <w:r>
        <w:t>Understanding Nordea's Programme Objectives</w:t>
      </w:r>
    </w:p>
    <w:p>
      <w:pPr>
        <w:pStyle w:val="H3"/>
        <w:numPr>
          <w:ilvl w:val="2"/>
          <w:numId w:val="1"/>
        </w:numPr>
      </w:pPr>
      <w:r>
        <w:t>The European Fund Tokenization Landscape</w:t>
      </w:r>
    </w:p>
    <w:p>
      <w:r>
        <w:rPr>
          <w:rFonts w:ascii="Figtree" w:hAnsi="Figtree"/>
          <w:b w:val="0"/>
          <w:i w:val="0"/>
          <w:sz w:val="22"/>
        </w:rPr>
        <w:t>The EU's Digital Finance Package and updated AIFMD guidance have established the regulatory framework for fund tokenization. Combined with the Capital Markets Union agenda, European asset managers can now issue and distribute digital fund units across member states.</w:t>
      </w:r>
    </w:p>
    <w:p>
      <w:r>
        <w:rPr>
          <w:rFonts w:ascii="Figtree" w:hAnsi="Figtree"/>
          <w:b w:val="0"/>
          <w:i w:val="0"/>
          <w:sz w:val="22"/>
        </w:rPr>
        <w:t>Nordea's programme objectives center on three requirements:</w:t>
      </w:r>
    </w:p>
    <w:p>
      <w:r>
        <w:rPr>
          <w:rFonts w:ascii="Figtree" w:hAnsi="Figtree"/>
          <w:b/>
          <w:i w:val="0"/>
          <w:sz w:val="22"/>
        </w:rPr>
        <w:t>First, Nordic fund market leadership.</w:t>
      </w:r>
      <w:r>
        <w:rPr>
          <w:rFonts w:ascii="Figtree" w:hAnsi="Figtree"/>
          <w:b w:val="0"/>
          <w:i w:val="0"/>
          <w:sz w:val="22"/>
        </w:rPr>
        <w:t xml:space="preserve"> The platform must support distribution of tokenized fund units to Nordic investors (Denmark, Sweden, Finland, Norway) with local language support and integration to Nordic securities infrastructure.</w:t>
      </w:r>
    </w:p>
    <w:p>
      <w:r>
        <w:rPr>
          <w:rFonts w:ascii="Figtree" w:hAnsi="Figtree"/>
          <w:b/>
          <w:i w:val="0"/>
          <w:sz w:val="22"/>
        </w:rPr>
        <w:t>Second, cross-border distribution.</w:t>
      </w:r>
      <w:r>
        <w:rPr>
          <w:rFonts w:ascii="Figtree" w:hAnsi="Figtree"/>
          <w:b w:val="0"/>
          <w:i w:val="0"/>
          <w:sz w:val="22"/>
        </w:rPr>
        <w:t xml:space="preserve"> The platform must support AIFMD-compliant distribution across EU member states, with appropriate investor disclosures and regulatory reporting.</w:t>
      </w:r>
    </w:p>
    <w:p>
      <w:r>
        <w:rPr>
          <w:rFonts w:ascii="Figtree" w:hAnsi="Figtree"/>
          <w:b/>
          <w:i w:val="0"/>
          <w:sz w:val="22"/>
        </w:rPr>
        <w:t>Third, institutional-grade operations.</w:t>
      </w:r>
      <w:r>
        <w:rPr>
          <w:rFonts w:ascii="Figtree" w:hAnsi="Figtree"/>
          <w:b w:val="0"/>
          <w:i w:val="0"/>
          <w:sz w:val="22"/>
        </w:rPr>
        <w:t xml:space="preserve"> The platform must integrate with Nordea's existing fund administration, custody, and reporting infrastructure while providing the control environment expected of a Nordic systemic bank.</w:t>
      </w:r>
    </w:p>
    <w:p>
      <w:pPr>
        <w:pStyle w:val="H3"/>
        <w:numPr>
          <w:ilvl w:val="2"/>
          <w:numId w:val="1"/>
        </w:numPr>
      </w:pPr>
      <w:r>
        <w:t>Programme Challenges</w:t>
      </w:r>
    </w:p>
    <w:p>
      <w:r>
        <w:rPr>
          <w:rFonts w:ascii="Figtree" w:hAnsi="Figtree"/>
          <w:b/>
          <w:i w:val="0"/>
          <w:sz w:val="22"/>
        </w:rPr>
        <w:t>Regulatory complexity across jurisdictions.</w:t>
      </w:r>
      <w:r>
        <w:rPr>
          <w:rFonts w:ascii="Figtree" w:hAnsi="Figtree"/>
          <w:b w:val="0"/>
          <w:i w:val="0"/>
          <w:sz w:val="22"/>
        </w:rPr>
        <w:t xml:space="preserve"> Nordic fund distribution involves multiple regulatory frameworks (MiFID II, AIFMD, national transposition) with varying investor protection requirements.</w:t>
      </w:r>
    </w:p>
    <w:p>
      <w:r>
        <w:rPr>
          <w:rFonts w:ascii="Figtree" w:hAnsi="Figtree"/>
          <w:b/>
          <w:i w:val="0"/>
          <w:sz w:val="22"/>
        </w:rPr>
        <w:t>Integration with existing infrastructure.</w:t>
      </w:r>
      <w:r>
        <w:rPr>
          <w:rFonts w:ascii="Figtree" w:hAnsi="Figtree"/>
          <w:b w:val="0"/>
          <w:i w:val="0"/>
          <w:sz w:val="22"/>
        </w:rPr>
        <w:t xml:space="preserve"> Nordea's fund tokenization programme will integrate with existing fund administration systems, Nordic CSDs (VP Securities, Euroclear Sweden), and banking core systems.</w:t>
      </w:r>
    </w:p>
    <w:p>
      <w:r>
        <w:rPr>
          <w:rFonts w:ascii="Figtree" w:hAnsi="Figtree"/>
          <w:b/>
          <w:i w:val="0"/>
          <w:sz w:val="22"/>
        </w:rPr>
        <w:t>Investor onboarding at scale.</w:t>
      </w:r>
      <w:r>
        <w:rPr>
          <w:rFonts w:ascii="Figtree" w:hAnsi="Figtree"/>
          <w:b w:val="0"/>
          <w:i w:val="0"/>
          <w:sz w:val="22"/>
        </w:rPr>
        <w:t xml:space="preserve"> The platform must support efficient investor onboarding with appropriate KYC/AML verification while maintaining positive investor experience.</w:t>
      </w:r>
    </w:p>
    <w:p>
      <w:r>
        <w:br w:type="page"/>
      </w:r>
    </w:p>
    <w:p>
      <w:pPr>
        <w:pStyle w:val="H2"/>
        <w:numPr>
          <w:ilvl w:val="1"/>
          <w:numId w:val="1"/>
        </w:numPr>
      </w:pPr>
      <w:r>
        <w:t>Proposed DALP Operating Model for Tokenized Funds</w:t>
      </w:r>
    </w:p>
    <w:p>
      <w:pPr>
        <w:pStyle w:val="H3"/>
        <w:numPr>
          <w:ilvl w:val="2"/>
          <w:numId w:val="1"/>
        </w:numPr>
      </w:pPr>
      <w:r>
        <w:t>Deployment Model Recommendation</w:t>
      </w:r>
    </w:p>
    <w:p>
      <w:r>
        <w:rPr>
          <w:rFonts w:ascii="Figtree" w:hAnsi="Figtree"/>
          <w:b w:val="0"/>
          <w:i w:val="0"/>
          <w:sz w:val="22"/>
        </w:rPr>
        <w:t xml:space="preserve">For Nordea's initial deployment, we recommend the </w:t>
      </w:r>
      <w:r>
        <w:rPr>
          <w:rFonts w:ascii="Figtree" w:hAnsi="Figtree"/>
          <w:b/>
          <w:i w:val="0"/>
          <w:sz w:val="22"/>
        </w:rPr>
        <w:t>dedicated cloud model</w:t>
      </w:r>
      <w:r>
        <w:rPr>
          <w:rFonts w:ascii="Figtree" w:hAnsi="Figtree"/>
          <w:b w:val="0"/>
          <w:i w:val="0"/>
          <w:sz w:val="22"/>
        </w:rPr>
        <w:t xml:space="preserve"> with deployment in AWS eu-west-2 (London) or AWS eu-north-1 (Stockholm) to satisfy Nordic data residency requirements.</w:t>
      </w:r>
    </w:p>
    <w:p>
      <w:pPr>
        <w:pStyle w:val="H3"/>
        <w:numPr>
          <w:ilvl w:val="2"/>
          <w:numId w:val="1"/>
        </w:numPr>
      </w:pPr>
      <w:r>
        <w:t>Target Asset Scope</w:t>
      </w:r>
    </w:p>
    <w:p>
      <w:r>
        <w:rPr>
          <w:rFonts w:ascii="Figtree" w:hAnsi="Figtree"/>
          <w:b w:val="0"/>
          <w:i w:val="0"/>
          <w:sz w:val="22"/>
        </w:rPr>
        <w:t>The initial deployment will support:</w:t>
      </w:r>
    </w:p>
    <w:p>
      <w:pPr>
        <w:pStyle w:val="ListParagraph"/>
        <w:numPr>
          <w:ilvl w:val="0"/>
          <w:numId w:val="4"/>
        </w:numPr>
      </w:pPr>
      <w:r>
        <w:rPr>
          <w:rFonts w:ascii="Figtree" w:hAnsi="Figtree"/>
          <w:b/>
          <w:i w:val="0"/>
          <w:sz w:val="22"/>
        </w:rPr>
        <w:t>UCITS fund units</w:t>
      </w:r>
      <w:r>
        <w:rPr>
          <w:rFonts w:ascii="Figtree" w:hAnsi="Figtree"/>
          <w:b w:val="0"/>
          <w:i w:val="0"/>
          <w:sz w:val="22"/>
        </w:rPr>
        <w:t>: Undertakings for Collective Investment in Transferable Securities</w:t>
      </w:r>
    </w:p>
    <w:p>
      <w:pPr>
        <w:pStyle w:val="ListParagraph"/>
        <w:numPr>
          <w:ilvl w:val="0"/>
          <w:numId w:val="4"/>
        </w:numPr>
      </w:pPr>
      <w:r>
        <w:rPr>
          <w:rFonts w:ascii="Figtree" w:hAnsi="Figtree"/>
          <w:b/>
          <w:i w:val="0"/>
          <w:sz w:val="22"/>
        </w:rPr>
        <w:t>AIF fund units</w:t>
      </w:r>
      <w:r>
        <w:rPr>
          <w:rFonts w:ascii="Figtree" w:hAnsi="Figtree"/>
          <w:b w:val="0"/>
          <w:i w:val="0"/>
          <w:sz w:val="22"/>
        </w:rPr>
        <w:t>: Alternative Investment Funds</w:t>
      </w:r>
    </w:p>
    <w:p>
      <w:pPr>
        <w:pStyle w:val="ListParagraph"/>
        <w:numPr>
          <w:ilvl w:val="0"/>
          <w:numId w:val="4"/>
        </w:numPr>
      </w:pPr>
      <w:r>
        <w:rPr>
          <w:rFonts w:ascii="Figtree" w:hAnsi="Figtree"/>
          <w:b/>
          <w:i w:val="0"/>
          <w:sz w:val="22"/>
        </w:rPr>
        <w:t>Multi-tranche structures</w:t>
      </w:r>
      <w:r>
        <w:rPr>
          <w:rFonts w:ascii="Figtree" w:hAnsi="Figtree"/>
          <w:b w:val="0"/>
          <w:i w:val="0"/>
          <w:sz w:val="22"/>
        </w:rPr>
        <w:t>: Support for senior and subordinated units within single fund programmes</w:t>
      </w:r>
    </w:p>
    <w:p>
      <w:pPr>
        <w:pStyle w:val="ListParagraph"/>
        <w:numPr>
          <w:ilvl w:val="0"/>
          <w:numId w:val="4"/>
        </w:numPr>
      </w:pPr>
      <w:r>
        <w:rPr>
          <w:rFonts w:ascii="Figtree" w:hAnsi="Figtree"/>
          <w:b/>
          <w:i w:val="0"/>
          <w:sz w:val="22"/>
        </w:rPr>
        <w:t>Dividend distribution</w:t>
      </w:r>
      <w:r>
        <w:rPr>
          <w:rFonts w:ascii="Figtree" w:hAnsi="Figtree"/>
          <w:b w:val="0"/>
          <w:i w:val="0"/>
          <w:sz w:val="22"/>
        </w:rPr>
        <w:t>: Automated distribution processing</w:t>
      </w:r>
    </w:p>
    <w:p>
      <w:pPr>
        <w:pStyle w:val="ListParagraph"/>
        <w:numPr>
          <w:ilvl w:val="0"/>
          <w:numId w:val="4"/>
        </w:numPr>
      </w:pPr>
      <w:r>
        <w:rPr>
          <w:rFonts w:ascii="Figtree" w:hAnsi="Figtree"/>
          <w:b/>
          <w:i w:val="0"/>
          <w:sz w:val="22"/>
        </w:rPr>
        <w:t>Redemption processing</w:t>
      </w:r>
      <w:r>
        <w:rPr>
          <w:rFonts w:ascii="Figtree" w:hAnsi="Figtree"/>
          <w:b w:val="0"/>
          <w:i w:val="0"/>
          <w:sz w:val="22"/>
        </w:rPr>
        <w:t>: Atomic redemption with settlement</w:t>
      </w:r>
    </w:p>
    <w:p>
      <w:pPr>
        <w:pStyle w:val="H3"/>
        <w:numPr>
          <w:ilvl w:val="2"/>
          <w:numId w:val="1"/>
        </w:numPr>
      </w:pPr>
      <w:r>
        <w:t>Regulatory Alignment Approach</w:t>
      </w:r>
    </w:p>
    <w:p>
      <w:r>
        <w:rPr>
          <w:rFonts w:ascii="Figtree" w:hAnsi="Figtree"/>
          <w:b w:val="0"/>
          <w:i w:val="0"/>
          <w:sz w:val="22"/>
        </w:rPr>
        <w:t>DALP addresses Nordea's regulatory requirements through:</w:t>
      </w:r>
    </w:p>
    <w:p>
      <w:r>
        <w:rPr>
          <w:rFonts w:ascii="Figtree" w:hAnsi="Figtree"/>
          <w:b/>
          <w:i w:val="0"/>
          <w:sz w:val="22"/>
        </w:rPr>
        <w:t>MiFID II Compliance</w:t>
      </w:r>
      <w:r>
        <w:rPr>
          <w:rFonts w:ascii="Figtree" w:hAnsi="Figtree"/>
          <w:b w:val="0"/>
          <w:i w:val="0"/>
          <w:sz w:val="22"/>
        </w:rPr>
        <w:t>: Pre-built compliance modules for MiFID II investor categorization, target market assessment, and distribution rules.</w:t>
      </w:r>
    </w:p>
    <w:p>
      <w:r>
        <w:rPr>
          <w:rFonts w:ascii="Figtree" w:hAnsi="Figtree"/>
          <w:b/>
          <w:i w:val="0"/>
          <w:sz w:val="22"/>
        </w:rPr>
        <w:t>AIFMD Alignment</w:t>
      </w:r>
      <w:r>
        <w:rPr>
          <w:rFonts w:ascii="Figtree" w:hAnsi="Figtree"/>
          <w:b w:val="0"/>
          <w:i w:val="0"/>
          <w:sz w:val="22"/>
        </w:rPr>
        <w:t>: Support for AIFMD reporting, investor disclosure, and valuation requirements.</w:t>
      </w:r>
    </w:p>
    <w:p>
      <w:r>
        <w:rPr>
          <w:rFonts w:ascii="Figtree" w:hAnsi="Figtree"/>
          <w:b/>
          <w:i w:val="0"/>
          <w:sz w:val="22"/>
        </w:rPr>
        <w:t>Nordic CSD Integration</w:t>
      </w:r>
      <w:r>
        <w:rPr>
          <w:rFonts w:ascii="Figtree" w:hAnsi="Figtree"/>
          <w:b w:val="0"/>
          <w:i w:val="0"/>
          <w:sz w:val="22"/>
        </w:rPr>
        <w:t>: Native integration patterns for VP Securities (Denmark), Euroclear Sweden, and Finnish CSD infrastructure.</w:t>
      </w:r>
    </w:p>
    <w:p>
      <w:r>
        <w:br w:type="page"/>
      </w:r>
    </w:p>
    <w:p>
      <w:pPr>
        <w:pStyle w:val="H2"/>
        <w:numPr>
          <w:ilvl w:val="1"/>
          <w:numId w:val="1"/>
        </w:numPr>
      </w:pPr>
      <w:r>
        <w:t>Technical Architecture and Integration Boundaries</w:t>
      </w:r>
    </w:p>
    <w:p>
      <w:pPr>
        <w:pStyle w:val="H3"/>
        <w:numPr>
          <w:ilvl w:val="2"/>
          <w:numId w:val="1"/>
        </w:numPr>
      </w:pPr>
      <w:r>
        <w:t>Platform Architecture</w:t>
      </w:r>
    </w:p>
    <w:p>
      <w:r>
        <w:rPr>
          <w:rFonts w:ascii="Figtree" w:hAnsi="Figtree"/>
          <w:b w:val="0"/>
          <w:i w:val="0"/>
          <w:sz w:val="22"/>
        </w:rPr>
        <w:t>DALP is built as a four-layer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0"/>
        <w:gridCol w:w="3252"/>
        <w:gridCol w:w="42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i w:val="0"/>
                <w:sz w:val="20"/>
              </w:rPr>
              <w:t>Application</w:t>
            </w:r>
          </w:p>
        </w:tc>
        <w:tc>
          <w:tcPr>
            <w:tcW w:type="dxa" w:w="3249"/>
            <w:vAlign w:val="center"/>
          </w:tcPr>
          <w:p>
            <w:pPr>
              <w:spacing w:line="276" w:lineRule="auto" w:before="0" w:after="0"/>
            </w:pPr>
            <w:r/>
            <w:r>
              <w:rPr>
                <w:rFonts w:ascii="Figtree" w:hAnsi="Figtree"/>
                <w:b w:val="0"/>
                <w:i w:val="0"/>
                <w:sz w:val="20"/>
              </w:rPr>
              <w:t>User-facing interfaces</w:t>
            </w:r>
          </w:p>
        </w:tc>
        <w:tc>
          <w:tcPr>
            <w:tcW w:type="dxa" w:w="3249"/>
            <w:vAlign w:val="center"/>
          </w:tcPr>
          <w:p>
            <w:pPr>
              <w:spacing w:line="276" w:lineRule="auto" w:before="0" w:after="0"/>
            </w:pPr>
            <w:r/>
            <w:r>
              <w:rPr>
                <w:rFonts w:ascii="Figtree" w:hAnsi="Figtree"/>
                <w:b w:val="0"/>
                <w:i w:val="0"/>
                <w:sz w:val="20"/>
              </w:rPr>
              <w:t>Asset Console (React web UI)</w:t>
            </w:r>
          </w:p>
        </w:tc>
      </w:tr>
      <w:tr>
        <w:trPr>
          <w:trHeight w:val="425" w:hRule="atLeast"/>
        </w:trPr>
        <w:tc>
          <w:tcPr>
            <w:tcW w:type="dxa" w:w="3249"/>
            <w:vAlign w:val="center"/>
          </w:tcPr>
          <w:p>
            <w:pPr>
              <w:spacing w:line="276" w:lineRule="auto" w:before="0" w:after="0"/>
            </w:pPr>
            <w:r/>
            <w:r>
              <w:rPr>
                <w:rFonts w:ascii="Figtree" w:hAnsi="Figtree"/>
                <w:b/>
                <w:i w:val="0"/>
                <w:sz w:val="20"/>
              </w:rPr>
              <w:t>API</w:t>
            </w:r>
          </w:p>
        </w:tc>
        <w:tc>
          <w:tcPr>
            <w:tcW w:type="dxa" w:w="3249"/>
            <w:vAlign w:val="center"/>
          </w:tcPr>
          <w:p>
            <w:pPr>
              <w:spacing w:line="276" w:lineRule="auto" w:before="0" w:after="0"/>
            </w:pPr>
            <w:r/>
            <w:r>
              <w:rPr>
                <w:rFonts w:ascii="Figtree" w:hAnsi="Figtree"/>
                <w:b w:val="0"/>
                <w:i w:val="0"/>
                <w:sz w:val="20"/>
              </w:rPr>
              <w:t>Programmatic access surface</w:t>
            </w:r>
          </w:p>
        </w:tc>
        <w:tc>
          <w:tcPr>
            <w:tcW w:type="dxa" w:w="3249"/>
            <w:vAlign w:val="center"/>
          </w:tcPr>
          <w:p>
            <w:pPr>
              <w:spacing w:line="276" w:lineRule="auto" w:before="0" w:after="0"/>
            </w:pPr>
            <w:r/>
            <w:r>
              <w:rPr>
                <w:rFonts w:ascii="Figtree" w:hAnsi="Figtree"/>
                <w:b w:val="0"/>
                <w:i w:val="0"/>
                <w:sz w:val="20"/>
              </w:rPr>
              <w:t>Unified API (OpenAPI 3.1), TypeScript SDK</w:t>
            </w:r>
          </w:p>
        </w:tc>
      </w:tr>
      <w:tr>
        <w:trPr>
          <w:trHeight w:val="425" w:hRule="atLeast"/>
        </w:trPr>
        <w:tc>
          <w:tcPr>
            <w:tcW w:type="dxa" w:w="3249"/>
            <w:vAlign w:val="center"/>
          </w:tcPr>
          <w:p>
            <w:pPr>
              <w:spacing w:line="276" w:lineRule="auto" w:before="0" w:after="0"/>
            </w:pPr>
            <w:r/>
            <w:r>
              <w:rPr>
                <w:rFonts w:ascii="Figtree" w:hAnsi="Figtree"/>
                <w:b/>
                <w:i w:val="0"/>
                <w:sz w:val="20"/>
              </w:rPr>
              <w:t>Middleware</w:t>
            </w:r>
          </w:p>
        </w:tc>
        <w:tc>
          <w:tcPr>
            <w:tcW w:type="dxa" w:w="3249"/>
            <w:vAlign w:val="center"/>
          </w:tcPr>
          <w:p>
            <w:pPr>
              <w:spacing w:line="276" w:lineRule="auto" w:before="0" w:after="0"/>
            </w:pPr>
            <w:r/>
            <w:r>
              <w:rPr>
                <w:rFonts w:ascii="Figtree" w:hAnsi="Figtree"/>
                <w:b w:val="0"/>
                <w:i w:val="0"/>
                <w:sz w:val="20"/>
              </w:rPr>
              <w:t>Workflow orchestration, key management</w:t>
            </w:r>
          </w:p>
        </w:tc>
        <w:tc>
          <w:tcPr>
            <w:tcW w:type="dxa" w:w="3249"/>
            <w:vAlign w:val="center"/>
          </w:tcPr>
          <w:p>
            <w:pPr>
              <w:spacing w:line="276" w:lineRule="auto" w:before="0" w:after="0"/>
            </w:pPr>
            <w:r/>
            <w:r>
              <w:rPr>
                <w:rFonts w:ascii="Figtree" w:hAnsi="Figtree"/>
                <w:b w:val="0"/>
                <w:i w:val="0"/>
                <w:sz w:val="20"/>
              </w:rPr>
              <w:t>Execution Engine, Key Guardian, Transaction Signer</w:t>
            </w:r>
          </w:p>
        </w:tc>
      </w:tr>
      <w:tr>
        <w:trPr>
          <w:trHeight w:val="425" w:hRule="atLeast"/>
        </w:trPr>
        <w:tc>
          <w:tcPr>
            <w:tcW w:type="dxa" w:w="3249"/>
            <w:vAlign w:val="center"/>
          </w:tcPr>
          <w:p>
            <w:pPr>
              <w:spacing w:line="276" w:lineRule="auto" w:before="0" w:after="0"/>
            </w:pPr>
            <w:r/>
            <w:r>
              <w:rPr>
                <w:rFonts w:ascii="Figtree" w:hAnsi="Figtree"/>
                <w:b/>
                <w:i w:val="0"/>
                <w:sz w:val="20"/>
              </w:rPr>
              <w:t>Smart Contract</w:t>
            </w:r>
          </w:p>
        </w:tc>
        <w:tc>
          <w:tcPr>
            <w:tcW w:type="dxa" w:w="3249"/>
            <w:vAlign w:val="center"/>
          </w:tcPr>
          <w:p>
            <w:pPr>
              <w:spacing w:line="276" w:lineRule="auto" w:before="0" w:after="0"/>
            </w:pPr>
            <w:r/>
            <w:r>
              <w:rPr>
                <w:rFonts w:ascii="Figtree" w:hAnsi="Figtree"/>
                <w:b w:val="0"/>
                <w:i w:val="0"/>
                <w:sz w:val="20"/>
              </w:rPr>
              <w:t>On-chain compliance and asset logic</w:t>
            </w:r>
          </w:p>
        </w:tc>
        <w:tc>
          <w:tcPr>
            <w:tcW w:type="dxa" w:w="3249"/>
            <w:vAlign w:val="center"/>
          </w:tcPr>
          <w:p>
            <w:pPr>
              <w:spacing w:line="276" w:lineRule="auto" w:before="0" w:after="0"/>
            </w:pPr>
            <w:r/>
            <w:r>
              <w:rPr>
                <w:rFonts w:ascii="Figtree" w:hAnsi="Figtree"/>
                <w:b w:val="0"/>
                <w:i w:val="0"/>
                <w:sz w:val="20"/>
              </w:rPr>
              <w:t>SMART Protocol (ERC-3643), DALPAsset contracts</w:t>
            </w:r>
          </w:p>
        </w:tc>
      </w:tr>
    </w:tbl>
    <w:p>
      <w:pPr>
        <w:spacing w:before="0" w:after="0" w:line="120" w:lineRule="exact"/>
      </w:pPr>
    </w:p>
    <w:p>
      <w:pPr>
        <w:pStyle w:val="H3"/>
        <w:numPr>
          <w:ilvl w:val="2"/>
          <w:numId w:val="1"/>
        </w:numPr>
      </w:pPr>
      <w:r>
        <w:t>Integration Architecture</w:t>
      </w:r>
    </w:p>
    <w:p>
      <w:r>
        <w:rPr>
          <w:rFonts w:ascii="Figtree" w:hAnsi="Figtree"/>
          <w:b/>
          <w:i w:val="0"/>
          <w:sz w:val="22"/>
        </w:rPr>
        <w:t>API Integration</w:t>
      </w:r>
      <w:r>
        <w:rPr>
          <w:rFonts w:ascii="Figtree" w:hAnsi="Figtree"/>
          <w:b w:val="0"/>
          <w:i w:val="0"/>
          <w:sz w:val="22"/>
        </w:rPr>
        <w:t>: REST API at `/api/v2` with organization-scoped API keys, configurable rate limits.</w:t>
      </w:r>
    </w:p>
    <w:p>
      <w:r>
        <w:rPr>
          <w:rFonts w:ascii="Figtree" w:hAnsi="Figtree"/>
          <w:b/>
          <w:i w:val="0"/>
          <w:sz w:val="22"/>
        </w:rPr>
        <w:t>SDK Integration</w:t>
      </w:r>
      <w:r>
        <w:rPr>
          <w:rFonts w:ascii="Figtree" w:hAnsi="Figtree"/>
          <w:b w:val="0"/>
          <w:i w:val="0"/>
          <w:sz w:val="22"/>
        </w:rPr>
        <w:t>: TypeScript SDK (@settlemint/dalp-sdk) for custom applications.</w:t>
      </w:r>
    </w:p>
    <w:p>
      <w:r>
        <w:rPr>
          <w:rFonts w:ascii="Figtree" w:hAnsi="Figtree"/>
          <w:b/>
          <w:i w:val="0"/>
          <w:sz w:val="22"/>
        </w:rPr>
        <w:t>Event Integration</w:t>
      </w:r>
      <w:r>
        <w:rPr>
          <w:rFonts w:ascii="Figtree" w:hAnsi="Figtree"/>
          <w:b w:val="0"/>
          <w:i w:val="0"/>
          <w:sz w:val="22"/>
        </w:rPr>
        <w:t>: Blockchain events index in real-time (&lt;5 seconds) with SSE streaming.</w:t>
      </w:r>
    </w:p>
    <w:p>
      <w:r>
        <w:rPr>
          <w:rFonts w:ascii="Figtree" w:hAnsi="Figtree"/>
          <w:b/>
          <w:i w:val="0"/>
          <w:sz w:val="22"/>
        </w:rPr>
        <w:t>Database Integration</w:t>
      </w:r>
      <w:r>
        <w:rPr>
          <w:rFonts w:ascii="Figtree" w:hAnsi="Figtree"/>
          <w:b w:val="0"/>
          <w:i w:val="0"/>
          <w:sz w:val="22"/>
        </w:rPr>
        <w:t>: 18 PostgreSQL analytics views for BI tool connectivity.</w:t>
      </w:r>
    </w:p>
    <w:p>
      <w:pPr>
        <w:pStyle w:val="H3"/>
        <w:numPr>
          <w:ilvl w:val="2"/>
          <w:numId w:val="1"/>
        </w:numPr>
      </w:pPr>
      <w:r>
        <w:t>Network Deployment Options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4"/>
        <w:gridCol w:w="2044"/>
        <w:gridCol w:w="49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Network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Characteristics</w:t>
            </w:r>
          </w:p>
        </w:tc>
      </w:tr>
      <w:tr>
        <w:trPr>
          <w:trHeight w:val="425" w:hRule="atLeast"/>
        </w:trPr>
        <w:tc>
          <w:tcPr>
            <w:tcW w:type="dxa" w:w="3249"/>
            <w:vAlign w:val="center"/>
          </w:tcPr>
          <w:p>
            <w:pPr>
              <w:spacing w:line="276" w:lineRule="auto" w:before="0" w:after="0"/>
            </w:pPr>
            <w:r/>
            <w:r>
              <w:rPr>
                <w:rFonts w:ascii="Figtree" w:hAnsi="Figtree"/>
                <w:b/>
                <w:i w:val="0"/>
                <w:sz w:val="20"/>
              </w:rPr>
              <w:t>Permissioned</w:t>
            </w:r>
          </w:p>
        </w:tc>
        <w:tc>
          <w:tcPr>
            <w:tcW w:type="dxa" w:w="3249"/>
            <w:vAlign w:val="center"/>
          </w:tcPr>
          <w:p>
            <w:pPr>
              <w:spacing w:line="276" w:lineRule="auto" w:before="0" w:after="0"/>
            </w:pPr>
            <w:r/>
            <w:r>
              <w:rPr>
                <w:rFonts w:ascii="Figtree" w:hAnsi="Figtree"/>
                <w:b w:val="0"/>
                <w:i w:val="0"/>
                <w:sz w:val="20"/>
              </w:rPr>
              <w:t>Hyperledger Besu</w:t>
            </w:r>
          </w:p>
        </w:tc>
        <w:tc>
          <w:tcPr>
            <w:tcW w:type="dxa" w:w="3249"/>
            <w:vAlign w:val="center"/>
          </w:tcPr>
          <w:p>
            <w:pPr>
              <w:spacing w:line="276" w:lineRule="auto" w:before="0" w:after="0"/>
            </w:pPr>
            <w:r/>
            <w:r>
              <w:rPr>
                <w:rFonts w:ascii="Figtree" w:hAnsi="Figtree"/>
                <w:b w:val="0"/>
                <w:i w:val="0"/>
                <w:sz w:val="20"/>
              </w:rPr>
              <w:t>IBFT 2.0 consensus, transaction privacy</w:t>
            </w:r>
          </w:p>
        </w:tc>
      </w:tr>
      <w:tr>
        <w:trPr>
          <w:trHeight w:val="425" w:hRule="atLeast"/>
        </w:trPr>
        <w:tc>
          <w:tcPr>
            <w:tcW w:type="dxa" w:w="3249"/>
            <w:vAlign w:val="center"/>
          </w:tcPr>
          <w:p>
            <w:pPr>
              <w:spacing w:line="276" w:lineRule="auto" w:before="0" w:after="0"/>
            </w:pPr>
            <w:r/>
            <w:r>
              <w:rPr>
                <w:rFonts w:ascii="Figtree" w:hAnsi="Figtree"/>
                <w:b/>
                <w:i w:val="0"/>
                <w:sz w:val="20"/>
              </w:rPr>
              <w:t>Public L1</w:t>
            </w:r>
          </w:p>
        </w:tc>
        <w:tc>
          <w:tcPr>
            <w:tcW w:type="dxa" w:w="3249"/>
            <w:vAlign w:val="center"/>
          </w:tcPr>
          <w:p>
            <w:pPr>
              <w:spacing w:line="276" w:lineRule="auto" w:before="0" w:after="0"/>
            </w:pPr>
            <w:r/>
            <w:r>
              <w:rPr>
                <w:rFonts w:ascii="Figtree" w:hAnsi="Figtree"/>
                <w:b w:val="0"/>
                <w:i w:val="0"/>
                <w:sz w:val="20"/>
              </w:rPr>
              <w:t>Polygon PoS</w:t>
            </w:r>
          </w:p>
        </w:tc>
        <w:tc>
          <w:tcPr>
            <w:tcW w:type="dxa" w:w="3249"/>
            <w:vAlign w:val="center"/>
          </w:tcPr>
          <w:p>
            <w:pPr>
              <w:spacing w:line="276" w:lineRule="auto" w:before="0" w:after="0"/>
            </w:pPr>
            <w:r/>
            <w:r>
              <w:rPr>
                <w:rFonts w:ascii="Figtree" w:hAnsi="Figtree"/>
                <w:b w:val="0"/>
                <w:i w:val="0"/>
                <w:sz w:val="20"/>
              </w:rPr>
              <w:t>Lower gas costs, faster finality</w:t>
            </w:r>
          </w:p>
        </w:tc>
      </w:tr>
      <w:tr>
        <w:trPr>
          <w:trHeight w:val="425" w:hRule="atLeast"/>
        </w:trPr>
        <w:tc>
          <w:tcPr>
            <w:tcW w:type="dxa" w:w="3249"/>
            <w:vAlign w:val="center"/>
          </w:tcPr>
          <w:p>
            <w:pPr>
              <w:spacing w:line="276" w:lineRule="auto" w:before="0" w:after="0"/>
            </w:pPr>
            <w:r/>
            <w:r>
              <w:rPr>
                <w:rFonts w:ascii="Figtree" w:hAnsi="Figtree"/>
                <w:b/>
                <w:i w:val="0"/>
                <w:sz w:val="20"/>
              </w:rPr>
              <w:t>Public L2</w:t>
            </w:r>
          </w:p>
        </w:tc>
        <w:tc>
          <w:tcPr>
            <w:tcW w:type="dxa" w:w="3249"/>
            <w:vAlign w:val="center"/>
          </w:tcPr>
          <w:p>
            <w:pPr>
              <w:spacing w:line="276" w:lineRule="auto" w:before="0" w:after="0"/>
            </w:pPr>
            <w:r/>
            <w:r>
              <w:rPr>
                <w:rFonts w:ascii="Figtree" w:hAnsi="Figtree"/>
                <w:b w:val="0"/>
                <w:i w:val="0"/>
                <w:sz w:val="20"/>
              </w:rPr>
              <w:t>Arbitrum One</w:t>
            </w:r>
          </w:p>
        </w:tc>
        <w:tc>
          <w:tcPr>
            <w:tcW w:type="dxa" w:w="3249"/>
            <w:vAlign w:val="center"/>
          </w:tcPr>
          <w:p>
            <w:pPr>
              <w:spacing w:line="276" w:lineRule="auto" w:before="0" w:after="0"/>
            </w:pPr>
            <w:r/>
            <w:r>
              <w:rPr>
                <w:rFonts w:ascii="Figtree" w:hAnsi="Figtree"/>
                <w:b w:val="0"/>
                <w:i w:val="0"/>
                <w:sz w:val="20"/>
              </w:rPr>
              <w:t>Ethereum L1 security</w:t>
            </w:r>
          </w:p>
        </w:tc>
      </w:tr>
    </w:tbl>
    <w:p>
      <w:pPr>
        <w:spacing w:before="0" w:after="0" w:line="120" w:lineRule="exact"/>
      </w:pPr>
    </w:p>
    <w:p>
      <w:r>
        <w:br w:type="page"/>
      </w:r>
    </w:p>
    <w:p>
      <w:pPr>
        <w:pStyle w:val="H2"/>
        <w:numPr>
          <w:ilvl w:val="1"/>
          <w:numId w:val="1"/>
        </w:numPr>
      </w:pPr>
      <w:r>
        <w:t>Fund-Specific Smart Contract Architecture</w:t>
      </w:r>
    </w:p>
    <w:p>
      <w:pPr>
        <w:pStyle w:val="H3"/>
        <w:numPr>
          <w:ilvl w:val="2"/>
          <w:numId w:val="1"/>
        </w:numPr>
      </w:pPr>
      <w:r>
        <w:t>SMART Protocol Foundation</w:t>
      </w:r>
    </w:p>
    <w:p>
      <w:r>
        <w:rPr>
          <w:rFonts w:ascii="Figtree" w:hAnsi="Figtree"/>
          <w:b w:val="0"/>
          <w:i w:val="0"/>
          <w:sz w:val="22"/>
        </w:rPr>
        <w:t xml:space="preserve">All DALP smart contracts build on the </w:t>
      </w:r>
      <w:r>
        <w:rPr>
          <w:rFonts w:ascii="Figtree" w:hAnsi="Figtree"/>
          <w:b/>
          <w:i w:val="0"/>
          <w:sz w:val="22"/>
        </w:rPr>
        <w:t>SMART Protocol</w:t>
      </w:r>
      <w:r>
        <w:rPr>
          <w:rFonts w:ascii="Figtree" w:hAnsi="Figtree"/>
          <w:b w:val="0"/>
          <w:i w:val="0"/>
          <w:sz w:val="22"/>
        </w:rPr>
        <w:t xml:space="preserve"> (ERC-3643), providing:</w:t>
      </w:r>
    </w:p>
    <w:p>
      <w:pPr>
        <w:pStyle w:val="ListParagraph"/>
        <w:numPr>
          <w:ilvl w:val="0"/>
          <w:numId w:val="4"/>
        </w:numPr>
      </w:pPr>
      <w:r>
        <w:rPr>
          <w:rFonts w:ascii="Figtree" w:hAnsi="Figtree"/>
          <w:b/>
          <w:i w:val="0"/>
          <w:sz w:val="22"/>
        </w:rPr>
        <w:t>Token</w:t>
      </w:r>
      <w:r>
        <w:rPr>
          <w:rFonts w:ascii="Figtree" w:hAnsi="Figtree"/>
          <w:b w:val="0"/>
          <w:i w:val="0"/>
          <w:sz w:val="22"/>
        </w:rPr>
        <w:t>: ERC-20 compatible with compliance hooks</w:t>
      </w:r>
    </w:p>
    <w:p>
      <w:pPr>
        <w:pStyle w:val="ListParagraph"/>
        <w:numPr>
          <w:ilvl w:val="0"/>
          <w:numId w:val="4"/>
        </w:numPr>
      </w:pPr>
      <w:r>
        <w:rPr>
          <w:rFonts w:ascii="Figtree" w:hAnsi="Figtree"/>
          <w:b/>
          <w:i w:val="0"/>
          <w:sz w:val="22"/>
        </w:rPr>
        <w:t>Compliance</w:t>
      </w:r>
      <w:r>
        <w:rPr>
          <w:rFonts w:ascii="Figtree" w:hAnsi="Figtree"/>
          <w:b w:val="0"/>
          <w:i w:val="0"/>
          <w:sz w:val="22"/>
        </w:rPr>
        <w:t>: Modular compliance engine</w:t>
      </w:r>
    </w:p>
    <w:p>
      <w:pPr>
        <w:pStyle w:val="ListParagraph"/>
        <w:numPr>
          <w:ilvl w:val="0"/>
          <w:numId w:val="4"/>
        </w:numPr>
      </w:pPr>
      <w:r>
        <w:rPr>
          <w:rFonts w:ascii="Figtree" w:hAnsi="Figtree"/>
          <w:b/>
          <w:i w:val="0"/>
          <w:sz w:val="22"/>
        </w:rPr>
        <w:t>Identity</w:t>
      </w:r>
      <w:r>
        <w:rPr>
          <w:rFonts w:ascii="Figtree" w:hAnsi="Figtree"/>
          <w:b w:val="0"/>
          <w:i w:val="0"/>
          <w:sz w:val="22"/>
        </w:rPr>
        <w:t>: OnchainID for investor verification</w:t>
      </w:r>
    </w:p>
    <w:p>
      <w:pPr>
        <w:pStyle w:val="H3"/>
        <w:numPr>
          <w:ilvl w:val="2"/>
          <w:numId w:val="1"/>
        </w:numPr>
      </w:pPr>
      <w:r>
        <w:t>Fund Contract Architecture</w:t>
      </w:r>
    </w:p>
    <w:p>
      <w:r>
        <w:rPr>
          <w:rFonts w:ascii="Figtree" w:hAnsi="Figtree"/>
          <w:b w:val="0"/>
          <w:i w:val="0"/>
          <w:sz w:val="22"/>
        </w:rPr>
        <w:t>DALP's fund implementation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5"/>
        <w:gridCol w:w="568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i w:val="0"/>
                <w:sz w:val="20"/>
              </w:rPr>
              <w:t>AUM Fee</w:t>
            </w:r>
          </w:p>
        </w:tc>
        <w:tc>
          <w:tcPr>
            <w:tcW w:type="dxa" w:w="4873"/>
            <w:vAlign w:val="center"/>
          </w:tcPr>
          <w:p>
            <w:pPr>
              <w:spacing w:line="276" w:lineRule="auto" w:before="0" w:after="0"/>
            </w:pPr>
            <w:r/>
            <w:r>
              <w:rPr>
                <w:rFonts w:ascii="Figtree" w:hAnsi="Figtree"/>
                <w:b w:val="0"/>
                <w:i w:val="0"/>
                <w:sz w:val="20"/>
              </w:rPr>
              <w:t>Periodic fee based on assets under management</w:t>
            </w:r>
          </w:p>
        </w:tc>
      </w:tr>
      <w:tr>
        <w:trPr>
          <w:trHeight w:val="425" w:hRule="atLeast"/>
        </w:trPr>
        <w:tc>
          <w:tcPr>
            <w:tcW w:type="dxa" w:w="4873"/>
            <w:vAlign w:val="center"/>
          </w:tcPr>
          <w:p>
            <w:pPr>
              <w:spacing w:line="276" w:lineRule="auto" w:before="0" w:after="0"/>
            </w:pPr>
            <w:r/>
            <w:r>
              <w:rPr>
                <w:rFonts w:ascii="Figtree" w:hAnsi="Figtree"/>
                <w:b/>
                <w:i w:val="0"/>
                <w:sz w:val="20"/>
              </w:rPr>
              <w:t>Dividend Distribution</w:t>
            </w:r>
          </w:p>
        </w:tc>
        <w:tc>
          <w:tcPr>
            <w:tcW w:type="dxa" w:w="4873"/>
            <w:vAlign w:val="center"/>
          </w:tcPr>
          <w:p>
            <w:pPr>
              <w:spacing w:line="276" w:lineRule="auto" w:before="0" w:after="0"/>
            </w:pPr>
            <w:r/>
            <w:r>
              <w:rPr>
                <w:rFonts w:ascii="Figtree" w:hAnsi="Figtree"/>
                <w:b w:val="0"/>
                <w:i w:val="0"/>
                <w:sz w:val="20"/>
              </w:rPr>
              <w:t>Pull-based yield distribution</w:t>
            </w:r>
          </w:p>
        </w:tc>
      </w:tr>
      <w:tr>
        <w:trPr>
          <w:trHeight w:val="425" w:hRule="atLeast"/>
        </w:trPr>
        <w:tc>
          <w:tcPr>
            <w:tcW w:type="dxa" w:w="4873"/>
            <w:vAlign w:val="center"/>
          </w:tcPr>
          <w:p>
            <w:pPr>
              <w:spacing w:line="276" w:lineRule="auto" w:before="0" w:after="0"/>
            </w:pPr>
            <w:r/>
            <w:r>
              <w:rPr>
                <w:rFonts w:ascii="Figtree" w:hAnsi="Figtree"/>
                <w:b/>
                <w:i w:val="0"/>
                <w:sz w:val="20"/>
              </w:rPr>
              <w:t>Voting Power</w:t>
            </w:r>
          </w:p>
        </w:tc>
        <w:tc>
          <w:tcPr>
            <w:tcW w:type="dxa" w:w="4873"/>
            <w:vAlign w:val="center"/>
          </w:tcPr>
          <w:p>
            <w:pPr>
              <w:spacing w:line="276" w:lineRule="auto" w:before="0" w:after="0"/>
            </w:pPr>
            <w:r/>
            <w:r>
              <w:rPr>
                <w:rFonts w:ascii="Figtree" w:hAnsi="Figtree"/>
                <w:b w:val="0"/>
                <w:i w:val="0"/>
                <w:sz w:val="20"/>
              </w:rPr>
              <w:t>ERC-5805 governance for fund votes</w:t>
            </w:r>
          </w:p>
        </w:tc>
      </w:tr>
      <w:tr>
        <w:trPr>
          <w:trHeight w:val="425" w:hRule="atLeast"/>
        </w:trPr>
        <w:tc>
          <w:tcPr>
            <w:tcW w:type="dxa" w:w="4873"/>
            <w:vAlign w:val="center"/>
          </w:tcPr>
          <w:p>
            <w:pPr>
              <w:spacing w:line="276" w:lineRule="auto" w:before="0" w:after="0"/>
            </w:pPr>
            <w:r/>
            <w:r>
              <w:rPr>
                <w:rFonts w:ascii="Figtree" w:hAnsi="Figtree"/>
                <w:b/>
                <w:i w:val="0"/>
                <w:sz w:val="20"/>
              </w:rPr>
              <w:t>Historical Balances</w:t>
            </w:r>
          </w:p>
        </w:tc>
        <w:tc>
          <w:tcPr>
            <w:tcW w:type="dxa" w:w="4873"/>
            <w:vAlign w:val="center"/>
          </w:tcPr>
          <w:p>
            <w:pPr>
              <w:spacing w:line="276" w:lineRule="auto" w:before="0" w:after="0"/>
            </w:pPr>
            <w:r/>
            <w:r>
              <w:rPr>
                <w:rFonts w:ascii="Figtree" w:hAnsi="Figtree"/>
                <w:b w:val="0"/>
                <w:i w:val="0"/>
                <w:sz w:val="20"/>
              </w:rPr>
              <w:t>Checkpoint-based balance tracking</w:t>
            </w:r>
          </w:p>
        </w:tc>
      </w:tr>
    </w:tbl>
    <w:p>
      <w:pPr>
        <w:spacing w:before="0" w:after="0" w:line="120" w:lineRule="exact"/>
      </w:pPr>
    </w:p>
    <w:p>
      <w:pPr>
        <w:pStyle w:val="H3"/>
        <w:numPr>
          <w:ilvl w:val="2"/>
          <w:numId w:val="1"/>
        </w:numPr>
      </w:pPr>
      <w:r>
        <w:t>Factory Deployment</w:t>
      </w:r>
    </w:p>
    <w:p>
      <w:r>
        <w:rPr>
          <w:rFonts w:ascii="Figtree" w:hAnsi="Figtree"/>
          <w:b w:val="0"/>
          <w:i w:val="0"/>
          <w:sz w:val="22"/>
        </w:rPr>
        <w:t>All fund contracts deploy through factory pattern using CREATE2 deterministic addressing, ensuring atomic deployment with no partially configured funds.</w:t>
      </w:r>
    </w:p>
    <w:p>
      <w:r>
        <w:br w:type="page"/>
      </w:r>
    </w:p>
    <w:p>
      <w:pPr>
        <w:pStyle w:val="H2"/>
        <w:numPr>
          <w:ilvl w:val="1"/>
          <w:numId w:val="1"/>
        </w:numPr>
      </w:pPr>
      <w:r>
        <w:t>Identity, Compliance, and MiFID II Controls</w:t>
      </w:r>
    </w:p>
    <w:p>
      <w:pPr>
        <w:pStyle w:val="H3"/>
        <w:numPr>
          <w:ilvl w:val="2"/>
          <w:numId w:val="1"/>
        </w:numPr>
      </w:pPr>
      <w:r>
        <w:t>Identity Management</w:t>
      </w:r>
    </w:p>
    <w:p>
      <w:r>
        <w:rPr>
          <w:rFonts w:ascii="Figtree" w:hAnsi="Figtree"/>
          <w:b w:val="0"/>
          <w:i w:val="0"/>
          <w:sz w:val="22"/>
        </w:rPr>
        <w:t>DALP implements identity through OnchainID (ERC-734/735):</w:t>
      </w:r>
    </w:p>
    <w:p>
      <w:pPr>
        <w:pStyle w:val="ListParagraph"/>
        <w:numPr>
          <w:ilvl w:val="0"/>
          <w:numId w:val="4"/>
        </w:numPr>
      </w:pPr>
      <w:r>
        <w:rPr>
          <w:rFonts w:ascii="Figtree" w:hAnsi="Figtree"/>
          <w:b w:val="0"/>
          <w:i w:val="0"/>
          <w:sz w:val="22"/>
        </w:rPr>
        <w:t>Investor identity registration</w:t>
      </w:r>
    </w:p>
    <w:p>
      <w:pPr>
        <w:pStyle w:val="ListParagraph"/>
        <w:numPr>
          <w:ilvl w:val="0"/>
          <w:numId w:val="4"/>
        </w:numPr>
      </w:pPr>
      <w:r>
        <w:rPr>
          <w:rFonts w:ascii="Figtree" w:hAnsi="Figtree"/>
          <w:b w:val="0"/>
          <w:i w:val="0"/>
          <w:sz w:val="22"/>
        </w:rPr>
        <w:t>Claim structure (topic, issuer, signature, data)</w:t>
      </w:r>
    </w:p>
    <w:p>
      <w:pPr>
        <w:pStyle w:val="ListParagraph"/>
        <w:numPr>
          <w:ilvl w:val="0"/>
          <w:numId w:val="4"/>
        </w:numPr>
      </w:pPr>
      <w:r>
        <w:rPr>
          <w:rFonts w:ascii="Figtree" w:hAnsi="Figtree"/>
          <w:b w:val="0"/>
          <w:i w:val="0"/>
          <w:sz w:val="22"/>
        </w:rPr>
        <w:t>Trusted issuer model for KYC/AML verification</w:t>
      </w:r>
    </w:p>
    <w:p>
      <w:pPr>
        <w:pStyle w:val="H3"/>
        <w:numPr>
          <w:ilvl w:val="2"/>
          <w:numId w:val="1"/>
        </w:numPr>
      </w:pPr>
      <w:r>
        <w:t>Compliance Module System</w:t>
      </w:r>
    </w:p>
    <w:p>
      <w:r>
        <w:rPr>
          <w:rFonts w:ascii="Figtree" w:hAnsi="Figtree"/>
          <w:b w:val="0"/>
          <w:i w:val="0"/>
          <w:sz w:val="22"/>
        </w:rPr>
        <w:t>DALP provides 18 compliance module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5"/>
        <w:gridCol w:w="58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r>
      <w:tr>
        <w:trPr>
          <w:trHeight w:val="425" w:hRule="atLeast"/>
        </w:trPr>
        <w:tc>
          <w:tcPr>
            <w:tcW w:type="dxa" w:w="4873"/>
            <w:vAlign w:val="center"/>
          </w:tcPr>
          <w:p>
            <w:pPr>
              <w:spacing w:line="276" w:lineRule="auto" w:before="0" w:after="0"/>
            </w:pPr>
            <w:r/>
            <w:r>
              <w:rPr>
                <w:rFonts w:ascii="Figtree" w:hAnsi="Figtree"/>
                <w:b w:val="0"/>
                <w:i w:val="0"/>
                <w:sz w:val="20"/>
              </w:rPr>
              <w:t>Identity Verification</w:t>
            </w:r>
          </w:p>
        </w:tc>
        <w:tc>
          <w:tcPr>
            <w:tcW w:type="dxa" w:w="4873"/>
            <w:vAlign w:val="center"/>
          </w:tcPr>
          <w:p>
            <w:pPr>
              <w:spacing w:line="276" w:lineRule="auto" w:before="0" w:after="0"/>
            </w:pPr>
            <w:r/>
            <w:r>
              <w:rPr>
                <w:rFonts w:ascii="Figtree" w:hAnsi="Figtree"/>
                <w:b w:val="0"/>
                <w:i w:val="0"/>
                <w:sz w:val="20"/>
              </w:rPr>
              <w:t>Requires verified OnchainID</w:t>
            </w:r>
          </w:p>
        </w:tc>
      </w:tr>
      <w:tr>
        <w:trPr>
          <w:trHeight w:val="425" w:hRule="atLeast"/>
        </w:trPr>
        <w:tc>
          <w:tcPr>
            <w:tcW w:type="dxa" w:w="4873"/>
            <w:vAlign w:val="center"/>
          </w:tcPr>
          <w:p>
            <w:pPr>
              <w:spacing w:line="276" w:lineRule="auto" w:before="0" w:after="0"/>
            </w:pPr>
            <w:r/>
            <w:r>
              <w:rPr>
                <w:rFonts w:ascii="Figtree" w:hAnsi="Figtree"/>
                <w:b w:val="0"/>
                <w:i w:val="0"/>
                <w:sz w:val="20"/>
              </w:rPr>
              <w:t>Country Allow List</w:t>
            </w:r>
          </w:p>
        </w:tc>
        <w:tc>
          <w:tcPr>
            <w:tcW w:type="dxa" w:w="4873"/>
            <w:vAlign w:val="center"/>
          </w:tcPr>
          <w:p>
            <w:pPr>
              <w:spacing w:line="276" w:lineRule="auto" w:before="0" w:after="0"/>
            </w:pPr>
            <w:r/>
            <w:r>
              <w:rPr>
                <w:rFonts w:ascii="Figtree" w:hAnsi="Figtree"/>
                <w:b w:val="0"/>
                <w:i w:val="0"/>
                <w:sz w:val="20"/>
              </w:rPr>
              <w:t>Permits transfers to approved jurisdictions</w:t>
            </w:r>
          </w:p>
        </w:tc>
      </w:tr>
      <w:tr>
        <w:trPr>
          <w:trHeight w:val="425" w:hRule="atLeast"/>
        </w:trPr>
        <w:tc>
          <w:tcPr>
            <w:tcW w:type="dxa" w:w="4873"/>
            <w:vAlign w:val="center"/>
          </w:tcPr>
          <w:p>
            <w:pPr>
              <w:spacing w:line="276" w:lineRule="auto" w:before="0" w:after="0"/>
            </w:pPr>
            <w:r/>
            <w:r>
              <w:rPr>
                <w:rFonts w:ascii="Figtree" w:hAnsi="Figtree"/>
                <w:b w:val="0"/>
                <w:i w:val="0"/>
                <w:sz w:val="20"/>
              </w:rPr>
              <w:t>Country Block List</w:t>
            </w:r>
          </w:p>
        </w:tc>
        <w:tc>
          <w:tcPr>
            <w:tcW w:type="dxa" w:w="4873"/>
            <w:vAlign w:val="center"/>
          </w:tcPr>
          <w:p>
            <w:pPr>
              <w:spacing w:line="276" w:lineRule="auto" w:before="0" w:after="0"/>
            </w:pPr>
            <w:r/>
            <w:r>
              <w:rPr>
                <w:rFonts w:ascii="Figtree" w:hAnsi="Figtree"/>
                <w:b w:val="0"/>
                <w:i w:val="0"/>
                <w:sz w:val="20"/>
              </w:rPr>
              <w:t>Blocks transfers to restricted jurisdictions</w:t>
            </w:r>
          </w:p>
        </w:tc>
      </w:tr>
      <w:tr>
        <w:trPr>
          <w:trHeight w:val="425" w:hRule="atLeast"/>
        </w:trPr>
        <w:tc>
          <w:tcPr>
            <w:tcW w:type="dxa" w:w="4873"/>
            <w:vAlign w:val="center"/>
          </w:tcPr>
          <w:p>
            <w:pPr>
              <w:spacing w:line="276" w:lineRule="auto" w:before="0" w:after="0"/>
            </w:pPr>
            <w:r/>
            <w:r>
              <w:rPr>
                <w:rFonts w:ascii="Figtree" w:hAnsi="Figtree"/>
                <w:b w:val="0"/>
                <w:i w:val="0"/>
                <w:sz w:val="20"/>
              </w:rPr>
              <w:t>Investor Count Limit</w:t>
            </w:r>
          </w:p>
        </w:tc>
        <w:tc>
          <w:tcPr>
            <w:tcW w:type="dxa" w:w="4873"/>
            <w:vAlign w:val="center"/>
          </w:tcPr>
          <w:p>
            <w:pPr>
              <w:spacing w:line="276" w:lineRule="auto" w:before="0" w:after="0"/>
            </w:pPr>
            <w:r/>
            <w:r>
              <w:rPr>
                <w:rFonts w:ascii="Figtree" w:hAnsi="Figtree"/>
                <w:b w:val="0"/>
                <w:i w:val="0"/>
                <w:sz w:val="20"/>
              </w:rPr>
              <w:t>Caps unique holder count</w:t>
            </w:r>
          </w:p>
        </w:tc>
      </w:tr>
      <w:tr>
        <w:trPr>
          <w:trHeight w:val="425" w:hRule="atLeast"/>
        </w:trPr>
        <w:tc>
          <w:tcPr>
            <w:tcW w:type="dxa" w:w="4873"/>
            <w:vAlign w:val="center"/>
          </w:tcPr>
          <w:p>
            <w:pPr>
              <w:spacing w:line="276" w:lineRule="auto" w:before="0" w:after="0"/>
            </w:pPr>
            <w:r/>
            <w:r>
              <w:rPr>
                <w:rFonts w:ascii="Figtree" w:hAnsi="Figtree"/>
                <w:b w:val="0"/>
                <w:i w:val="0"/>
                <w:sz w:val="20"/>
              </w:rPr>
              <w:t>Transfer Approval</w:t>
            </w:r>
          </w:p>
        </w:tc>
        <w:tc>
          <w:tcPr>
            <w:tcW w:type="dxa" w:w="4873"/>
            <w:vAlign w:val="center"/>
          </w:tcPr>
          <w:p>
            <w:pPr>
              <w:spacing w:line="276" w:lineRule="auto" w:before="0" w:after="0"/>
            </w:pPr>
            <w:r/>
            <w:r>
              <w:rPr>
                <w:rFonts w:ascii="Figtree" w:hAnsi="Figtree"/>
                <w:b w:val="0"/>
                <w:i w:val="0"/>
                <w:sz w:val="20"/>
              </w:rPr>
              <w:t>Requires manual approval per transfer</w:t>
            </w:r>
          </w:p>
        </w:tc>
      </w:tr>
    </w:tbl>
    <w:p>
      <w:pPr>
        <w:spacing w:before="0" w:after="0" w:line="120" w:lineRule="exact"/>
      </w:pPr>
    </w:p>
    <w:p>
      <w:pPr>
        <w:pStyle w:val="H3"/>
        <w:numPr>
          <w:ilvl w:val="2"/>
          <w:numId w:val="1"/>
        </w:numPr>
      </w:pPr>
      <w:r>
        <w:t>MiFID II Alignment</w:t>
      </w:r>
    </w:p>
    <w:p>
      <w:r>
        <w:rPr>
          <w:rFonts w:ascii="Figtree" w:hAnsi="Figtree"/>
          <w:b/>
          <w:i w:val="0"/>
          <w:sz w:val="22"/>
        </w:rPr>
        <w:t>Investor Eligibility</w:t>
      </w:r>
      <w:r>
        <w:rPr>
          <w:rFonts w:ascii="Figtree" w:hAnsi="Figtree"/>
          <w:b w:val="0"/>
          <w:i w:val="0"/>
          <w:sz w:val="22"/>
        </w:rPr>
        <w:t>: Compliance modules enforce MiFID II investor categories (retail, professional, eligible counterparty).</w:t>
      </w:r>
    </w:p>
    <w:p>
      <w:r>
        <w:rPr>
          <w:rFonts w:ascii="Figtree" w:hAnsi="Figtree"/>
          <w:b/>
          <w:i w:val="0"/>
          <w:sz w:val="22"/>
        </w:rPr>
        <w:t>Target Market</w:t>
      </w:r>
      <w:r>
        <w:rPr>
          <w:rFonts w:ascii="Figtree" w:hAnsi="Figtree"/>
          <w:b w:val="0"/>
          <w:i w:val="0"/>
          <w:sz w:val="22"/>
        </w:rPr>
        <w:t>: Module configurations support target market assessment requirements.</w:t>
      </w:r>
    </w:p>
    <w:p>
      <w:r>
        <w:rPr>
          <w:rFonts w:ascii="Figtree" w:hAnsi="Figtree"/>
          <w:b/>
          <w:i w:val="0"/>
          <w:sz w:val="22"/>
        </w:rPr>
        <w:t>Reporting</w:t>
      </w:r>
      <w:r>
        <w:rPr>
          <w:rFonts w:ascii="Figtree" w:hAnsi="Figtree"/>
          <w:b w:val="0"/>
          <w:i w:val="0"/>
          <w:sz w:val="22"/>
        </w:rPr>
        <w:t>: Transaction data exports support MiFID II transaction reporting.</w:t>
      </w:r>
    </w:p>
    <w:p>
      <w:r>
        <w:br w:type="page"/>
      </w:r>
    </w:p>
    <w:p>
      <w:pPr>
        <w:pStyle w:val="H2"/>
        <w:numPr>
          <w:ilvl w:val="1"/>
          <w:numId w:val="1"/>
        </w:numPr>
      </w:pPr>
      <w:r>
        <w:t>Fund Servicing and Distribution</w:t>
      </w:r>
    </w:p>
    <w:p>
      <w:pPr>
        <w:pStyle w:val="H3"/>
        <w:numPr>
          <w:ilvl w:val="2"/>
          <w:numId w:val="1"/>
        </w:numPr>
      </w:pPr>
      <w:r>
        <w:t>Fund Distribution</w:t>
      </w:r>
    </w:p>
    <w:p>
      <w:r>
        <w:rPr>
          <w:rFonts w:ascii="Figtree" w:hAnsi="Figtree"/>
          <w:b w:val="0"/>
          <w:i w:val="0"/>
          <w:sz w:val="22"/>
        </w:rPr>
        <w:t>DALP supports multiple distribution mechanisms:</w:t>
      </w:r>
    </w:p>
    <w:p>
      <w:pPr>
        <w:pStyle w:val="ListParagraph"/>
        <w:numPr>
          <w:ilvl w:val="0"/>
          <w:numId w:val="4"/>
        </w:numPr>
      </w:pPr>
      <w:r>
        <w:rPr>
          <w:rFonts w:ascii="Figtree" w:hAnsi="Figtree"/>
          <w:b/>
          <w:i w:val="0"/>
          <w:sz w:val="22"/>
        </w:rPr>
        <w:t>Primary issuance</w:t>
      </w:r>
      <w:r>
        <w:rPr>
          <w:rFonts w:ascii="Figtree" w:hAnsi="Figtree"/>
          <w:b w:val="0"/>
          <w:i w:val="0"/>
          <w:sz w:val="22"/>
        </w:rPr>
        <w:t>: Direct fund unit creation</w:t>
      </w:r>
    </w:p>
    <w:p>
      <w:pPr>
        <w:pStyle w:val="ListParagraph"/>
        <w:numPr>
          <w:ilvl w:val="0"/>
          <w:numId w:val="4"/>
        </w:numPr>
      </w:pPr>
      <w:r>
        <w:rPr>
          <w:rFonts w:ascii="Figtree" w:hAnsi="Figtree"/>
          <w:b/>
          <w:i w:val="0"/>
          <w:sz w:val="22"/>
        </w:rPr>
        <w:t>Secondary trading</w:t>
      </w:r>
      <w:r>
        <w:rPr>
          <w:rFonts w:ascii="Figtree" w:hAnsi="Figtree"/>
          <w:b w:val="0"/>
          <w:i w:val="0"/>
          <w:sz w:val="22"/>
        </w:rPr>
        <w:t>: Peer-to-peer transfer with compliance checks</w:t>
      </w:r>
    </w:p>
    <w:p>
      <w:pPr>
        <w:pStyle w:val="ListParagraph"/>
        <w:numPr>
          <w:ilvl w:val="0"/>
          <w:numId w:val="4"/>
        </w:numPr>
      </w:pPr>
      <w:r>
        <w:rPr>
          <w:rFonts w:ascii="Figtree" w:hAnsi="Figtree"/>
          <w:b/>
          <w:i w:val="0"/>
          <w:sz w:val="22"/>
        </w:rPr>
        <w:t>Subscription/Redemption</w:t>
      </w:r>
      <w:r>
        <w:rPr>
          <w:rFonts w:ascii="Figtree" w:hAnsi="Figtree"/>
          <w:b w:val="0"/>
          <w:i w:val="0"/>
          <w:sz w:val="22"/>
        </w:rPr>
        <w:t>: Atomic creation/redemption with NAV calculation</w:t>
      </w:r>
    </w:p>
    <w:p>
      <w:pPr>
        <w:pStyle w:val="H3"/>
        <w:numPr>
          <w:ilvl w:val="2"/>
          <w:numId w:val="1"/>
        </w:numPr>
      </w:pPr>
      <w:r>
        <w:t>Dividend Processing</w:t>
      </w:r>
    </w:p>
    <w:p>
      <w:r>
        <w:rPr>
          <w:rFonts w:ascii="Figtree" w:hAnsi="Figtree"/>
          <w:b w:val="0"/>
          <w:i w:val="0"/>
          <w:sz w:val="22"/>
        </w:rPr>
        <w:t>DALP handles dividend distribution through:</w:t>
      </w:r>
    </w:p>
    <w:p>
      <w:pPr>
        <w:pStyle w:val="ListParagraph"/>
        <w:numPr>
          <w:ilvl w:val="0"/>
          <w:numId w:val="4"/>
        </w:numPr>
      </w:pPr>
      <w:r>
        <w:rPr>
          <w:rFonts w:ascii="Figtree" w:hAnsi="Figtree"/>
          <w:b/>
          <w:i w:val="0"/>
          <w:sz w:val="22"/>
        </w:rPr>
        <w:t>Pull-based distribution</w:t>
      </w:r>
      <w:r>
        <w:rPr>
          <w:rFonts w:ascii="Figtree" w:hAnsi="Figtree"/>
          <w:b w:val="0"/>
          <w:i w:val="0"/>
          <w:sz w:val="22"/>
        </w:rPr>
        <w:t>: Investors claim dividends rather than push</w:t>
      </w:r>
    </w:p>
    <w:p>
      <w:pPr>
        <w:pStyle w:val="ListParagraph"/>
        <w:numPr>
          <w:ilvl w:val="0"/>
          <w:numId w:val="4"/>
        </w:numPr>
      </w:pPr>
      <w:r>
        <w:rPr>
          <w:rFonts w:ascii="Figtree" w:hAnsi="Figtree"/>
          <w:b/>
          <w:i w:val="0"/>
          <w:sz w:val="22"/>
        </w:rPr>
        <w:t>Snapshot-based allocation</w:t>
      </w:r>
      <w:r>
        <w:rPr>
          <w:rFonts w:ascii="Figtree" w:hAnsi="Figtree"/>
          <w:b w:val="0"/>
          <w:i w:val="0"/>
          <w:sz w:val="22"/>
        </w:rPr>
        <w:t>: Balance-based pro-rata calculation</w:t>
      </w:r>
    </w:p>
    <w:p>
      <w:pPr>
        <w:pStyle w:val="ListParagraph"/>
        <w:numPr>
          <w:ilvl w:val="0"/>
          <w:numId w:val="4"/>
        </w:numPr>
      </w:pPr>
      <w:r>
        <w:rPr>
          <w:rFonts w:ascii="Figtree" w:hAnsi="Figtree"/>
          <w:b/>
          <w:i w:val="0"/>
          <w:sz w:val="22"/>
        </w:rPr>
        <w:t>Multi-currency support</w:t>
      </w:r>
      <w:r>
        <w:rPr>
          <w:rFonts w:ascii="Figtree" w:hAnsi="Figtree"/>
          <w:b w:val="0"/>
          <w:i w:val="0"/>
          <w:sz w:val="22"/>
        </w:rPr>
        <w:t>: Distribution in multiple currencies</w:t>
      </w:r>
    </w:p>
    <w:p>
      <w:pPr>
        <w:pStyle w:val="H3"/>
        <w:numPr>
          <w:ilvl w:val="2"/>
          <w:numId w:val="1"/>
        </w:numPr>
      </w:pPr>
      <w:r>
        <w:t>Settlement</w:t>
      </w:r>
    </w:p>
    <w:p>
      <w:r>
        <w:rPr>
          <w:rFonts w:ascii="Figtree" w:hAnsi="Figtree"/>
          <w:b/>
          <w:i w:val="0"/>
          <w:sz w:val="22"/>
        </w:rPr>
        <w:t>DvP Settlement</w:t>
      </w:r>
      <w:r>
        <w:rPr>
          <w:rFonts w:ascii="Figtree" w:hAnsi="Figtree"/>
          <w:b w:val="0"/>
          <w:i w:val="0"/>
          <w:sz w:val="22"/>
        </w:rPr>
        <w:t>: Atomic settlement for fund purchases with cash equivalent.</w:t>
      </w:r>
    </w:p>
    <w:p>
      <w:r>
        <w:rPr>
          <w:rFonts w:ascii="Figtree" w:hAnsi="Figtree"/>
          <w:b/>
          <w:i w:val="0"/>
          <w:sz w:val="22"/>
        </w:rPr>
        <w:t>CSD Integration</w:t>
      </w:r>
      <w:r>
        <w:rPr>
          <w:rFonts w:ascii="Figtree" w:hAnsi="Figtree"/>
          <w:b w:val="0"/>
          <w:i w:val="0"/>
          <w:sz w:val="22"/>
        </w:rPr>
        <w:t>: Native integration with Nordic securities depositories.</w:t>
      </w:r>
    </w:p>
    <w:p>
      <w:pPr>
        <w:jc w:val="center"/>
      </w:pPr>
      <w:r>
        <w:drawing>
          <wp:inline xmlns:a="http://schemas.openxmlformats.org/drawingml/2006/main" xmlns:pic="http://schemas.openxmlformats.org/drawingml/2006/picture">
            <wp:extent cx="5486400" cy="230932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309327"/>
                    </a:xfrm>
                    <a:prstGeom prst="rect"/>
                  </pic:spPr>
                </pic:pic>
              </a:graphicData>
            </a:graphic>
          </wp:inline>
        </w:drawing>
      </w:r>
    </w:p>
    <w:p>
      <w:r>
        <w:br w:type="page"/>
      </w:r>
    </w:p>
    <w:p>
      <w:pPr>
        <w:pStyle w:val="H2"/>
        <w:numPr>
          <w:ilvl w:val="1"/>
          <w:numId w:val="1"/>
        </w:numPr>
      </w:pPr>
      <w:r>
        <w:t>Security, Resilience, and Operational Assurance</w:t>
      </w:r>
    </w:p>
    <w:p>
      <w:pPr>
        <w:pStyle w:val="H3"/>
        <w:numPr>
          <w:ilvl w:val="2"/>
          <w:numId w:val="1"/>
        </w:numPr>
      </w:pPr>
      <w:r>
        <w:t>Security Architecture</w:t>
      </w:r>
    </w:p>
    <w:p>
      <w:r>
        <w:rPr>
          <w:rFonts w:ascii="Figtree" w:hAnsi="Figtree"/>
          <w:b w:val="0"/>
          <w:i w:val="0"/>
          <w:sz w:val="22"/>
        </w:rPr>
        <w:t>DALP implements defense-in-depth: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04"/>
        <w:gridCol w:w="49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Control</w:t>
            </w:r>
          </w:p>
        </w:tc>
      </w:tr>
      <w:tr>
        <w:trPr>
          <w:trHeight w:val="425" w:hRule="atLeast"/>
        </w:trPr>
        <w:tc>
          <w:tcPr>
            <w:tcW w:type="dxa" w:w="4873"/>
            <w:vAlign w:val="center"/>
          </w:tcPr>
          <w:p>
            <w:pPr>
              <w:spacing w:line="276" w:lineRule="auto" w:before="0" w:after="0"/>
            </w:pPr>
            <w:r/>
            <w:r>
              <w:rPr>
                <w:rFonts w:ascii="Figtree" w:hAnsi="Figtree"/>
                <w:b w:val="0"/>
                <w:i w:val="0"/>
                <w:sz w:val="20"/>
              </w:rPr>
              <w:t>Authentication</w:t>
            </w:r>
          </w:p>
        </w:tc>
        <w:tc>
          <w:tcPr>
            <w:tcW w:type="dxa" w:w="4873"/>
            <w:vAlign w:val="center"/>
          </w:tcPr>
          <w:p>
            <w:pPr>
              <w:spacing w:line="276" w:lineRule="auto" w:before="0" w:after="0"/>
            </w:pPr>
            <w:r/>
            <w:r>
              <w:rPr>
                <w:rFonts w:ascii="Figtree" w:hAnsi="Figtree"/>
                <w:b w:val="0"/>
                <w:i w:val="0"/>
                <w:sz w:val="20"/>
              </w:rPr>
              <w:t>Session, API keys, SSO</w:t>
            </w:r>
          </w:p>
        </w:tc>
      </w:tr>
      <w:tr>
        <w:trPr>
          <w:trHeight w:val="425" w:hRule="atLeast"/>
        </w:trPr>
        <w:tc>
          <w:tcPr>
            <w:tcW w:type="dxa" w:w="4873"/>
            <w:vAlign w:val="center"/>
          </w:tcPr>
          <w:p>
            <w:pPr>
              <w:spacing w:line="276" w:lineRule="auto" w:before="0" w:after="0"/>
            </w:pPr>
            <w:r/>
            <w:r>
              <w:rPr>
                <w:rFonts w:ascii="Figtree" w:hAnsi="Figtree"/>
                <w:b w:val="0"/>
                <w:i w:val="0"/>
                <w:sz w:val="20"/>
              </w:rPr>
              <w:t>Authorization</w:t>
            </w:r>
          </w:p>
        </w:tc>
        <w:tc>
          <w:tcPr>
            <w:tcW w:type="dxa" w:w="4873"/>
            <w:vAlign w:val="center"/>
          </w:tcPr>
          <w:p>
            <w:pPr>
              <w:spacing w:line="276" w:lineRule="auto" w:before="0" w:after="0"/>
            </w:pPr>
            <w:r/>
            <w:r>
              <w:rPr>
                <w:rFonts w:ascii="Figtree" w:hAnsi="Figtree"/>
                <w:b w:val="0"/>
                <w:i w:val="0"/>
                <w:sz w:val="20"/>
              </w:rPr>
              <w:t>Role-based permissions</w:t>
            </w:r>
          </w:p>
        </w:tc>
      </w:tr>
      <w:tr>
        <w:trPr>
          <w:trHeight w:val="425" w:hRule="atLeast"/>
        </w:trPr>
        <w:tc>
          <w:tcPr>
            <w:tcW w:type="dxa" w:w="4873"/>
            <w:vAlign w:val="center"/>
          </w:tcPr>
          <w:p>
            <w:pPr>
              <w:spacing w:line="276" w:lineRule="auto" w:before="0" w:after="0"/>
            </w:pPr>
            <w:r/>
            <w:r>
              <w:rPr>
                <w:rFonts w:ascii="Figtree" w:hAnsi="Figtree"/>
                <w:b w:val="0"/>
                <w:i w:val="0"/>
                <w:sz w:val="20"/>
              </w:rPr>
              <w:t>Wallet Verification</w:t>
            </w:r>
          </w:p>
        </w:tc>
        <w:tc>
          <w:tcPr>
            <w:tcW w:type="dxa" w:w="4873"/>
            <w:vAlign w:val="center"/>
          </w:tcPr>
          <w:p>
            <w:pPr>
              <w:spacing w:line="276" w:lineRule="auto" w:before="0" w:after="0"/>
            </w:pPr>
            <w:r/>
            <w:r>
              <w:rPr>
                <w:rFonts w:ascii="Figtree" w:hAnsi="Figtree"/>
                <w:b w:val="0"/>
                <w:i w:val="0"/>
                <w:sz w:val="20"/>
              </w:rPr>
              <w:t>PIN, TOTP, backup codes</w:t>
            </w:r>
          </w:p>
        </w:tc>
      </w:tr>
      <w:tr>
        <w:trPr>
          <w:trHeight w:val="425" w:hRule="atLeast"/>
        </w:trPr>
        <w:tc>
          <w:tcPr>
            <w:tcW w:type="dxa" w:w="4873"/>
            <w:vAlign w:val="center"/>
          </w:tcPr>
          <w:p>
            <w:pPr>
              <w:spacing w:line="276" w:lineRule="auto" w:before="0" w:after="0"/>
            </w:pPr>
            <w:r/>
            <w:r>
              <w:rPr>
                <w:rFonts w:ascii="Figtree" w:hAnsi="Figtree"/>
                <w:b w:val="0"/>
                <w:i w:val="0"/>
                <w:sz w:val="20"/>
              </w:rPr>
              <w:t>On-Chain Compliance</w:t>
            </w:r>
          </w:p>
        </w:tc>
        <w:tc>
          <w:tcPr>
            <w:tcW w:type="dxa" w:w="4873"/>
            <w:vAlign w:val="center"/>
          </w:tcPr>
          <w:p>
            <w:pPr>
              <w:spacing w:line="276" w:lineRule="auto" w:before="0" w:after="0"/>
            </w:pPr>
            <w:r/>
            <w:r>
              <w:rPr>
                <w:rFonts w:ascii="Figtree" w:hAnsi="Figtree"/>
                <w:b w:val="0"/>
                <w:i w:val="0"/>
                <w:sz w:val="20"/>
              </w:rPr>
              <w:t>Modules, identity</w:t>
            </w:r>
          </w:p>
        </w:tc>
      </w:tr>
      <w:tr>
        <w:trPr>
          <w:trHeight w:val="425" w:hRule="atLeast"/>
        </w:trPr>
        <w:tc>
          <w:tcPr>
            <w:tcW w:type="dxa" w:w="4873"/>
            <w:vAlign w:val="center"/>
          </w:tcPr>
          <w:p>
            <w:pPr>
              <w:spacing w:line="276" w:lineRule="auto" w:before="0" w:after="0"/>
            </w:pPr>
            <w:r/>
            <w:r>
              <w:rPr>
                <w:rFonts w:ascii="Figtree" w:hAnsi="Figtree"/>
                <w:b w:val="0"/>
                <w:i w:val="0"/>
                <w:sz w:val="20"/>
              </w:rPr>
              <w:t>Custody Policy</w:t>
            </w:r>
          </w:p>
        </w:tc>
        <w:tc>
          <w:tcPr>
            <w:tcW w:type="dxa" w:w="4873"/>
            <w:vAlign w:val="center"/>
          </w:tcPr>
          <w:p>
            <w:pPr>
              <w:spacing w:line="276" w:lineRule="auto" w:before="0" w:after="0"/>
            </w:pPr>
            <w:r/>
            <w:r>
              <w:rPr>
                <w:rFonts w:ascii="Figtree" w:hAnsi="Figtree"/>
                <w:b w:val="0"/>
                <w:i w:val="0"/>
                <w:sz w:val="20"/>
              </w:rPr>
              <w:t>DFNS, Fireblocks</w:t>
            </w:r>
          </w:p>
        </w:tc>
      </w:tr>
    </w:tbl>
    <w:p>
      <w:pPr>
        <w:spacing w:before="0" w:after="0" w:line="120" w:lineRule="exact"/>
      </w:pPr>
    </w:p>
    <w:p>
      <w:pPr>
        <w:pStyle w:val="H3"/>
        <w:numPr>
          <w:ilvl w:val="2"/>
          <w:numId w:val="1"/>
        </w:numPr>
      </w:pPr>
      <w:r>
        <w:t>Certifications</w:t>
      </w:r>
    </w:p>
    <w:p>
      <w:pPr>
        <w:pStyle w:val="ListParagraph"/>
        <w:numPr>
          <w:ilvl w:val="0"/>
          <w:numId w:val="4"/>
        </w:numPr>
      </w:pPr>
      <w:r>
        <w:rPr>
          <w:rFonts w:ascii="Figtree" w:hAnsi="Figtree"/>
          <w:b w:val="0"/>
          <w:i w:val="0"/>
          <w:sz w:val="22"/>
        </w:rPr>
        <w:t>ISO 27001 certification</w:t>
      </w:r>
    </w:p>
    <w:p>
      <w:pPr>
        <w:pStyle w:val="ListParagraph"/>
        <w:numPr>
          <w:ilvl w:val="0"/>
          <w:numId w:val="4"/>
        </w:numPr>
      </w:pPr>
      <w:r>
        <w:rPr>
          <w:rFonts w:ascii="Figtree" w:hAnsi="Figtree"/>
          <w:b w:val="0"/>
          <w:i w:val="0"/>
          <w:sz w:val="22"/>
        </w:rPr>
        <w:t>SOC 2 Type II certification</w:t>
      </w:r>
    </w:p>
    <w:p>
      <w:pPr>
        <w:pStyle w:val="H3"/>
        <w:numPr>
          <w:ilvl w:val="2"/>
          <w:numId w:val="1"/>
        </w:numPr>
      </w:pPr>
      <w:r>
        <w:t>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4"/>
        <w:gridCol w:w="2387"/>
        <w:gridCol w:w="38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Cloud-native</w:t>
            </w:r>
          </w:p>
        </w:tc>
        <w:tc>
          <w:tcPr>
            <w:tcW w:type="dxa" w:w="3249"/>
            <w:vAlign w:val="center"/>
          </w:tcPr>
          <w:p>
            <w:pPr>
              <w:spacing w:line="276" w:lineRule="auto" w:before="0" w:after="0"/>
            </w:pPr>
            <w:r/>
            <w:r>
              <w:rPr>
                <w:rFonts w:ascii="Figtree" w:hAnsi="Figtree"/>
                <w:b w:val="0"/>
                <w:i w:val="0"/>
                <w:sz w:val="20"/>
              </w:rPr>
              <w:t>2-15 min</w:t>
            </w:r>
          </w:p>
        </w:tc>
        <w:tc>
          <w:tcPr>
            <w:tcW w:type="dxa" w:w="3249"/>
            <w:vAlign w:val="center"/>
          </w:tcPr>
          <w:p>
            <w:pPr>
              <w:spacing w:line="276" w:lineRule="auto" w:before="0" w:after="0"/>
            </w:pPr>
            <w:r/>
            <w:r>
              <w:rPr>
                <w:rFonts w:ascii="Figtree" w:hAnsi="Figtree"/>
                <w:b w:val="0"/>
                <w:i w:val="0"/>
                <w:sz w:val="20"/>
              </w:rPr>
              <w:t>Seconds to 1 min</w:t>
            </w:r>
          </w:p>
        </w:tc>
      </w:tr>
      <w:tr>
        <w:trPr>
          <w:trHeight w:val="425" w:hRule="atLeast"/>
        </w:trPr>
        <w:tc>
          <w:tcPr>
            <w:tcW w:type="dxa" w:w="3249"/>
            <w:vAlign w:val="center"/>
          </w:tcPr>
          <w:p>
            <w:pPr>
              <w:spacing w:line="276" w:lineRule="auto" w:before="0" w:after="0"/>
            </w:pPr>
            <w:r/>
            <w:r>
              <w:rPr>
                <w:rFonts w:ascii="Figtree" w:hAnsi="Figtree"/>
                <w:b w:val="0"/>
                <w:i w:val="0"/>
                <w:sz w:val="20"/>
              </w:rPr>
              <w:t>Hot-warm</w:t>
            </w:r>
          </w:p>
        </w:tc>
        <w:tc>
          <w:tcPr>
            <w:tcW w:type="dxa" w:w="3249"/>
            <w:vAlign w:val="center"/>
          </w:tcPr>
          <w:p>
            <w:pPr>
              <w:spacing w:line="276" w:lineRule="auto" w:before="0" w:after="0"/>
            </w:pPr>
            <w:r/>
            <w:r>
              <w:rPr>
                <w:rFonts w:ascii="Figtree" w:hAnsi="Figtree"/>
                <w:b w:val="0"/>
                <w:i w:val="0"/>
                <w:sz w:val="20"/>
              </w:rPr>
              <w:t>30-180 min</w:t>
            </w:r>
          </w:p>
        </w:tc>
        <w:tc>
          <w:tcPr>
            <w:tcW w:type="dxa" w:w="3249"/>
            <w:vAlign w:val="center"/>
          </w:tcPr>
          <w:p>
            <w:pPr>
              <w:spacing w:line="276" w:lineRule="auto" w:before="0" w:after="0"/>
            </w:pPr>
            <w:r/>
            <w:r>
              <w:rPr>
                <w:rFonts w:ascii="Figtree" w:hAnsi="Figtree"/>
                <w:b w:val="0"/>
                <w:i w:val="0"/>
                <w:sz w:val="20"/>
              </w:rPr>
              <w:t>5-60 min</w:t>
            </w:r>
          </w:p>
        </w:tc>
      </w:tr>
    </w:tbl>
    <w:p>
      <w:pPr>
        <w:spacing w:before="0" w:after="0" w:line="120" w:lineRule="exact"/>
      </w:pPr>
    </w:p>
    <w:p>
      <w:r>
        <w:br w:type="page"/>
      </w:r>
    </w:p>
    <w:p>
      <w:pPr>
        <w:pStyle w:val="H2"/>
        <w:numPr>
          <w:ilvl w:val="1"/>
          <w:numId w:val="1"/>
        </w:numPr>
      </w:pPr>
      <w:r>
        <w:t>Implementation Approach and Delivery Phases</w:t>
      </w:r>
    </w:p>
    <w:p>
      <w:pPr>
        <w:pStyle w:val="H3"/>
        <w:numPr>
          <w:ilvl w:val="2"/>
          <w:numId w:val="1"/>
        </w:numPr>
      </w:pPr>
      <w:r>
        <w:t>Implementation Timeline</w:t>
      </w:r>
    </w:p>
    <w:p>
      <w:r>
        <w:rPr>
          <w:rFonts w:ascii="Figtree" w:hAnsi="Figtree"/>
          <w:b w:val="0"/>
          <w:i w:val="0"/>
          <w:sz w:val="22"/>
        </w:rPr>
        <w:t>19-week structured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88"/>
        <w:gridCol w:w="1344"/>
        <w:gridCol w:w="504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Requirements, architecture</w:t>
            </w:r>
          </w:p>
        </w:tc>
      </w:tr>
      <w:tr>
        <w:trPr>
          <w:trHeight w:val="425" w:hRule="atLeast"/>
        </w:trPr>
        <w:tc>
          <w:tcPr>
            <w:tcW w:type="dxa" w:w="3249"/>
            <w:vAlign w:val="center"/>
          </w:tcPr>
          <w:p>
            <w:pPr>
              <w:spacing w:line="276" w:lineRule="auto" w:before="0" w:after="0"/>
            </w:pPr>
            <w:r/>
            <w:r>
              <w:rPr>
                <w:rFonts w:ascii="Figtree" w:hAnsi="Figtree"/>
                <w:b w:val="0"/>
                <w:i w:val="0"/>
                <w:sz w:val="20"/>
              </w:rPr>
              <w:t>2. Foundation</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Environment, network setup</w:t>
            </w:r>
          </w:p>
        </w:tc>
      </w:tr>
      <w:tr>
        <w:trPr>
          <w:trHeight w:val="425" w:hRule="atLeast"/>
        </w:trPr>
        <w:tc>
          <w:tcPr>
            <w:tcW w:type="dxa" w:w="3249"/>
            <w:vAlign w:val="center"/>
          </w:tcPr>
          <w:p>
            <w:pPr>
              <w:spacing w:line="276" w:lineRule="auto" w:before="0" w:after="0"/>
            </w:pPr>
            <w:r/>
            <w:r>
              <w:rPr>
                <w:rFonts w:ascii="Figtree" w:hAnsi="Figtree"/>
                <w:b w:val="0"/>
                <w:i w:val="0"/>
                <w:sz w:val="20"/>
              </w:rPr>
              <w:t>3. Configuration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Fund configuration, compliance</w:t>
            </w:r>
          </w:p>
        </w:tc>
      </w:tr>
      <w:tr>
        <w:trPr>
          <w:trHeight w:val="425" w:hRule="atLeast"/>
        </w:trPr>
        <w:tc>
          <w:tcPr>
            <w:tcW w:type="dxa" w:w="3249"/>
            <w:vAlign w:val="center"/>
          </w:tcPr>
          <w:p>
            <w:pPr>
              <w:spacing w:line="276" w:lineRule="auto" w:before="0" w:after="0"/>
            </w:pPr>
            <w:r/>
            <w:r>
              <w:rPr>
                <w:rFonts w:ascii="Figtree" w:hAnsi="Figtree"/>
                <w:b w:val="0"/>
                <w:i w:val="0"/>
                <w:sz w:val="20"/>
              </w:rPr>
              <w:t>4. Integration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Testing, UAT</w:t>
            </w:r>
          </w:p>
        </w:tc>
      </w:tr>
      <w:tr>
        <w:trPr>
          <w:trHeight w:val="425" w:hRule="atLeast"/>
        </w:trPr>
        <w:tc>
          <w:tcPr>
            <w:tcW w:type="dxa" w:w="3249"/>
            <w:vAlign w:val="center"/>
          </w:tcPr>
          <w:p>
            <w:pPr>
              <w:spacing w:line="276" w:lineRule="auto" w:before="0" w:after="0"/>
            </w:pPr>
            <w:r/>
            <w:r>
              <w:rPr>
                <w:rFonts w:ascii="Figtree" w:hAnsi="Figtree"/>
                <w:b w:val="0"/>
                <w:i w:val="0"/>
                <w:sz w:val="20"/>
              </w:rPr>
              <w:t>5. Go-Live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hypercare</w:t>
            </w:r>
          </w:p>
        </w:tc>
      </w:tr>
    </w:tbl>
    <w:p>
      <w:pPr>
        <w:spacing w:before="0" w:after="0" w:line="120" w:lineRule="exact"/>
      </w:pPr>
    </w:p>
    <w:p>
      <w:pPr>
        <w:pStyle w:val="H3"/>
        <w:numPr>
          <w:ilvl w:val="2"/>
          <w:numId w:val="1"/>
        </w:numPr>
      </w:pPr>
      <w:r>
        <w:t>Resource Requirements</w:t>
      </w:r>
    </w:p>
    <w:p>
      <w:r>
        <w:rPr>
          <w:rFonts w:ascii="Figtree" w:hAnsi="Figtree"/>
          <w:b/>
          <w:i w:val="0"/>
          <w:sz w:val="22"/>
        </w:rPr>
        <w:t>SettleMint</w:t>
      </w:r>
      <w:r>
        <w:rPr>
          <w:rFonts w:ascii="Figtree" w:hAnsi="Figtree"/>
          <w:b w:val="0"/>
          <w:i w:val="0"/>
          <w:sz w:val="22"/>
        </w:rPr>
        <w:t>: Delivery Lead, Solution Architect, Platform Engineers, QA Lead</w:t>
      </w:r>
    </w:p>
    <w:p>
      <w:r>
        <w:rPr>
          <w:rFonts w:ascii="Figtree" w:hAnsi="Figtree"/>
          <w:b/>
          <w:i w:val="0"/>
          <w:sz w:val="22"/>
        </w:rPr>
        <w:t>Nordea</w:t>
      </w:r>
      <w:r>
        <w:rPr>
          <w:rFonts w:ascii="Figtree" w:hAnsi="Figtree"/>
          <w:b w:val="0"/>
          <w:i w:val="0"/>
          <w:sz w:val="22"/>
        </w:rPr>
        <w:t>: Project Manager, Technical Lead, DevOps, Compliance/Risk</w:t>
      </w:r>
    </w:p>
    <w:p>
      <w:r>
        <w:br w:type="page"/>
      </w:r>
    </w:p>
    <w:p>
      <w:pPr>
        <w:pStyle w:val="H2"/>
        <w:numPr>
          <w:ilvl w:val="1"/>
          <w:numId w:val="1"/>
        </w:numPr>
      </w:pPr>
      <w:r>
        <w:t>Current Coverage, Dependencies, and Qualified Gaps</w:t>
      </w:r>
    </w:p>
    <w:p>
      <w:pPr>
        <w:pStyle w:val="H3"/>
        <w:numPr>
          <w:ilvl w:val="2"/>
          <w:numId w:val="1"/>
        </w:numPr>
      </w:pPr>
      <w:r>
        <w:t>Platform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45"/>
        <w:gridCol w:w="292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Fund lifecycle</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Identity</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API integration</w:t>
            </w:r>
          </w:p>
        </w:tc>
        <w:tc>
          <w:tcPr>
            <w:tcW w:type="dxa" w:w="4873"/>
            <w:vAlign w:val="center"/>
          </w:tcPr>
          <w:p>
            <w:pPr>
              <w:spacing w:line="276" w:lineRule="auto" w:before="0" w:after="0"/>
            </w:pPr>
            <w:r/>
            <w:r>
              <w:rPr>
                <w:rFonts w:ascii="Figtree" w:hAnsi="Figtree"/>
                <w:b w:val="0"/>
                <w:i w:val="0"/>
                <w:sz w:val="20"/>
              </w:rPr>
              <w:t>Full</w:t>
            </w:r>
          </w:p>
        </w:tc>
      </w:tr>
    </w:tbl>
    <w:p>
      <w:pPr>
        <w:spacing w:before="0" w:after="0" w:line="120" w:lineRule="exact"/>
      </w:pPr>
    </w:p>
    <w:p>
      <w:pPr>
        <w:pStyle w:val="H3"/>
        <w:numPr>
          <w:ilvl w:val="2"/>
          <w:numId w:val="1"/>
        </w:numPr>
      </w:pPr>
      <w:r>
        <w:t>Dependencies</w:t>
      </w:r>
    </w:p>
    <w:p>
      <w:pPr>
        <w:pStyle w:val="ListParagraph"/>
        <w:numPr>
          <w:ilvl w:val="0"/>
          <w:numId w:val="4"/>
        </w:numPr>
      </w:pPr>
      <w:r>
        <w:rPr>
          <w:rFonts w:ascii="Figtree" w:hAnsi="Figtree"/>
          <w:b w:val="0"/>
          <w:i w:val="0"/>
          <w:sz w:val="22"/>
        </w:rPr>
        <w:t>Cloud infrastructure (AWS)</w:t>
      </w:r>
    </w:p>
    <w:p>
      <w:pPr>
        <w:pStyle w:val="ListParagraph"/>
        <w:numPr>
          <w:ilvl w:val="0"/>
          <w:numId w:val="4"/>
        </w:numPr>
      </w:pPr>
      <w:r>
        <w:rPr>
          <w:rFonts w:ascii="Figtree" w:hAnsi="Figtree"/>
          <w:b w:val="0"/>
          <w:i w:val="0"/>
          <w:sz w:val="22"/>
        </w:rPr>
        <w:t>Identity provider (Azure AD)</w:t>
      </w:r>
    </w:p>
    <w:p>
      <w:pPr>
        <w:pStyle w:val="ListParagraph"/>
        <w:numPr>
          <w:ilvl w:val="0"/>
          <w:numId w:val="4"/>
        </w:numPr>
      </w:pPr>
      <w:r>
        <w:rPr>
          <w:rFonts w:ascii="Figtree" w:hAnsi="Figtree"/>
          <w:b w:val="0"/>
          <w:i w:val="0"/>
          <w:sz w:val="22"/>
        </w:rPr>
        <w:t>Custody arrangement (DFNS/Fireblocks)</w:t>
      </w:r>
    </w:p>
    <w:p>
      <w:pPr>
        <w:pStyle w:val="ListParagraph"/>
        <w:numPr>
          <w:ilvl w:val="0"/>
          <w:numId w:val="4"/>
        </w:numPr>
      </w:pPr>
      <w:r>
        <w:rPr>
          <w:rFonts w:ascii="Figtree" w:hAnsi="Figtree"/>
          <w:b w:val="0"/>
          <w:i w:val="0"/>
          <w:sz w:val="22"/>
        </w:rPr>
        <w:t>Nordic CSD connectivity (VP Securities, Euroclear Sweden)</w:t>
      </w:r>
    </w:p>
    <w:p>
      <w:r>
        <w:br w:type="page"/>
      </w:r>
    </w:p>
    <w:p>
      <w:pPr>
        <w:pStyle w:val="H2"/>
        <w:numPr>
          <w:ilvl w:val="1"/>
          <w:numId w:val="1"/>
        </w:numPr>
      </w:pPr>
      <w:r>
        <w:t>Appendices</w:t>
      </w:r>
    </w:p>
    <w:p>
      <w:pPr>
        <w:pStyle w:val="H3"/>
        <w:numPr>
          <w:ilvl w:val="2"/>
          <w:numId w:val="1"/>
        </w:numPr>
      </w:pPr>
      <w:r>
        <w:t>Appendix A: API Namespace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9"/>
        <w:gridCol w:w="57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Capabilities</w:t>
            </w:r>
          </w:p>
        </w:tc>
      </w:tr>
      <w:tr>
        <w:trPr>
          <w:trHeight w:val="425" w:hRule="atLeast"/>
        </w:trPr>
        <w:tc>
          <w:tcPr>
            <w:tcW w:type="dxa" w:w="4873"/>
            <w:vAlign w:val="center"/>
          </w:tcPr>
          <w:p>
            <w:pPr>
              <w:spacing w:line="276" w:lineRule="auto" w:before="0" w:after="0"/>
            </w:pPr>
            <w:r/>
            <w:r>
              <w:rPr>
                <w:rFonts w:ascii="Figtree" w:hAnsi="Figtree"/>
                <w:b w:val="0"/>
                <w:i w:val="0"/>
                <w:sz w:val="20"/>
              </w:rPr>
              <w:t>token</w:t>
            </w:r>
          </w:p>
        </w:tc>
        <w:tc>
          <w:tcPr>
            <w:tcW w:type="dxa" w:w="4873"/>
            <w:vAlign w:val="center"/>
          </w:tcPr>
          <w:p>
            <w:pPr>
              <w:spacing w:line="276" w:lineRule="auto" w:before="0" w:after="0"/>
            </w:pPr>
            <w:r/>
            <w:r>
              <w:rPr>
                <w:rFonts w:ascii="Figtree" w:hAnsi="Figtree"/>
                <w:b w:val="0"/>
                <w:i w:val="0"/>
                <w:sz w:val="20"/>
              </w:rPr>
              <w:t>Asset lifecycle</w:t>
            </w:r>
          </w:p>
        </w:tc>
      </w:tr>
      <w:tr>
        <w:trPr>
          <w:trHeight w:val="425" w:hRule="atLeast"/>
        </w:trPr>
        <w:tc>
          <w:tcPr>
            <w:tcW w:type="dxa" w:w="4873"/>
            <w:vAlign w:val="center"/>
          </w:tcPr>
          <w:p>
            <w:pPr>
              <w:spacing w:line="276" w:lineRule="auto" w:before="0" w:after="0"/>
            </w:pPr>
            <w:r/>
            <w:r>
              <w:rPr>
                <w:rFonts w:ascii="Figtree" w:hAnsi="Figtree"/>
                <w:b w:val="0"/>
                <w:i w:val="0"/>
                <w:sz w:val="20"/>
              </w:rPr>
              <w:t>system</w:t>
            </w:r>
          </w:p>
        </w:tc>
        <w:tc>
          <w:tcPr>
            <w:tcW w:type="dxa" w:w="4873"/>
            <w:vAlign w:val="center"/>
          </w:tcPr>
          <w:p>
            <w:pPr>
              <w:spacing w:line="276" w:lineRule="auto" w:before="0" w:after="0"/>
            </w:pPr>
            <w:r/>
            <w:r>
              <w:rPr>
                <w:rFonts w:ascii="Figtree" w:hAnsi="Figtree"/>
                <w:b w:val="0"/>
                <w:i w:val="0"/>
                <w:sz w:val="20"/>
              </w:rPr>
              <w:t>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user</w:t>
            </w:r>
          </w:p>
        </w:tc>
        <w:tc>
          <w:tcPr>
            <w:tcW w:type="dxa" w:w="4873"/>
            <w:vAlign w:val="center"/>
          </w:tcPr>
          <w:p>
            <w:pPr>
              <w:spacing w:line="276" w:lineRule="auto" w:before="0" w:after="0"/>
            </w:pPr>
            <w:r/>
            <w:r>
              <w:rPr>
                <w:rFonts w:ascii="Figtree" w:hAnsi="Figtree"/>
                <w:b w:val="0"/>
                <w:i w:val="0"/>
                <w:sz w:val="20"/>
              </w:rPr>
              <w:t>User management</w:t>
            </w:r>
          </w:p>
        </w:tc>
      </w:tr>
      <w:tr>
        <w:trPr>
          <w:trHeight w:val="425" w:hRule="atLeast"/>
        </w:trPr>
        <w:tc>
          <w:tcPr>
            <w:tcW w:type="dxa" w:w="4873"/>
            <w:vAlign w:val="center"/>
          </w:tcPr>
          <w:p>
            <w:pPr>
              <w:spacing w:line="276" w:lineRule="auto" w:before="0" w:after="0"/>
            </w:pPr>
            <w:r/>
            <w:r>
              <w:rPr>
                <w:rFonts w:ascii="Figtree" w:hAnsi="Figtree"/>
                <w:b w:val="0"/>
                <w:i w:val="0"/>
                <w:sz w:val="20"/>
              </w:rPr>
              <w:t>account</w:t>
            </w:r>
          </w:p>
        </w:tc>
        <w:tc>
          <w:tcPr>
            <w:tcW w:type="dxa" w:w="4873"/>
            <w:vAlign w:val="center"/>
          </w:tcPr>
          <w:p>
            <w:pPr>
              <w:spacing w:line="276" w:lineRule="auto" w:before="0" w:after="0"/>
            </w:pPr>
            <w:r/>
            <w:r>
              <w:rPr>
                <w:rFonts w:ascii="Figtree" w:hAnsi="Figtree"/>
                <w:b w:val="0"/>
                <w:i w:val="0"/>
                <w:sz w:val="20"/>
              </w:rPr>
              <w:t>Wallet operations</w:t>
            </w:r>
          </w:p>
        </w:tc>
      </w:tr>
      <w:tr>
        <w:trPr>
          <w:trHeight w:val="425" w:hRule="atLeast"/>
        </w:trPr>
        <w:tc>
          <w:tcPr>
            <w:tcW w:type="dxa" w:w="4873"/>
            <w:vAlign w:val="center"/>
          </w:tcPr>
          <w:p>
            <w:pPr>
              <w:spacing w:line="276" w:lineRule="auto" w:before="0" w:after="0"/>
            </w:pPr>
            <w:r/>
            <w:r>
              <w:rPr>
                <w:rFonts w:ascii="Figtree" w:hAnsi="Figtree"/>
                <w:b w:val="0"/>
                <w:i w:val="0"/>
                <w:sz w:val="20"/>
              </w:rPr>
              <w:t>addons</w:t>
            </w:r>
          </w:p>
        </w:tc>
        <w:tc>
          <w:tcPr>
            <w:tcW w:type="dxa" w:w="4873"/>
            <w:vAlign w:val="center"/>
          </w:tcPr>
          <w:p>
            <w:pPr>
              <w:spacing w:line="276" w:lineRule="auto" w:before="0" w:after="0"/>
            </w:pPr>
            <w:r/>
            <w:r>
              <w:rPr>
                <w:rFonts w:ascii="Figtree" w:hAnsi="Figtree"/>
                <w:b w:val="0"/>
                <w:i w:val="0"/>
                <w:sz w:val="20"/>
              </w:rPr>
              <w:t>Optional features</w:t>
            </w:r>
          </w:p>
        </w:tc>
      </w:tr>
    </w:tbl>
    <w:p>
      <w:pPr>
        <w:spacing w:before="0" w:after="0" w:line="120" w:lineRule="exact"/>
      </w:pPr>
    </w:p>
    <w:p>
      <w:pPr>
        <w:pStyle w:val="H3"/>
        <w:numPr>
          <w:ilvl w:val="2"/>
          <w:numId w:val="1"/>
        </w:numPr>
      </w:pPr>
      <w:r>
        <w:t>Appendix B: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8"/>
        <w:gridCol w:w="70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AIFMD</w:t>
            </w:r>
          </w:p>
        </w:tc>
        <w:tc>
          <w:tcPr>
            <w:tcW w:type="dxa" w:w="4873"/>
            <w:vAlign w:val="center"/>
          </w:tcPr>
          <w:p>
            <w:pPr>
              <w:spacing w:line="276" w:lineRule="auto" w:before="0" w:after="0"/>
            </w:pPr>
            <w:r/>
            <w:r>
              <w:rPr>
                <w:rFonts w:ascii="Figtree" w:hAnsi="Figtree"/>
                <w:b w:val="0"/>
                <w:i w:val="0"/>
                <w:sz w:val="20"/>
              </w:rPr>
              <w:t>Alternative Investment Fund Managers Directive</w:t>
            </w:r>
          </w:p>
        </w:tc>
      </w:tr>
      <w:tr>
        <w:trPr>
          <w:trHeight w:val="425" w:hRule="atLeast"/>
        </w:trPr>
        <w:tc>
          <w:tcPr>
            <w:tcW w:type="dxa" w:w="4873"/>
            <w:vAlign w:val="center"/>
          </w:tcPr>
          <w:p>
            <w:pPr>
              <w:spacing w:line="276" w:lineRule="auto" w:before="0" w:after="0"/>
            </w:pPr>
            <w:r/>
            <w:r>
              <w:rPr>
                <w:rFonts w:ascii="Figtree" w:hAnsi="Figtree"/>
                <w:b w:val="0"/>
                <w:i w:val="0"/>
                <w:sz w:val="20"/>
              </w:rPr>
              <w:t>CSD</w:t>
            </w:r>
          </w:p>
        </w:tc>
        <w:tc>
          <w:tcPr>
            <w:tcW w:type="dxa" w:w="4873"/>
            <w:vAlign w:val="center"/>
          </w:tcPr>
          <w:p>
            <w:pPr>
              <w:spacing w:line="276" w:lineRule="auto" w:before="0" w:after="0"/>
            </w:pPr>
            <w:r/>
            <w:r>
              <w:rPr>
                <w:rFonts w:ascii="Figtree" w:hAnsi="Figtree"/>
                <w:b w:val="0"/>
                <w:i w:val="0"/>
                <w:sz w:val="20"/>
              </w:rPr>
              <w:t>Central Securities Depository</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w:t>
            </w:r>
          </w:p>
        </w:tc>
      </w:tr>
      <w:tr>
        <w:trPr>
          <w:trHeight w:val="425" w:hRule="atLeast"/>
        </w:trPr>
        <w:tc>
          <w:tcPr>
            <w:tcW w:type="dxa" w:w="4873"/>
            <w:vAlign w:val="center"/>
          </w:tcPr>
          <w:p>
            <w:pPr>
              <w:spacing w:line="276" w:lineRule="auto" w:before="0" w:after="0"/>
            </w:pPr>
            <w:r/>
            <w:r>
              <w:rPr>
                <w:rFonts w:ascii="Figtree" w:hAnsi="Figtree"/>
                <w:b w:val="0"/>
                <w:i w:val="0"/>
                <w:sz w:val="20"/>
              </w:rPr>
              <w:t>MiFID II</w:t>
            </w:r>
          </w:p>
        </w:tc>
        <w:tc>
          <w:tcPr>
            <w:tcW w:type="dxa" w:w="4873"/>
            <w:vAlign w:val="center"/>
          </w:tcPr>
          <w:p>
            <w:pPr>
              <w:spacing w:line="276" w:lineRule="auto" w:before="0" w:after="0"/>
            </w:pPr>
            <w:r/>
            <w:r>
              <w:rPr>
                <w:rFonts w:ascii="Figtree" w:hAnsi="Figtree"/>
                <w:b w:val="0"/>
                <w:i w:val="0"/>
                <w:sz w:val="20"/>
              </w:rPr>
              <w:t>Markets in Financial Instruments Directive II</w:t>
            </w:r>
          </w:p>
        </w:tc>
      </w:tr>
      <w:tr>
        <w:trPr>
          <w:trHeight w:val="425" w:hRule="atLeast"/>
        </w:trPr>
        <w:tc>
          <w:tcPr>
            <w:tcW w:type="dxa" w:w="4873"/>
            <w:vAlign w:val="center"/>
          </w:tcPr>
          <w:p>
            <w:pPr>
              <w:spacing w:line="276" w:lineRule="auto" w:before="0" w:after="0"/>
            </w:pPr>
            <w:r/>
            <w:r>
              <w:rPr>
                <w:rFonts w:ascii="Figtree" w:hAnsi="Figtree"/>
                <w:b w:val="0"/>
                <w:i w:val="0"/>
                <w:sz w:val="20"/>
              </w:rPr>
              <w:t>NAV</w:t>
            </w:r>
          </w:p>
        </w:tc>
        <w:tc>
          <w:tcPr>
            <w:tcW w:type="dxa" w:w="4873"/>
            <w:vAlign w:val="center"/>
          </w:tcPr>
          <w:p>
            <w:pPr>
              <w:spacing w:line="276" w:lineRule="auto" w:before="0" w:after="0"/>
            </w:pPr>
            <w:r/>
            <w:r>
              <w:rPr>
                <w:rFonts w:ascii="Figtree" w:hAnsi="Figtree"/>
                <w:b w:val="0"/>
                <w:i w:val="0"/>
                <w:sz w:val="20"/>
              </w:rPr>
              <w:t>Net Asset Value</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ERC-734/735 identity standard</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UCITS</w:t>
            </w:r>
          </w:p>
        </w:tc>
        <w:tc>
          <w:tcPr>
            <w:tcW w:type="dxa" w:w="4873"/>
            <w:vAlign w:val="center"/>
          </w:tcPr>
          <w:p>
            <w:pPr>
              <w:spacing w:line="276" w:lineRule="auto" w:before="0" w:after="0"/>
            </w:pPr>
            <w:r/>
            <w:r>
              <w:rPr>
                <w:rFonts w:ascii="Figtree" w:hAnsi="Figtree"/>
                <w:b w:val="0"/>
                <w:i w:val="0"/>
                <w:sz w:val="20"/>
              </w:rPr>
              <w:t>Undertakings for Collective Investment in Transferable Securities</w:t>
            </w:r>
          </w:p>
        </w:tc>
      </w:tr>
    </w:tbl>
    <w:p>
      <w:pPr>
        <w:spacing w:before="0" w:after="0" w:line="120" w:lineRule="exact"/>
      </w:pPr>
    </w:p>
    <w:p>
      <w:r>
        <w:br w:type="page"/>
      </w:r>
    </w:p>
    <w:p>
      <w:r>
        <w:rPr>
          <w:rFonts w:ascii="Figtree" w:hAnsi="Figtree"/>
          <w:b w:val="0"/>
          <w:i/>
          <w:sz w:val="22"/>
        </w:rPr>
        <w:t>End of Technical Proposal</w:t>
      </w:r>
    </w:p>
    <w:p>
      <w:r>
        <w:rPr>
          <w:rFonts w:ascii="Figtree" w:hAnsi="Figtree"/>
          <w:b/>
          <w:i w:val="0"/>
          <w:sz w:val="22"/>
        </w:rPr>
        <w:t>Document Control</w:t>
      </w:r>
    </w:p>
    <w:p>
      <w:pPr>
        <w:pStyle w:val="ListParagraph"/>
        <w:numPr>
          <w:ilvl w:val="0"/>
          <w:numId w:val="4"/>
        </w:numPr>
      </w:pPr>
      <w:r>
        <w:rPr>
          <w:rFonts w:ascii="Figtree" w:hAnsi="Figtree"/>
          <w:b w:val="0"/>
          <w:i w:val="0"/>
          <w:sz w:val="22"/>
        </w:rPr>
        <w:t>Version: 1.0</w:t>
      </w:r>
    </w:p>
    <w:p>
      <w:pPr>
        <w:pStyle w:val="ListParagraph"/>
        <w:numPr>
          <w:ilvl w:val="0"/>
          <w:numId w:val="4"/>
        </w:numPr>
      </w:pPr>
      <w:r>
        <w:rPr>
          <w:rFonts w:ascii="Figtree" w:hAnsi="Figtree"/>
          <w:b w:val="0"/>
          <w:i w:val="0"/>
          <w:sz w:val="22"/>
        </w:rPr>
        <w:t>Date: March 2026</w:t>
      </w:r>
    </w:p>
    <w:p>
      <w:pPr>
        <w:pStyle w:val="ListParagraph"/>
        <w:numPr>
          <w:ilvl w:val="0"/>
          <w:numId w:val="4"/>
        </w:numPr>
      </w:pPr>
      <w:r>
        <w:rPr>
          <w:rFonts w:ascii="Figtree" w:hAnsi="Figtree"/>
          <w:b w:val="0"/>
          <w:i w:val="0"/>
          <w:sz w:val="22"/>
        </w:rPr>
        <w:t>Classification: Confidential</w:t>
      </w:r>
    </w:p>
    <w:p>
      <w:pPr>
        <w:pStyle w:val="ListParagraph"/>
        <w:numPr>
          <w:ilvl w:val="0"/>
          <w:numId w:val="4"/>
        </w:numPr>
      </w:pPr>
      <w:r>
        <w:rPr>
          <w:rFonts w:ascii="Figtree" w:hAnsi="Figtree"/>
          <w:b w:val="0"/>
          <w:i w:val="0"/>
          <w:sz w:val="22"/>
        </w:rPr>
        <w:t>Prepared by: SettleMint NV</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