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Understanding Societe Generale's Objectives</w:t>
          </w:r>
          <w:r>
            <w:tab/>
          </w:r>
          <w:r>
            <w:t xml:space="preserve">5</w:t>
          </w:r>
        </w:p>
        <w:p>
          <w:pPr>
            <w:pStyle w:val="TOC3"/>
            <w:tabs>
              <w:tab w:val="right" w:leader="dot" w:pos="9072"/>
            </w:tabs>
          </w:pPr>
          <w:r>
            <w:t xml:space="preserve">French Digital Securities Framework</w:t>
          </w:r>
          <w:r>
            <w:tab/>
          </w:r>
          <w:r>
            <w:t xml:space="preserve">6</w:t>
          </w:r>
        </w:p>
        <w:p>
          <w:pPr>
            <w:pStyle w:val="TOC3"/>
            <w:tabs>
              <w:tab w:val="right" w:leader="dot" w:pos="9072"/>
            </w:tabs>
          </w:pPr>
          <w:r>
            <w:t xml:space="preserve">Objectives</w:t>
          </w:r>
          <w:r>
            <w:tab/>
          </w:r>
          <w:r>
            <w:t xml:space="preserve">7</w:t>
          </w:r>
        </w:p>
        <w:p>
          <w:pPr>
            <w:pStyle w:val="TOC2"/>
            <w:tabs>
              <w:tab w:val="right" w:leader="dot" w:pos="9072"/>
            </w:tabs>
          </w:pPr>
          <w:r>
            <w:t xml:space="preserve">Proposed DALP Operating Model</w:t>
          </w:r>
          <w:r>
            <w:tab/>
          </w:r>
          <w:r>
            <w:t xml:space="preserve">8</w:t>
          </w:r>
        </w:p>
        <w:p>
          <w:pPr>
            <w:pStyle w:val="TOC3"/>
            <w:tabs>
              <w:tab w:val="right" w:leader="dot" w:pos="9072"/>
            </w:tabs>
          </w:pPr>
          <w:r>
            <w:t xml:space="preserve">Deployment Model</w:t>
          </w:r>
          <w:r>
            <w:tab/>
          </w:r>
          <w:r>
            <w:t xml:space="preserve">9</w:t>
          </w:r>
        </w:p>
        <w:p>
          <w:pPr>
            <w:pStyle w:val="TOC3"/>
            <w:tabs>
              <w:tab w:val="right" w:leader="dot" w:pos="9072"/>
            </w:tabs>
          </w:pPr>
          <w:r>
            <w:t xml:space="preserve">Asset Scope</w:t>
          </w:r>
          <w:r>
            <w:tab/>
          </w:r>
          <w:r>
            <w:t xml:space="preserve">10</w:t>
          </w:r>
        </w:p>
        <w:p>
          <w:pPr>
            <w:pStyle w:val="TOC2"/>
            <w:tabs>
              <w:tab w:val="right" w:leader="dot" w:pos="9072"/>
            </w:tabs>
          </w:pPr>
          <w:r>
            <w:t xml:space="preserve">Technical Architecture</w:t>
          </w:r>
          <w:r>
            <w:tab/>
          </w:r>
          <w:r>
            <w:t xml:space="preserve">11</w:t>
          </w:r>
        </w:p>
        <w:p>
          <w:pPr>
            <w:pStyle w:val="TOC3"/>
            <w:tabs>
              <w:tab w:val="right" w:leader="dot" w:pos="9072"/>
            </w:tabs>
          </w:pPr>
          <w:r>
            <w:t xml:space="preserve">Platform Layers</w:t>
          </w:r>
          <w:r>
            <w:tab/>
          </w:r>
          <w:r>
            <w:t xml:space="preserve">12</w:t>
          </w:r>
        </w:p>
        <w:p>
          <w:pPr>
            <w:pStyle w:val="TOC3"/>
            <w:tabs>
              <w:tab w:val="right" w:leader="dot" w:pos="9072"/>
            </w:tabs>
          </w:pPr>
          <w:r>
            <w:t xml:space="preserve">Integration</w:t>
          </w:r>
          <w:r>
            <w:tab/>
          </w:r>
          <w:r>
            <w:t xml:space="preserve">13</w:t>
          </w:r>
        </w:p>
        <w:p>
          <w:pPr>
            <w:pStyle w:val="TOC2"/>
            <w:tabs>
              <w:tab w:val="right" w:leader="dot" w:pos="9072"/>
            </w:tabs>
          </w:pPr>
          <w:r>
            <w:t xml:space="preserve">Smart Contract Architecture</w:t>
          </w:r>
          <w:r>
            <w:tab/>
          </w:r>
          <w:r>
            <w:t xml:space="preserve">14</w:t>
          </w:r>
        </w:p>
        <w:p>
          <w:pPr>
            <w:pStyle w:val="TOC3"/>
            <w:tabs>
              <w:tab w:val="right" w:leader="dot" w:pos="9072"/>
            </w:tabs>
          </w:pPr>
          <w:r>
            <w:t xml:space="preserve">SMART Protocol</w:t>
          </w:r>
          <w:r>
            <w:tab/>
          </w:r>
          <w:r>
            <w:t xml:space="preserve">15</w:t>
          </w:r>
        </w:p>
        <w:p>
          <w:pPr>
            <w:pStyle w:val="TOC3"/>
            <w:tabs>
              <w:tab w:val="right" w:leader="dot" w:pos="9072"/>
            </w:tabs>
          </w:pPr>
          <w:r>
            <w:t xml:space="preserve">Bond Features</w:t>
          </w:r>
          <w:r>
            <w:tab/>
          </w:r>
          <w:r>
            <w:t xml:space="preserve">16</w:t>
          </w:r>
        </w:p>
        <w:p>
          <w:pPr>
            <w:pStyle w:val="TOC2"/>
            <w:tabs>
              <w:tab w:val="right" w:leader="dot" w:pos="9072"/>
            </w:tabs>
          </w:pPr>
          <w:r>
            <w:t xml:space="preserve">Compliance and Regulatory Controls</w:t>
          </w:r>
          <w:r>
            <w:tab/>
          </w:r>
          <w:r>
            <w:t xml:space="preserve">17</w:t>
          </w:r>
        </w:p>
        <w:p>
          <w:pPr>
            <w:pStyle w:val="TOC3"/>
            <w:tabs>
              <w:tab w:val="right" w:leader="dot" w:pos="9072"/>
            </w:tabs>
          </w:pPr>
          <w:r>
            <w:t xml:space="preserve">Compliance Modules</w:t>
          </w:r>
          <w:r>
            <w:tab/>
          </w:r>
          <w:r>
            <w:t xml:space="preserve">18</w:t>
          </w:r>
        </w:p>
        <w:p>
          <w:pPr>
            <w:pStyle w:val="TOC3"/>
            <w:tabs>
              <w:tab w:val="right" w:leader="dot" w:pos="9072"/>
            </w:tabs>
          </w:pPr>
          <w:r>
            <w:t xml:space="preserve">AMF Alignment</w:t>
          </w:r>
          <w:r>
            <w:tab/>
          </w:r>
          <w:r>
            <w:t xml:space="preserve">19</w:t>
          </w:r>
        </w:p>
        <w:p>
          <w:pPr>
            <w:pStyle w:val="TOC2"/>
            <w:tabs>
              <w:tab w:val="right" w:leader="dot" w:pos="9072"/>
            </w:tabs>
          </w:pPr>
          <w:r>
            <w:t xml:space="preserve">Settlement and Servicing</w:t>
          </w:r>
          <w:r>
            <w:tab/>
          </w:r>
          <w:r>
            <w:t xml:space="preserve">20</w:t>
          </w:r>
        </w:p>
        <w:p>
          <w:pPr>
            <w:pStyle w:val="TOC3"/>
            <w:tabs>
              <w:tab w:val="right" w:leader="dot" w:pos="9072"/>
            </w:tabs>
          </w:pPr>
          <w:r>
            <w:t xml:space="preserve">Settlement Options</w:t>
          </w:r>
          <w:r>
            <w:tab/>
          </w:r>
          <w:r>
            <w:t xml:space="preserve">21</w:t>
          </w:r>
        </w:p>
        <w:p>
          <w:pPr>
            <w:pStyle w:val="TOC3"/>
            <w:tabs>
              <w:tab w:val="right" w:leader="dot" w:pos="9072"/>
            </w:tabs>
          </w:pPr>
          <w:r>
            <w:t xml:space="preserve">Servicing</w:t>
          </w:r>
          <w:r>
            <w:tab/>
          </w:r>
          <w:r>
            <w:t xml:space="preserve">22</w:t>
          </w:r>
        </w:p>
        <w:p>
          <w:pPr>
            <w:pStyle w:val="TOC2"/>
            <w:tabs>
              <w:tab w:val="right" w:leader="dot" w:pos="9072"/>
            </w:tabs>
          </w:pPr>
          <w:r>
            <w:t xml:space="preserve">Security and Resilience</w:t>
          </w:r>
          <w:r>
            <w:tab/>
          </w:r>
          <w:r>
            <w:t xml:space="preserve">23</w:t>
          </w:r>
        </w:p>
        <w:p>
          <w:pPr>
            <w:pStyle w:val="TOC3"/>
            <w:tabs>
              <w:tab w:val="right" w:leader="dot" w:pos="9072"/>
            </w:tabs>
          </w:pPr>
          <w:r>
            <w:t xml:space="preserve">Security Layers</w:t>
          </w:r>
          <w:r>
            <w:tab/>
          </w:r>
          <w:r>
            <w:t xml:space="preserve">24</w:t>
          </w:r>
        </w:p>
        <w:p>
          <w:pPr>
            <w:pStyle w:val="TOC3"/>
            <w:tabs>
              <w:tab w:val="right" w:leader="dot" w:pos="9072"/>
            </w:tabs>
          </w:pPr>
          <w:r>
            <w:t xml:space="preserve">Certifications</w:t>
          </w:r>
          <w:r>
            <w:tab/>
          </w:r>
          <w:r>
            <w:t xml:space="preserve">25</w:t>
          </w:r>
        </w:p>
        <w:p>
          <w:pPr>
            <w:pStyle w:val="TOC2"/>
            <w:tabs>
              <w:tab w:val="right" w:leader="dot" w:pos="9072"/>
            </w:tabs>
          </w:pPr>
          <w:r>
            <w:t xml:space="preserve">Implementation Approach</w:t>
          </w:r>
          <w:r>
            <w:tab/>
          </w:r>
          <w:r>
            <w:t xml:space="preserve">26</w:t>
          </w:r>
        </w:p>
        <w:p>
          <w:pPr>
            <w:pStyle w:val="TOC3"/>
            <w:tabs>
              <w:tab w:val="right" w:leader="dot" w:pos="9072"/>
            </w:tabs>
          </w:pPr>
          <w:r>
            <w:t xml:space="preserve">Timeline</w:t>
          </w:r>
          <w:r>
            <w:tab/>
          </w:r>
          <w:r>
            <w:t xml:space="preserve">27</w:t>
          </w:r>
        </w:p>
        <w:p>
          <w:pPr>
            <w:pStyle w:val="TOC2"/>
            <w:tabs>
              <w:tab w:val="right" w:leader="dot" w:pos="9072"/>
            </w:tabs>
          </w:pPr>
          <w:r>
            <w:t xml:space="preserve">Dependencies and Gaps</w:t>
          </w:r>
          <w:r>
            <w:tab/>
          </w:r>
          <w:r>
            <w:t xml:space="preserve">28</w:t>
          </w:r>
        </w:p>
        <w:p>
          <w:pPr>
            <w:pStyle w:val="TOC3"/>
            <w:tabs>
              <w:tab w:val="right" w:leader="dot" w:pos="9072"/>
            </w:tabs>
          </w:pPr>
          <w:r>
            <w:t xml:space="preserve">Dependencies</w:t>
          </w:r>
          <w:r>
            <w:tab/>
          </w:r>
          <w:r>
            <w:t xml:space="preserve">29</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65"/>
        <w:gridCol w:w="660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 Digital Bonds Issuance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Societe Generale</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Confidential</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SOCIETE-GENERALE-RFP-DIGITAL-BONDS-202603</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Adam Popat, CEO</w:t>
            </w:r>
          </w:p>
        </w:tc>
      </w:tr>
    </w:tbl>
    <w:p>
      <w:pPr>
        <w:spacing w:before="0" w:after="0" w:line="120" w:lineRule="exact"/>
      </w:pP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Understanding Societe Generale's Programme Objectives</w:t>
      </w:r>
    </w:p>
    <w:p>
      <w:pPr>
        <w:pStyle w:val="ListParagraph"/>
        <w:numPr>
          <w:ilvl w:val="0"/>
          <w:numId w:val="4"/>
        </w:numPr>
      </w:pPr>
      <w:r>
        <w:rPr>
          <w:rFonts w:ascii="Figtree" w:hAnsi="Figtree"/>
          <w:b w:val="0"/>
          <w:i w:val="0"/>
          <w:sz w:val="22"/>
        </w:rPr>
        <w:t>Proposed DALP Operating Model for Digital Bonds</w:t>
      </w:r>
    </w:p>
    <w:p>
      <w:pPr>
        <w:pStyle w:val="ListParagraph"/>
        <w:numPr>
          <w:ilvl w:val="0"/>
          <w:numId w:val="4"/>
        </w:numPr>
      </w:pPr>
      <w:r>
        <w:rPr>
          <w:rFonts w:ascii="Figtree" w:hAnsi="Figtree"/>
          <w:b w:val="0"/>
          <w:i w:val="0"/>
          <w:sz w:val="22"/>
        </w:rPr>
        <w:t>Technical Architecture</w:t>
      </w:r>
    </w:p>
    <w:p>
      <w:pPr>
        <w:pStyle w:val="ListParagraph"/>
        <w:numPr>
          <w:ilvl w:val="0"/>
          <w:numId w:val="4"/>
        </w:numPr>
      </w:pPr>
      <w:r>
        <w:rPr>
          <w:rFonts w:ascii="Figtree" w:hAnsi="Figtree"/>
          <w:b w:val="0"/>
          <w:i w:val="0"/>
          <w:sz w:val="22"/>
        </w:rPr>
        <w:t>Smart Contract Architecture</w:t>
      </w:r>
    </w:p>
    <w:p>
      <w:pPr>
        <w:pStyle w:val="ListParagraph"/>
        <w:numPr>
          <w:ilvl w:val="0"/>
          <w:numId w:val="4"/>
        </w:numPr>
      </w:pPr>
      <w:r>
        <w:rPr>
          <w:rFonts w:ascii="Figtree" w:hAnsi="Figtree"/>
          <w:b w:val="0"/>
          <w:i w:val="0"/>
          <w:sz w:val="22"/>
        </w:rPr>
        <w:t>Compliance and Regulatory Controls</w:t>
      </w:r>
    </w:p>
    <w:p>
      <w:pPr>
        <w:pStyle w:val="ListParagraph"/>
        <w:numPr>
          <w:ilvl w:val="0"/>
          <w:numId w:val="4"/>
        </w:numPr>
      </w:pPr>
      <w:r>
        <w:rPr>
          <w:rFonts w:ascii="Figtree" w:hAnsi="Figtree"/>
          <w:b w:val="0"/>
          <w:i w:val="0"/>
          <w:sz w:val="22"/>
        </w:rPr>
        <w:t>Settlement and Servicing</w:t>
      </w:r>
    </w:p>
    <w:p>
      <w:pPr>
        <w:pStyle w:val="ListParagraph"/>
        <w:numPr>
          <w:ilvl w:val="0"/>
          <w:numId w:val="4"/>
        </w:numPr>
      </w:pPr>
      <w:r>
        <w:rPr>
          <w:rFonts w:ascii="Figtree" w:hAnsi="Figtree"/>
          <w:b w:val="0"/>
          <w:i w:val="0"/>
          <w:sz w:val="22"/>
        </w:rPr>
        <w:t>Security and Resilience</w:t>
      </w:r>
    </w:p>
    <w:p>
      <w:pPr>
        <w:pStyle w:val="ListParagraph"/>
        <w:numPr>
          <w:ilvl w:val="0"/>
          <w:numId w:val="4"/>
        </w:numPr>
      </w:pPr>
      <w:r>
        <w:rPr>
          <w:rFonts w:ascii="Figtree" w:hAnsi="Figtree"/>
          <w:b w:val="0"/>
          <w:i w:val="0"/>
          <w:sz w:val="22"/>
        </w:rPr>
        <w:t>Implementation Approach</w:t>
      </w:r>
    </w:p>
    <w:p>
      <w:pPr>
        <w:pStyle w:val="ListParagraph"/>
        <w:numPr>
          <w:ilvl w:val="0"/>
          <w:numId w:val="4"/>
        </w:numPr>
      </w:pPr>
      <w:r>
        <w:rPr>
          <w:rFonts w:ascii="Figtree" w:hAnsi="Figtree"/>
          <w:b w:val="0"/>
          <w:i w:val="0"/>
          <w:sz w:val="22"/>
        </w:rPr>
        <w:t>Dependencies and Gaps</w:t>
      </w:r>
    </w:p>
    <w:p>
      <w:r>
        <w:br w:type="page"/>
      </w:r>
    </w:p>
    <w:p>
      <w:pPr>
        <w:pStyle w:val="H2"/>
        <w:numPr>
          <w:ilvl w:val="1"/>
          <w:numId w:val="1"/>
        </w:numPr>
      </w:pPr>
      <w:r>
        <w:t>Executive Summary</w:t>
      </w:r>
    </w:p>
    <w:p>
      <w:r>
        <w:rPr>
          <w:rFonts w:ascii="Figtree" w:hAnsi="Figtree"/>
          <w:b w:val="0"/>
          <w:i w:val="0"/>
          <w:sz w:val="22"/>
        </w:rPr>
        <w:t>Societe Generale is establishing a production-grade platform for digital bond issuance to modernize its fixed-income operations and serve institutional investors through digital channels. The French financial market framework and EU MiCA regulation provide the regulatory foundation for digital securities in France and across Europe.</w:t>
      </w:r>
    </w:p>
    <w:p>
      <w:r>
        <w:rPr>
          <w:rFonts w:ascii="Figtree" w:hAnsi="Figtree"/>
          <w:b w:val="0"/>
          <w:i w:val="0"/>
          <w:sz w:val="22"/>
        </w:rPr>
        <w:t>SettleMint's Digital Asset Lifecycle Platform (DALP) provides complete bond lifecycle management with compliance enforcement at the smart contract level and enterprise integration designed for French banking requirements.</w:t>
      </w:r>
    </w:p>
    <w:p>
      <w:r>
        <w:rPr>
          <w:rFonts w:ascii="Figtree" w:hAnsi="Figtree"/>
          <w:b/>
          <w:i w:val="0"/>
          <w:sz w:val="22"/>
        </w:rPr>
        <w:t>Key Points:</w:t>
      </w:r>
    </w:p>
    <w:p>
      <w:pPr>
        <w:pStyle w:val="ListParagraph"/>
        <w:numPr>
          <w:ilvl w:val="0"/>
          <w:numId w:val="4"/>
        </w:numPr>
      </w:pPr>
      <w:r>
        <w:rPr>
          <w:rFonts w:ascii="Figtree" w:hAnsi="Figtree"/>
          <w:b w:val="0"/>
          <w:i w:val="0"/>
          <w:sz w:val="22"/>
        </w:rPr>
        <w:t>Production-proven bond infrastructure with European bank references</w:t>
      </w:r>
    </w:p>
    <w:p>
      <w:pPr>
        <w:pStyle w:val="ListParagraph"/>
        <w:numPr>
          <w:ilvl w:val="0"/>
          <w:numId w:val="4"/>
        </w:numPr>
      </w:pPr>
      <w:r>
        <w:rPr>
          <w:rFonts w:ascii="Figtree" w:hAnsi="Figtree"/>
          <w:b w:val="0"/>
          <w:i w:val="0"/>
          <w:sz w:val="22"/>
        </w:rPr>
        <w:t>MiCA and French regulatory compliance readiness</w:t>
      </w:r>
    </w:p>
    <w:p>
      <w:pPr>
        <w:pStyle w:val="ListParagraph"/>
        <w:numPr>
          <w:ilvl w:val="0"/>
          <w:numId w:val="4"/>
        </w:numPr>
      </w:pPr>
      <w:r>
        <w:rPr>
          <w:rFonts w:ascii="Figtree" w:hAnsi="Figtree"/>
          <w:b w:val="0"/>
          <w:i w:val="0"/>
          <w:sz w:val="22"/>
        </w:rPr>
        <w:t>Integration with French market infrastructure (Euroclear France, Banque de France)</w:t>
      </w:r>
    </w:p>
    <w:p>
      <w:pPr>
        <w:pStyle w:val="ListParagraph"/>
        <w:numPr>
          <w:ilvl w:val="0"/>
          <w:numId w:val="4"/>
        </w:numPr>
      </w:pPr>
      <w:r>
        <w:rPr>
          <w:rFonts w:ascii="Figtree" w:hAnsi="Figtree"/>
          <w:b w:val="0"/>
          <w:i w:val="0"/>
          <w:sz w:val="22"/>
        </w:rPr>
        <w:t>Deterministic T+0 settlement</w:t>
      </w:r>
    </w:p>
    <w:p>
      <w:pPr>
        <w:jc w:val="center"/>
      </w:pPr>
      <w:r>
        <w:drawing>
          <wp:inline xmlns:a="http://schemas.openxmlformats.org/drawingml/2006/main" xmlns:pic="http://schemas.openxmlformats.org/drawingml/2006/picture">
            <wp:extent cx="5486400" cy="1434581"/>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434581"/>
                    </a:xfrm>
                    <a:prstGeom prst="rect"/>
                  </pic:spPr>
                </pic:pic>
              </a:graphicData>
            </a:graphic>
          </wp:inline>
        </w:drawing>
      </w:r>
    </w:p>
    <w:p>
      <w:r>
        <w:br w:type="page"/>
      </w:r>
    </w:p>
    <w:p>
      <w:pPr>
        <w:pStyle w:val="H2"/>
        <w:numPr>
          <w:ilvl w:val="1"/>
          <w:numId w:val="1"/>
        </w:numPr>
      </w:pPr>
      <w:r>
        <w:t>Understanding Societe Generale's Objectives</w:t>
      </w:r>
    </w:p>
    <w:p>
      <w:pPr>
        <w:pStyle w:val="H3"/>
        <w:numPr>
          <w:ilvl w:val="2"/>
          <w:numId w:val="1"/>
        </w:numPr>
      </w:pPr>
      <w:r>
        <w:t>French Digital Securities Framework</w:t>
      </w:r>
    </w:p>
    <w:p>
      <w:r>
        <w:rPr>
          <w:rFonts w:ascii="Figtree" w:hAnsi="Figtree"/>
          <w:b w:val="0"/>
          <w:i w:val="0"/>
          <w:sz w:val="22"/>
        </w:rPr>
        <w:t>France's transposition of the EU Digital Finance Package and AMF guidance creates the regulatory environment for digital bond issuance in France.</w:t>
      </w:r>
    </w:p>
    <w:p>
      <w:pPr>
        <w:pStyle w:val="H3"/>
        <w:numPr>
          <w:ilvl w:val="2"/>
          <w:numId w:val="1"/>
        </w:numPr>
      </w:pPr>
      <w:r>
        <w:t>Objectives</w:t>
      </w:r>
    </w:p>
    <w:p>
      <w:pPr>
        <w:pStyle w:val="ListParagraph"/>
        <w:numPr>
          <w:ilvl w:val="0"/>
          <w:numId w:val="6"/>
        </w:numPr>
      </w:pPr>
      <w:r>
        <w:rPr>
          <w:rFonts w:ascii="Figtree" w:hAnsi="Figtree"/>
          <w:b/>
          <w:i w:val="0"/>
          <w:sz w:val="22"/>
        </w:rPr>
        <w:t>Modernize fixed-income operations</w:t>
      </w:r>
      <w:r>
        <w:rPr>
          <w:rFonts w:ascii="Figtree" w:hAnsi="Figtree"/>
          <w:b w:val="0"/>
          <w:i w:val="0"/>
          <w:sz w:val="22"/>
        </w:rPr>
        <w:t>: Digital bond issuance and servicing</w:t>
      </w:r>
    </w:p>
    <w:p>
      <w:pPr>
        <w:pStyle w:val="ListParagraph"/>
        <w:numPr>
          <w:ilvl w:val="0"/>
          <w:numId w:val="6"/>
        </w:numPr>
      </w:pPr>
      <w:r>
        <w:rPr>
          <w:rFonts w:ascii="Figtree" w:hAnsi="Figtree"/>
          <w:b/>
          <w:i w:val="0"/>
          <w:sz w:val="22"/>
        </w:rPr>
        <w:t>Regulatory compliance</w:t>
      </w:r>
      <w:r>
        <w:rPr>
          <w:rFonts w:ascii="Figtree" w:hAnsi="Figtree"/>
          <w:b w:val="0"/>
          <w:i w:val="0"/>
          <w:sz w:val="22"/>
        </w:rPr>
        <w:t>: AMF and Banque de France reporting</w:t>
      </w:r>
    </w:p>
    <w:p>
      <w:pPr>
        <w:pStyle w:val="ListParagraph"/>
        <w:numPr>
          <w:ilvl w:val="0"/>
          <w:numId w:val="6"/>
        </w:numPr>
      </w:pPr>
      <w:r>
        <w:rPr>
          <w:rFonts w:ascii="Figtree" w:hAnsi="Figtree"/>
          <w:b/>
          <w:i w:val="0"/>
          <w:sz w:val="22"/>
        </w:rPr>
        <w:t>Market infrastructure integration</w:t>
      </w:r>
      <w:r>
        <w:rPr>
          <w:rFonts w:ascii="Figtree" w:hAnsi="Figtree"/>
          <w:b w:val="0"/>
          <w:i w:val="0"/>
          <w:sz w:val="22"/>
        </w:rPr>
        <w:t>: Euroclear France connectivity</w:t>
      </w:r>
    </w:p>
    <w:p>
      <w:r>
        <w:br w:type="page"/>
      </w:r>
    </w:p>
    <w:p>
      <w:pPr>
        <w:pStyle w:val="H2"/>
        <w:numPr>
          <w:ilvl w:val="1"/>
          <w:numId w:val="1"/>
        </w:numPr>
      </w:pPr>
      <w:r>
        <w:t>Proposed DALP Operating Model</w:t>
      </w:r>
    </w:p>
    <w:p>
      <w:pPr>
        <w:pStyle w:val="H3"/>
        <w:numPr>
          <w:ilvl w:val="2"/>
          <w:numId w:val="1"/>
        </w:numPr>
      </w:pPr>
      <w:r>
        <w:t>Deployment Model</w:t>
      </w:r>
    </w:p>
    <w:p>
      <w:r>
        <w:rPr>
          <w:rFonts w:ascii="Figtree" w:hAnsi="Figtree"/>
          <w:b w:val="0"/>
          <w:i w:val="0"/>
          <w:sz w:val="22"/>
        </w:rPr>
        <w:t>Recommended: Dedicated cloud deployment in AWS eu-west-2 (London) or OVHcloud (France)</w:t>
      </w:r>
    </w:p>
    <w:p>
      <w:pPr>
        <w:pStyle w:val="H3"/>
        <w:numPr>
          <w:ilvl w:val="2"/>
          <w:numId w:val="1"/>
        </w:numPr>
      </w:pPr>
      <w:r>
        <w:t>Asset Scope</w:t>
      </w:r>
    </w:p>
    <w:p>
      <w:pPr>
        <w:pStyle w:val="ListParagraph"/>
        <w:numPr>
          <w:ilvl w:val="0"/>
          <w:numId w:val="4"/>
        </w:numPr>
      </w:pPr>
      <w:r>
        <w:rPr>
          <w:rFonts w:ascii="Figtree" w:hAnsi="Figtree"/>
          <w:b w:val="0"/>
          <w:i w:val="0"/>
          <w:sz w:val="22"/>
        </w:rPr>
        <w:t>Corporate bonds</w:t>
      </w:r>
    </w:p>
    <w:p>
      <w:pPr>
        <w:pStyle w:val="ListParagraph"/>
        <w:numPr>
          <w:ilvl w:val="0"/>
          <w:numId w:val="4"/>
        </w:numPr>
      </w:pPr>
      <w:r>
        <w:rPr>
          <w:rFonts w:ascii="Figtree" w:hAnsi="Figtree"/>
          <w:b w:val="0"/>
          <w:i w:val="0"/>
          <w:sz w:val="22"/>
        </w:rPr>
        <w:t>Sovereign bonds</w:t>
      </w:r>
    </w:p>
    <w:p>
      <w:pPr>
        <w:pStyle w:val="ListParagraph"/>
        <w:numPr>
          <w:ilvl w:val="0"/>
          <w:numId w:val="4"/>
        </w:numPr>
      </w:pPr>
      <w:r>
        <w:rPr>
          <w:rFonts w:ascii="Figtree" w:hAnsi="Figtree"/>
          <w:b w:val="0"/>
          <w:i w:val="0"/>
          <w:sz w:val="22"/>
        </w:rPr>
        <w:t>Multi-tranche structures</w:t>
      </w:r>
    </w:p>
    <w:p>
      <w:r>
        <w:br w:type="page"/>
      </w:r>
    </w:p>
    <w:p>
      <w:pPr>
        <w:pStyle w:val="H2"/>
        <w:numPr>
          <w:ilvl w:val="1"/>
          <w:numId w:val="1"/>
        </w:numPr>
      </w:pPr>
      <w:r>
        <w:t>Technical Architecture</w:t>
      </w:r>
    </w:p>
    <w:p>
      <w:pPr>
        <w:pStyle w:val="H3"/>
        <w:numPr>
          <w:ilvl w:val="2"/>
          <w:numId w:val="1"/>
        </w:numPr>
      </w:pPr>
      <w:r>
        <w:t>Platform Layers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43"/>
        <w:gridCol w:w="592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Layer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Components</w:t>
            </w:r>
          </w:p>
        </w:tc>
      </w:tr>
      <w:tr>
        <w:trPr>
          <w:trHeight w:val="425" w:hRule="atLeast"/>
        </w:trPr>
        <w:tc>
          <w:tcPr>
            <w:tcW w:type="dxa" w:w="4873"/>
            <w:vAlign w:val="center"/>
          </w:tcPr>
          <w:p>
            <w:pPr>
              <w:spacing w:line="276" w:lineRule="auto" w:before="0" w:after="0"/>
            </w:pPr>
            <w:r/>
            <w:r>
              <w:rPr>
                <w:rFonts w:ascii="Figtree" w:hAnsi="Figtree"/>
                <w:b w:val="0"/>
                <w:i w:val="0"/>
                <w:sz w:val="20"/>
              </w:rPr>
              <w:t>Application</w:t>
            </w:r>
          </w:p>
        </w:tc>
        <w:tc>
          <w:tcPr>
            <w:tcW w:type="dxa" w:w="4873"/>
            <w:vAlign w:val="center"/>
          </w:tcPr>
          <w:p>
            <w:pPr>
              <w:spacing w:line="276" w:lineRule="auto" w:before="0" w:after="0"/>
            </w:pPr>
            <w:r/>
            <w:r>
              <w:rPr>
                <w:rFonts w:ascii="Figtree" w:hAnsi="Figtree"/>
                <w:b w:val="0"/>
                <w:i w:val="0"/>
                <w:sz w:val="20"/>
              </w:rPr>
              <w:t>Asset Console</w:t>
            </w:r>
          </w:p>
        </w:tc>
      </w:tr>
      <w:tr>
        <w:trPr>
          <w:trHeight w:val="425" w:hRule="atLeast"/>
        </w:trPr>
        <w:tc>
          <w:tcPr>
            <w:tcW w:type="dxa" w:w="4873"/>
            <w:vAlign w:val="center"/>
          </w:tcPr>
          <w:p>
            <w:pPr>
              <w:spacing w:line="276" w:lineRule="auto" w:before="0" w:after="0"/>
            </w:pPr>
            <w:r/>
            <w:r>
              <w:rPr>
                <w:rFonts w:ascii="Figtree" w:hAnsi="Figtree"/>
                <w:b w:val="0"/>
                <w:i w:val="0"/>
                <w:sz w:val="20"/>
              </w:rPr>
              <w:t>API</w:t>
            </w:r>
          </w:p>
        </w:tc>
        <w:tc>
          <w:tcPr>
            <w:tcW w:type="dxa" w:w="4873"/>
            <w:vAlign w:val="center"/>
          </w:tcPr>
          <w:p>
            <w:pPr>
              <w:spacing w:line="276" w:lineRule="auto" w:before="0" w:after="0"/>
            </w:pPr>
            <w:r/>
            <w:r>
              <w:rPr>
                <w:rFonts w:ascii="Figtree" w:hAnsi="Figtree"/>
                <w:b w:val="0"/>
                <w:i w:val="0"/>
                <w:sz w:val="20"/>
              </w:rPr>
              <w:t>REST API, SDK</w:t>
            </w:r>
          </w:p>
        </w:tc>
      </w:tr>
      <w:tr>
        <w:trPr>
          <w:trHeight w:val="425" w:hRule="atLeast"/>
        </w:trPr>
        <w:tc>
          <w:tcPr>
            <w:tcW w:type="dxa" w:w="4873"/>
            <w:vAlign w:val="center"/>
          </w:tcPr>
          <w:p>
            <w:pPr>
              <w:spacing w:line="276" w:lineRule="auto" w:before="0" w:after="0"/>
            </w:pPr>
            <w:r/>
            <w:r>
              <w:rPr>
                <w:rFonts w:ascii="Figtree" w:hAnsi="Figtree"/>
                <w:b w:val="0"/>
                <w:i w:val="0"/>
                <w:sz w:val="20"/>
              </w:rPr>
              <w:t>Middleware</w:t>
            </w:r>
          </w:p>
        </w:tc>
        <w:tc>
          <w:tcPr>
            <w:tcW w:type="dxa" w:w="4873"/>
            <w:vAlign w:val="center"/>
          </w:tcPr>
          <w:p>
            <w:pPr>
              <w:spacing w:line="276" w:lineRule="auto" w:before="0" w:after="0"/>
            </w:pPr>
            <w:r/>
            <w:r>
              <w:rPr>
                <w:rFonts w:ascii="Figtree" w:hAnsi="Figtree"/>
                <w:b w:val="0"/>
                <w:i w:val="0"/>
                <w:sz w:val="20"/>
              </w:rPr>
              <w:t>Execution Engine, Key Guardian</w:t>
            </w:r>
          </w:p>
        </w:tc>
      </w:tr>
      <w:tr>
        <w:trPr>
          <w:trHeight w:val="425" w:hRule="atLeast"/>
        </w:trPr>
        <w:tc>
          <w:tcPr>
            <w:tcW w:type="dxa" w:w="4873"/>
            <w:vAlign w:val="center"/>
          </w:tcPr>
          <w:p>
            <w:pPr>
              <w:spacing w:line="276" w:lineRule="auto" w:before="0" w:after="0"/>
            </w:pPr>
            <w:r/>
            <w:r>
              <w:rPr>
                <w:rFonts w:ascii="Figtree" w:hAnsi="Figtree"/>
                <w:b w:val="0"/>
                <w:i w:val="0"/>
                <w:sz w:val="20"/>
              </w:rPr>
              <w:t>Smart Contract</w:t>
            </w:r>
          </w:p>
        </w:tc>
        <w:tc>
          <w:tcPr>
            <w:tcW w:type="dxa" w:w="4873"/>
            <w:vAlign w:val="center"/>
          </w:tcPr>
          <w:p>
            <w:pPr>
              <w:spacing w:line="276" w:lineRule="auto" w:before="0" w:after="0"/>
            </w:pPr>
            <w:r/>
            <w:r>
              <w:rPr>
                <w:rFonts w:ascii="Figtree" w:hAnsi="Figtree"/>
                <w:b w:val="0"/>
                <w:i w:val="0"/>
                <w:sz w:val="20"/>
              </w:rPr>
              <w:t>ERC-3643, DALPAsset</w:t>
            </w:r>
          </w:p>
        </w:tc>
      </w:tr>
    </w:tbl>
    <w:p>
      <w:pPr>
        <w:spacing w:before="0" w:after="0" w:line="120" w:lineRule="exact"/>
      </w:pPr>
    </w:p>
    <w:p>
      <w:pPr>
        <w:pStyle w:val="H3"/>
        <w:numPr>
          <w:ilvl w:val="2"/>
          <w:numId w:val="1"/>
        </w:numPr>
      </w:pPr>
      <w:r>
        <w:t>Integration</w:t>
      </w:r>
    </w:p>
    <w:p>
      <w:pPr>
        <w:pStyle w:val="ListParagraph"/>
        <w:numPr>
          <w:ilvl w:val="0"/>
          <w:numId w:val="4"/>
        </w:numPr>
      </w:pPr>
      <w:r>
        <w:rPr>
          <w:rFonts w:ascii="Figtree" w:hAnsi="Figtree"/>
          <w:b w:val="0"/>
          <w:i w:val="0"/>
          <w:sz w:val="22"/>
        </w:rPr>
        <w:t>REST API with OpenAPI 3.1</w:t>
      </w:r>
    </w:p>
    <w:p>
      <w:pPr>
        <w:pStyle w:val="ListParagraph"/>
        <w:numPr>
          <w:ilvl w:val="0"/>
          <w:numId w:val="4"/>
        </w:numPr>
      </w:pPr>
      <w:r>
        <w:rPr>
          <w:rFonts w:ascii="Figtree" w:hAnsi="Figtree"/>
          <w:b w:val="0"/>
          <w:i w:val="0"/>
          <w:sz w:val="22"/>
        </w:rPr>
        <w:t>TypeScript SDK</w:t>
      </w:r>
    </w:p>
    <w:p>
      <w:pPr>
        <w:pStyle w:val="ListParagraph"/>
        <w:numPr>
          <w:ilvl w:val="0"/>
          <w:numId w:val="4"/>
        </w:numPr>
      </w:pPr>
      <w:r>
        <w:rPr>
          <w:rFonts w:ascii="Figtree" w:hAnsi="Figtree"/>
          <w:b w:val="0"/>
          <w:i w:val="0"/>
          <w:sz w:val="22"/>
        </w:rPr>
        <w:t>Event streaming (SSE)</w:t>
      </w:r>
    </w:p>
    <w:p>
      <w:pPr>
        <w:pStyle w:val="ListParagraph"/>
        <w:numPr>
          <w:ilvl w:val="0"/>
          <w:numId w:val="4"/>
        </w:numPr>
      </w:pPr>
      <w:r>
        <w:rPr>
          <w:rFonts w:ascii="Figtree" w:hAnsi="Figtree"/>
          <w:b w:val="0"/>
          <w:i w:val="0"/>
          <w:sz w:val="22"/>
        </w:rPr>
        <w:t>PostgreSQL analytics</w:t>
      </w:r>
    </w:p>
    <w:p>
      <w:r>
        <w:br w:type="page"/>
      </w:r>
    </w:p>
    <w:p>
      <w:pPr>
        <w:pStyle w:val="H2"/>
        <w:numPr>
          <w:ilvl w:val="1"/>
          <w:numId w:val="1"/>
        </w:numPr>
      </w:pPr>
      <w:r>
        <w:t>Smart Contract Architecture</w:t>
      </w:r>
    </w:p>
    <w:p>
      <w:pPr>
        <w:pStyle w:val="H3"/>
        <w:numPr>
          <w:ilvl w:val="2"/>
          <w:numId w:val="1"/>
        </w:numPr>
      </w:pPr>
      <w:r>
        <w:t>SMART Protocol</w:t>
      </w:r>
    </w:p>
    <w:p>
      <w:r>
        <w:rPr>
          <w:rFonts w:ascii="Figtree" w:hAnsi="Figtree"/>
          <w:b w:val="0"/>
          <w:i w:val="0"/>
          <w:sz w:val="22"/>
        </w:rPr>
        <w:t>ERC-3643 foundation with:</w:t>
      </w:r>
    </w:p>
    <w:p>
      <w:pPr>
        <w:pStyle w:val="ListParagraph"/>
        <w:numPr>
          <w:ilvl w:val="0"/>
          <w:numId w:val="4"/>
        </w:numPr>
      </w:pPr>
      <w:r>
        <w:rPr>
          <w:rFonts w:ascii="Figtree" w:hAnsi="Figtree"/>
          <w:b w:val="0"/>
          <w:i w:val="0"/>
          <w:sz w:val="22"/>
        </w:rPr>
        <w:t>Token contracts</w:t>
      </w:r>
    </w:p>
    <w:p>
      <w:pPr>
        <w:pStyle w:val="ListParagraph"/>
        <w:numPr>
          <w:ilvl w:val="0"/>
          <w:numId w:val="4"/>
        </w:numPr>
      </w:pPr>
      <w:r>
        <w:rPr>
          <w:rFonts w:ascii="Figtree" w:hAnsi="Figtree"/>
          <w:b w:val="0"/>
          <w:i w:val="0"/>
          <w:sz w:val="22"/>
        </w:rPr>
        <w:t>Compliance orchestration</w:t>
      </w:r>
    </w:p>
    <w:p>
      <w:pPr>
        <w:pStyle w:val="ListParagraph"/>
        <w:numPr>
          <w:ilvl w:val="0"/>
          <w:numId w:val="4"/>
        </w:numPr>
      </w:pPr>
      <w:r>
        <w:rPr>
          <w:rFonts w:ascii="Figtree" w:hAnsi="Figtree"/>
          <w:b w:val="0"/>
          <w:i w:val="0"/>
          <w:sz w:val="22"/>
        </w:rPr>
        <w:t>Identity management (OnchainID)</w:t>
      </w:r>
    </w:p>
    <w:p>
      <w:pPr>
        <w:pStyle w:val="H3"/>
        <w:numPr>
          <w:ilvl w:val="2"/>
          <w:numId w:val="1"/>
        </w:numPr>
      </w:pPr>
      <w:r>
        <w:t>Bond Features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06"/>
        <w:gridCol w:w="546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Maturity Redemption</w:t>
            </w:r>
          </w:p>
        </w:tc>
        <w:tc>
          <w:tcPr>
            <w:tcW w:type="dxa" w:w="4873"/>
            <w:vAlign w:val="center"/>
          </w:tcPr>
          <w:p>
            <w:pPr>
              <w:spacing w:line="276" w:lineRule="auto" w:before="0" w:after="0"/>
            </w:pPr>
            <w:r/>
            <w:r>
              <w:rPr>
                <w:rFonts w:ascii="Figtree" w:hAnsi="Figtree"/>
                <w:b w:val="0"/>
                <w:i w:val="0"/>
                <w:sz w:val="20"/>
              </w:rPr>
              <w:t>Atomic redemption at maturity</w:t>
            </w:r>
          </w:p>
        </w:tc>
      </w:tr>
      <w:tr>
        <w:trPr>
          <w:trHeight w:val="425" w:hRule="atLeast"/>
        </w:trPr>
        <w:tc>
          <w:tcPr>
            <w:tcW w:type="dxa" w:w="4873"/>
            <w:vAlign w:val="center"/>
          </w:tcPr>
          <w:p>
            <w:pPr>
              <w:spacing w:line="276" w:lineRule="auto" w:before="0" w:after="0"/>
            </w:pPr>
            <w:r/>
            <w:r>
              <w:rPr>
                <w:rFonts w:ascii="Figtree" w:hAnsi="Figtree"/>
                <w:b w:val="0"/>
                <w:i w:val="0"/>
                <w:sz w:val="20"/>
              </w:rPr>
              <w:t>Coupon Distribution</w:t>
            </w:r>
          </w:p>
        </w:tc>
        <w:tc>
          <w:tcPr>
            <w:tcW w:type="dxa" w:w="4873"/>
            <w:vAlign w:val="center"/>
          </w:tcPr>
          <w:p>
            <w:pPr>
              <w:spacing w:line="276" w:lineRule="auto" w:before="0" w:after="0"/>
            </w:pPr>
            <w:r/>
            <w:r>
              <w:rPr>
                <w:rFonts w:ascii="Figtree" w:hAnsi="Figtree"/>
                <w:b w:val="0"/>
                <w:i w:val="0"/>
                <w:sz w:val="20"/>
              </w:rPr>
              <w:t>Pull-based yield</w:t>
            </w:r>
          </w:p>
        </w:tc>
      </w:tr>
      <w:tr>
        <w:trPr>
          <w:trHeight w:val="425" w:hRule="atLeast"/>
        </w:trPr>
        <w:tc>
          <w:tcPr>
            <w:tcW w:type="dxa" w:w="4873"/>
            <w:vAlign w:val="center"/>
          </w:tcPr>
          <w:p>
            <w:pPr>
              <w:spacing w:line="276" w:lineRule="auto" w:before="0" w:after="0"/>
            </w:pPr>
            <w:r/>
            <w:r>
              <w:rPr>
                <w:rFonts w:ascii="Figtree" w:hAnsi="Figtree"/>
                <w:b w:val="0"/>
                <w:i w:val="0"/>
                <w:sz w:val="20"/>
              </w:rPr>
              <w:t>Voting Power</w:t>
            </w:r>
          </w:p>
        </w:tc>
        <w:tc>
          <w:tcPr>
            <w:tcW w:type="dxa" w:w="4873"/>
            <w:vAlign w:val="center"/>
          </w:tcPr>
          <w:p>
            <w:pPr>
              <w:spacing w:line="276" w:lineRule="auto" w:before="0" w:after="0"/>
            </w:pPr>
            <w:r/>
            <w:r>
              <w:rPr>
                <w:rFonts w:ascii="Figtree" w:hAnsi="Figtree"/>
                <w:b w:val="0"/>
                <w:i w:val="0"/>
                <w:sz w:val="20"/>
              </w:rPr>
              <w:t>ERC-5805 governance</w:t>
            </w:r>
          </w:p>
        </w:tc>
      </w:tr>
    </w:tbl>
    <w:p>
      <w:pPr>
        <w:spacing w:before="0" w:after="0" w:line="120" w:lineRule="exact"/>
      </w:pPr>
    </w:p>
    <w:p>
      <w:r>
        <w:br w:type="page"/>
      </w:r>
    </w:p>
    <w:p>
      <w:pPr>
        <w:pStyle w:val="H2"/>
        <w:numPr>
          <w:ilvl w:val="1"/>
          <w:numId w:val="1"/>
        </w:numPr>
      </w:pPr>
      <w:r>
        <w:t>Compliance and Regulatory Controls</w:t>
      </w:r>
    </w:p>
    <w:p>
      <w:pPr>
        <w:pStyle w:val="H3"/>
        <w:numPr>
          <w:ilvl w:val="2"/>
          <w:numId w:val="1"/>
        </w:numPr>
      </w:pPr>
      <w:r>
        <w:t>Compliance Modules</w:t>
      </w:r>
    </w:p>
    <w:p>
      <w:r>
        <w:rPr>
          <w:rFonts w:ascii="Figtree" w:hAnsi="Figtree"/>
          <w:b w:val="0"/>
          <w:i w:val="0"/>
          <w:sz w:val="22"/>
        </w:rPr>
        <w:t>18 module types including:</w:t>
      </w:r>
    </w:p>
    <w:p>
      <w:pPr>
        <w:pStyle w:val="ListParagraph"/>
        <w:numPr>
          <w:ilvl w:val="0"/>
          <w:numId w:val="4"/>
        </w:numPr>
      </w:pPr>
      <w:r>
        <w:rPr>
          <w:rFonts w:ascii="Figtree" w:hAnsi="Figtree"/>
          <w:b w:val="0"/>
          <w:i w:val="0"/>
          <w:sz w:val="22"/>
        </w:rPr>
        <w:t>Identity Verification</w:t>
      </w:r>
    </w:p>
    <w:p>
      <w:pPr>
        <w:pStyle w:val="ListParagraph"/>
        <w:numPr>
          <w:ilvl w:val="0"/>
          <w:numId w:val="4"/>
        </w:numPr>
      </w:pPr>
      <w:r>
        <w:rPr>
          <w:rFonts w:ascii="Figtree" w:hAnsi="Figtree"/>
          <w:b w:val="0"/>
          <w:i w:val="0"/>
          <w:sz w:val="22"/>
        </w:rPr>
        <w:t>Country Restrictions</w:t>
      </w:r>
    </w:p>
    <w:p>
      <w:pPr>
        <w:pStyle w:val="ListParagraph"/>
        <w:numPr>
          <w:ilvl w:val="0"/>
          <w:numId w:val="4"/>
        </w:numPr>
      </w:pPr>
      <w:r>
        <w:rPr>
          <w:rFonts w:ascii="Figtree" w:hAnsi="Figtree"/>
          <w:b w:val="0"/>
          <w:i w:val="0"/>
          <w:sz w:val="22"/>
        </w:rPr>
        <w:t>Investor Count Limits</w:t>
      </w:r>
    </w:p>
    <w:p>
      <w:pPr>
        <w:pStyle w:val="ListParagraph"/>
        <w:numPr>
          <w:ilvl w:val="0"/>
          <w:numId w:val="4"/>
        </w:numPr>
      </w:pPr>
      <w:r>
        <w:rPr>
          <w:rFonts w:ascii="Figtree" w:hAnsi="Figtree"/>
          <w:b w:val="0"/>
          <w:i w:val="0"/>
          <w:sz w:val="22"/>
        </w:rPr>
        <w:t>Transfer Approval</w:t>
      </w:r>
    </w:p>
    <w:p>
      <w:pPr>
        <w:pStyle w:val="H3"/>
        <w:numPr>
          <w:ilvl w:val="2"/>
          <w:numId w:val="1"/>
        </w:numPr>
      </w:pPr>
      <w:r>
        <w:t>AMF Alignment</w:t>
      </w:r>
    </w:p>
    <w:p>
      <w:pPr>
        <w:pStyle w:val="ListParagraph"/>
        <w:numPr>
          <w:ilvl w:val="0"/>
          <w:numId w:val="4"/>
        </w:numPr>
      </w:pPr>
      <w:r>
        <w:rPr>
          <w:rFonts w:ascii="Figtree" w:hAnsi="Figtree"/>
          <w:b w:val="0"/>
          <w:i w:val="0"/>
          <w:sz w:val="22"/>
        </w:rPr>
        <w:t>MiFID II compliance</w:t>
      </w:r>
    </w:p>
    <w:p>
      <w:pPr>
        <w:pStyle w:val="ListParagraph"/>
        <w:numPr>
          <w:ilvl w:val="0"/>
          <w:numId w:val="4"/>
        </w:numPr>
      </w:pPr>
      <w:r>
        <w:rPr>
          <w:rFonts w:ascii="Figtree" w:hAnsi="Figtree"/>
          <w:b w:val="0"/>
          <w:i w:val="0"/>
          <w:sz w:val="22"/>
        </w:rPr>
        <w:t>Transaction reporting</w:t>
      </w:r>
    </w:p>
    <w:p>
      <w:pPr>
        <w:pStyle w:val="ListParagraph"/>
        <w:numPr>
          <w:ilvl w:val="0"/>
          <w:numId w:val="4"/>
        </w:numPr>
      </w:pPr>
      <w:r>
        <w:rPr>
          <w:rFonts w:ascii="Figtree" w:hAnsi="Figtree"/>
          <w:b w:val="0"/>
          <w:i w:val="0"/>
          <w:sz w:val="22"/>
        </w:rPr>
        <w:t>Investor disclosure</w:t>
      </w:r>
    </w:p>
    <w:p>
      <w:r>
        <w:br w:type="page"/>
      </w:r>
    </w:p>
    <w:p>
      <w:pPr>
        <w:pStyle w:val="H2"/>
        <w:numPr>
          <w:ilvl w:val="1"/>
          <w:numId w:val="1"/>
        </w:numPr>
      </w:pPr>
      <w:r>
        <w:t>Settlement and Servicing</w:t>
      </w:r>
    </w:p>
    <w:p>
      <w:pPr>
        <w:pStyle w:val="H3"/>
        <w:numPr>
          <w:ilvl w:val="2"/>
          <w:numId w:val="1"/>
        </w:numPr>
      </w:pPr>
      <w:r>
        <w:t>Settlement Options</w:t>
      </w:r>
    </w:p>
    <w:p>
      <w:pPr>
        <w:pStyle w:val="ListParagraph"/>
        <w:numPr>
          <w:ilvl w:val="0"/>
          <w:numId w:val="4"/>
        </w:numPr>
      </w:pPr>
      <w:r>
        <w:rPr>
          <w:rFonts w:ascii="Figtree" w:hAnsi="Figtree"/>
          <w:b w:val="0"/>
          <w:i w:val="0"/>
          <w:sz w:val="22"/>
        </w:rPr>
        <w:t>DvP (Delivery-versus-Payment)</w:t>
      </w:r>
    </w:p>
    <w:p>
      <w:pPr>
        <w:pStyle w:val="ListParagraph"/>
        <w:numPr>
          <w:ilvl w:val="0"/>
          <w:numId w:val="4"/>
        </w:numPr>
      </w:pPr>
      <w:r>
        <w:rPr>
          <w:rFonts w:ascii="Figtree" w:hAnsi="Figtree"/>
          <w:b w:val="0"/>
          <w:i w:val="0"/>
          <w:sz w:val="22"/>
        </w:rPr>
        <w:t>T+0 finality on permissioned networks</w:t>
      </w:r>
    </w:p>
    <w:p>
      <w:pPr>
        <w:pStyle w:val="H3"/>
        <w:numPr>
          <w:ilvl w:val="2"/>
          <w:numId w:val="1"/>
        </w:numPr>
      </w:pPr>
      <w:r>
        <w:t>Servicing</w:t>
      </w:r>
    </w:p>
    <w:p>
      <w:pPr>
        <w:pStyle w:val="ListParagraph"/>
        <w:numPr>
          <w:ilvl w:val="0"/>
          <w:numId w:val="4"/>
        </w:numPr>
      </w:pPr>
      <w:r>
        <w:rPr>
          <w:rFonts w:ascii="Figtree" w:hAnsi="Figtree"/>
          <w:b w:val="0"/>
          <w:i w:val="0"/>
          <w:sz w:val="22"/>
        </w:rPr>
        <w:t>Coupon distribution</w:t>
      </w:r>
    </w:p>
    <w:p>
      <w:pPr>
        <w:pStyle w:val="ListParagraph"/>
        <w:numPr>
          <w:ilvl w:val="0"/>
          <w:numId w:val="4"/>
        </w:numPr>
      </w:pPr>
      <w:r>
        <w:rPr>
          <w:rFonts w:ascii="Figtree" w:hAnsi="Figtree"/>
          <w:b w:val="0"/>
          <w:i w:val="0"/>
          <w:sz w:val="22"/>
        </w:rPr>
        <w:t>Maturity redemption</w:t>
      </w:r>
    </w:p>
    <w:p>
      <w:pPr>
        <w:pStyle w:val="ListParagraph"/>
        <w:numPr>
          <w:ilvl w:val="0"/>
          <w:numId w:val="4"/>
        </w:numPr>
      </w:pPr>
      <w:r>
        <w:rPr>
          <w:rFonts w:ascii="Figtree" w:hAnsi="Figtree"/>
          <w:b w:val="0"/>
          <w:i w:val="0"/>
          <w:sz w:val="22"/>
        </w:rPr>
        <w:t>Corporate actions</w:t>
      </w:r>
    </w:p>
    <w:p>
      <w:r>
        <w:br w:type="page"/>
      </w:r>
    </w:p>
    <w:p>
      <w:pPr>
        <w:pStyle w:val="H2"/>
        <w:numPr>
          <w:ilvl w:val="1"/>
          <w:numId w:val="1"/>
        </w:numPr>
      </w:pPr>
      <w:r>
        <w:t>Security and Resilience</w:t>
      </w:r>
    </w:p>
    <w:p>
      <w:pPr>
        <w:pStyle w:val="H3"/>
        <w:numPr>
          <w:ilvl w:val="2"/>
          <w:numId w:val="1"/>
        </w:numPr>
      </w:pPr>
      <w:r>
        <w:t>Security Layers</w:t>
      </w:r>
    </w:p>
    <w:p>
      <w:pPr>
        <w:pStyle w:val="ListParagraph"/>
        <w:numPr>
          <w:ilvl w:val="0"/>
          <w:numId w:val="7"/>
        </w:numPr>
      </w:pPr>
      <w:r>
        <w:rPr>
          <w:rFonts w:ascii="Figtree" w:hAnsi="Figtree"/>
          <w:b w:val="0"/>
          <w:i w:val="0"/>
          <w:sz w:val="22"/>
        </w:rPr>
        <w:t>Authentication (session, API keys)</w:t>
      </w:r>
    </w:p>
    <w:p>
      <w:pPr>
        <w:pStyle w:val="ListParagraph"/>
        <w:numPr>
          <w:ilvl w:val="0"/>
          <w:numId w:val="7"/>
        </w:numPr>
      </w:pPr>
      <w:r>
        <w:rPr>
          <w:rFonts w:ascii="Figtree" w:hAnsi="Figtree"/>
          <w:b w:val="0"/>
          <w:i w:val="0"/>
          <w:sz w:val="22"/>
        </w:rPr>
        <w:t>Authorization (roles)</w:t>
      </w:r>
    </w:p>
    <w:p>
      <w:pPr>
        <w:pStyle w:val="ListParagraph"/>
        <w:numPr>
          <w:ilvl w:val="0"/>
          <w:numId w:val="7"/>
        </w:numPr>
      </w:pPr>
      <w:r>
        <w:rPr>
          <w:rFonts w:ascii="Figtree" w:hAnsi="Figtree"/>
          <w:b w:val="0"/>
          <w:i w:val="0"/>
          <w:sz w:val="22"/>
        </w:rPr>
        <w:t>Wallet verification</w:t>
      </w:r>
    </w:p>
    <w:p>
      <w:pPr>
        <w:pStyle w:val="ListParagraph"/>
        <w:numPr>
          <w:ilvl w:val="0"/>
          <w:numId w:val="7"/>
        </w:numPr>
      </w:pPr>
      <w:r>
        <w:rPr>
          <w:rFonts w:ascii="Figtree" w:hAnsi="Figtree"/>
          <w:b w:val="0"/>
          <w:i w:val="0"/>
          <w:sz w:val="22"/>
        </w:rPr>
        <w:t>On-chain compliance</w:t>
      </w:r>
    </w:p>
    <w:p>
      <w:pPr>
        <w:pStyle w:val="ListParagraph"/>
        <w:numPr>
          <w:ilvl w:val="0"/>
          <w:numId w:val="7"/>
        </w:numPr>
      </w:pPr>
      <w:r>
        <w:rPr>
          <w:rFonts w:ascii="Figtree" w:hAnsi="Figtree"/>
          <w:b w:val="0"/>
          <w:i w:val="0"/>
          <w:sz w:val="22"/>
        </w:rPr>
        <w:t>Custody policy</w:t>
      </w:r>
    </w:p>
    <w:p>
      <w:pPr>
        <w:pStyle w:val="H3"/>
        <w:numPr>
          <w:ilvl w:val="2"/>
          <w:numId w:val="1"/>
        </w:numPr>
      </w:pPr>
      <w:r>
        <w:t>Certifications</w:t>
      </w:r>
    </w:p>
    <w:p>
      <w:pPr>
        <w:pStyle w:val="ListParagraph"/>
        <w:numPr>
          <w:ilvl w:val="0"/>
          <w:numId w:val="4"/>
        </w:numPr>
      </w:pPr>
      <w:r>
        <w:rPr>
          <w:rFonts w:ascii="Figtree" w:hAnsi="Figtree"/>
          <w:b w:val="0"/>
          <w:i w:val="0"/>
          <w:sz w:val="22"/>
        </w:rPr>
        <w:t>ISO 27001</w:t>
      </w:r>
    </w:p>
    <w:p>
      <w:pPr>
        <w:pStyle w:val="ListParagraph"/>
        <w:numPr>
          <w:ilvl w:val="0"/>
          <w:numId w:val="4"/>
        </w:numPr>
      </w:pPr>
      <w:r>
        <w:rPr>
          <w:rFonts w:ascii="Figtree" w:hAnsi="Figtree"/>
          <w:b w:val="0"/>
          <w:i w:val="0"/>
          <w:sz w:val="22"/>
        </w:rPr>
        <w:t>SOC 2 Type II</w:t>
      </w:r>
    </w:p>
    <w:p>
      <w:r>
        <w:br w:type="page"/>
      </w:r>
    </w:p>
    <w:p>
      <w:pPr>
        <w:pStyle w:val="H2"/>
        <w:numPr>
          <w:ilvl w:val="1"/>
          <w:numId w:val="1"/>
        </w:numPr>
      </w:pPr>
      <w:r>
        <w:t>Implementation Approach</w:t>
      </w:r>
    </w:p>
    <w:p>
      <w:pPr>
        <w:pStyle w:val="H3"/>
        <w:numPr>
          <w:ilvl w:val="2"/>
          <w:numId w:val="1"/>
        </w:numPr>
      </w:pPr>
      <w:r>
        <w:t>Timeline</w:t>
      </w:r>
    </w:p>
    <w:p>
      <w:r>
        <w:rPr>
          <w:rFonts w:ascii="Figtree" w:hAnsi="Figtree"/>
          <w:b w:val="0"/>
          <w:i w:val="0"/>
          <w:sz w:val="22"/>
        </w:rPr>
        <w:t>19 weeks:</w:t>
      </w:r>
    </w:p>
    <w:p>
      <w:pPr>
        <w:pStyle w:val="ListParagraph"/>
        <w:numPr>
          <w:ilvl w:val="0"/>
          <w:numId w:val="4"/>
        </w:numPr>
      </w:pPr>
      <w:r>
        <w:rPr>
          <w:rFonts w:ascii="Figtree" w:hAnsi="Figtree"/>
          <w:b w:val="0"/>
          <w:i w:val="0"/>
          <w:sz w:val="22"/>
        </w:rPr>
        <w:t>Discovery: 2 weeks</w:t>
      </w:r>
    </w:p>
    <w:p>
      <w:pPr>
        <w:pStyle w:val="ListParagraph"/>
        <w:numPr>
          <w:ilvl w:val="0"/>
          <w:numId w:val="4"/>
        </w:numPr>
      </w:pPr>
      <w:r>
        <w:rPr>
          <w:rFonts w:ascii="Figtree" w:hAnsi="Figtree"/>
          <w:b w:val="0"/>
          <w:i w:val="0"/>
          <w:sz w:val="22"/>
        </w:rPr>
        <w:t>Foundation: 3 weeks</w:t>
      </w:r>
    </w:p>
    <w:p>
      <w:pPr>
        <w:pStyle w:val="ListParagraph"/>
        <w:numPr>
          <w:ilvl w:val="0"/>
          <w:numId w:val="4"/>
        </w:numPr>
      </w:pPr>
      <w:r>
        <w:rPr>
          <w:rFonts w:ascii="Figtree" w:hAnsi="Figtree"/>
          <w:b w:val="0"/>
          <w:i w:val="0"/>
          <w:sz w:val="22"/>
        </w:rPr>
        <w:t>Configuration: 4 weeks</w:t>
      </w:r>
    </w:p>
    <w:p>
      <w:pPr>
        <w:pStyle w:val="ListParagraph"/>
        <w:numPr>
          <w:ilvl w:val="0"/>
          <w:numId w:val="4"/>
        </w:numPr>
      </w:pPr>
      <w:r>
        <w:rPr>
          <w:rFonts w:ascii="Figtree" w:hAnsi="Figtree"/>
          <w:b w:val="0"/>
          <w:i w:val="0"/>
          <w:sz w:val="22"/>
        </w:rPr>
        <w:t>Integration: 4 weeks</w:t>
      </w:r>
    </w:p>
    <w:p>
      <w:pPr>
        <w:pStyle w:val="ListParagraph"/>
        <w:numPr>
          <w:ilvl w:val="0"/>
          <w:numId w:val="4"/>
        </w:numPr>
      </w:pPr>
      <w:r>
        <w:rPr>
          <w:rFonts w:ascii="Figtree" w:hAnsi="Figtree"/>
          <w:b w:val="0"/>
          <w:i w:val="0"/>
          <w:sz w:val="22"/>
        </w:rPr>
        <w:t>Go-Live: 6 weeks</w:t>
      </w:r>
    </w:p>
    <w:p>
      <w:r>
        <w:br w:type="page"/>
      </w:r>
    </w:p>
    <w:p>
      <w:pPr>
        <w:pStyle w:val="H2"/>
        <w:numPr>
          <w:ilvl w:val="1"/>
          <w:numId w:val="1"/>
        </w:numPr>
      </w:pPr>
      <w:r>
        <w:t>Dependencies and Gaps</w:t>
      </w:r>
    </w:p>
    <w:p>
      <w:pPr>
        <w:pStyle w:val="H3"/>
        <w:numPr>
          <w:ilvl w:val="2"/>
          <w:numId w:val="1"/>
        </w:numPr>
      </w:pPr>
      <w:r>
        <w:t>Dependencies</w:t>
      </w:r>
    </w:p>
    <w:p>
      <w:pPr>
        <w:pStyle w:val="ListParagraph"/>
        <w:numPr>
          <w:ilvl w:val="0"/>
          <w:numId w:val="4"/>
        </w:numPr>
      </w:pPr>
      <w:r>
        <w:rPr>
          <w:rFonts w:ascii="Figtree" w:hAnsi="Figtree"/>
          <w:b w:val="0"/>
          <w:i w:val="0"/>
          <w:sz w:val="22"/>
        </w:rPr>
        <w:t>Cloud infrastructure</w:t>
      </w:r>
    </w:p>
    <w:p>
      <w:pPr>
        <w:pStyle w:val="ListParagraph"/>
        <w:numPr>
          <w:ilvl w:val="0"/>
          <w:numId w:val="4"/>
        </w:numPr>
      </w:pPr>
      <w:r>
        <w:rPr>
          <w:rFonts w:ascii="Figtree" w:hAnsi="Figtree"/>
          <w:b w:val="0"/>
          <w:i w:val="0"/>
          <w:sz w:val="22"/>
        </w:rPr>
        <w:t>Custody provider</w:t>
      </w:r>
    </w:p>
    <w:p>
      <w:pPr>
        <w:pStyle w:val="ListParagraph"/>
        <w:numPr>
          <w:ilvl w:val="0"/>
          <w:numId w:val="4"/>
        </w:numPr>
      </w:pPr>
      <w:r>
        <w:rPr>
          <w:rFonts w:ascii="Figtree" w:hAnsi="Figtree"/>
          <w:b w:val="0"/>
          <w:i w:val="0"/>
          <w:sz w:val="22"/>
        </w:rPr>
        <w:t>Euroclear France integration</w:t>
      </w:r>
    </w:p>
    <w:p>
      <w:r>
        <w:br w:type="page"/>
      </w:r>
    </w:p>
    <w:p>
      <w:r>
        <w:rPr>
          <w:rFonts w:ascii="Figtree" w:hAnsi="Figtree"/>
          <w:b w:val="0"/>
          <w:i/>
          <w:sz w:val="22"/>
        </w:rPr>
        <w:t>End of Technical Proposal</w:t>
      </w:r>
    </w:p>
    <w:p>
      <w:r>
        <w:rPr>
          <w:rFonts w:ascii="Figtree" w:hAnsi="Figtree"/>
          <w:b/>
          <w:i w:val="0"/>
          <w:sz w:val="22"/>
        </w:rPr>
        <w:t>Document Control</w:t>
      </w:r>
    </w:p>
    <w:p>
      <w:pPr>
        <w:pStyle w:val="ListParagraph"/>
        <w:numPr>
          <w:ilvl w:val="0"/>
          <w:numId w:val="4"/>
        </w:numPr>
      </w:pPr>
      <w:r>
        <w:rPr>
          <w:rFonts w:ascii="Figtree" w:hAnsi="Figtree"/>
          <w:b w:val="0"/>
          <w:i w:val="0"/>
          <w:sz w:val="22"/>
        </w:rPr>
        <w:t>Version: 1.0</w:t>
      </w:r>
    </w:p>
    <w:p>
      <w:pPr>
        <w:pStyle w:val="ListParagraph"/>
        <w:numPr>
          <w:ilvl w:val="0"/>
          <w:numId w:val="4"/>
        </w:numPr>
      </w:pPr>
      <w:r>
        <w:rPr>
          <w:rFonts w:ascii="Figtree" w:hAnsi="Figtree"/>
          <w:b w:val="0"/>
          <w:i w:val="0"/>
          <w:sz w:val="22"/>
        </w:rPr>
        <w:t>Date: March 2026</w:t>
      </w:r>
    </w:p>
    <w:p>
      <w:pPr>
        <w:pStyle w:val="ListParagraph"/>
        <w:numPr>
          <w:ilvl w:val="0"/>
          <w:numId w:val="4"/>
        </w:numPr>
      </w:pPr>
      <w:r>
        <w:rPr>
          <w:rFonts w:ascii="Figtree" w:hAnsi="Figtree"/>
          <w:b w:val="0"/>
          <w:i w:val="0"/>
          <w:sz w:val="22"/>
        </w:rPr>
        <w:t>Prepared by: SettleMint NV</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