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Architecture</w:t>
          </w:r>
          <w:r>
            <w:tab/>
          </w:r>
          <w:r>
            <w:t xml:space="preserve">4</w:t>
          </w:r>
        </w:p>
        <w:p>
          <w:pPr>
            <w:pStyle w:val="TOC3"/>
            <w:tabs>
              <w:tab w:val="right" w:leader="dot" w:pos="9072"/>
            </w:tabs>
          </w:pPr>
          <w:r>
            <w:t xml:space="preserve">Custody Stack</w:t>
          </w:r>
          <w:r>
            <w:tab/>
          </w:r>
          <w:r>
            <w:t xml:space="preserve">5</w:t>
          </w:r>
        </w:p>
        <w:p>
          <w:pPr>
            <w:pStyle w:val="TOC2"/>
            <w:tabs>
              <w:tab w:val="right" w:leader="dot" w:pos="9072"/>
            </w:tabs>
          </w:pPr>
          <w:r>
            <w:t xml:space="preserve">Security</w:t>
          </w:r>
          <w:r>
            <w:tab/>
          </w:r>
          <w:r>
            <w:t xml:space="preserve">6</w:t>
          </w:r>
        </w:p>
        <w:p>
          <w:pPr>
            <w:pStyle w:val="TOC3"/>
            <w:tabs>
              <w:tab w:val="right" w:leader="dot" w:pos="9072"/>
            </w:tabs>
          </w:pPr>
          <w:r>
            <w:t xml:space="preserve">Key Management</w:t>
          </w:r>
          <w:r>
            <w:tab/>
          </w:r>
          <w:r>
            <w:t xml:space="preserve">7</w:t>
          </w:r>
        </w:p>
        <w:p>
          <w:pPr>
            <w:pStyle w:val="TOC3"/>
            <w:tabs>
              <w:tab w:val="right" w:leader="dot" w:pos="9072"/>
            </w:tabs>
          </w:pPr>
          <w:r>
            <w:t xml:space="preserve">Defense Layers</w:t>
          </w:r>
          <w:r>
            <w:tab/>
          </w:r>
          <w:r>
            <w:t xml:space="preserve">8</w:t>
          </w:r>
        </w:p>
        <w:p>
          <w:pPr>
            <w:pStyle w:val="TOC2"/>
            <w:tabs>
              <w:tab w:val="right" w:leader="dot" w:pos="9072"/>
            </w:tabs>
          </w:pPr>
          <w:r>
            <w:t xml:space="preserve">Compliance</w:t>
          </w:r>
          <w:r>
            <w:tab/>
          </w:r>
          <w:r>
            <w:t xml:space="preserve">9</w:t>
          </w:r>
        </w:p>
        <w:p>
          <w:pPr>
            <w:pStyle w:val="TOC3"/>
            <w:tabs>
              <w:tab w:val="right" w:leader="dot" w:pos="9072"/>
            </w:tabs>
          </w:pPr>
          <w:r>
            <w:t xml:space="preserve">Regulatory Coverage</w:t>
          </w:r>
          <w:r>
            <w:tab/>
          </w:r>
          <w:r>
            <w:t xml:space="preserve">10</w:t>
          </w:r>
        </w:p>
        <w:p>
          <w:pPr>
            <w:pStyle w:val="TOC2"/>
            <w:tabs>
              <w:tab w:val="right" w:leader="dot" w:pos="9072"/>
            </w:tabs>
          </w:pPr>
          <w:r>
            <w:t xml:space="preserve">Implementation</w:t>
          </w:r>
          <w:r>
            <w:tab/>
          </w:r>
          <w:r>
            <w:t xml:space="preserve">11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Asset Custody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Standard Chartered</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STANDARD-CHARTERED-RFP-DIGITAL-ASSET-CUSTODY-202603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Standard Chartered is establishing a digital asset custody platform to serve institutional clients across Asia, Africa, and the Middle East. The platform will provide secure storage and servicing of tokenized assets with integration to existing custody infrastructure.</w:t>
      </w:r>
    </w:p>
    <w:p>
      <w:r>
        <w:rPr>
          <w:rFonts w:ascii="Figtree" w:hAnsi="Figtree"/>
          <w:b w:val="0"/>
          <w:i w:val="0"/>
          <w:sz w:val="22"/>
        </w:rPr>
        <w:t>SettleMint's DALP provides the custody infrastructure layer with enterprise key management, multi-asset support, and regulatory compliance.</w:t>
      </w:r>
    </w:p>
    <w:p>
      <w:r>
        <w:rPr>
          <w:rFonts w:ascii="Figtree" w:hAnsi="Figtree"/>
          <w:b/>
          <w:i w:val="0"/>
          <w:sz w:val="22"/>
        </w:rPr>
        <w:t>Key Points:</w:t>
      </w:r>
    </w:p>
    <w:p>
      <w:pPr>
        <w:pStyle w:val="ListParagraph"/>
        <w:numPr>
          <w:ilvl w:val="0"/>
          <w:numId w:val="4"/>
        </w:numPr>
      </w:pPr>
      <w:r>
        <w:rPr>
          <w:rFonts w:ascii="Figtree" w:hAnsi="Figtree"/>
          <w:b w:val="0"/>
          <w:i w:val="0"/>
          <w:sz w:val="22"/>
        </w:rPr>
        <w:t>Enterprise key management (HSM, MPC)</w:t>
      </w:r>
    </w:p>
    <w:p>
      <w:pPr>
        <w:pStyle w:val="ListParagraph"/>
        <w:numPr>
          <w:ilvl w:val="0"/>
          <w:numId w:val="4"/>
        </w:numPr>
      </w:pPr>
      <w:r>
        <w:rPr>
          <w:rFonts w:ascii="Figtree" w:hAnsi="Figtree"/>
          <w:b w:val="0"/>
          <w:i w:val="0"/>
          <w:sz w:val="22"/>
        </w:rPr>
        <w:t>Multi-asset support</w:t>
      </w:r>
    </w:p>
    <w:p>
      <w:pPr>
        <w:pStyle w:val="ListParagraph"/>
        <w:numPr>
          <w:ilvl w:val="0"/>
          <w:numId w:val="4"/>
        </w:numPr>
      </w:pPr>
      <w:r>
        <w:rPr>
          <w:rFonts w:ascii="Figtree" w:hAnsi="Figtree"/>
          <w:b w:val="0"/>
          <w:i w:val="0"/>
          <w:sz w:val="22"/>
        </w:rPr>
        <w:t>Regulatory compliance (FCA, MAS, HKMA)</w:t>
      </w:r>
    </w:p>
    <w:p>
      <w:pPr>
        <w:pStyle w:val="ListParagraph"/>
        <w:numPr>
          <w:ilvl w:val="0"/>
          <w:numId w:val="4"/>
        </w:numPr>
      </w:pPr>
      <w:r>
        <w:rPr>
          <w:rFonts w:ascii="Figtree" w:hAnsi="Figtree"/>
          <w:b w:val="0"/>
          <w:i w:val="0"/>
          <w:sz w:val="22"/>
        </w:rPr>
        <w:t>Integration with existing custody infrastructure</w:t>
      </w:r>
    </w:p>
    <w:p>
      <w:r>
        <w:br w:type="page"/>
      </w:r>
    </w:p>
    <w:p>
      <w:pPr>
        <w:pStyle w:val="H2"/>
        <w:numPr>
          <w:ilvl w:val="1"/>
          <w:numId w:val="1"/>
        </w:numPr>
      </w:pPr>
      <w:r>
        <w:t>Architecture</w:t>
      </w:r>
    </w:p>
    <w:p>
      <w:pPr>
        <w:pStyle w:val="H3"/>
        <w:numPr>
          <w:ilvl w:val="2"/>
          <w:numId w:val="1"/>
        </w:numPr>
      </w:pPr>
      <w:r>
        <w:t>Custody Stack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82"/>
        <w:gridCol w:w="49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Transaction Signer</w:t>
            </w:r>
          </w:p>
        </w:tc>
        <w:tc>
          <w:tcPr>
            <w:tcW w:type="dxa" w:w="4873"/>
            <w:vAlign w:val="center"/>
          </w:tcPr>
          <w:p>
            <w:pPr>
              <w:spacing w:line="276" w:lineRule="auto" w:before="0" w:after="0"/>
            </w:pPr>
            <w:r/>
            <w:r>
              <w:rPr>
                <w:rFonts w:ascii="Figtree" w:hAnsi="Figtree"/>
                <w:b w:val="0"/>
                <w:i w:val="0"/>
                <w:sz w:val="20"/>
              </w:rPr>
              <w:t>Transaction execution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 Engine</w:t>
            </w:r>
          </w:p>
        </w:tc>
        <w:tc>
          <w:tcPr>
            <w:tcW w:type="dxa" w:w="4873"/>
            <w:vAlign w:val="center"/>
          </w:tcPr>
          <w:p>
            <w:pPr>
              <w:spacing w:line="276" w:lineRule="auto" w:before="0" w:after="0"/>
            </w:pPr>
            <w:r/>
            <w:r>
              <w:rPr>
                <w:rFonts w:ascii="Figtree" w:hAnsi="Figtree"/>
                <w:b w:val="0"/>
                <w:i w:val="0"/>
                <w:sz w:val="20"/>
              </w:rPr>
              <w:t>Regulatory enforcement</w:t>
            </w:r>
          </w:p>
        </w:tc>
      </w:tr>
      <w:tr>
        <w:trPr>
          <w:trHeight w:val="425" w:hRule="atLeast"/>
        </w:trPr>
        <w:tc>
          <w:tcPr>
            <w:tcW w:type="dxa" w:w="4873"/>
            <w:vAlign w:val="center"/>
          </w:tcPr>
          <w:p>
            <w:pPr>
              <w:spacing w:line="276" w:lineRule="auto" w:before="0" w:after="0"/>
            </w:pPr>
            <w:r/>
            <w:r>
              <w:rPr>
                <w:rFonts w:ascii="Figtree" w:hAnsi="Figtree"/>
                <w:b w:val="0"/>
                <w:i w:val="0"/>
                <w:sz w:val="20"/>
              </w:rPr>
              <w:t>Asset Vault</w:t>
            </w:r>
          </w:p>
        </w:tc>
        <w:tc>
          <w:tcPr>
            <w:tcW w:type="dxa" w:w="4873"/>
            <w:vAlign w:val="center"/>
          </w:tcPr>
          <w:p>
            <w:pPr>
              <w:spacing w:line="276" w:lineRule="auto" w:before="0" w:after="0"/>
            </w:pPr>
            <w:r/>
            <w:r>
              <w:rPr>
                <w:rFonts w:ascii="Figtree" w:hAnsi="Figtree"/>
                <w:b w:val="0"/>
                <w:i w:val="0"/>
                <w:sz w:val="20"/>
              </w:rPr>
              <w:t>Asset storage</w:t>
            </w:r>
          </w:p>
        </w:tc>
      </w:tr>
    </w:tbl>
    <w:p>
      <w:pPr>
        <w:spacing w:before="0" w:after="0" w:line="120" w:lineRule="exact"/>
      </w:pPr>
    </w:p>
    <w:p>
      <w:r>
        <w:br w:type="page"/>
      </w:r>
    </w:p>
    <w:p>
      <w:pPr>
        <w:pStyle w:val="H2"/>
        <w:numPr>
          <w:ilvl w:val="1"/>
          <w:numId w:val="1"/>
        </w:numPr>
      </w:pPr>
      <w:r>
        <w:t>Security</w:t>
      </w:r>
    </w:p>
    <w:p>
      <w:pPr>
        <w:pStyle w:val="H3"/>
        <w:numPr>
          <w:ilvl w:val="2"/>
          <w:numId w:val="1"/>
        </w:numPr>
      </w:pPr>
      <w:r>
        <w:t>Key Management</w:t>
      </w:r>
    </w:p>
    <w:p>
      <w:pPr>
        <w:pStyle w:val="ListParagraph"/>
        <w:numPr>
          <w:ilvl w:val="0"/>
          <w:numId w:val="4"/>
        </w:numPr>
      </w:pPr>
      <w:r>
        <w:rPr>
          <w:rFonts w:ascii="Figtree" w:hAnsi="Figtree"/>
          <w:b w:val="0"/>
          <w:i w:val="0"/>
          <w:sz w:val="22"/>
        </w:rPr>
        <w:t>HSM integration (FIPS 140-2 Level 3)</w:t>
      </w:r>
    </w:p>
    <w:p>
      <w:pPr>
        <w:pStyle w:val="ListParagraph"/>
        <w:numPr>
          <w:ilvl w:val="0"/>
          <w:numId w:val="4"/>
        </w:numPr>
      </w:pPr>
      <w:r>
        <w:rPr>
          <w:rFonts w:ascii="Figtree" w:hAnsi="Figtree"/>
          <w:b w:val="0"/>
          <w:i w:val="0"/>
          <w:sz w:val="22"/>
        </w:rPr>
        <w:t>MPC custody (DFNS, Fireblocks)</w:t>
      </w:r>
    </w:p>
    <w:p>
      <w:pPr>
        <w:pStyle w:val="ListParagraph"/>
        <w:numPr>
          <w:ilvl w:val="0"/>
          <w:numId w:val="4"/>
        </w:numPr>
      </w:pPr>
      <w:r>
        <w:rPr>
          <w:rFonts w:ascii="Figtree" w:hAnsi="Figtree"/>
          <w:b w:val="0"/>
          <w:i w:val="0"/>
          <w:sz w:val="22"/>
        </w:rPr>
        <w:t>Multi-signature support</w:t>
      </w:r>
    </w:p>
    <w:p>
      <w:pPr>
        <w:pStyle w:val="H3"/>
        <w:numPr>
          <w:ilvl w:val="2"/>
          <w:numId w:val="1"/>
        </w:numPr>
      </w:pPr>
      <w:r>
        <w:t>Defense Layers</w:t>
      </w:r>
    </w:p>
    <w:p>
      <w:pPr>
        <w:pStyle w:val="ListParagraph"/>
        <w:numPr>
          <w:ilvl w:val="0"/>
          <w:numId w:val="6"/>
        </w:numPr>
      </w:pPr>
      <w:r>
        <w:rPr>
          <w:rFonts w:ascii="Figtree" w:hAnsi="Figtree"/>
          <w:b w:val="0"/>
          <w:i w:val="0"/>
          <w:sz w:val="22"/>
        </w:rPr>
        <w:t>Authentication</w:t>
      </w:r>
    </w:p>
    <w:p>
      <w:pPr>
        <w:pStyle w:val="ListParagraph"/>
        <w:numPr>
          <w:ilvl w:val="0"/>
          <w:numId w:val="6"/>
        </w:numPr>
      </w:pPr>
      <w:r>
        <w:rPr>
          <w:rFonts w:ascii="Figtree" w:hAnsi="Figtree"/>
          <w:b w:val="0"/>
          <w:i w:val="0"/>
          <w:sz w:val="22"/>
        </w:rPr>
        <w:t>Authorization</w:t>
      </w:r>
    </w:p>
    <w:p>
      <w:pPr>
        <w:pStyle w:val="ListParagraph"/>
        <w:numPr>
          <w:ilvl w:val="0"/>
          <w:numId w:val="6"/>
        </w:numPr>
      </w:pPr>
      <w:r>
        <w:rPr>
          <w:rFonts w:ascii="Figtree" w:hAnsi="Figtree"/>
          <w:b w:val="0"/>
          <w:i w:val="0"/>
          <w:sz w:val="22"/>
        </w:rPr>
        <w:t>Wallet verification</w:t>
      </w:r>
    </w:p>
    <w:p>
      <w:pPr>
        <w:pStyle w:val="ListParagraph"/>
        <w:numPr>
          <w:ilvl w:val="0"/>
          <w:numId w:val="6"/>
        </w:numPr>
      </w:pPr>
      <w:r>
        <w:rPr>
          <w:rFonts w:ascii="Figtree" w:hAnsi="Figtree"/>
          <w:b w:val="0"/>
          <w:i w:val="0"/>
          <w:sz w:val="22"/>
        </w:rPr>
        <w:t>On-chain compliance</w:t>
      </w:r>
    </w:p>
    <w:p>
      <w:pPr>
        <w:pStyle w:val="ListParagraph"/>
        <w:numPr>
          <w:ilvl w:val="0"/>
          <w:numId w:val="6"/>
        </w:numPr>
      </w:pPr>
      <w:r>
        <w:rPr>
          <w:rFonts w:ascii="Figtree" w:hAnsi="Figtree"/>
          <w:b w:val="0"/>
          <w:i w:val="0"/>
          <w:sz w:val="22"/>
        </w:rPr>
        <w:t>Custody policy</w:t>
      </w:r>
    </w:p>
    <w:p>
      <w:r>
        <w:br w:type="page"/>
      </w:r>
    </w:p>
    <w:p>
      <w:pPr>
        <w:pStyle w:val="H2"/>
        <w:numPr>
          <w:ilvl w:val="1"/>
          <w:numId w:val="1"/>
        </w:numPr>
      </w:pPr>
      <w:r>
        <w:t>Compliance</w:t>
      </w:r>
    </w:p>
    <w:p>
      <w:pPr>
        <w:pStyle w:val="H3"/>
        <w:numPr>
          <w:ilvl w:val="2"/>
          <w:numId w:val="1"/>
        </w:numPr>
      </w:pPr>
      <w:r>
        <w:t>Regulatory Coverage</w:t>
      </w:r>
    </w:p>
    <w:p>
      <w:pPr>
        <w:pStyle w:val="ListParagraph"/>
        <w:numPr>
          <w:ilvl w:val="0"/>
          <w:numId w:val="4"/>
        </w:numPr>
      </w:pPr>
      <w:r>
        <w:rPr>
          <w:rFonts w:ascii="Figtree" w:hAnsi="Figtree"/>
          <w:b w:val="0"/>
          <w:i w:val="0"/>
          <w:sz w:val="22"/>
        </w:rPr>
        <w:t>FCA (UK)</w:t>
      </w:r>
    </w:p>
    <w:p>
      <w:pPr>
        <w:pStyle w:val="ListParagraph"/>
        <w:numPr>
          <w:ilvl w:val="0"/>
          <w:numId w:val="4"/>
        </w:numPr>
      </w:pPr>
      <w:r>
        <w:rPr>
          <w:rFonts w:ascii="Figtree" w:hAnsi="Figtree"/>
          <w:b w:val="0"/>
          <w:i w:val="0"/>
          <w:sz w:val="22"/>
        </w:rPr>
        <w:t>MAS (Singapore)</w:t>
      </w:r>
    </w:p>
    <w:p>
      <w:pPr>
        <w:pStyle w:val="ListParagraph"/>
        <w:numPr>
          <w:ilvl w:val="0"/>
          <w:numId w:val="4"/>
        </w:numPr>
      </w:pPr>
      <w:r>
        <w:rPr>
          <w:rFonts w:ascii="Figtree" w:hAnsi="Figtree"/>
          <w:b w:val="0"/>
          <w:i w:val="0"/>
          <w:sz w:val="22"/>
        </w:rPr>
        <w:t>HKMA (Hong Kong)</w:t>
      </w:r>
    </w:p>
    <w:p>
      <w:pPr>
        <w:pStyle w:val="ListParagraph"/>
        <w:numPr>
          <w:ilvl w:val="0"/>
          <w:numId w:val="4"/>
        </w:numPr>
      </w:pPr>
      <w:r>
        <w:rPr>
          <w:rFonts w:ascii="Figtree" w:hAnsi="Figtree"/>
          <w:b w:val="0"/>
          <w:i w:val="0"/>
          <w:sz w:val="22"/>
        </w:rPr>
        <w:t>AMF (France)</w:t>
      </w:r>
    </w:p>
    <w:p>
      <w:r>
        <w:br w:type="page"/>
      </w:r>
    </w:p>
    <w:p>
      <w:pPr>
        <w:pStyle w:val="H2"/>
        <w:numPr>
          <w:ilvl w:val="1"/>
          <w:numId w:val="1"/>
        </w:numPr>
      </w:pPr>
      <w:r>
        <w:t>Implementation</w:t>
      </w:r>
    </w:p>
    <w:p>
      <w:r>
        <w:rPr>
          <w:rFonts w:ascii="Figtree" w:hAnsi="Figtree"/>
          <w:b w:val="0"/>
          <w:i w:val="0"/>
          <w:sz w:val="22"/>
        </w:rPr>
        <w:t>19-week deployment with dedicated cloud model.</w:t>
      </w:r>
    </w:p>
    <w:p>
      <w:r>
        <w:br w:type="page"/>
      </w:r>
    </w:p>
    <w:p>
      <w:r>
        <w:rPr>
          <w:rFonts w:ascii="Figtree" w:hAnsi="Figtree"/>
          <w:b w:val="0"/>
          <w:i/>
          <w:sz w:val="22"/>
        </w:rPr>
        <w:t>End of Technical Proposal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