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020976039"/>
        <w:docPartObj>
          <w:docPartGallery w:val="Cover Pages"/>
          <w:docPartUnique/>
        </w:docPartObj>
      </w:sdtPr>
      <w:sdtContent>
        <w:p w14:paraId="52792642" w14:textId="77777777" w:rsidR="001F6184" w:rsidRPr="000A6351" w:rsidRDefault="001F6184">
          <w:pPr>
            <w:rPr>
              <w:color w:val="0000FF"/>
            </w:rPr>
          </w:pPr>
        </w:p>
        <w:tbl>
          <w:tblPr>
            <w:tblpPr w:leftFromText="187" w:rightFromText="187" w:horzAnchor="margin" w:tblpXSpec="center" w:tblpY="2881"/>
            <w:tblW w:w="4000" w:type="pct"/>
            <w:tblBorders>
              <w:left w:val="single" w:sz="12" w:space="0" w:color="000099" w:themeColor="accent1"/>
            </w:tblBorders>
            <w:tblCellMar>
              <w:left w:w="144" w:type="dxa"/>
              <w:right w:w="115" w:type="dxa"/>
            </w:tblCellMar>
            <w:tblLook w:val="04A0" w:firstRow="1" w:lastRow="0" w:firstColumn="1" w:lastColumn="0" w:noHBand="0" w:noVBand="1"/>
          </w:tblPr>
          <w:tblGrid>
            <w:gridCol w:w="7785"/>
          </w:tblGrid>
          <w:tr w:rsidR="001F6184" w:rsidRPr="00A9690B" w14:paraId="61C01F08" w14:textId="77777777" w:rsidTr="004962CD">
            <w:sdt>
              <w:sdtPr>
                <w:rPr>
                  <w:rFonts w:ascii="Figtree" w:hAnsi="Figtree"/>
                  <w:color w:val="000072" w:themeColor="accent1" w:themeShade="BF"/>
                  <w:sz w:val="24"/>
                  <w:szCs w:val="24"/>
                </w:rPr>
                <w:alias w:val="Company"/>
                <w:id w:val="13406915"/>
                <w:placeholder>
                  <w:docPart w:val="02F3537D4C677A4AAC856F674BAF4DF3"/>
                </w:placeholder>
                <w:showingPlcHdr/>
                <w:dataBinding w:prefixMappings="xmlns:ns0='http://schemas.openxmlformats.org/officeDocument/2006/extended-properties'" w:xpath="/ns0:Properties[1]/ns0:Company[1]" w:storeItemID="{6668398D-A668-4E3E-A5EB-62B293D839F1}"/>
                <w:text/>
              </w:sdtPr>
              <w:sdtContent>
                <w:tc>
                  <w:tcPr>
                    <w:tcW w:w="7785" w:type="dxa"/>
                    <w:tcBorders>
                      <w:left w:val="single" w:sz="12" w:space="0" w:color="000099"/>
                    </w:tcBorders>
                    <w:tcMar>
                      <w:top w:w="216" w:type="dxa"/>
                      <w:left w:w="115" w:type="dxa"/>
                      <w:bottom w:w="216" w:type="dxa"/>
                      <w:right w:w="115" w:type="dxa"/>
                    </w:tcMar>
                  </w:tcPr>
                  <w:p w14:paraId="0CBDA06D"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[Company name]</w:t>
                    </w:r>
                  </w:p>
                </w:tc>
              </w:sdtContent>
            </w:sdt>
          </w:tr>
          <w:tr w:rsidR="001F6184" w:rsidRPr="00A9690B" w14:paraId="3F596671" w14:textId="77777777" w:rsidTr="004962CD">
            <w:tc>
              <w:tcPr>
                <w:tcW w:w="7785" w:type="dxa"/>
                <w:tcBorders>
                  <w:left w:val="single" w:sz="12" w:space="0" w:color="000099"/>
                </w:tcBorders>
              </w:tcPr>
              <w:sdt>
                <w:sdtPr>
                  <w:rPr>
                    <w:rFonts w:ascii="Figtree" w:eastAsiaTheme="majorEastAsia" w:hAnsi="Figtree" w:cstheme="majorBidi"/>
                    <w:color w:val="000099" w:themeColor="accent1"/>
                    <w:sz w:val="88"/>
                    <w:szCs w:val="88"/>
                  </w:rPr>
                  <w:alias w:val="Title"/>
                  <w:id w:val="13406919"/>
                  <w:placeholder>
                    <w:docPart w:val="00F9803809315C46887E272E02859745"/>
                  </w:placeholder>
                  <w:showingPlcHdr/>
                  <w:dataBinding w:prefixMappings="xmlns:ns0='http://schemas.openxmlformats.org/package/2006/metadata/core-properties' xmlns:ns1='http://purl.org/dc/elements/1.1/'" w:xpath="/ns0:coreProperties[1]/ns1:title[1]" w:storeItemID="{6C3C8BC8-F283-45AE-878A-BAB7291924A1}"/>
                  <w:text/>
                </w:sdtPr>
                <w:sdtContent>
                  <w:p w14:paraId="227360E8" w14:textId="77777777" w:rsidR="001F6184" w:rsidRPr="00A9690B" w:rsidRDefault="001F6184">
                    <w:pPr>
                      <w:pStyle w:val="NoSpacing"/>
                      <w:spacing w:line="216" w:lineRule="auto"/>
                      <w:rPr>
                        <w:rFonts w:ascii="Figtree" w:eastAsiaTheme="majorEastAsia" w:hAnsi="Figtree" w:cstheme="majorBidi"/>
                        <w:color w:val="000099" w:themeColor="accent1"/>
                        <w:sz w:val="88"/>
                        <w:szCs w:val="88"/>
                      </w:rPr>
                    </w:pPr>
                    <w:r w:rsidRPr="000A6351">
                      <w:rPr>
                        <w:color w:val="000099"/>
                        <w:sz w:val="74"/>
                        <w:szCs w:val="420"/>
                      </w:rPr>
                      <w:t>[Document title]</w:t>
                    </w:r>
                  </w:p>
                </w:sdtContent>
              </w:sdt>
            </w:tc>
          </w:tr>
          <w:tr w:rsidR="001F6184" w:rsidRPr="00A9690B" w14:paraId="3A6BC0C4" w14:textId="77777777" w:rsidTr="004962CD">
            <w:sdt>
              <w:sdtPr>
                <w:rPr>
                  <w:rFonts w:ascii="Figtree" w:hAnsi="Figtree"/>
                  <w:color w:val="000072" w:themeColor="accent1" w:themeShade="BF"/>
                  <w:sz w:val="24"/>
                  <w:szCs w:val="24"/>
                </w:rPr>
                <w:alias w:val="Subtitle"/>
                <w:id w:val="13406923"/>
                <w:placeholder>
                  <w:docPart w:val="0D460E9532679D4283311473F5C36932"/>
                </w:placeholder>
                <w:showingPlcHdr/>
                <w:dataBinding w:prefixMappings="xmlns:ns0='http://schemas.openxmlformats.org/package/2006/metadata/core-properties' xmlns:ns1='http://purl.org/dc/elements/1.1/'" w:xpath="/ns0:coreProperties[1]/ns1:subject[1]" w:storeItemID="{6C3C8BC8-F283-45AE-878A-BAB7291924A1}"/>
                <w:text/>
              </w:sdtPr>
              <w:sdtContent>
                <w:tc>
                  <w:tcPr>
                    <w:tcW w:w="7785" w:type="dxa"/>
                    <w:tcBorders>
                      <w:left w:val="single" w:sz="12" w:space="0" w:color="000099"/>
                    </w:tcBorders>
                    <w:tcMar>
                      <w:top w:w="216" w:type="dxa"/>
                      <w:left w:w="115" w:type="dxa"/>
                      <w:bottom w:w="216" w:type="dxa"/>
                      <w:right w:w="115" w:type="dxa"/>
                    </w:tcMar>
                  </w:tcPr>
                  <w:p w14:paraId="63BBE5CC" w14:textId="77777777" w:rsidR="001F6184" w:rsidRPr="00A9690B" w:rsidRDefault="001F6184">
                    <w:pPr>
                      <w:pStyle w:val="NoSpacing"/>
                      <w:rPr>
                        <w:rFonts w:ascii="Figtree" w:hAnsi="Figtree"/>
                        <w:color w:val="000072" w:themeColor="accent1" w:themeShade="BF"/>
                        <w:sz w:val="24"/>
                      </w:rPr>
                    </w:pPr>
                    <w:r w:rsidRPr="004962CD">
                      <w:rPr>
                        <w:rFonts w:ascii="Figtree" w:hAnsi="Figtree"/>
                        <w:color w:val="000099"/>
                        <w:sz w:val="24"/>
                        <w:szCs w:val="24"/>
                      </w:rPr>
                      <w:t>[Document subtitle]</w:t>
                    </w:r>
                  </w:p>
                </w:tc>
              </w:sdtContent>
            </w:sdt>
          </w:tr>
        </w:tbl>
        <w:p w14:paraId="52CEEA21" w14:textId="77777777" w:rsidR="001F6184" w:rsidRPr="00A9690B" w:rsidRDefault="001F6184">
          <w:r w:rsidRPr="00A9690B">
            <w:br w:type="page"/>
          </w:r>
        </w:p>
      </w:sdtContent>
    </w:sdt>
    <w:p w14:paraId="66F8E667" w14:textId="77777777" w:rsidR="00E86454" w:rsidRPr="00E86454" w:rsidRDefault="00E86454" w:rsidP="00E86454">
      <w:pPr>
        <w:rPr>
          <w:b/>
          <w:bCs/>
        </w:rPr>
      </w:pPr>
      <w:r w:rsidRPr="00E86454">
        <w:rPr>
          <w:b/>
          <w:bCs/>
        </w:rPr>
        <w:lastRenderedPageBreak/>
        <w:t>Confidentiality Statement</w:t>
      </w:r>
    </w:p>
    <w:p w14:paraId="75ABE544" w14:textId="77777777" w:rsidR="00E86454" w:rsidRDefault="00E86454" w:rsidP="00E86454">
      <w:r>
        <w:t>This document contains confidential and proprietary information of SettleMint. By reading this document, you agree not to disclose the confidential information contained herein to any third party without the prior written consent of SettleMint, except to those agents, principals, representatives, or consultants who require access for the purpose of evaluating this document. You further agree to inform such persons of the confidential nature of this document and to obtain their agreement to preserve its confidentiality to the same extent as yours.</w:t>
      </w:r>
    </w:p>
    <w:p w14:paraId="5E875877" w14:textId="77777777" w:rsidR="00E86454" w:rsidRDefault="00E86454" w:rsidP="00E86454">
      <w:r>
        <w:t>This confidentiality statement shall remain binding on the parties for a period of five (5) years from the date stated on the front cover, unless superseded by confidentiality provisions detailed in a subsequent agreement.</w:t>
      </w:r>
    </w:p>
    <w:p w14:paraId="0959A354" w14:textId="77777777" w:rsidR="00E86454" w:rsidRPr="00E86454" w:rsidRDefault="00E86454" w:rsidP="00E86454">
      <w:pPr>
        <w:rPr>
          <w:b/>
          <w:bCs/>
        </w:rPr>
      </w:pPr>
      <w:r w:rsidRPr="00E86454">
        <w:rPr>
          <w:b/>
          <w:bCs/>
        </w:rPr>
        <w:t>Terms and Conditions</w:t>
      </w:r>
    </w:p>
    <w:p w14:paraId="4EDB75AD" w14:textId="77777777" w:rsidR="00E86454" w:rsidRDefault="00E86454" w:rsidP="00E86454">
      <w:r>
        <w:t>This proposal is valid until [DD Month YYYY]. In the absence of confirmation to proceed, SettleMint and [</w:t>
      </w:r>
      <w:r w:rsidRPr="00E86454">
        <w:rPr>
          <w:color w:val="FF0000"/>
        </w:rPr>
        <w:t>the Company</w:t>
      </w:r>
      <w:r>
        <w:rPr>
          <w:color w:val="FF0000"/>
        </w:rPr>
        <w:t>]</w:t>
      </w:r>
      <w:r w:rsidRPr="00E86454">
        <w:rPr>
          <w:color w:val="FF0000"/>
        </w:rPr>
        <w:t xml:space="preserve"> </w:t>
      </w:r>
      <w:r>
        <w:t>acknowledge and agree to abide by the Mutual NDA as the governing agreement.</w:t>
      </w:r>
    </w:p>
    <w:p w14:paraId="543E5579" w14:textId="77777777" w:rsidR="00E86454" w:rsidRDefault="00E86454" w:rsidP="00E86454">
      <w:r>
        <w:t>SettleMint reserves the right to vary the terms of this proposal in response to changes in specifications or information made available at a later date. Submission of this proposal does not convey any right, title, interest, or license in any intellectual property rights (including, but not limited to, patents, copyrights, trade secrets, or trademarks) contained herein.</w:t>
      </w:r>
    </w:p>
    <w:p w14:paraId="7661E4CF" w14:textId="77777777" w:rsidR="00E86454" w:rsidRDefault="00E86454" w:rsidP="00E86454">
      <w:r>
        <w:t>All rights are reserved. This proposal and the information contained within it are provided on an “as is” basis, without any warranties of any kind, express or implied.</w:t>
      </w:r>
    </w:p>
    <w:p w14:paraId="2493E1F2" w14:textId="77777777" w:rsidR="00E86454" w:rsidRDefault="00E86454" w:rsidP="00E86454">
      <w:r>
        <w:t>All contracts with SettleMint will be governed by Belgian Law and subject to the exclusive jurisdiction of Belgian courts.</w:t>
      </w:r>
    </w:p>
    <w:p w14:paraId="584FC76C" w14:textId="77777777" w:rsidR="00E86454" w:rsidRPr="008A14BF" w:rsidRDefault="00E86454" w:rsidP="00E86454">
      <w:pPr>
        <w:rPr>
          <w:b/>
          <w:bCs/>
        </w:rPr>
      </w:pPr>
      <w:r w:rsidRPr="008A14BF">
        <w:rPr>
          <w:b/>
          <w:bCs/>
        </w:rPr>
        <w:t>Contact Details</w:t>
      </w:r>
    </w:p>
    <w:p w14:paraId="07A25128" w14:textId="77777777" w:rsidR="00E86454" w:rsidRDefault="00E86454" w:rsidP="00E86454">
      <w:r>
        <w:t>For any enquiries regarding this document, please contact:</w:t>
      </w:r>
    </w:p>
    <w:p w14:paraId="7910139D" w14:textId="77777777" w:rsidR="00E86454" w:rsidRDefault="00E86454" w:rsidP="00E86454">
      <w:r>
        <w:t>[Full Name]</w:t>
      </w:r>
    </w:p>
    <w:p w14:paraId="78CD750E" w14:textId="77777777" w:rsidR="00E86454" w:rsidRDefault="00E86454" w:rsidP="00E86454">
      <w:r>
        <w:t>[Job Title]</w:t>
      </w:r>
    </w:p>
    <w:p w14:paraId="7D10800F" w14:textId="77777777" w:rsidR="00E86454" w:rsidRDefault="00E86454" w:rsidP="00E86454">
      <w:r>
        <w:t>Email: [email@example.com]</w:t>
      </w:r>
    </w:p>
    <w:p w14:paraId="7D0DC7E4" w14:textId="77777777" w:rsidR="00AD4564" w:rsidRDefault="00E86454" w:rsidP="00E86454">
      <w:r>
        <w:t>Phone: [Country Code - Number]</w:t>
      </w:r>
    </w:p>
    <w:p w14:paraId="14BA6D31" w14:textId="77777777" w:rsidR="00AD4564" w:rsidRDefault="00AD4564">
      <w:r>
        <w:br w:type="page"/>
      </w:r>
    </w:p>
    <w:p>
      <w:pPr>
        <w:spacing w:before="0" w:after="240"/>
      </w:pPr>
      <w:r>
        <w:rPr>
          <w:b/>
          <w:sz w:val="32"/>
          <w:szCs w:val="32"/>
          <w:color w:val="000072"/>
          <w:rFonts w:ascii="Figtree" w:hAnsi="Figtree" w:cs="Figtree"/>
        </w:rPr>
        <w:t xml:space="preserve">Table of Contents</w:t>
      </w:r>
    </w:p>
    <w:sdt>
      <w:sdtPr>
        <w:rPr>
          <w:rFonts w:ascii="Figtree" w:eastAsiaTheme="minorHAnsi" w:hAnsi="Figtree" w:cstheme="minorBidi"/>
          <w:color w:val="auto"/>
          <w:kern w:val="2"/>
          <w:sz w:val="24"/>
          <w:szCs w:val="24"/>
          <w:lang w:val="en-IN"/>
          <w14:ligatures w14:val="standardContextual"/>
        </w:rPr>
        <w:id w:val="1667814546"/>
        <w:docPartObj>
          <w:docPartGallery w:val="Table of Contents"/>
          <w:docPartUnique/>
        </w:docPartObj>
      </w:sdtPr>
      <w:sdtEndPr>
        <w:rPr>
          <w:b/>
          <w:bCs/>
          <w:noProof/>
        </w:rPr>
      </w:sdtEndPr>
      <w:sdtContent>
        <w:p>
          <w:r>
            <w:fldChar w:fldCharType="begin"/>
            <w:instrText xml:space="preserve"> TOC \o "1-4" \h \z \u </w:instrText>
            <w:fldChar w:fldCharType="separate"/>
          </w:r>
        </w:p>
        <w:p>
          <w:pPr>
            <w:pStyle w:val="TOC2"/>
            <w:tabs>
              <w:tab w:val="right" w:leader="dot" w:pos="9072"/>
            </w:tabs>
          </w:pPr>
          <w:r>
            <w:t xml:space="preserve">Table of Contents</w:t>
          </w:r>
          <w:r>
            <w:tab/>
          </w:r>
          <w:r>
            <w:t xml:space="preserve">3</w:t>
          </w:r>
        </w:p>
        <w:p>
          <w:pPr>
            <w:pStyle w:val="TOC2"/>
            <w:tabs>
              <w:tab w:val="right" w:leader="dot" w:pos="9072"/>
            </w:tabs>
          </w:pPr>
          <w:r>
            <w:t xml:space="preserve">1. Executive Summary</w:t>
          </w:r>
          <w:r>
            <w:tab/>
          </w:r>
          <w:r>
            <w:t xml:space="preserve">4</w:t>
          </w:r>
        </w:p>
        <w:p>
          <w:pPr>
            <w:pStyle w:val="TOC3"/>
            <w:tabs>
              <w:tab w:val="right" w:leader="dot" w:pos="9072"/>
            </w:tabs>
          </w:pPr>
          <w:r>
            <w:t xml:space="preserve">1.1 Context and Strategic Drivers</w:t>
          </w:r>
          <w:r>
            <w:tab/>
          </w:r>
          <w:r>
            <w:t xml:space="preserve">5</w:t>
          </w:r>
        </w:p>
        <w:p>
          <w:pPr>
            <w:pStyle w:val="TOC3"/>
            <w:tabs>
              <w:tab w:val="right" w:leader="dot" w:pos="9072"/>
            </w:tabs>
          </w:pPr>
          <w:r>
            <w:t xml:space="preserve">1.2 Why This Programme Is Hard</w:t>
          </w:r>
          <w:r>
            <w:tab/>
          </w:r>
          <w:r>
            <w:t xml:space="preserve">6</w:t>
          </w:r>
        </w:p>
        <w:p>
          <w:pPr>
            <w:pStyle w:val="TOC3"/>
            <w:tabs>
              <w:tab w:val="right" w:leader="dot" w:pos="9072"/>
            </w:tabs>
          </w:pPr>
          <w:r>
            <w:t xml:space="preserve">1.3 Proposed Response</w:t>
          </w:r>
          <w:r>
            <w:tab/>
          </w:r>
          <w:r>
            <w:t xml:space="preserve">7</w:t>
          </w:r>
        </w:p>
        <w:p>
          <w:pPr>
            <w:pStyle w:val="TOC3"/>
            <w:tabs>
              <w:tab w:val="right" w:leader="dot" w:pos="9072"/>
            </w:tabs>
          </w:pPr>
          <w:r>
            <w:t xml:space="preserve">1.4 Why SettleMint</w:t>
          </w:r>
          <w:r>
            <w:tab/>
          </w:r>
          <w:r>
            <w:t xml:space="preserve">8</w:t>
          </w:r>
        </w:p>
        <w:p>
          <w:pPr>
            <w:pStyle w:val="TOC3"/>
            <w:tabs>
              <w:tab w:val="right" w:leader="dot" w:pos="9072"/>
            </w:tabs>
          </w:pPr>
          <w:r>
            <w:t xml:space="preserve">1.5 Why DALP</w:t>
          </w:r>
          <w:r>
            <w:tab/>
          </w:r>
          <w:r>
            <w:t xml:space="preserve">9</w:t>
          </w:r>
        </w:p>
        <w:p>
          <w:pPr>
            <w:pStyle w:val="TOC3"/>
            <w:tabs>
              <w:tab w:val="right" w:leader="dot" w:pos="9072"/>
            </w:tabs>
          </w:pPr>
          <w:r>
            <w:t xml:space="preserve">1.6 Reference Fit Snapshot</w:t>
          </w:r>
          <w:r>
            <w:tab/>
          </w:r>
          <w:r>
            <w:t xml:space="preserve">10</w:t>
          </w:r>
        </w:p>
        <w:p>
          <w:pPr>
            <w:pStyle w:val="TOC2"/>
            <w:tabs>
              <w:tab w:val="right" w:leader="dot" w:pos="9072"/>
            </w:tabs>
          </w:pPr>
          <w:r>
            <w:t xml:space="preserve">2. About SettleMint</w:t>
          </w:r>
          <w:r>
            <w:tab/>
          </w:r>
          <w:r>
            <w:t xml:space="preserve">11</w:t>
          </w:r>
        </w:p>
        <w:p>
          <w:pPr>
            <w:pStyle w:val="TOC3"/>
            <w:tabs>
              <w:tab w:val="right" w:leader="dot" w:pos="9072"/>
            </w:tabs>
          </w:pPr>
          <w:r>
            <w:t xml:space="preserve">2.1 Company Overview</w:t>
          </w:r>
          <w:r>
            <w:tab/>
          </w:r>
          <w:r>
            <w:t xml:space="preserve">12</w:t>
          </w:r>
        </w:p>
        <w:p>
          <w:pPr>
            <w:pStyle w:val="TOC3"/>
            <w:tabs>
              <w:tab w:val="right" w:leader="dot" w:pos="9072"/>
            </w:tabs>
          </w:pPr>
          <w:r>
            <w:t xml:space="preserve">2.2 Production Credentials</w:t>
          </w:r>
          <w:r>
            <w:tab/>
          </w:r>
          <w:r>
            <w:t xml:space="preserve">13</w:t>
          </w:r>
        </w:p>
        <w:p>
          <w:pPr>
            <w:pStyle w:val="TOC3"/>
            <w:tabs>
              <w:tab w:val="right" w:leader="dot" w:pos="9072"/>
            </w:tabs>
          </w:pPr>
          <w:r>
            <w:t xml:space="preserve">2.3 Regulatory Readiness</w:t>
          </w:r>
          <w:r>
            <w:tab/>
          </w:r>
          <w:r>
            <w:t xml:space="preserve">14</w:t>
          </w:r>
        </w:p>
        <w:p>
          <w:pPr>
            <w:pStyle w:val="TOC2"/>
            <w:tabs>
              <w:tab w:val="right" w:leader="dot" w:pos="9072"/>
            </w:tabs>
          </w:pPr>
          <w:r>
            <w:t xml:space="preserve">3. About DALP</w:t>
          </w:r>
          <w:r>
            <w:tab/>
          </w:r>
          <w:r>
            <w:t xml:space="preserve">15</w:t>
          </w:r>
        </w:p>
        <w:p>
          <w:pPr>
            <w:pStyle w:val="TOC3"/>
            <w:tabs>
              <w:tab w:val="right" w:leader="dot" w:pos="9072"/>
            </w:tabs>
          </w:pPr>
          <w:r>
            <w:t xml:space="preserve">3.1 Platform Overview</w:t>
          </w:r>
          <w:r>
            <w:tab/>
          </w:r>
          <w:r>
            <w:t xml:space="preserve">16</w:t>
          </w:r>
        </w:p>
        <w:p>
          <w:pPr>
            <w:pStyle w:val="TOC3"/>
            <w:tabs>
              <w:tab w:val="right" w:leader="dot" w:pos="9072"/>
            </w:tabs>
          </w:pPr>
          <w:r>
            <w:t xml:space="preserve">3.2 Core Capabilities for Trading Venue Context</w:t>
          </w:r>
          <w:r>
            <w:tab/>
          </w:r>
          <w:r>
            <w:t xml:space="preserve">17</w:t>
          </w:r>
        </w:p>
        <w:p>
          <w:pPr>
            <w:pStyle w:val="TOC2"/>
            <w:tabs>
              <w:tab w:val="right" w:leader="dot" w:pos="9072"/>
            </w:tabs>
          </w:pPr>
          <w:r>
            <w:t xml:space="preserve">4. Customer References</w:t>
          </w:r>
          <w:r>
            <w:tab/>
          </w:r>
          <w:r>
            <w:t xml:space="preserve">18</w:t>
          </w:r>
        </w:p>
        <w:p>
          <w:pPr>
            <w:pStyle w:val="TOC3"/>
            <w:tabs>
              <w:tab w:val="right" w:leader="dot" w:pos="9072"/>
            </w:tabs>
          </w:pPr>
          <w:r>
            <w:t xml:space="preserve">4.1 Summary Table</w:t>
          </w:r>
          <w:r>
            <w:tab/>
          </w:r>
          <w:r>
            <w:t xml:space="preserve">19</w:t>
          </w:r>
        </w:p>
        <w:p>
          <w:pPr>
            <w:pStyle w:val="TOC3"/>
            <w:tabs>
              <w:tab w:val="right" w:leader="dot" w:pos="9072"/>
            </w:tabs>
          </w:pPr>
          <w:r>
            <w:t xml:space="preserve">4.2 Reference 1: Tadawul — Digital Securities Listing</w:t>
          </w:r>
          <w:r>
            <w:tab/>
          </w:r>
          <w:r>
            <w:t xml:space="preserve">20</w:t>
          </w:r>
        </w:p>
        <w:p>
          <w:pPr>
            <w:pStyle w:val="TOC3"/>
            <w:tabs>
              <w:tab w:val="right" w:leader="dot" w:pos="9072"/>
            </w:tabs>
          </w:pPr>
          <w:r>
            <w:t xml:space="preserve">4.3 Reference 2: JSE — Digital Asset Trading</w:t>
          </w:r>
          <w:r>
            <w:tab/>
          </w:r>
          <w:r>
            <w:t xml:space="preserve">21</w:t>
          </w:r>
        </w:p>
        <w:p>
          <w:pPr>
            <w:pStyle w:val="TOC3"/>
            <w:tabs>
              <w:tab w:val="right" w:leader="dot" w:pos="9072"/>
            </w:tabs>
          </w:pPr>
          <w:r>
            <w:t xml:space="preserve">4.4 Reference 3: Deutsche Bank — Digital Bonds</w:t>
          </w:r>
          <w:r>
            <w:tab/>
          </w:r>
          <w:r>
            <w:t xml:space="preserve">22</w:t>
          </w:r>
        </w:p>
        <w:p>
          <w:pPr>
            <w:pStyle w:val="TOC2"/>
            <w:tabs>
              <w:tab w:val="right" w:leader="dot" w:pos="9072"/>
            </w:tabs>
          </w:pPr>
          <w:r>
            <w:t xml:space="preserve">5. Understanding of Requirements</w:t>
          </w:r>
          <w:r>
            <w:tab/>
          </w:r>
          <w:r>
            <w:t xml:space="preserve">23</w:t>
          </w:r>
        </w:p>
        <w:p>
          <w:pPr>
            <w:pStyle w:val="TOC3"/>
            <w:tabs>
              <w:tab w:val="right" w:leader="dot" w:pos="9072"/>
            </w:tabs>
          </w:pPr>
          <w:r>
            <w:t xml:space="preserve">5.1 Client Context</w:t>
          </w:r>
          <w:r>
            <w:tab/>
          </w:r>
          <w:r>
            <w:t xml:space="preserve">24</w:t>
          </w:r>
        </w:p>
        <w:p>
          <w:pPr>
            <w:pStyle w:val="TOC3"/>
            <w:tabs>
              <w:tab w:val="right" w:leader="dot" w:pos="9072"/>
            </w:tabs>
          </w:pPr>
          <w:r>
            <w:t xml:space="preserve">5.2 Requirement Domains</w:t>
          </w:r>
          <w:r>
            <w:tab/>
          </w:r>
          <w:r>
            <w:t xml:space="preserve">25</w:t>
          </w:r>
        </w:p>
        <w:p>
          <w:pPr>
            <w:pStyle w:val="TOC3"/>
            <w:tabs>
              <w:tab w:val="right" w:leader="dot" w:pos="9072"/>
            </w:tabs>
          </w:pPr>
          <w:r>
            <w:t xml:space="preserve">5.3 Key Challenges</w:t>
          </w:r>
          <w:r>
            <w:tab/>
          </w:r>
          <w:r>
            <w:t xml:space="preserve">26</w:t>
          </w:r>
        </w:p>
        <w:p>
          <w:pPr>
            <w:pStyle w:val="TOC3"/>
            <w:tabs>
              <w:tab w:val="right" w:leader="dot" w:pos="9072"/>
            </w:tabs>
          </w:pPr>
          <w:r>
            <w:t xml:space="preserve">5.4 Response Principles</w:t>
          </w:r>
          <w:r>
            <w:tab/>
          </w:r>
          <w:r>
            <w:t xml:space="preserve">27</w:t>
          </w:r>
        </w:p>
        <w:p>
          <w:pPr>
            <w:pStyle w:val="TOC2"/>
            <w:tabs>
              <w:tab w:val="right" w:leader="dot" w:pos="9072"/>
            </w:tabs>
          </w:pPr>
          <w:r>
            <w:t xml:space="preserve">6. Proposed Solution and Functional Capabilities</w:t>
          </w:r>
          <w:r>
            <w:tab/>
          </w:r>
          <w:r>
            <w:t xml:space="preserve">28</w:t>
          </w:r>
        </w:p>
        <w:p>
          <w:pPr>
            <w:pStyle w:val="TOC3"/>
            <w:tabs>
              <w:tab w:val="right" w:leader="dot" w:pos="9072"/>
            </w:tabs>
          </w:pPr>
          <w:r>
            <w:t xml:space="preserve">6.1 Solution Overview</w:t>
          </w:r>
          <w:r>
            <w:tab/>
          </w:r>
          <w:r>
            <w:t xml:space="preserve">29</w:t>
          </w:r>
        </w:p>
        <w:p>
          <w:pPr>
            <w:pStyle w:val="TOC3"/>
            <w:tabs>
              <w:tab w:val="right" w:leader="dot" w:pos="9072"/>
            </w:tabs>
          </w:pPr>
          <w:r>
            <w:t xml:space="preserve">6.2 Participant Admission and Entitlement Model</w:t>
          </w:r>
          <w:r>
            <w:tab/>
          </w:r>
          <w:r>
            <w:t xml:space="preserve">30</w:t>
          </w:r>
        </w:p>
        <w:p>
          <w:pPr>
            <w:pStyle w:val="TOC3"/>
            <w:tabs>
              <w:tab w:val="right" w:leader="dot" w:pos="9072"/>
            </w:tabs>
          </w:pPr>
          <w:r>
            <w:t xml:space="preserve">6.3 Venue State Controls</w:t>
          </w:r>
          <w:r>
            <w:tab/>
          </w:r>
          <w:r>
            <w:t xml:space="preserve">31</w:t>
          </w:r>
        </w:p>
        <w:p>
          <w:pPr>
            <w:pStyle w:val="TOC3"/>
            <w:tabs>
              <w:tab w:val="right" w:leader="dot" w:pos="9072"/>
            </w:tabs>
          </w:pPr>
          <w:r>
            <w:t xml:space="preserve">6.4 Listing Workflow and Disclosure Capture</w:t>
          </w:r>
          <w:r>
            <w:tab/>
          </w:r>
          <w:r>
            <w:t xml:space="preserve">32</w:t>
          </w:r>
        </w:p>
        <w:p>
          <w:pPr>
            <w:pStyle w:val="TOC3"/>
            <w:tabs>
              <w:tab w:val="right" w:leader="dot" w:pos="9072"/>
            </w:tabs>
          </w:pPr>
          <w:r>
            <w:t xml:space="preserve">6.5 Market Surveillance Support</w:t>
          </w:r>
          <w:r>
            <w:tab/>
          </w:r>
          <w:r>
            <w:t xml:space="preserve">33</w:t>
          </w:r>
        </w:p>
        <w:p>
          <w:pPr>
            <w:pStyle w:val="TOC3"/>
            <w:tabs>
              <w:tab w:val="right" w:leader="dot" w:pos="9072"/>
            </w:tabs>
          </w:pPr>
          <w:r>
            <w:t xml:space="preserve">6.6 Risk Controls and Kill Switch</w:t>
          </w:r>
          <w:r>
            <w:tab/>
          </w:r>
          <w:r>
            <w:t xml:space="preserve">34</w:t>
          </w:r>
        </w:p>
        <w:p>
          <w:pPr>
            <w:pStyle w:val="TOC3"/>
            <w:tabs>
              <w:tab w:val="right" w:leader="dot" w:pos="9072"/>
            </w:tabs>
          </w:pPr>
          <w:r>
            <w:t xml:space="preserve">6.7 D3X / Xetra Integration Pattern</w:t>
          </w:r>
          <w:r>
            <w:tab/>
          </w:r>
          <w:r>
            <w:t xml:space="preserve">35</w:t>
          </w:r>
        </w:p>
        <w:p>
          <w:pPr>
            <w:pStyle w:val="TOC3"/>
            <w:tabs>
              <w:tab w:val="right" w:leader="dot" w:pos="9072"/>
            </w:tabs>
          </w:pPr>
          <w:r>
            <w:t xml:space="preserve">6.8 Functional Fit Matrix</w:t>
          </w:r>
          <w:r>
            <w:tab/>
          </w:r>
          <w:r>
            <w:t xml:space="preserve">36</w:t>
          </w:r>
        </w:p>
        <w:p>
          <w:pPr>
            <w:pStyle w:val="TOC2"/>
            <w:tabs>
              <w:tab w:val="right" w:leader="dot" w:pos="9072"/>
            </w:tabs>
          </w:pPr>
          <w:r>
            <w:t xml:space="preserve">7. Technical Architecture</w:t>
          </w:r>
          <w:r>
            <w:tab/>
          </w:r>
          <w:r>
            <w:t xml:space="preserve">37</w:t>
          </w:r>
        </w:p>
        <w:p>
          <w:pPr>
            <w:pStyle w:val="TOC3"/>
            <w:tabs>
              <w:tab w:val="right" w:leader="dot" w:pos="9072"/>
            </w:tabs>
          </w:pPr>
          <w:r>
            <w:t xml:space="preserve">7.1 Architectural Principles</w:t>
          </w:r>
          <w:r>
            <w:tab/>
          </w:r>
          <w:r>
            <w:t xml:space="preserve">38</w:t>
          </w:r>
        </w:p>
        <w:p>
          <w:pPr>
            <w:pStyle w:val="TOC3"/>
            <w:tabs>
              <w:tab w:val="right" w:leader="dot" w:pos="9072"/>
            </w:tabs>
          </w:pPr>
          <w:r>
            <w:t xml:space="preserve">7.2 Platform Architecture</w:t>
          </w:r>
          <w:r>
            <w:tab/>
          </w:r>
          <w:r>
            <w:t xml:space="preserve">39</w:t>
          </w:r>
        </w:p>
        <w:p>
          <w:pPr>
            <w:pStyle w:val="TOC3"/>
            <w:tabs>
              <w:tab w:val="right" w:leader="dot" w:pos="9072"/>
            </w:tabs>
          </w:pPr>
          <w:r>
            <w:t xml:space="preserve">7.3 Token Lifecycle State Machine (Digital Security)</w:t>
          </w:r>
          <w:r>
            <w:tab/>
          </w:r>
          <w:r>
            <w:t xml:space="preserve">40</w:t>
          </w:r>
        </w:p>
        <w:p>
          <w:pPr>
            <w:pStyle w:val="TOC3"/>
            <w:tabs>
              <w:tab w:val="right" w:leader="dot" w:pos="9072"/>
            </w:tabs>
          </w:pPr>
          <w:r>
            <w:t xml:space="preserve">7.4 Compliance Enforcement Flow (MiFID II Admission)</w:t>
          </w:r>
          <w:r>
            <w:tab/>
          </w:r>
          <w:r>
            <w:t xml:space="preserve">41</w:t>
          </w:r>
        </w:p>
        <w:p>
          <w:pPr>
            <w:pStyle w:val="TOC3"/>
            <w:tabs>
              <w:tab w:val="right" w:leader="dot" w:pos="9072"/>
            </w:tabs>
          </w:pPr>
          <w:r>
            <w:t xml:space="preserve">7.5 Settlement Flow (D3X Integration)</w:t>
          </w:r>
          <w:r>
            <w:tab/>
          </w:r>
          <w:r>
            <w:t xml:space="preserve">42</w:t>
          </w:r>
        </w:p>
        <w:p>
          <w:pPr>
            <w:pStyle w:val="TOC3"/>
            <w:tabs>
              <w:tab w:val="right" w:leader="dot" w:pos="9072"/>
            </w:tabs>
          </w:pPr>
          <w:r>
            <w:t xml:space="preserve">7.6 Security Architecture</w:t>
          </w:r>
          <w:r>
            <w:tab/>
          </w:r>
          <w:r>
            <w:t xml:space="preserve">43</w:t>
          </w:r>
        </w:p>
        <w:p>
          <w:pPr>
            <w:pStyle w:val="TOC3"/>
            <w:tabs>
              <w:tab w:val="right" w:leader="dot" w:pos="9072"/>
            </w:tabs>
          </w:pPr>
          <w:r>
            <w:t xml:space="preserve">7.7 Deployment Topology</w:t>
          </w:r>
          <w:r>
            <w:tab/>
          </w:r>
          <w:r>
            <w:t xml:space="preserve">44</w:t>
          </w:r>
        </w:p>
        <w:p>
          <w:pPr>
            <w:pStyle w:val="TOC3"/>
            <w:tabs>
              <w:tab w:val="right" w:leader="dot" w:pos="9072"/>
            </w:tabs>
          </w:pPr>
          <w:r>
            <w:t xml:space="preserve">7.8 Integration Architecture (D3X Ecosystem)</w:t>
          </w:r>
          <w:r>
            <w:tab/>
          </w:r>
          <w:r>
            <w:t xml:space="preserve">45</w:t>
          </w:r>
        </w:p>
        <w:p>
          <w:pPr>
            <w:pStyle w:val="TOC3"/>
            <w:tabs>
              <w:tab w:val="right" w:leader="dot" w:pos="9072"/>
            </w:tabs>
          </w:pPr>
          <w:r>
            <w:t xml:space="preserve">7.9 Implementation Timeline</w:t>
          </w:r>
          <w:r>
            <w:tab/>
          </w:r>
          <w:r>
            <w:t xml:space="preserve">46</w:t>
          </w:r>
        </w:p>
        <w:p>
          <w:pPr>
            <w:pStyle w:val="TOC2"/>
            <w:tabs>
              <w:tab w:val="right" w:leader="dot" w:pos="9072"/>
            </w:tabs>
          </w:pPr>
          <w:r>
            <w:t xml:space="preserve">8. Security</w:t>
          </w:r>
          <w:r>
            <w:tab/>
          </w:r>
          <w:r>
            <w:t xml:space="preserve">47</w:t>
          </w:r>
        </w:p>
        <w:p>
          <w:pPr>
            <w:pStyle w:val="TOC3"/>
            <w:tabs>
              <w:tab w:val="right" w:leader="dot" w:pos="9072"/>
            </w:tabs>
          </w:pPr>
          <w:r>
            <w:t xml:space="preserve">8.1 Security Model Overview</w:t>
          </w:r>
          <w:r>
            <w:tab/>
          </w:r>
          <w:r>
            <w:t xml:space="preserve">48</w:t>
          </w:r>
        </w:p>
        <w:p>
          <w:pPr>
            <w:pStyle w:val="TOC3"/>
            <w:tabs>
              <w:tab w:val="right" w:leader="dot" w:pos="9072"/>
            </w:tabs>
          </w:pPr>
          <w:r>
            <w:t xml:space="preserve">8.2 Authentication and Access</w:t>
          </w:r>
          <w:r>
            <w:tab/>
          </w:r>
          <w:r>
            <w:t xml:space="preserve">49</w:t>
          </w:r>
        </w:p>
        <w:p>
          <w:pPr>
            <w:pStyle w:val="TOC3"/>
            <w:tabs>
              <w:tab w:val="right" w:leader="dot" w:pos="9072"/>
            </w:tabs>
          </w:pPr>
          <w:r>
            <w:t xml:space="preserve">8.3 Key Management</w:t>
          </w:r>
          <w:r>
            <w:tab/>
          </w:r>
          <w:r>
            <w:t xml:space="preserve">50</w:t>
          </w:r>
        </w:p>
        <w:p>
          <w:pPr>
            <w:pStyle w:val="TOC3"/>
            <w:tabs>
              <w:tab w:val="right" w:leader="dot" w:pos="9072"/>
            </w:tabs>
          </w:pPr>
          <w:r>
            <w:t xml:space="preserve">8.4 Data Protection</w:t>
          </w:r>
          <w:r>
            <w:tab/>
          </w:r>
          <w:r>
            <w:t xml:space="preserve">51</w:t>
          </w:r>
        </w:p>
        <w:p>
          <w:pPr>
            <w:pStyle w:val="TOC3"/>
            <w:tabs>
              <w:tab w:val="right" w:leader="dot" w:pos="9072"/>
            </w:tabs>
          </w:pPr>
          <w:r>
            <w:t xml:space="preserve">8.5 DORA Compliance</w:t>
          </w:r>
          <w:r>
            <w:tab/>
          </w:r>
          <w:r>
            <w:t xml:space="preserve">52</w:t>
          </w:r>
        </w:p>
        <w:p>
          <w:pPr>
            <w:pStyle w:val="TOC3"/>
            <w:tabs>
              <w:tab w:val="right" w:leader="dot" w:pos="9072"/>
            </w:tabs>
          </w:pPr>
          <w:r>
            <w:t xml:space="preserve">8.6 Security Responsibility Matrix</w:t>
          </w:r>
          <w:r>
            <w:tab/>
          </w:r>
          <w:r>
            <w:t xml:space="preserve">53</w:t>
          </w:r>
        </w:p>
        <w:p>
          <w:pPr>
            <w:pStyle w:val="TOC2"/>
            <w:tabs>
              <w:tab w:val="right" w:leader="dot" w:pos="9072"/>
            </w:tabs>
          </w:pPr>
          <w:r>
            <w:t xml:space="preserve">9. Implementation and Delivery</w:t>
          </w:r>
          <w:r>
            <w:tab/>
          </w:r>
          <w:r>
            <w:t xml:space="preserve">54</w:t>
          </w:r>
        </w:p>
        <w:p>
          <w:pPr>
            <w:pStyle w:val="TOC3"/>
            <w:tabs>
              <w:tab w:val="right" w:leader="dot" w:pos="9072"/>
            </w:tabs>
          </w:pPr>
          <w:r>
            <w:t xml:space="preserve">9.1 Delivery Overview</w:t>
          </w:r>
          <w:r>
            <w:tab/>
          </w:r>
          <w:r>
            <w:t xml:space="preserve">55</w:t>
          </w:r>
        </w:p>
        <w:p>
          <w:pPr>
            <w:pStyle w:val="TOC3"/>
            <w:tabs>
              <w:tab w:val="right" w:leader="dot" w:pos="9072"/>
            </w:tabs>
          </w:pPr>
          <w:r>
            <w:t xml:space="preserve">9.2 Phase Plan</w:t>
          </w:r>
          <w:r>
            <w:tab/>
          </w:r>
          <w:r>
            <w:t xml:space="preserve">56</w:t>
          </w:r>
        </w:p>
        <w:p>
          <w:pPr>
            <w:pStyle w:val="TOC3"/>
            <w:tabs>
              <w:tab w:val="right" w:leader="dot" w:pos="9072"/>
            </w:tabs>
          </w:pPr>
          <w:r>
            <w:t xml:space="preserve">9.3 Key Risks</w:t>
          </w:r>
          <w:r>
            <w:tab/>
          </w:r>
          <w:r>
            <w:t xml:space="preserve">57</w:t>
          </w:r>
        </w:p>
        <w:p>
          <w:pPr>
            <w:pStyle w:val="TOC2"/>
            <w:tabs>
              <w:tab w:val="right" w:leader="dot" w:pos="9072"/>
            </w:tabs>
          </w:pPr>
          <w:r>
            <w:t xml:space="preserve">10. Deployment Options</w:t>
          </w:r>
          <w:r>
            <w:tab/>
          </w:r>
          <w:r>
            <w:t xml:space="preserve">58</w:t>
          </w:r>
        </w:p>
        <w:p>
          <w:pPr>
            <w:pStyle w:val="TOC3"/>
            <w:tabs>
              <w:tab w:val="right" w:leader="dot" w:pos="9072"/>
            </w:tabs>
          </w:pPr>
          <w:r>
            <w:t xml:space="preserve">10.1 Recommended: Private Cloud (Frankfurt, Germany)</w:t>
          </w:r>
          <w:r>
            <w:tab/>
          </w:r>
          <w:r>
            <w:t xml:space="preserve">59</w:t>
          </w:r>
        </w:p>
        <w:p>
          <w:pPr>
            <w:pStyle w:val="TOC2"/>
            <w:tabs>
              <w:tab w:val="right" w:leader="dot" w:pos="9072"/>
            </w:tabs>
          </w:pPr>
          <w:r>
            <w:t xml:space="preserve">11. Training</w:t>
          </w:r>
          <w:r>
            <w:tab/>
          </w:r>
          <w:r>
            <w:t xml:space="preserve">60</w:t>
          </w:r>
        </w:p>
        <w:p>
          <w:pPr>
            <w:pStyle w:val="TOC2"/>
            <w:tabs>
              <w:tab w:val="right" w:leader="dot" w:pos="9072"/>
            </w:tabs>
          </w:pPr>
          <w:r>
            <w:t xml:space="preserve">12. Support and SLA</w:t>
          </w:r>
          <w:r>
            <w:tab/>
          </w:r>
          <w:r>
            <w:t xml:space="preserve">61</w:t>
          </w:r>
        </w:p>
        <w:p>
          <w:pPr>
            <w:pStyle w:val="TOC2"/>
            <w:tabs>
              <w:tab w:val="right" w:leader="dot" w:pos="9072"/>
            </w:tabs>
          </w:pPr>
          <w:r>
            <w:t xml:space="preserve">13. Risk Management</w:t>
          </w:r>
          <w:r>
            <w:tab/>
          </w:r>
          <w:r>
            <w:t xml:space="preserve">62</w:t>
          </w:r>
        </w:p>
        <w:p>
          <w:pPr>
            <w:pStyle w:val="TOC2"/>
            <w:tabs>
              <w:tab w:val="right" w:leader="dot" w:pos="9072"/>
            </w:tabs>
          </w:pPr>
          <w:r>
            <w:t xml:space="preserve">14. Compliance Matrix</w:t>
          </w:r>
          <w:r>
            <w:tab/>
          </w:r>
          <w:r>
            <w:t xml:space="preserve">63</w:t>
          </w:r>
        </w:p>
        <w:p>
          <w:pPr>
            <w:pStyle w:val="TOC3"/>
            <w:tabs>
              <w:tab w:val="right" w:leader="dot" w:pos="9072"/>
            </w:tabs>
          </w:pPr>
          <w:r>
            <w:t xml:space="preserve">14.1 Technical Requirements</w:t>
          </w:r>
          <w:r>
            <w:tab/>
          </w:r>
          <w:r>
            <w:t xml:space="preserve">64</w:t>
          </w:r>
        </w:p>
        <w:p>
          <w:r>
            <w:fldChar w:fldCharType="end"/>
          </w:r>
        </w:p>
      </w:sdtContent>
    </w:sdt>
    <w:p w14:paraId="3CB9FE7A" w14:textId="77777777" w:rsidR="006B6750" w:rsidRPr="00A9690B" w:rsidRDefault="006B6750" w:rsidP="0018162B">
      <w:pPr>
        <w:rPr>
          <w:rFonts w:eastAsiaTheme="majorEastAsia" w:cstheme="majorBidi"/>
          <w:b/>
          <w:color w:val="0070C0"/>
          <w:sz w:val="32"/>
          <w:szCs w:val="40"/>
        </w:rPr>
      </w:pPr>
      <w:r w:rsidRPr="00A9690B">
        <w:br w:type="page"/>
      </w:r>
    </w:p>
    <w:p>
      <w:r>
        <w:rPr>
          <w:rFonts w:ascii="Figtree" w:hAnsi="Figtree"/>
          <w:b/>
          <w:i w:val="0"/>
          <w:sz w:val="22"/>
        </w:rPr>
        <w:t>Prepared for:</w:t>
      </w:r>
      <w:r>
        <w:rPr>
          <w:rFonts w:ascii="Figtree" w:hAnsi="Figtree"/>
          <w:b w:val="0"/>
          <w:i w:val="0"/>
          <w:sz w:val="22"/>
        </w:rPr>
        <w:t xml:space="preserve"> Deutsche Börse AG</w:t>
      </w:r>
    </w:p>
    <w:p>
      <w:r>
        <w:rPr>
          <w:rFonts w:ascii="Figtree" w:hAnsi="Figtree"/>
          <w:b/>
          <w:i w:val="0"/>
          <w:sz w:val="22"/>
        </w:rPr>
        <w:t>Document Title:</w:t>
      </w:r>
      <w:r>
        <w:rPr>
          <w:rFonts w:ascii="Figtree" w:hAnsi="Figtree"/>
          <w:b w:val="0"/>
          <w:i w:val="0"/>
          <w:sz w:val="22"/>
        </w:rPr>
        <w:t xml:space="preserve"> Technical Proposal — Regulated Digital Asset Trading Venue</w:t>
      </w:r>
    </w:p>
    <w:p>
      <w:r>
        <w:rPr>
          <w:rFonts w:ascii="Figtree" w:hAnsi="Figtree"/>
          <w:b/>
          <w:i w:val="0"/>
          <w:sz w:val="22"/>
        </w:rPr>
        <w:t>RFP Reference:</w:t>
      </w:r>
      <w:r>
        <w:rPr>
          <w:rFonts w:ascii="Figtree" w:hAnsi="Figtree"/>
          <w:b w:val="0"/>
          <w:i w:val="0"/>
          <w:sz w:val="22"/>
        </w:rPr>
        <w:t xml:space="preserve"> DEUTSCHEBORSE-RFP-202603</w:t>
      </w:r>
    </w:p>
    <w:p>
      <w:r>
        <w:rPr>
          <w:rFonts w:ascii="Figtree" w:hAnsi="Figtree"/>
          <w:b/>
          <w:i w:val="0"/>
          <w:sz w:val="22"/>
        </w:rPr>
        <w:t>Submission Date:</w:t>
      </w:r>
      <w:r>
        <w:rPr>
          <w:rFonts w:ascii="Figtree" w:hAnsi="Figtree"/>
          <w:b w:val="0"/>
          <w:i w:val="0"/>
          <w:sz w:val="22"/>
        </w:rPr>
        <w:t xml:space="preserve"> March 2026</w:t>
      </w:r>
    </w:p>
    <w:p>
      <w:r>
        <w:rPr>
          <w:rFonts w:ascii="Figtree" w:hAnsi="Figtree"/>
          <w:b/>
          <w:i w:val="0"/>
          <w:sz w:val="22"/>
        </w:rPr>
        <w:t>Version:</w:t>
      </w:r>
      <w:r>
        <w:rPr>
          <w:rFonts w:ascii="Figtree" w:hAnsi="Figtree"/>
          <w:b w:val="0"/>
          <w:i w:val="0"/>
          <w:sz w:val="22"/>
        </w:rPr>
        <w:t xml:space="preserve"> 1.0 Draft</w:t>
      </w:r>
    </w:p>
    <w:p>
      <w:r>
        <w:rPr>
          <w:rFonts w:ascii="Figtree" w:hAnsi="Figtree"/>
          <w:b/>
          <w:i w:val="0"/>
          <w:sz w:val="22"/>
        </w:rPr>
        <w:t>Classification:</w:t>
      </w:r>
      <w:r>
        <w:rPr>
          <w:rFonts w:ascii="Figtree" w:hAnsi="Figtree"/>
          <w:b w:val="0"/>
          <w:i w:val="0"/>
          <w:sz w:val="22"/>
        </w:rPr>
        <w:t xml:space="preserve"> SettleMint Confidential</w:t>
      </w:r>
    </w:p>
    <w:p>
      <w:r>
        <w:br w:type="page"/>
      </w:r>
    </w:p>
    <w:p>
      <w:pPr>
        <w:pStyle w:val="H2"/>
        <w:numPr>
          <w:ilvl w:val="1"/>
          <w:numId w:val="1"/>
        </w:numPr>
      </w:pPr>
      <w:r>
        <w:t>Table of Contents</w:t>
      </w:r>
    </w:p>
    <w:p>
      <w:pPr>
        <w:pStyle w:val="ListParagraph"/>
        <w:numPr>
          <w:ilvl w:val="0"/>
          <w:numId w:val="6"/>
        </w:numPr>
      </w:pPr>
      <w:r>
        <w:rPr>
          <w:rFonts w:ascii="Figtree" w:hAnsi="Figtree"/>
          <w:b w:val="0"/>
          <w:i w:val="0"/>
          <w:sz w:val="22"/>
        </w:rPr>
        <w:t>Executive Summary</w:t>
      </w:r>
    </w:p>
    <w:p>
      <w:pPr>
        <w:pStyle w:val="ListParagraph"/>
        <w:numPr>
          <w:ilvl w:val="0"/>
          <w:numId w:val="6"/>
        </w:numPr>
      </w:pPr>
      <w:r>
        <w:rPr>
          <w:rFonts w:ascii="Figtree" w:hAnsi="Figtree"/>
          <w:b w:val="0"/>
          <w:i w:val="0"/>
          <w:sz w:val="22"/>
        </w:rPr>
        <w:t>About SettleMint</w:t>
      </w:r>
    </w:p>
    <w:p>
      <w:pPr>
        <w:pStyle w:val="ListParagraph"/>
        <w:numPr>
          <w:ilvl w:val="0"/>
          <w:numId w:val="6"/>
        </w:numPr>
      </w:pPr>
      <w:r>
        <w:rPr>
          <w:rFonts w:ascii="Figtree" w:hAnsi="Figtree"/>
          <w:b w:val="0"/>
          <w:i w:val="0"/>
          <w:sz w:val="22"/>
        </w:rPr>
        <w:t>About DALP</w:t>
      </w:r>
    </w:p>
    <w:p>
      <w:pPr>
        <w:pStyle w:val="ListParagraph"/>
        <w:numPr>
          <w:ilvl w:val="0"/>
          <w:numId w:val="6"/>
        </w:numPr>
      </w:pPr>
      <w:r>
        <w:rPr>
          <w:rFonts w:ascii="Figtree" w:hAnsi="Figtree"/>
          <w:b w:val="0"/>
          <w:i w:val="0"/>
          <w:sz w:val="22"/>
        </w:rPr>
        <w:t>Customer References</w:t>
      </w:r>
    </w:p>
    <w:p>
      <w:pPr>
        <w:pStyle w:val="ListParagraph"/>
        <w:numPr>
          <w:ilvl w:val="0"/>
          <w:numId w:val="6"/>
        </w:numPr>
      </w:pPr>
      <w:r>
        <w:rPr>
          <w:rFonts w:ascii="Figtree" w:hAnsi="Figtree"/>
          <w:b w:val="0"/>
          <w:i w:val="0"/>
          <w:sz w:val="22"/>
        </w:rPr>
        <w:t>Understanding of Requirements</w:t>
      </w:r>
    </w:p>
    <w:p>
      <w:pPr>
        <w:pStyle w:val="ListParagraph"/>
        <w:numPr>
          <w:ilvl w:val="0"/>
          <w:numId w:val="6"/>
        </w:numPr>
      </w:pPr>
      <w:r>
        <w:rPr>
          <w:rFonts w:ascii="Figtree" w:hAnsi="Figtree"/>
          <w:b w:val="0"/>
          <w:i w:val="0"/>
          <w:sz w:val="22"/>
        </w:rPr>
        <w:t>Proposed Solution and Functional Capabilities</w:t>
      </w:r>
    </w:p>
    <w:p>
      <w:pPr>
        <w:pStyle w:val="ListParagraph"/>
        <w:numPr>
          <w:ilvl w:val="0"/>
          <w:numId w:val="6"/>
        </w:numPr>
      </w:pPr>
      <w:r>
        <w:rPr>
          <w:rFonts w:ascii="Figtree" w:hAnsi="Figtree"/>
          <w:b w:val="0"/>
          <w:i w:val="0"/>
          <w:sz w:val="22"/>
        </w:rPr>
        <w:t>Technical Architecture</w:t>
      </w:r>
    </w:p>
    <w:p>
      <w:pPr>
        <w:pStyle w:val="ListParagraph"/>
        <w:numPr>
          <w:ilvl w:val="0"/>
          <w:numId w:val="6"/>
        </w:numPr>
      </w:pPr>
      <w:r>
        <w:rPr>
          <w:rFonts w:ascii="Figtree" w:hAnsi="Figtree"/>
          <w:b w:val="0"/>
          <w:i w:val="0"/>
          <w:sz w:val="22"/>
        </w:rPr>
        <w:t>Security</w:t>
      </w:r>
    </w:p>
    <w:p>
      <w:pPr>
        <w:pStyle w:val="ListParagraph"/>
        <w:numPr>
          <w:ilvl w:val="0"/>
          <w:numId w:val="6"/>
        </w:numPr>
      </w:pPr>
      <w:r>
        <w:rPr>
          <w:rFonts w:ascii="Figtree" w:hAnsi="Figtree"/>
          <w:b w:val="0"/>
          <w:i w:val="0"/>
          <w:sz w:val="22"/>
        </w:rPr>
        <w:t>Implementation and Delivery</w:t>
      </w:r>
    </w:p>
    <w:p>
      <w:pPr>
        <w:pStyle w:val="ListParagraph"/>
        <w:numPr>
          <w:ilvl w:val="0"/>
          <w:numId w:val="6"/>
        </w:numPr>
      </w:pPr>
      <w:r>
        <w:rPr>
          <w:rFonts w:ascii="Figtree" w:hAnsi="Figtree"/>
          <w:b w:val="0"/>
          <w:i w:val="0"/>
          <w:sz w:val="22"/>
        </w:rPr>
        <w:t>Deployment Options</w:t>
      </w:r>
    </w:p>
    <w:p>
      <w:pPr>
        <w:pStyle w:val="ListParagraph"/>
        <w:numPr>
          <w:ilvl w:val="0"/>
          <w:numId w:val="6"/>
        </w:numPr>
      </w:pPr>
      <w:r>
        <w:rPr>
          <w:rFonts w:ascii="Figtree" w:hAnsi="Figtree"/>
          <w:b w:val="0"/>
          <w:i w:val="0"/>
          <w:sz w:val="22"/>
        </w:rPr>
        <w:t>Training and Knowledge Transfer</w:t>
      </w:r>
    </w:p>
    <w:p>
      <w:pPr>
        <w:pStyle w:val="ListParagraph"/>
        <w:numPr>
          <w:ilvl w:val="0"/>
          <w:numId w:val="6"/>
        </w:numPr>
      </w:pPr>
      <w:r>
        <w:rPr>
          <w:rFonts w:ascii="Figtree" w:hAnsi="Figtree"/>
          <w:b w:val="0"/>
          <w:i w:val="0"/>
          <w:sz w:val="22"/>
        </w:rPr>
        <w:t>Support and SLA</w:t>
      </w:r>
    </w:p>
    <w:p>
      <w:pPr>
        <w:pStyle w:val="ListParagraph"/>
        <w:numPr>
          <w:ilvl w:val="0"/>
          <w:numId w:val="6"/>
        </w:numPr>
      </w:pPr>
      <w:r>
        <w:rPr>
          <w:rFonts w:ascii="Figtree" w:hAnsi="Figtree"/>
          <w:b w:val="0"/>
          <w:i w:val="0"/>
          <w:sz w:val="22"/>
        </w:rPr>
        <w:t>Risk Management</w:t>
      </w:r>
    </w:p>
    <w:p>
      <w:pPr>
        <w:pStyle w:val="ListParagraph"/>
        <w:numPr>
          <w:ilvl w:val="0"/>
          <w:numId w:val="6"/>
        </w:numPr>
      </w:pPr>
      <w:r>
        <w:rPr>
          <w:rFonts w:ascii="Figtree" w:hAnsi="Figtree"/>
          <w:b w:val="0"/>
          <w:i w:val="0"/>
          <w:sz w:val="22"/>
        </w:rPr>
        <w:t>Compliance Matrix</w:t>
      </w:r>
    </w:p>
    <w:p>
      <w:r>
        <w:br w:type="page"/>
      </w:r>
    </w:p>
    <w:p>
      <w:pPr>
        <w:pStyle w:val="H2"/>
        <w:numPr>
          <w:ilvl w:val="1"/>
          <w:numId w:val="1"/>
        </w:numPr>
      </w:pPr>
      <w:r>
        <w:t>1. Executive Summary</w:t>
      </w:r>
    </w:p>
    <w:p>
      <w:pPr>
        <w:pStyle w:val="H3"/>
        <w:numPr>
          <w:ilvl w:val="2"/>
          <w:numId w:val="1"/>
        </w:numPr>
      </w:pPr>
      <w:r>
        <w:t>1.1 Context and Strategic Drivers</w:t>
      </w:r>
    </w:p>
    <w:p>
      <w:r>
        <w:rPr>
          <w:rFonts w:ascii="Figtree" w:hAnsi="Figtree"/>
          <w:b w:val="0"/>
          <w:i w:val="0"/>
          <w:sz w:val="22"/>
        </w:rPr>
        <w:t>Deutsche Börse's challenge in establishing a regulated digital asset trading venue is not simply a matter of deploying a token issuance system. As a regulated market operator under MiFID II and Germany's existing exchange regulatory framework, Deutsche Börse must demonstrate to BaFin and relevant EU authorities that the digital asset trading venue meets the same market integrity, participant admission, surveillance, and operational resilience standards as its traditional venues.</w:t>
      </w:r>
    </w:p>
    <w:p>
      <w:r>
        <w:rPr>
          <w:rFonts w:ascii="Figtree" w:hAnsi="Figtree"/>
          <w:b w:val="0"/>
          <w:i w:val="0"/>
          <w:sz w:val="22"/>
        </w:rPr>
        <w:t>The regulatory environment has hardened significantly. MiCA creates a directly applicable framework for crypto-asset service providers operating in the EU, with Deutsche Börse's exchange group likely to be subject to multiple concurrent regulatory perimeters depending on the instrument classification of each listed digital asset. MiFID II/MiFIR trading venue requirements continue to apply where digital assets are classified as financial instruments. DORA's operational resilience regime applies from January 2025 with ICT testing, incident classification, and third-party dependency management requirements. BaFin's Crypto Securities Act (eWpG) framework creates specific requirements for electronic securities issuance and listing.</w:t>
      </w:r>
    </w:p>
    <w:p>
      <w:r>
        <w:rPr>
          <w:rFonts w:ascii="Figtree" w:hAnsi="Figtree"/>
          <w:b w:val="0"/>
          <w:i w:val="0"/>
          <w:sz w:val="22"/>
        </w:rPr>
        <w:t>Deutsche Börse's procurement document identifies the core requirements with precision: venue state controls, deterministic message handling, market surveillance data feeds, participant admission and entitlement controls, throttling and kill-switch capabilities, and listing workflow with disclosure capture. These are not digital innovation experiments; they are the foundational controls that allow a regulated market to operate under MiFID II's fair and orderly market obligation.</w:t>
      </w:r>
    </w:p>
    <w:p>
      <w:r>
        <w:rPr>
          <w:rFonts w:ascii="Figtree" w:hAnsi="Figtree"/>
          <w:b w:val="0"/>
          <w:i w:val="0"/>
          <w:sz w:val="22"/>
        </w:rPr>
        <w:t>The go-to-market context also matters. Deutsche Börse's existing Xetra and D3X (Deutsche Börse Digital Exchange) infrastructure creates integration requirements: the digital asset trading venue must connect to existing market data distribution, participant access management, and CCP/settlement infrastructure rather than operating in isolation.</w:t>
      </w:r>
    </w:p>
    <w:p>
      <w:pPr>
        <w:pStyle w:val="H3"/>
        <w:numPr>
          <w:ilvl w:val="2"/>
          <w:numId w:val="1"/>
        </w:numPr>
      </w:pPr>
      <w:r>
        <w:t>1.2 Why This Programme Is Hard</w:t>
      </w:r>
    </w:p>
    <w:p>
      <w:r>
        <w:rPr>
          <w:rFonts w:ascii="Figtree" w:hAnsi="Figtree"/>
          <w:b w:val="0"/>
          <w:i w:val="0"/>
          <w:sz w:val="22"/>
        </w:rPr>
        <w:t>Three dimensions make this technically and operationally complex.</w:t>
      </w:r>
    </w:p>
    <w:p>
      <w:r>
        <w:rPr>
          <w:rFonts w:ascii="Figtree" w:hAnsi="Figtree"/>
          <w:b/>
          <w:i w:val="0"/>
          <w:sz w:val="22"/>
        </w:rPr>
        <w:t>Market structure configuration.</w:t>
      </w:r>
      <w:r>
        <w:rPr>
          <w:rFonts w:ascii="Figtree" w:hAnsi="Figtree"/>
          <w:b w:val="0"/>
          <w:i w:val="0"/>
          <w:sz w:val="22"/>
        </w:rPr>
        <w:t xml:space="preserve"> MiFID II requires that trading venues maintain fair and orderly markets. For digital assets, this requires configurable market models (continuous, periodic auction, RFQ), session state management (pre-open, open, halt, close, post-trade), and circuit-breaker controls that match the venue's specific market design. A generic token transfer platform cannot provide this.</w:t>
      </w:r>
    </w:p>
    <w:p>
      <w:r>
        <w:rPr>
          <w:rFonts w:ascii="Figtree" w:hAnsi="Figtree"/>
          <w:b/>
          <w:i w:val="0"/>
          <w:sz w:val="22"/>
        </w:rPr>
        <w:t>Market surveillance.</w:t>
      </w:r>
      <w:r>
        <w:rPr>
          <w:rFonts w:ascii="Figtree" w:hAnsi="Figtree"/>
          <w:b w:val="0"/>
          <w:i w:val="0"/>
          <w:sz w:val="22"/>
        </w:rPr>
        <w:t xml:space="preserve"> MiFID II Article 31 requires systematic monitoring of transactions and order activity for market abuse detection. This requires deterministic event sequencing (orders and trades must be recorded with microsecond-precision timestamps in a consistent sequence), feed export to surveillance systems, and evidence retention in a format suitable for regulatory investigation.</w:t>
      </w:r>
    </w:p>
    <w:p>
      <w:r>
        <w:rPr>
          <w:rFonts w:ascii="Figtree" w:hAnsi="Figtree"/>
          <w:b/>
          <w:i w:val="0"/>
          <w:sz w:val="22"/>
        </w:rPr>
        <w:t>Participant admission governance.</w:t>
      </w:r>
      <w:r>
        <w:rPr>
          <w:rFonts w:ascii="Figtree" w:hAnsi="Figtree"/>
          <w:b w:val="0"/>
          <w:i w:val="0"/>
          <w:sz w:val="22"/>
        </w:rPr>
        <w:t xml:space="preserve"> MiFID II requires that access to regulated markets is subject to admission criteria, ongoing eligibility monitoring, and the ability to revoke access. For digital assets, this means participant admission must enforce eligibility claims on-chain, not just at the application layer.</w:t>
      </w:r>
    </w:p>
    <w:p>
      <w:pPr>
        <w:pStyle w:val="H3"/>
        <w:numPr>
          <w:ilvl w:val="2"/>
          <w:numId w:val="1"/>
        </w:numPr>
      </w:pPr>
      <w:r>
        <w:t>1.3 Proposed Response</w:t>
      </w:r>
    </w:p>
    <w:p>
      <w:r>
        <w:rPr>
          <w:rFonts w:ascii="Figtree" w:hAnsi="Figtree"/>
          <w:b w:val="0"/>
          <w:i w:val="0"/>
          <w:sz w:val="22"/>
        </w:rPr>
        <w:t>SettleMint proposes DALP as the regulated digital asset trading venue infrastructure. DALP's on-chain participant admission controls (ERC-3643 compliance modules + OnchainID), configurable asset lifecycle management (venue state controls via DALPAsset), and event emission architecture (audit-grade timestamped event logs) address Deutsche Börse's specific regulatory requirements.</w:t>
      </w:r>
    </w:p>
    <w:p>
      <w:r>
        <w:rPr>
          <w:rFonts w:ascii="Figtree" w:hAnsi="Figtree"/>
          <w:b/>
          <w:i w:val="0"/>
          <w:sz w:val="22"/>
        </w:rPr>
        <w:t>Venue state management:</w:t>
      </w:r>
      <w:r>
        <w:rPr>
          <w:rFonts w:ascii="Figtree" w:hAnsi="Figtree"/>
          <w:b w:val="0"/>
          <w:i w:val="0"/>
          <w:sz w:val="22"/>
        </w:rPr>
        <w:t xml:space="preserve"> DALP's EMERGENCY and GOVERNANCE roles provide venue state controls — the ability to pause trading (equivalent to halt), modify eligibility rules (equivalent to admission changes), and recover from exceptional states. For more advanced market model configuration (session state machines, order book logic), DALP provides the token and compliance layer while Deutsche Börse's existing market model infrastructure (Xetra or D3X) provides the matching engine. DALP assumes the role of the regulated token layer within the D3X/Xetra integration pattern.</w:t>
      </w:r>
    </w:p>
    <w:p>
      <w:r>
        <w:rPr>
          <w:rFonts w:ascii="Figtree" w:hAnsi="Figtree"/>
          <w:b/>
          <w:i w:val="0"/>
          <w:sz w:val="22"/>
        </w:rPr>
        <w:t>Participant admission:</w:t>
      </w:r>
      <w:r>
        <w:rPr>
          <w:rFonts w:ascii="Figtree" w:hAnsi="Figtree"/>
          <w:b w:val="0"/>
          <w:i w:val="0"/>
          <w:sz w:val="22"/>
        </w:rPr>
        <w:t xml:space="preserve"> OnchainID identity management with verifiable admission claims. Participant admission is controlled through trusted claim issuance. Revocation is immediate — revoking an admission claim blocks all further transfers for that participant.</w:t>
      </w:r>
    </w:p>
    <w:p>
      <w:r>
        <w:rPr>
          <w:rFonts w:ascii="Figtree" w:hAnsi="Figtree"/>
          <w:b/>
          <w:i w:val="0"/>
          <w:sz w:val="22"/>
        </w:rPr>
        <w:t>Listing workflow:</w:t>
      </w:r>
      <w:r>
        <w:rPr>
          <w:rFonts w:ascii="Figtree" w:hAnsi="Figtree"/>
          <w:b w:val="0"/>
          <w:i w:val="0"/>
          <w:sz w:val="22"/>
        </w:rPr>
        <w:t xml:space="preserve"> DALP's issuance flow supports admission checks, disclosure capture (stored as off-chain metadata linked to the token), and issuer attestations via the trusted claim system.</w:t>
      </w:r>
    </w:p>
    <w:p>
      <w:r>
        <w:rPr>
          <w:rFonts w:ascii="Figtree" w:hAnsi="Figtree"/>
          <w:b/>
          <w:i w:val="0"/>
          <w:sz w:val="22"/>
        </w:rPr>
        <w:t>Deployment:</w:t>
      </w:r>
      <w:r>
        <w:rPr>
          <w:rFonts w:ascii="Figtree" w:hAnsi="Figtree"/>
          <w:b w:val="0"/>
          <w:i w:val="0"/>
          <w:sz w:val="22"/>
        </w:rPr>
        <w:t xml:space="preserve"> Private cloud within Deutsche Börse's Frankfurt infrastructure or dedicated EU-jurisdiction deployment, aligned with BaFin regulatory expectations.</w:t>
      </w:r>
    </w:p>
    <w:p>
      <w:r>
        <w:rPr>
          <w:rFonts w:ascii="Figtree" w:hAnsi="Figtree"/>
          <w:b/>
          <w:i w:val="0"/>
          <w:sz w:val="22"/>
        </w:rPr>
        <w:t>Phased delivery:</w:t>
      </w:r>
      <w:r>
        <w:rPr>
          <w:rFonts w:ascii="Figtree" w:hAnsi="Figtree"/>
          <w:b w:val="0"/>
          <w:i w:val="0"/>
          <w:sz w:val="22"/>
        </w:rPr>
        <w:t xml:space="preserve"> 32-week implementation plan with formal phase gates for BaFin notification requirements.</w:t>
      </w:r>
    </w:p>
    <w:p>
      <w:pPr>
        <w:pStyle w:val="H3"/>
        <w:numPr>
          <w:ilvl w:val="2"/>
          <w:numId w:val="1"/>
        </w:numPr>
      </w:pPr>
      <w:r>
        <w:t>1.4 Why SettleMint</w:t>
      </w:r>
    </w:p>
    <w:p>
      <w:r>
        <w:rPr>
          <w:rFonts w:ascii="Figtree" w:hAnsi="Figtree"/>
          <w:b w:val="0"/>
          <w:i w:val="0"/>
          <w:sz w:val="22"/>
        </w:rPr>
        <w:t>SettleMint has delivered regulated digital asset infrastructure to exchange groups, stock exchanges, and market infrastructure operators. The company's production experience with participant admission controls, compliance enforcement at the contract layer, and integration with existing market infrastructure directly addresses Deutsche Börse's requirements.</w:t>
      </w:r>
    </w:p>
    <w:p>
      <w:pPr>
        <w:pStyle w:val="H3"/>
        <w:numPr>
          <w:ilvl w:val="2"/>
          <w:numId w:val="1"/>
        </w:numPr>
      </w:pPr>
      <w:r>
        <w:t>1.5 Why DALP</w:t>
      </w:r>
    </w:p>
    <w:p>
      <w:r>
        <w:rPr>
          <w:rFonts w:ascii="Figtree" w:hAnsi="Figtree"/>
          <w:b w:val="0"/>
          <w:i w:val="0"/>
          <w:sz w:val="22"/>
        </w:rPr>
        <w:t>DALP's ERC-3643 participant admission controls, configurable compliance module architecture, and deterministic event emission address the specific MiFID II requirements of a regulated digital asset trading venue. The on-chain AccessManager provides venue operator controls (pause, suspend, administrative override) that satisfy MiFID II's orderly market obligations.</w:t>
      </w:r>
    </w:p>
    <w:p>
      <w:pPr>
        <w:pStyle w:val="H3"/>
        <w:numPr>
          <w:ilvl w:val="2"/>
          <w:numId w:val="1"/>
        </w:numPr>
      </w:pPr>
      <w:r>
        <w:t>1.6 Reference Fit Snapshot</w:t>
      </w:r>
    </w:p>
    <w:p>
      <w:pPr>
        <w:pStyle w:val="ListParagraph"/>
        <w:numPr>
          <w:ilvl w:val="0"/>
          <w:numId w:val="4"/>
        </w:numPr>
      </w:pPr>
      <w:r>
        <w:rPr>
          <w:rFonts w:ascii="Figtree" w:hAnsi="Figtree"/>
          <w:b/>
          <w:i w:val="0"/>
          <w:sz w:val="22"/>
        </w:rPr>
        <w:t>Tadawul (Saudi Exchange):</w:t>
      </w:r>
      <w:r>
        <w:rPr>
          <w:rFonts w:ascii="Figtree" w:hAnsi="Figtree"/>
          <w:b w:val="0"/>
          <w:i w:val="0"/>
          <w:sz w:val="22"/>
        </w:rPr>
        <w:t xml:space="preserve"> Digital securities listing and trading platform for a regulated exchange group, demonstrating participant admission, listing workflow, and surveillance feed architecture.</w:t>
      </w:r>
    </w:p>
    <w:p>
      <w:pPr>
        <w:pStyle w:val="ListParagraph"/>
        <w:numPr>
          <w:ilvl w:val="0"/>
          <w:numId w:val="4"/>
        </w:numPr>
      </w:pPr>
      <w:r>
        <w:rPr>
          <w:rFonts w:ascii="Figtree" w:hAnsi="Figtree"/>
          <w:b/>
          <w:i w:val="0"/>
          <w:sz w:val="22"/>
        </w:rPr>
        <w:t>JSE (Johannesburg Stock Exchange):</w:t>
      </w:r>
      <w:r>
        <w:rPr>
          <w:rFonts w:ascii="Figtree" w:hAnsi="Figtree"/>
          <w:b w:val="0"/>
          <w:i w:val="0"/>
          <w:sz w:val="22"/>
        </w:rPr>
        <w:t xml:space="preserve"> Digital asset trading and settlement at a regulated exchange, demonstrating market integrity controls and settlement integration.</w:t>
      </w:r>
    </w:p>
    <w:p>
      <w:pPr>
        <w:pStyle w:val="ListParagraph"/>
        <w:numPr>
          <w:ilvl w:val="0"/>
          <w:numId w:val="4"/>
        </w:numPr>
      </w:pPr>
      <w:r>
        <w:rPr>
          <w:rFonts w:ascii="Figtree" w:hAnsi="Figtree"/>
          <w:b/>
          <w:i w:val="0"/>
          <w:sz w:val="22"/>
        </w:rPr>
        <w:t>Bank of England:</w:t>
      </w:r>
      <w:r>
        <w:rPr>
          <w:rFonts w:ascii="Figtree" w:hAnsi="Figtree"/>
          <w:b w:val="0"/>
          <w:i w:val="0"/>
          <w:sz w:val="22"/>
        </w:rPr>
        <w:t xml:space="preserve"> FMI-grade compliance enforcement and governance architecture.</w:t>
      </w:r>
    </w:p>
    <w:p>
      <w:r>
        <w:br w:type="page"/>
      </w:r>
    </w:p>
    <w:p>
      <w:pPr>
        <w:pStyle w:val="H2"/>
        <w:numPr>
          <w:ilvl w:val="1"/>
          <w:numId w:val="1"/>
        </w:numPr>
      </w:pPr>
      <w:r>
        <w:t>2. About SettleMint</w:t>
      </w:r>
    </w:p>
    <w:p>
      <w:pPr>
        <w:pStyle w:val="H3"/>
        <w:numPr>
          <w:ilvl w:val="2"/>
          <w:numId w:val="1"/>
        </w:numPr>
      </w:pPr>
      <w:r>
        <w:t>2.1 Company Overview</w:t>
      </w:r>
    </w:p>
    <w:p>
      <w:r>
        <w:rPr>
          <w:rFonts w:ascii="Figtree" w:hAnsi="Figtree"/>
          <w:b w:val="0"/>
          <w:i w:val="0"/>
          <w:sz w:val="22"/>
        </w:rPr>
        <w:t>SettleMint NV delivers DALP to regulated financial institutions, market infrastructure operators, and exchange groups. The company holds ISO 27001 and SOC 2 Type II certifications and has production deployments at exchange groups and market infrastructure operators in multiple jurisdictions.</w:t>
      </w:r>
    </w:p>
    <w:p>
      <w:pPr>
        <w:pStyle w:val="H3"/>
        <w:numPr>
          <w:ilvl w:val="2"/>
          <w:numId w:val="1"/>
        </w:numPr>
      </w:pPr>
      <w:r>
        <w:t>2.2 Production Credentials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075"/>
        <w:gridCol w:w="599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Credential</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Detail</w:t>
            </w:r>
          </w:p>
        </w:tc>
      </w:tr>
      <w:tr>
        <w:trPr>
          <w:trHeight w:val="425" w:hRule="atLeast"/>
        </w:trPr>
        <w:tc>
          <w:tcPr>
            <w:tcW w:type="dxa" w:w="4873"/>
            <w:vAlign w:val="center"/>
          </w:tcPr>
          <w:p>
            <w:pPr>
              <w:spacing w:line="276" w:lineRule="auto" w:before="0" w:after="0"/>
            </w:pPr>
            <w:r/>
            <w:r>
              <w:rPr>
                <w:rFonts w:ascii="Figtree" w:hAnsi="Figtree"/>
                <w:b w:val="0"/>
                <w:i w:val="0"/>
                <w:sz w:val="20"/>
              </w:rPr>
              <w:t>ISO 27001 / SOC 2 Type II</w:t>
            </w:r>
          </w:p>
        </w:tc>
        <w:tc>
          <w:tcPr>
            <w:tcW w:type="dxa" w:w="4873"/>
            <w:vAlign w:val="center"/>
          </w:tcPr>
          <w:p>
            <w:pPr>
              <w:spacing w:line="276" w:lineRule="auto" w:before="0" w:after="0"/>
            </w:pPr>
            <w:r/>
            <w:r>
              <w:rPr>
                <w:rFonts w:ascii="Figtree" w:hAnsi="Figtree"/>
                <w:b w:val="0"/>
                <w:i w:val="0"/>
                <w:sz w:val="20"/>
              </w:rPr>
              <w:t>Current certifications</w:t>
            </w:r>
          </w:p>
        </w:tc>
      </w:tr>
      <w:tr>
        <w:trPr>
          <w:trHeight w:val="425" w:hRule="atLeast"/>
        </w:trPr>
        <w:tc>
          <w:tcPr>
            <w:tcW w:type="dxa" w:w="4873"/>
            <w:vAlign w:val="center"/>
          </w:tcPr>
          <w:p>
            <w:pPr>
              <w:spacing w:line="276" w:lineRule="auto" w:before="0" w:after="0"/>
            </w:pPr>
            <w:r/>
            <w:r>
              <w:rPr>
                <w:rFonts w:ascii="Figtree" w:hAnsi="Figtree"/>
                <w:b w:val="0"/>
                <w:i w:val="0"/>
                <w:sz w:val="20"/>
              </w:rPr>
              <w:t>Exchange group deployments</w:t>
            </w:r>
          </w:p>
        </w:tc>
        <w:tc>
          <w:tcPr>
            <w:tcW w:type="dxa" w:w="4873"/>
            <w:vAlign w:val="center"/>
          </w:tcPr>
          <w:p>
            <w:pPr>
              <w:spacing w:line="276" w:lineRule="auto" w:before="0" w:after="0"/>
            </w:pPr>
            <w:r/>
            <w:r>
              <w:rPr>
                <w:rFonts w:ascii="Figtree" w:hAnsi="Figtree"/>
                <w:b w:val="0"/>
                <w:i w:val="0"/>
                <w:sz w:val="20"/>
              </w:rPr>
              <w:t>Stock exchanges, digital securities venues, regulated platforms</w:t>
            </w:r>
          </w:p>
        </w:tc>
      </w:tr>
      <w:tr>
        <w:trPr>
          <w:trHeight w:val="425" w:hRule="atLeast"/>
        </w:trPr>
        <w:tc>
          <w:tcPr>
            <w:tcW w:type="dxa" w:w="4873"/>
            <w:vAlign w:val="center"/>
          </w:tcPr>
          <w:p>
            <w:pPr>
              <w:spacing w:line="276" w:lineRule="auto" w:before="0" w:after="0"/>
            </w:pPr>
            <w:r/>
            <w:r>
              <w:rPr>
                <w:rFonts w:ascii="Figtree" w:hAnsi="Figtree"/>
                <w:b w:val="0"/>
                <w:i w:val="0"/>
                <w:sz w:val="20"/>
              </w:rPr>
              <w:t>MiFID II aligned deployments</w:t>
            </w:r>
          </w:p>
        </w:tc>
        <w:tc>
          <w:tcPr>
            <w:tcW w:type="dxa" w:w="4873"/>
            <w:vAlign w:val="center"/>
          </w:tcPr>
          <w:p>
            <w:pPr>
              <w:spacing w:line="276" w:lineRule="auto" w:before="0" w:after="0"/>
            </w:pPr>
            <w:r/>
            <w:r>
              <w:rPr>
                <w:rFonts w:ascii="Figtree" w:hAnsi="Figtree"/>
                <w:b w:val="0"/>
                <w:i w:val="0"/>
                <w:sz w:val="20"/>
              </w:rPr>
              <w:t>EU regulated market infrastructure</w:t>
            </w:r>
          </w:p>
        </w:tc>
      </w:tr>
      <w:tr>
        <w:trPr>
          <w:trHeight w:val="425" w:hRule="atLeast"/>
        </w:trPr>
        <w:tc>
          <w:tcPr>
            <w:tcW w:type="dxa" w:w="4873"/>
            <w:vAlign w:val="center"/>
          </w:tcPr>
          <w:p>
            <w:pPr>
              <w:spacing w:line="276" w:lineRule="auto" w:before="0" w:after="0"/>
            </w:pPr>
            <w:r/>
            <w:r>
              <w:rPr>
                <w:rFonts w:ascii="Figtree" w:hAnsi="Figtree"/>
                <w:b w:val="0"/>
                <w:i w:val="0"/>
                <w:sz w:val="20"/>
              </w:rPr>
              <w:t>BaFin context</w:t>
            </w:r>
          </w:p>
        </w:tc>
        <w:tc>
          <w:tcPr>
            <w:tcW w:type="dxa" w:w="4873"/>
            <w:vAlign w:val="center"/>
          </w:tcPr>
          <w:p>
            <w:pPr>
              <w:spacing w:line="276" w:lineRule="auto" w:before="0" w:after="0"/>
            </w:pPr>
            <w:r/>
            <w:r>
              <w:rPr>
                <w:rFonts w:ascii="Figtree" w:hAnsi="Figtree"/>
                <w:b w:val="0"/>
                <w:i w:val="0"/>
                <w:sz w:val="20"/>
              </w:rPr>
              <w:t>German regulatory framework experience</w:t>
            </w:r>
          </w:p>
        </w:tc>
      </w:tr>
      <w:tr>
        <w:trPr>
          <w:trHeight w:val="425" w:hRule="atLeast"/>
        </w:trPr>
        <w:tc>
          <w:tcPr>
            <w:tcW w:type="dxa" w:w="4873"/>
            <w:vAlign w:val="center"/>
          </w:tcPr>
          <w:p>
            <w:pPr>
              <w:spacing w:line="276" w:lineRule="auto" w:before="0" w:after="0"/>
            </w:pPr>
            <w:r/>
            <w:r>
              <w:rPr>
                <w:rFonts w:ascii="Figtree" w:hAnsi="Figtree"/>
                <w:b w:val="0"/>
                <w:i w:val="0"/>
                <w:sz w:val="20"/>
              </w:rPr>
              <w:t>DORA aligned</w:t>
            </w:r>
          </w:p>
        </w:tc>
        <w:tc>
          <w:tcPr>
            <w:tcW w:type="dxa" w:w="4873"/>
            <w:vAlign w:val="center"/>
          </w:tcPr>
          <w:p>
            <w:pPr>
              <w:spacing w:line="276" w:lineRule="auto" w:before="0" w:after="0"/>
            </w:pPr>
            <w:r/>
            <w:r>
              <w:rPr>
                <w:rFonts w:ascii="Figtree" w:hAnsi="Figtree"/>
                <w:b w:val="0"/>
                <w:i w:val="0"/>
                <w:sz w:val="20"/>
              </w:rPr>
              <w:t>EU ICT resilience requirement coverage</w:t>
            </w:r>
          </w:p>
        </w:tc>
      </w:tr>
    </w:tbl>
    <w:p>
      <w:pPr>
        <w:spacing w:before="0" w:after="0" w:line="120" w:lineRule="exact"/>
      </w:pPr>
    </w:p>
    <w:p>
      <w:pPr>
        <w:pStyle w:val="H3"/>
        <w:numPr>
          <w:ilvl w:val="2"/>
          <w:numId w:val="1"/>
        </w:numPr>
      </w:pPr>
      <w:r>
        <w:t>2.3 Regulatory Readiness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925"/>
        <w:gridCol w:w="7146"/>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Framework</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DALP Alignment</w:t>
            </w:r>
          </w:p>
        </w:tc>
      </w:tr>
      <w:tr>
        <w:trPr>
          <w:trHeight w:val="425" w:hRule="atLeast"/>
        </w:trPr>
        <w:tc>
          <w:tcPr>
            <w:tcW w:type="dxa" w:w="4873"/>
            <w:vAlign w:val="center"/>
          </w:tcPr>
          <w:p>
            <w:pPr>
              <w:spacing w:line="276" w:lineRule="auto" w:before="0" w:after="0"/>
            </w:pPr>
            <w:r/>
            <w:r>
              <w:rPr>
                <w:rFonts w:ascii="Figtree" w:hAnsi="Figtree"/>
                <w:b w:val="0"/>
                <w:i w:val="0"/>
                <w:sz w:val="20"/>
              </w:rPr>
              <w:t>MiFID II / MiFIR</w:t>
            </w:r>
          </w:p>
        </w:tc>
        <w:tc>
          <w:tcPr>
            <w:tcW w:type="dxa" w:w="4873"/>
            <w:vAlign w:val="center"/>
          </w:tcPr>
          <w:p>
            <w:pPr>
              <w:spacing w:line="276" w:lineRule="auto" w:before="0" w:after="0"/>
            </w:pPr>
            <w:r/>
            <w:r>
              <w:rPr>
                <w:rFonts w:ascii="Figtree" w:hAnsi="Figtree"/>
                <w:b w:val="0"/>
                <w:i w:val="0"/>
                <w:sz w:val="20"/>
              </w:rPr>
              <w:t>Participant admission, market integrity controls, event records, transparency</w:t>
            </w:r>
          </w:p>
        </w:tc>
      </w:tr>
      <w:tr>
        <w:trPr>
          <w:trHeight w:val="425" w:hRule="atLeast"/>
        </w:trPr>
        <w:tc>
          <w:tcPr>
            <w:tcW w:type="dxa" w:w="4873"/>
            <w:vAlign w:val="center"/>
          </w:tcPr>
          <w:p>
            <w:pPr>
              <w:spacing w:line="276" w:lineRule="auto" w:before="0" w:after="0"/>
            </w:pPr>
            <w:r/>
            <w:r>
              <w:rPr>
                <w:rFonts w:ascii="Figtree" w:hAnsi="Figtree"/>
                <w:b w:val="0"/>
                <w:i w:val="0"/>
                <w:sz w:val="20"/>
              </w:rPr>
              <w:t>DORA</w:t>
            </w:r>
          </w:p>
        </w:tc>
        <w:tc>
          <w:tcPr>
            <w:tcW w:type="dxa" w:w="4873"/>
            <w:vAlign w:val="center"/>
          </w:tcPr>
          <w:p>
            <w:pPr>
              <w:spacing w:line="276" w:lineRule="auto" w:before="0" w:after="0"/>
            </w:pPr>
            <w:r/>
            <w:r>
              <w:rPr>
                <w:rFonts w:ascii="Figtree" w:hAnsi="Figtree"/>
                <w:b w:val="0"/>
                <w:i w:val="0"/>
                <w:sz w:val="20"/>
              </w:rPr>
              <w:t>ICT resilience, incident classification, third-party risk, vulnerability management</w:t>
            </w:r>
          </w:p>
        </w:tc>
      </w:tr>
      <w:tr>
        <w:trPr>
          <w:trHeight w:val="425" w:hRule="atLeast"/>
        </w:trPr>
        <w:tc>
          <w:tcPr>
            <w:tcW w:type="dxa" w:w="4873"/>
            <w:vAlign w:val="center"/>
          </w:tcPr>
          <w:p>
            <w:pPr>
              <w:spacing w:line="276" w:lineRule="auto" w:before="0" w:after="0"/>
            </w:pPr>
            <w:r/>
            <w:r>
              <w:rPr>
                <w:rFonts w:ascii="Figtree" w:hAnsi="Figtree"/>
                <w:b w:val="0"/>
                <w:i w:val="0"/>
                <w:sz w:val="20"/>
              </w:rPr>
              <w:t>CSDR</w:t>
            </w:r>
          </w:p>
        </w:tc>
        <w:tc>
          <w:tcPr>
            <w:tcW w:type="dxa" w:w="4873"/>
            <w:vAlign w:val="center"/>
          </w:tcPr>
          <w:p>
            <w:pPr>
              <w:spacing w:line="276" w:lineRule="auto" w:before="0" w:after="0"/>
            </w:pPr>
            <w:r/>
            <w:r>
              <w:rPr>
                <w:rFonts w:ascii="Figtree" w:hAnsi="Figtree"/>
                <w:b w:val="0"/>
                <w:i w:val="0"/>
                <w:sz w:val="20"/>
              </w:rPr>
              <w:t>Settlement connection, delivery obligations</w:t>
            </w:r>
          </w:p>
        </w:tc>
      </w:tr>
      <w:tr>
        <w:trPr>
          <w:trHeight w:val="425" w:hRule="atLeast"/>
        </w:trPr>
        <w:tc>
          <w:tcPr>
            <w:tcW w:type="dxa" w:w="4873"/>
            <w:vAlign w:val="center"/>
          </w:tcPr>
          <w:p>
            <w:pPr>
              <w:spacing w:line="276" w:lineRule="auto" w:before="0" w:after="0"/>
            </w:pPr>
            <w:r/>
            <w:r>
              <w:rPr>
                <w:rFonts w:ascii="Figtree" w:hAnsi="Figtree"/>
                <w:b w:val="0"/>
                <w:i w:val="0"/>
                <w:sz w:val="20"/>
              </w:rPr>
              <w:t>GDPR</w:t>
            </w:r>
          </w:p>
        </w:tc>
        <w:tc>
          <w:tcPr>
            <w:tcW w:type="dxa" w:w="4873"/>
            <w:vAlign w:val="center"/>
          </w:tcPr>
          <w:p>
            <w:pPr>
              <w:spacing w:line="276" w:lineRule="auto" w:before="0" w:after="0"/>
            </w:pPr>
            <w:r/>
            <w:r>
              <w:rPr>
                <w:rFonts w:ascii="Figtree" w:hAnsi="Figtree"/>
                <w:b w:val="0"/>
                <w:i w:val="0"/>
                <w:sz w:val="20"/>
              </w:rPr>
              <w:t>Data classification, retention, deletion, residency</w:t>
            </w:r>
          </w:p>
        </w:tc>
      </w:tr>
      <w:tr>
        <w:trPr>
          <w:trHeight w:val="425" w:hRule="atLeast"/>
        </w:trPr>
        <w:tc>
          <w:tcPr>
            <w:tcW w:type="dxa" w:w="4873"/>
            <w:vAlign w:val="center"/>
          </w:tcPr>
          <w:p>
            <w:pPr>
              <w:spacing w:line="276" w:lineRule="auto" w:before="0" w:after="0"/>
            </w:pPr>
            <w:r/>
            <w:r>
              <w:rPr>
                <w:rFonts w:ascii="Figtree" w:hAnsi="Figtree"/>
                <w:b w:val="0"/>
                <w:i w:val="0"/>
                <w:sz w:val="20"/>
              </w:rPr>
              <w:t>AMLD</w:t>
            </w:r>
          </w:p>
        </w:tc>
        <w:tc>
          <w:tcPr>
            <w:tcW w:type="dxa" w:w="4873"/>
            <w:vAlign w:val="center"/>
          </w:tcPr>
          <w:p>
            <w:pPr>
              <w:spacing w:line="276" w:lineRule="auto" w:before="0" w:after="0"/>
            </w:pPr>
            <w:r/>
            <w:r>
              <w:rPr>
                <w:rFonts w:ascii="Figtree" w:hAnsi="Figtree"/>
                <w:b w:val="0"/>
                <w:i w:val="0"/>
                <w:sz w:val="20"/>
              </w:rPr>
              <w:t>KYC/AML claim verification</w:t>
            </w:r>
          </w:p>
        </w:tc>
      </w:tr>
      <w:tr>
        <w:trPr>
          <w:trHeight w:val="425" w:hRule="atLeast"/>
        </w:trPr>
        <w:tc>
          <w:tcPr>
            <w:tcW w:type="dxa" w:w="4873"/>
            <w:vAlign w:val="center"/>
          </w:tcPr>
          <w:p>
            <w:pPr>
              <w:spacing w:line="276" w:lineRule="auto" w:before="0" w:after="0"/>
            </w:pPr>
            <w:r/>
            <w:r>
              <w:rPr>
                <w:rFonts w:ascii="Figtree" w:hAnsi="Figtree"/>
                <w:b w:val="0"/>
                <w:i w:val="0"/>
                <w:sz w:val="20"/>
              </w:rPr>
              <w:t>MiCA</w:t>
            </w:r>
          </w:p>
        </w:tc>
        <w:tc>
          <w:tcPr>
            <w:tcW w:type="dxa" w:w="4873"/>
            <w:vAlign w:val="center"/>
          </w:tcPr>
          <w:p>
            <w:pPr>
              <w:spacing w:line="276" w:lineRule="auto" w:before="0" w:after="0"/>
            </w:pPr>
            <w:r/>
            <w:r>
              <w:rPr>
                <w:rFonts w:ascii="Figtree" w:hAnsi="Figtree"/>
                <w:b w:val="0"/>
                <w:i w:val="0"/>
                <w:sz w:val="20"/>
              </w:rPr>
              <w:t>Digital asset classification and service provider obligations</w:t>
            </w:r>
          </w:p>
        </w:tc>
      </w:tr>
      <w:tr>
        <w:trPr>
          <w:trHeight w:val="425" w:hRule="atLeast"/>
        </w:trPr>
        <w:tc>
          <w:tcPr>
            <w:tcW w:type="dxa" w:w="4873"/>
            <w:vAlign w:val="center"/>
          </w:tcPr>
          <w:p>
            <w:pPr>
              <w:spacing w:line="276" w:lineRule="auto" w:before="0" w:after="0"/>
            </w:pPr>
            <w:r/>
            <w:r>
              <w:rPr>
                <w:rFonts w:ascii="Figtree" w:hAnsi="Figtree"/>
                <w:b w:val="0"/>
                <w:i w:val="0"/>
                <w:sz w:val="20"/>
              </w:rPr>
              <w:t>eWpG (German)</w:t>
            </w:r>
          </w:p>
        </w:tc>
        <w:tc>
          <w:tcPr>
            <w:tcW w:type="dxa" w:w="4873"/>
            <w:vAlign w:val="center"/>
          </w:tcPr>
          <w:p>
            <w:pPr>
              <w:spacing w:line="276" w:lineRule="auto" w:before="0" w:after="0"/>
            </w:pPr>
            <w:r/>
            <w:r>
              <w:rPr>
                <w:rFonts w:ascii="Figtree" w:hAnsi="Figtree"/>
                <w:b w:val="0"/>
                <w:i w:val="0"/>
                <w:sz w:val="20"/>
              </w:rPr>
              <w:t>Electronic securities registration and listing controls</w:t>
            </w:r>
          </w:p>
        </w:tc>
      </w:tr>
    </w:tbl>
    <w:p>
      <w:pPr>
        <w:spacing w:before="0" w:after="0" w:line="120" w:lineRule="exact"/>
      </w:pPr>
    </w:p>
    <w:p>
      <w:r>
        <w:br w:type="page"/>
      </w:r>
    </w:p>
    <w:p>
      <w:pPr>
        <w:pStyle w:val="H2"/>
        <w:numPr>
          <w:ilvl w:val="1"/>
          <w:numId w:val="1"/>
        </w:numPr>
      </w:pPr>
      <w:r>
        <w:t>3. About DALP</w:t>
      </w:r>
    </w:p>
    <w:p>
      <w:pPr>
        <w:pStyle w:val="H3"/>
        <w:numPr>
          <w:ilvl w:val="2"/>
          <w:numId w:val="1"/>
        </w:numPr>
      </w:pPr>
      <w:r>
        <w:t>3.1 Platform Overview</w:t>
      </w:r>
    </w:p>
    <w:p>
      <w:r>
        <w:rPr>
          <w:rFonts w:ascii="Figtree" w:hAnsi="Figtree"/>
          <w:b w:val="0"/>
          <w:i w:val="0"/>
          <w:sz w:val="22"/>
        </w:rPr>
        <w:t>DALP provides a four-layer digital asset lifecycle platform with full ERC-3643 compliance enforcement. For Deutsche Börse's regulated trading venue, the most relevant capabilities are: on-chain participant admission (identity and eligibility enforcement), venue state controls (pause, emergency, governance functions), listing workflow (asset configuration with disclosure metadata), atomic settlement (XvP addon for post-trade DvP), and event emission architecture (deterministic event sequencing and audit-grade timestamping).</w:t>
      </w:r>
    </w:p>
    <w:p>
      <w:pPr>
        <w:pStyle w:val="H3"/>
        <w:numPr>
          <w:ilvl w:val="2"/>
          <w:numId w:val="1"/>
        </w:numPr>
      </w:pPr>
      <w:r>
        <w:t>3.2 Core Capabilities for Trading Venue Context</w:t>
      </w:r>
    </w:p>
    <w:p>
      <w:r>
        <w:rPr>
          <w:rFonts w:ascii="Figtree" w:hAnsi="Figtree"/>
          <w:b/>
          <w:i w:val="0"/>
          <w:sz w:val="22"/>
        </w:rPr>
        <w:t>Participant admission.</w:t>
      </w:r>
      <w:r>
        <w:rPr>
          <w:rFonts w:ascii="Figtree" w:hAnsi="Figtree"/>
          <w:b w:val="0"/>
          <w:i w:val="0"/>
          <w:sz w:val="22"/>
        </w:rPr>
        <w:t xml:space="preserve"> OnchainID with verified claims for MiFID II participant eligibility. Admission claims issued by Deutsche Börse's identity authority. Revocation blocks all further on-chain activity immediately. Entitlement differentiation: issuer, member, market maker, and operator roles enforced at the contract layer.</w:t>
      </w:r>
    </w:p>
    <w:p>
      <w:r>
        <w:rPr>
          <w:rFonts w:ascii="Figtree" w:hAnsi="Figtree"/>
          <w:b/>
          <w:i w:val="0"/>
          <w:sz w:val="22"/>
        </w:rPr>
        <w:t>Venue state controls.</w:t>
      </w:r>
      <w:r>
        <w:rPr>
          <w:rFonts w:ascii="Figtree" w:hAnsi="Figtree"/>
          <w:b w:val="0"/>
          <w:i w:val="0"/>
          <w:sz w:val="22"/>
        </w:rPr>
        <w:t xml:space="preserve"> DALP's EMERGENCY role supports immediate venue pause (halt equivalent). The GOVERNANCE</w:t>
      </w:r>
      <w:r>
        <w:rPr>
          <w:rFonts w:ascii="Figtree" w:hAnsi="Figtree"/>
          <w:b w:val="0"/>
          <w:i/>
          <w:sz w:val="22"/>
        </w:rPr>
        <w:t>ROLE supports permanent state changes (admission rule changes, eligibility schedule updates). The TOKEN</w:t>
      </w:r>
      <w:r>
        <w:rPr>
          <w:rFonts w:ascii="Figtree" w:hAnsi="Figtree"/>
          <w:b w:val="0"/>
          <w:i w:val="0"/>
          <w:sz w:val="22"/>
        </w:rPr>
        <w:t>MANAGER role supports operational listing and delisting actions.</w:t>
      </w:r>
    </w:p>
    <w:p>
      <w:r>
        <w:rPr>
          <w:rFonts w:ascii="Figtree" w:hAnsi="Figtree"/>
          <w:b/>
          <w:i w:val="0"/>
          <w:sz w:val="22"/>
        </w:rPr>
        <w:t>Listing workflow.</w:t>
      </w:r>
      <w:r>
        <w:rPr>
          <w:rFonts w:ascii="Figtree" w:hAnsi="Figtree"/>
          <w:b w:val="0"/>
          <w:i w:val="0"/>
          <w:sz w:val="22"/>
        </w:rPr>
        <w:t xml:space="preserve"> DALPAsset factory pattern deploys digital securities atomically. Listing admission checks are embedded in the issuance workflow: the asset can only be activated (transfers enabled) after GOVERNANCE_ROLE authorization. Disclosure capture occurs as off-chain metadata linked to the token address. Issuer attestations are stored as verifiable claims.</w:t>
      </w:r>
    </w:p>
    <w:p>
      <w:r>
        <w:rPr>
          <w:rFonts w:ascii="Figtree" w:hAnsi="Figtree"/>
          <w:b/>
          <w:i w:val="0"/>
          <w:sz w:val="22"/>
        </w:rPr>
        <w:t>Market surveillance support.</w:t>
      </w:r>
      <w:r>
        <w:rPr>
          <w:rFonts w:ascii="Figtree" w:hAnsi="Figtree"/>
          <w:b w:val="0"/>
          <w:i w:val="0"/>
          <w:sz w:val="22"/>
        </w:rPr>
        <w:t xml:space="preserve"> Every on-chain event includes block timestamp, transaction hash, and event signature. The Chain Indexer provides time-ordered event export suitable for market surveillance system ingestion. Deterministic event sequencing is enforced by the Besu IBFT 2.0 consensus mechanism.</w:t>
      </w:r>
    </w:p>
    <w:p>
      <w:r>
        <w:rPr>
          <w:rFonts w:ascii="Figtree" w:hAnsi="Figtree"/>
          <w:b/>
          <w:i w:val="0"/>
          <w:sz w:val="22"/>
        </w:rPr>
        <w:t>Settlement.</w:t>
      </w:r>
      <w:r>
        <w:rPr>
          <w:rFonts w:ascii="Figtree" w:hAnsi="Figtree"/>
          <w:b w:val="0"/>
          <w:i w:val="0"/>
          <w:sz w:val="22"/>
        </w:rPr>
        <w:t xml:space="preserve"> XvP addon for atomic DvP settlement following trade execution.</w:t>
      </w:r>
    </w:p>
    <w:p>
      <w:r>
        <w:br w:type="page"/>
      </w:r>
    </w:p>
    <w:p>
      <w:pPr>
        <w:pStyle w:val="H2"/>
        <w:numPr>
          <w:ilvl w:val="1"/>
          <w:numId w:val="1"/>
        </w:numPr>
      </w:pPr>
      <w:r>
        <w:t>4. Customer References</w:t>
      </w:r>
    </w:p>
    <w:p>
      <w:pPr>
        <w:pStyle w:val="H3"/>
        <w:numPr>
          <w:ilvl w:val="2"/>
          <w:numId w:val="1"/>
        </w:numPr>
      </w:pPr>
      <w:r>
        <w:t>4.1 Summary Table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080"/>
        <w:gridCol w:w="2880"/>
        <w:gridCol w:w="864"/>
        <w:gridCol w:w="4248"/>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Client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Use Case</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Geography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Relevance</w:t>
            </w:r>
          </w:p>
        </w:tc>
      </w:tr>
      <w:tr>
        <w:trPr>
          <w:trHeight w:val="425" w:hRule="atLeast"/>
        </w:trPr>
        <w:tc>
          <w:tcPr>
            <w:tcW w:type="dxa" w:w="2436"/>
            <w:vAlign w:val="center"/>
          </w:tcPr>
          <w:p>
            <w:pPr>
              <w:spacing w:line="276" w:lineRule="auto" w:before="0" w:after="0"/>
            </w:pPr>
            <w:r/>
            <w:r>
              <w:rPr>
                <w:rFonts w:ascii="Figtree" w:hAnsi="Figtree"/>
                <w:b w:val="0"/>
                <w:i w:val="0"/>
                <w:sz w:val="20"/>
              </w:rPr>
              <w:t>Tadawul</w:t>
            </w:r>
          </w:p>
        </w:tc>
        <w:tc>
          <w:tcPr>
            <w:tcW w:type="dxa" w:w="2436"/>
            <w:vAlign w:val="center"/>
          </w:tcPr>
          <w:p>
            <w:pPr>
              <w:spacing w:line="276" w:lineRule="auto" w:before="0" w:after="0"/>
            </w:pPr>
            <w:r/>
            <w:r>
              <w:rPr>
                <w:rFonts w:ascii="Figtree" w:hAnsi="Figtree"/>
                <w:b w:val="0"/>
                <w:i w:val="0"/>
                <w:sz w:val="20"/>
              </w:rPr>
              <w:t>Tokenized securities listing and trading</w:t>
            </w:r>
          </w:p>
        </w:tc>
        <w:tc>
          <w:tcPr>
            <w:tcW w:type="dxa" w:w="2436"/>
            <w:vAlign w:val="center"/>
          </w:tcPr>
          <w:p>
            <w:pPr>
              <w:spacing w:line="276" w:lineRule="auto" w:before="0" w:after="0"/>
            </w:pPr>
            <w:r/>
            <w:r>
              <w:rPr>
                <w:rFonts w:ascii="Figtree" w:hAnsi="Figtree"/>
                <w:b w:val="0"/>
                <w:i w:val="0"/>
                <w:sz w:val="20"/>
              </w:rPr>
              <w:t>Saudi Arabia</w:t>
            </w:r>
          </w:p>
        </w:tc>
        <w:tc>
          <w:tcPr>
            <w:tcW w:type="dxa" w:w="2436"/>
            <w:vAlign w:val="center"/>
          </w:tcPr>
          <w:p>
            <w:pPr>
              <w:spacing w:line="276" w:lineRule="auto" w:before="0" w:after="0"/>
            </w:pPr>
            <w:r/>
            <w:r>
              <w:rPr>
                <w:rFonts w:ascii="Figtree" w:hAnsi="Figtree"/>
                <w:b w:val="0"/>
                <w:i w:val="0"/>
                <w:sz w:val="20"/>
              </w:rPr>
              <w:t>Exchange group; listing workflow; participant admission</w:t>
            </w:r>
          </w:p>
        </w:tc>
      </w:tr>
      <w:tr>
        <w:trPr>
          <w:trHeight w:val="425" w:hRule="atLeast"/>
        </w:trPr>
        <w:tc>
          <w:tcPr>
            <w:tcW w:type="dxa" w:w="2436"/>
            <w:vAlign w:val="center"/>
          </w:tcPr>
          <w:p>
            <w:pPr>
              <w:spacing w:line="276" w:lineRule="auto" w:before="0" w:after="0"/>
            </w:pPr>
            <w:r/>
            <w:r>
              <w:rPr>
                <w:rFonts w:ascii="Figtree" w:hAnsi="Figtree"/>
                <w:b w:val="0"/>
                <w:i w:val="0"/>
                <w:sz w:val="20"/>
              </w:rPr>
              <w:t>JSE</w:t>
            </w:r>
          </w:p>
        </w:tc>
        <w:tc>
          <w:tcPr>
            <w:tcW w:type="dxa" w:w="2436"/>
            <w:vAlign w:val="center"/>
          </w:tcPr>
          <w:p>
            <w:pPr>
              <w:spacing w:line="276" w:lineRule="auto" w:before="0" w:after="0"/>
            </w:pPr>
            <w:r/>
            <w:r>
              <w:rPr>
                <w:rFonts w:ascii="Figtree" w:hAnsi="Figtree"/>
                <w:b w:val="0"/>
                <w:i w:val="0"/>
                <w:sz w:val="20"/>
              </w:rPr>
              <w:t>Digital asset trading and settlement</w:t>
            </w:r>
          </w:p>
        </w:tc>
        <w:tc>
          <w:tcPr>
            <w:tcW w:type="dxa" w:w="2436"/>
            <w:vAlign w:val="center"/>
          </w:tcPr>
          <w:p>
            <w:pPr>
              <w:spacing w:line="276" w:lineRule="auto" w:before="0" w:after="0"/>
            </w:pPr>
            <w:r/>
            <w:r>
              <w:rPr>
                <w:rFonts w:ascii="Figtree" w:hAnsi="Figtree"/>
                <w:b w:val="0"/>
                <w:i w:val="0"/>
                <w:sz w:val="20"/>
              </w:rPr>
              <w:t>South Africa</w:t>
            </w:r>
          </w:p>
        </w:tc>
        <w:tc>
          <w:tcPr>
            <w:tcW w:type="dxa" w:w="2436"/>
            <w:vAlign w:val="center"/>
          </w:tcPr>
          <w:p>
            <w:pPr>
              <w:spacing w:line="276" w:lineRule="auto" w:before="0" w:after="0"/>
            </w:pPr>
            <w:r/>
            <w:r>
              <w:rPr>
                <w:rFonts w:ascii="Figtree" w:hAnsi="Figtree"/>
                <w:b w:val="0"/>
                <w:i w:val="0"/>
                <w:sz w:val="20"/>
              </w:rPr>
              <w:t>Regulated exchange; settlement integration; market controls</w:t>
            </w:r>
          </w:p>
        </w:tc>
      </w:tr>
      <w:tr>
        <w:trPr>
          <w:trHeight w:val="425" w:hRule="atLeast"/>
        </w:trPr>
        <w:tc>
          <w:tcPr>
            <w:tcW w:type="dxa" w:w="2436"/>
            <w:vAlign w:val="center"/>
          </w:tcPr>
          <w:p>
            <w:pPr>
              <w:spacing w:line="276" w:lineRule="auto" w:before="0" w:after="0"/>
            </w:pPr>
            <w:r/>
            <w:r>
              <w:rPr>
                <w:rFonts w:ascii="Figtree" w:hAnsi="Figtree"/>
                <w:b w:val="0"/>
                <w:i w:val="0"/>
                <w:sz w:val="20"/>
              </w:rPr>
              <w:t>Bank of England</w:t>
            </w:r>
          </w:p>
        </w:tc>
        <w:tc>
          <w:tcPr>
            <w:tcW w:type="dxa" w:w="2436"/>
            <w:vAlign w:val="center"/>
          </w:tcPr>
          <w:p>
            <w:pPr>
              <w:spacing w:line="276" w:lineRule="auto" w:before="0" w:after="0"/>
            </w:pPr>
            <w:r/>
            <w:r>
              <w:rPr>
                <w:rFonts w:ascii="Figtree" w:hAnsi="Figtree"/>
                <w:b w:val="0"/>
                <w:i w:val="0"/>
                <w:sz w:val="20"/>
              </w:rPr>
              <w:t>Wholesale CBDC pilot</w:t>
            </w:r>
          </w:p>
        </w:tc>
        <w:tc>
          <w:tcPr>
            <w:tcW w:type="dxa" w:w="2436"/>
            <w:vAlign w:val="center"/>
          </w:tcPr>
          <w:p>
            <w:pPr>
              <w:spacing w:line="276" w:lineRule="auto" w:before="0" w:after="0"/>
            </w:pPr>
            <w:r/>
            <w:r>
              <w:rPr>
                <w:rFonts w:ascii="Figtree" w:hAnsi="Figtree"/>
                <w:b w:val="0"/>
                <w:i w:val="0"/>
                <w:sz w:val="20"/>
              </w:rPr>
              <w:t>UK</w:t>
            </w:r>
          </w:p>
        </w:tc>
        <w:tc>
          <w:tcPr>
            <w:tcW w:type="dxa" w:w="2436"/>
            <w:vAlign w:val="center"/>
          </w:tcPr>
          <w:p>
            <w:pPr>
              <w:spacing w:line="276" w:lineRule="auto" w:before="0" w:after="0"/>
            </w:pPr>
            <w:r/>
            <w:r>
              <w:rPr>
                <w:rFonts w:ascii="Figtree" w:hAnsi="Figtree"/>
                <w:b w:val="0"/>
                <w:i w:val="0"/>
                <w:sz w:val="20"/>
              </w:rPr>
              <w:t>FMI governance; compliance architecture</w:t>
            </w:r>
          </w:p>
        </w:tc>
      </w:tr>
      <w:tr>
        <w:trPr>
          <w:trHeight w:val="425" w:hRule="atLeast"/>
        </w:trPr>
        <w:tc>
          <w:tcPr>
            <w:tcW w:type="dxa" w:w="2436"/>
            <w:vAlign w:val="center"/>
          </w:tcPr>
          <w:p>
            <w:pPr>
              <w:spacing w:line="276" w:lineRule="auto" w:before="0" w:after="0"/>
            </w:pPr>
            <w:r/>
            <w:r>
              <w:rPr>
                <w:rFonts w:ascii="Figtree" w:hAnsi="Figtree"/>
                <w:b w:val="0"/>
                <w:i w:val="0"/>
                <w:sz w:val="20"/>
              </w:rPr>
              <w:t>Deutsche Bank</w:t>
            </w:r>
          </w:p>
        </w:tc>
        <w:tc>
          <w:tcPr>
            <w:tcW w:type="dxa" w:w="2436"/>
            <w:vAlign w:val="center"/>
          </w:tcPr>
          <w:p>
            <w:pPr>
              <w:spacing w:line="276" w:lineRule="auto" w:before="0" w:after="0"/>
            </w:pPr>
            <w:r/>
            <w:r>
              <w:rPr>
                <w:rFonts w:ascii="Figtree" w:hAnsi="Figtree"/>
                <w:b w:val="0"/>
                <w:i w:val="0"/>
                <w:sz w:val="20"/>
              </w:rPr>
              <w:t>Digital bonds issuance</w:t>
            </w:r>
          </w:p>
        </w:tc>
        <w:tc>
          <w:tcPr>
            <w:tcW w:type="dxa" w:w="2436"/>
            <w:vAlign w:val="center"/>
          </w:tcPr>
          <w:p>
            <w:pPr>
              <w:spacing w:line="276" w:lineRule="auto" w:before="0" w:after="0"/>
            </w:pPr>
            <w:r/>
            <w:r>
              <w:rPr>
                <w:rFonts w:ascii="Figtree" w:hAnsi="Figtree"/>
                <w:b w:val="0"/>
                <w:i w:val="0"/>
                <w:sz w:val="20"/>
              </w:rPr>
              <w:t>Germany</w:t>
            </w:r>
          </w:p>
        </w:tc>
        <w:tc>
          <w:tcPr>
            <w:tcW w:type="dxa" w:w="2436"/>
            <w:vAlign w:val="center"/>
          </w:tcPr>
          <w:p>
            <w:pPr>
              <w:spacing w:line="276" w:lineRule="auto" w:before="0" w:after="0"/>
            </w:pPr>
            <w:r/>
            <w:r>
              <w:rPr>
                <w:rFonts w:ascii="Figtree" w:hAnsi="Figtree"/>
                <w:b w:val="0"/>
                <w:i w:val="0"/>
                <w:sz w:val="20"/>
              </w:rPr>
              <w:t>German regulatory context; MiCA/MiFID II alignment</w:t>
            </w:r>
          </w:p>
        </w:tc>
      </w:tr>
      <w:tr>
        <w:trPr>
          <w:trHeight w:val="425" w:hRule="atLeast"/>
        </w:trPr>
        <w:tc>
          <w:tcPr>
            <w:tcW w:type="dxa" w:w="2436"/>
            <w:vAlign w:val="center"/>
          </w:tcPr>
          <w:p>
            <w:pPr>
              <w:spacing w:line="276" w:lineRule="auto" w:before="0" w:after="0"/>
            </w:pPr>
            <w:r/>
            <w:r>
              <w:rPr>
                <w:rFonts w:ascii="Figtree" w:hAnsi="Figtree"/>
                <w:b w:val="0"/>
                <w:i w:val="0"/>
                <w:sz w:val="20"/>
              </w:rPr>
              <w:t>Euroclear</w:t>
            </w:r>
          </w:p>
        </w:tc>
        <w:tc>
          <w:tcPr>
            <w:tcW w:type="dxa" w:w="2436"/>
            <w:vAlign w:val="center"/>
          </w:tcPr>
          <w:p>
            <w:pPr>
              <w:spacing w:line="276" w:lineRule="auto" w:before="0" w:after="0"/>
            </w:pPr>
            <w:r/>
            <w:r>
              <w:rPr>
                <w:rFonts w:ascii="Figtree" w:hAnsi="Figtree"/>
                <w:b w:val="0"/>
                <w:i w:val="0"/>
                <w:sz w:val="20"/>
              </w:rPr>
              <w:t>Digital securities settlement</w:t>
            </w:r>
          </w:p>
        </w:tc>
        <w:tc>
          <w:tcPr>
            <w:tcW w:type="dxa" w:w="2436"/>
            <w:vAlign w:val="center"/>
          </w:tcPr>
          <w:p>
            <w:pPr>
              <w:spacing w:line="276" w:lineRule="auto" w:before="0" w:after="0"/>
            </w:pPr>
            <w:r/>
            <w:r>
              <w:rPr>
                <w:rFonts w:ascii="Figtree" w:hAnsi="Figtree"/>
                <w:b w:val="0"/>
                <w:i w:val="0"/>
                <w:sz w:val="20"/>
              </w:rPr>
              <w:t>Belgium</w:t>
            </w:r>
          </w:p>
        </w:tc>
        <w:tc>
          <w:tcPr>
            <w:tcW w:type="dxa" w:w="2436"/>
            <w:vAlign w:val="center"/>
          </w:tcPr>
          <w:p>
            <w:pPr>
              <w:spacing w:line="276" w:lineRule="auto" w:before="0" w:after="0"/>
            </w:pPr>
            <w:r/>
            <w:r>
              <w:rPr>
                <w:rFonts w:ascii="Figtree" w:hAnsi="Figtree"/>
                <w:b w:val="0"/>
                <w:i w:val="0"/>
                <w:sz w:val="20"/>
              </w:rPr>
              <w:t>Post-trade settlement finality</w:t>
            </w:r>
          </w:p>
        </w:tc>
      </w:tr>
    </w:tbl>
    <w:p>
      <w:pPr>
        <w:spacing w:before="0" w:after="0" w:line="120" w:lineRule="exact"/>
      </w:pPr>
    </w:p>
    <w:p>
      <w:pPr>
        <w:pStyle w:val="H3"/>
        <w:numPr>
          <w:ilvl w:val="2"/>
          <w:numId w:val="1"/>
        </w:numPr>
      </w:pPr>
      <w:r>
        <w:t>4.2 Reference 1: Tadawul — Digital Securities Listing</w:t>
      </w:r>
    </w:p>
    <w:p>
      <w:r>
        <w:rPr>
          <w:rFonts w:ascii="Figtree" w:hAnsi="Figtree"/>
          <w:b w:val="0"/>
          <w:i w:val="0"/>
          <w:sz w:val="22"/>
        </w:rPr>
        <w:t>Tadawul, the Saudi Exchange, required a tokenized securities listing and trading platform under Saudi Capital Market Authority framework. The programme required participant admission controls for issuers and broker-dealers, listing admission workflow, and integration with existing Tadawul trading infrastructure. DALP's OnchainID participant registry and admission claim system provided the membership control layer. Listing workflow with disclosure capture and issuer attestations was implemented through the DALP issuance factory. The architecture directly parallels Deutsche Börse's MiFID II admission and listing requirements.</w:t>
      </w:r>
    </w:p>
    <w:p>
      <w:pPr>
        <w:pStyle w:val="H3"/>
        <w:numPr>
          <w:ilvl w:val="2"/>
          <w:numId w:val="1"/>
        </w:numPr>
      </w:pPr>
      <w:r>
        <w:t>4.3 Reference 2: JSE — Digital Asset Trading</w:t>
      </w:r>
    </w:p>
    <w:p>
      <w:r>
        <w:rPr>
          <w:rFonts w:ascii="Figtree" w:hAnsi="Figtree"/>
          <w:b w:val="0"/>
          <w:i w:val="0"/>
          <w:sz w:val="22"/>
        </w:rPr>
        <w:t>The Johannesburg Stock Exchange required digital asset trading and settlement infrastructure under the FSCA regulatory framework. The programme required market integrity controls, settlement DvP atomicity, and participant admission management. DALP's XvP addon provided atomic DvP settlement. On-chain participant admission controls enforced JSE membership rules. The integration with existing JSE settlement infrastructure used DALP's REST API.</w:t>
      </w:r>
    </w:p>
    <w:p>
      <w:pPr>
        <w:pStyle w:val="H3"/>
        <w:numPr>
          <w:ilvl w:val="2"/>
          <w:numId w:val="1"/>
        </w:numPr>
      </w:pPr>
      <w:r>
        <w:t>4.4 Reference 3: Deutsche Bank — Digital Bonds</w:t>
      </w:r>
    </w:p>
    <w:p>
      <w:r>
        <w:rPr>
          <w:rFonts w:ascii="Figtree" w:hAnsi="Figtree"/>
          <w:b w:val="0"/>
          <w:i w:val="0"/>
          <w:sz w:val="22"/>
        </w:rPr>
        <w:t>Deutsche Bank's digital bond platform operates within MiCA and MiFID II regulatory perimeters in Germany. The platform demonstrates DALP's production capability within the German regulatory context including BaFin notification requirements, eWpG alignment, and DORA operational resilience standards. The regulatory experience from this deployment directly informs SettleMint's understanding of Deutsche Börse's regulatory environment.</w:t>
      </w:r>
    </w:p>
    <w:p>
      <w:r>
        <w:br w:type="page"/>
      </w:r>
    </w:p>
    <w:p>
      <w:pPr>
        <w:pStyle w:val="H2"/>
        <w:numPr>
          <w:ilvl w:val="1"/>
          <w:numId w:val="1"/>
        </w:numPr>
      </w:pPr>
      <w:r>
        <w:t>5. Understanding of Requirements</w:t>
      </w:r>
    </w:p>
    <w:p>
      <w:pPr>
        <w:pStyle w:val="H3"/>
        <w:numPr>
          <w:ilvl w:val="2"/>
          <w:numId w:val="1"/>
        </w:numPr>
      </w:pPr>
      <w:r>
        <w:t>5.1 Client Context</w:t>
      </w:r>
    </w:p>
    <w:p>
      <w:r>
        <w:rPr>
          <w:rFonts w:ascii="Figtree" w:hAnsi="Figtree"/>
          <w:b w:val="0"/>
          <w:i w:val="0"/>
          <w:sz w:val="22"/>
        </w:rPr>
        <w:t>Deutsche Börse is an exchange group operating critical market infrastructure under BaFin supervision. The digital asset trading venue programme must deliver venue-grade controls — not a pilot — from launch. BaFin's supervisory expectations for regulated markets apply from day one of operation.</w:t>
      </w:r>
    </w:p>
    <w:p>
      <w:pPr>
        <w:pStyle w:val="H3"/>
        <w:numPr>
          <w:ilvl w:val="2"/>
          <w:numId w:val="1"/>
        </w:numPr>
      </w:pPr>
      <w:r>
        <w:t>5.2 Requirement Domains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1523"/>
        <w:gridCol w:w="4709"/>
        <w:gridCol w:w="2839"/>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Domain</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Requirements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r>
      <w:tr>
        <w:trPr>
          <w:trHeight w:val="425" w:hRule="atLeast"/>
        </w:trPr>
        <w:tc>
          <w:tcPr>
            <w:tcW w:type="dxa" w:w="3249"/>
            <w:vAlign w:val="center"/>
          </w:tcPr>
          <w:p>
            <w:pPr>
              <w:spacing w:line="276" w:lineRule="auto" w:before="0" w:after="0"/>
            </w:pPr>
            <w:r/>
            <w:r>
              <w:rPr>
                <w:rFonts w:ascii="Figtree" w:hAnsi="Figtree"/>
                <w:b w:val="0"/>
                <w:i w:val="0"/>
                <w:sz w:val="20"/>
              </w:rPr>
              <w:t>Participant admission</w:t>
            </w:r>
          </w:p>
        </w:tc>
        <w:tc>
          <w:tcPr>
            <w:tcW w:type="dxa" w:w="3249"/>
            <w:vAlign w:val="center"/>
          </w:tcPr>
          <w:p>
            <w:pPr>
              <w:spacing w:line="276" w:lineRule="auto" w:before="0" w:after="0"/>
            </w:pPr>
            <w:r/>
            <w:r>
              <w:rPr>
                <w:rFonts w:ascii="Figtree" w:hAnsi="Figtree"/>
                <w:b w:val="0"/>
                <w:i w:val="0"/>
                <w:sz w:val="20"/>
              </w:rPr>
              <w:t>Issuers, members, market makers, operators with entitlement controls</w:t>
            </w:r>
          </w:p>
        </w:tc>
        <w:tc>
          <w:tcPr>
            <w:tcW w:type="dxa" w:w="3249"/>
            <w:vAlign w:val="center"/>
          </w:tcPr>
          <w:p>
            <w:pPr>
              <w:spacing w:line="276" w:lineRule="auto" w:before="0" w:after="0"/>
            </w:pPr>
            <w:r/>
            <w:r>
              <w:rPr>
                <w:rFonts w:ascii="Figtree" w:hAnsi="Figtree"/>
                <w:b w:val="0"/>
                <w:i w:val="0"/>
                <w:sz w:val="20"/>
              </w:rPr>
              <w:t>OnchainID + ERC-3643 identity allow/deny</w:t>
            </w:r>
          </w:p>
        </w:tc>
      </w:tr>
      <w:tr>
        <w:trPr>
          <w:trHeight w:val="425" w:hRule="atLeast"/>
        </w:trPr>
        <w:tc>
          <w:tcPr>
            <w:tcW w:type="dxa" w:w="3249"/>
            <w:vAlign w:val="center"/>
          </w:tcPr>
          <w:p>
            <w:pPr>
              <w:spacing w:line="276" w:lineRule="auto" w:before="0" w:after="0"/>
            </w:pPr>
            <w:r/>
            <w:r>
              <w:rPr>
                <w:rFonts w:ascii="Figtree" w:hAnsi="Figtree"/>
                <w:b w:val="0"/>
                <w:i w:val="0"/>
                <w:sz w:val="20"/>
              </w:rPr>
              <w:t>Market model</w:t>
            </w:r>
          </w:p>
        </w:tc>
        <w:tc>
          <w:tcPr>
            <w:tcW w:type="dxa" w:w="3249"/>
            <w:vAlign w:val="center"/>
          </w:tcPr>
          <w:p>
            <w:pPr>
              <w:spacing w:line="276" w:lineRule="auto" w:before="0" w:after="0"/>
            </w:pPr>
            <w:r/>
            <w:r>
              <w:rPr>
                <w:rFonts w:ascii="Figtree" w:hAnsi="Figtree"/>
                <w:b w:val="0"/>
                <w:i w:val="0"/>
                <w:sz w:val="20"/>
              </w:rPr>
              <w:t>Configurable sessions, state controls, venue operations</w:t>
            </w:r>
          </w:p>
        </w:tc>
        <w:tc>
          <w:tcPr>
            <w:tcW w:type="dxa" w:w="3249"/>
            <w:vAlign w:val="center"/>
          </w:tcPr>
          <w:p>
            <w:pPr>
              <w:spacing w:line="276" w:lineRule="auto" w:before="0" w:after="0"/>
            </w:pPr>
            <w:r/>
            <w:r>
              <w:rPr>
                <w:rFonts w:ascii="Figtree" w:hAnsi="Figtree"/>
                <w:b w:val="0"/>
                <w:i w:val="0"/>
                <w:sz w:val="20"/>
              </w:rPr>
              <w:t>GOVERNANCE</w:t>
            </w:r>
            <w:r>
              <w:rPr>
                <w:rFonts w:ascii="Figtree" w:hAnsi="Figtree"/>
                <w:b w:val="0"/>
                <w:i/>
                <w:sz w:val="20"/>
              </w:rPr>
              <w:t>ROLE, EMERGENCY, TOKEN</w:t>
            </w:r>
            <w:r>
              <w:rPr>
                <w:rFonts w:ascii="Figtree" w:hAnsi="Figtree"/>
                <w:b w:val="0"/>
                <w:i w:val="0"/>
                <w:sz w:val="20"/>
              </w:rPr>
              <w:t>MANAGER</w:t>
            </w:r>
          </w:p>
        </w:tc>
      </w:tr>
      <w:tr>
        <w:trPr>
          <w:trHeight w:val="425" w:hRule="atLeast"/>
        </w:trPr>
        <w:tc>
          <w:tcPr>
            <w:tcW w:type="dxa" w:w="3249"/>
            <w:vAlign w:val="center"/>
          </w:tcPr>
          <w:p>
            <w:pPr>
              <w:spacing w:line="276" w:lineRule="auto" w:before="0" w:after="0"/>
            </w:pPr>
            <w:r/>
            <w:r>
              <w:rPr>
                <w:rFonts w:ascii="Figtree" w:hAnsi="Figtree"/>
                <w:b w:val="0"/>
                <w:i w:val="0"/>
                <w:sz w:val="20"/>
              </w:rPr>
              <w:t>Surveillance</w:t>
            </w:r>
          </w:p>
        </w:tc>
        <w:tc>
          <w:tcPr>
            <w:tcW w:type="dxa" w:w="3249"/>
            <w:vAlign w:val="center"/>
          </w:tcPr>
          <w:p>
            <w:pPr>
              <w:spacing w:line="276" w:lineRule="auto" w:before="0" w:after="0"/>
            </w:pPr>
            <w:r/>
            <w:r>
              <w:rPr>
                <w:rFonts w:ascii="Figtree" w:hAnsi="Figtree"/>
                <w:b w:val="0"/>
                <w:i w:val="0"/>
                <w:sz w:val="20"/>
              </w:rPr>
              <w:t>Deterministic event logs, alert hooks, evidence retention</w:t>
            </w:r>
          </w:p>
        </w:tc>
        <w:tc>
          <w:tcPr>
            <w:tcW w:type="dxa" w:w="3249"/>
            <w:vAlign w:val="center"/>
          </w:tcPr>
          <w:p>
            <w:pPr>
              <w:spacing w:line="276" w:lineRule="auto" w:before="0" w:after="0"/>
            </w:pPr>
            <w:r/>
            <w:r>
              <w:rPr>
                <w:rFonts w:ascii="Figtree" w:hAnsi="Figtree"/>
                <w:b w:val="0"/>
                <w:i w:val="0"/>
                <w:sz w:val="20"/>
              </w:rPr>
              <w:t>On-chain events + Chain Indexer export</w:t>
            </w:r>
          </w:p>
        </w:tc>
      </w:tr>
      <w:tr>
        <w:trPr>
          <w:trHeight w:val="425" w:hRule="atLeast"/>
        </w:trPr>
        <w:tc>
          <w:tcPr>
            <w:tcW w:type="dxa" w:w="3249"/>
            <w:vAlign w:val="center"/>
          </w:tcPr>
          <w:p>
            <w:pPr>
              <w:spacing w:line="276" w:lineRule="auto" w:before="0" w:after="0"/>
            </w:pPr>
            <w:r/>
            <w:r>
              <w:rPr>
                <w:rFonts w:ascii="Figtree" w:hAnsi="Figtree"/>
                <w:b w:val="0"/>
                <w:i w:val="0"/>
                <w:sz w:val="20"/>
              </w:rPr>
              <w:t>Message handling</w:t>
            </w:r>
          </w:p>
        </w:tc>
        <w:tc>
          <w:tcPr>
            <w:tcW w:type="dxa" w:w="3249"/>
            <w:vAlign w:val="center"/>
          </w:tcPr>
          <w:p>
            <w:pPr>
              <w:spacing w:line="276" w:lineRule="auto" w:before="0" w:after="0"/>
            </w:pPr>
            <w:r/>
            <w:r>
              <w:rPr>
                <w:rFonts w:ascii="Figtree" w:hAnsi="Figtree"/>
                <w:b w:val="0"/>
                <w:i w:val="0"/>
                <w:sz w:val="20"/>
              </w:rPr>
              <w:t>Order/event sequencing, time-source governance</w:t>
            </w:r>
          </w:p>
        </w:tc>
        <w:tc>
          <w:tcPr>
            <w:tcW w:type="dxa" w:w="3249"/>
            <w:vAlign w:val="center"/>
          </w:tcPr>
          <w:p>
            <w:pPr>
              <w:spacing w:line="276" w:lineRule="auto" w:before="0" w:after="0"/>
            </w:pPr>
            <w:r/>
            <w:r>
              <w:rPr>
                <w:rFonts w:ascii="Figtree" w:hAnsi="Figtree"/>
                <w:b w:val="0"/>
                <w:i w:val="0"/>
                <w:sz w:val="20"/>
              </w:rPr>
              <w:t>IBFT 2.0 consensus timestamps</w:t>
            </w:r>
          </w:p>
        </w:tc>
      </w:tr>
      <w:tr>
        <w:trPr>
          <w:trHeight w:val="425" w:hRule="atLeast"/>
        </w:trPr>
        <w:tc>
          <w:tcPr>
            <w:tcW w:type="dxa" w:w="3249"/>
            <w:vAlign w:val="center"/>
          </w:tcPr>
          <w:p>
            <w:pPr>
              <w:spacing w:line="276" w:lineRule="auto" w:before="0" w:after="0"/>
            </w:pPr>
            <w:r/>
            <w:r>
              <w:rPr>
                <w:rFonts w:ascii="Figtree" w:hAnsi="Figtree"/>
                <w:b w:val="0"/>
                <w:i w:val="0"/>
                <w:sz w:val="20"/>
              </w:rPr>
              <w:t>Risk controls</w:t>
            </w:r>
          </w:p>
        </w:tc>
        <w:tc>
          <w:tcPr>
            <w:tcW w:type="dxa" w:w="3249"/>
            <w:vAlign w:val="center"/>
          </w:tcPr>
          <w:p>
            <w:pPr>
              <w:spacing w:line="276" w:lineRule="auto" w:before="0" w:after="0"/>
            </w:pPr>
            <w:r/>
            <w:r>
              <w:rPr>
                <w:rFonts w:ascii="Figtree" w:hAnsi="Figtree"/>
                <w:b w:val="0"/>
                <w:i w:val="0"/>
                <w:sz w:val="20"/>
              </w:rPr>
              <w:t>Throttling, kill-switch, circuit-breaker</w:t>
            </w:r>
          </w:p>
        </w:tc>
        <w:tc>
          <w:tcPr>
            <w:tcW w:type="dxa" w:w="3249"/>
            <w:vAlign w:val="center"/>
          </w:tcPr>
          <w:p>
            <w:pPr>
              <w:spacing w:line="276" w:lineRule="auto" w:before="0" w:after="0"/>
            </w:pPr>
            <w:r/>
            <w:r>
              <w:rPr>
                <w:rFonts w:ascii="Figtree" w:hAnsi="Figtree"/>
                <w:b w:val="0"/>
                <w:i w:val="0"/>
                <w:sz w:val="20"/>
              </w:rPr>
              <w:t>EMERGENCY pause; access control</w:t>
            </w:r>
          </w:p>
        </w:tc>
      </w:tr>
      <w:tr>
        <w:trPr>
          <w:trHeight w:val="425" w:hRule="atLeast"/>
        </w:trPr>
        <w:tc>
          <w:tcPr>
            <w:tcW w:type="dxa" w:w="3249"/>
            <w:vAlign w:val="center"/>
          </w:tcPr>
          <w:p>
            <w:pPr>
              <w:spacing w:line="276" w:lineRule="auto" w:before="0" w:after="0"/>
            </w:pPr>
            <w:r/>
            <w:r>
              <w:rPr>
                <w:rFonts w:ascii="Figtree" w:hAnsi="Figtree"/>
                <w:b w:val="0"/>
                <w:i w:val="0"/>
                <w:sz w:val="20"/>
              </w:rPr>
              <w:t>Listing workflow</w:t>
            </w:r>
          </w:p>
        </w:tc>
        <w:tc>
          <w:tcPr>
            <w:tcW w:type="dxa" w:w="3249"/>
            <w:vAlign w:val="center"/>
          </w:tcPr>
          <w:p>
            <w:pPr>
              <w:spacing w:line="276" w:lineRule="auto" w:before="0" w:after="0"/>
            </w:pPr>
            <w:r/>
            <w:r>
              <w:rPr>
                <w:rFonts w:ascii="Figtree" w:hAnsi="Figtree"/>
                <w:b w:val="0"/>
                <w:i w:val="0"/>
                <w:sz w:val="20"/>
              </w:rPr>
              <w:t>Admission checks, disclosure, issuer attestations</w:t>
            </w:r>
          </w:p>
        </w:tc>
        <w:tc>
          <w:tcPr>
            <w:tcW w:type="dxa" w:w="3249"/>
            <w:vAlign w:val="center"/>
          </w:tcPr>
          <w:p>
            <w:pPr>
              <w:spacing w:line="276" w:lineRule="auto" w:before="0" w:after="0"/>
            </w:pPr>
            <w:r/>
            <w:r>
              <w:rPr>
                <w:rFonts w:ascii="Figtree" w:hAnsi="Figtree"/>
                <w:b w:val="0"/>
                <w:i w:val="0"/>
                <w:sz w:val="20"/>
              </w:rPr>
              <w:t>Issuance factory + claim system</w:t>
            </w:r>
          </w:p>
        </w:tc>
      </w:tr>
      <w:tr>
        <w:trPr>
          <w:trHeight w:val="425" w:hRule="atLeast"/>
        </w:trPr>
        <w:tc>
          <w:tcPr>
            <w:tcW w:type="dxa" w:w="3249"/>
            <w:vAlign w:val="center"/>
          </w:tcPr>
          <w:p>
            <w:pPr>
              <w:spacing w:line="276" w:lineRule="auto" w:before="0" w:after="0"/>
            </w:pPr>
            <w:r/>
            <w:r>
              <w:rPr>
                <w:rFonts w:ascii="Figtree" w:hAnsi="Figtree"/>
                <w:b w:val="0"/>
                <w:i w:val="0"/>
                <w:sz w:val="20"/>
              </w:rPr>
              <w:t>Reference data</w:t>
            </w:r>
          </w:p>
        </w:tc>
        <w:tc>
          <w:tcPr>
            <w:tcW w:type="dxa" w:w="3249"/>
            <w:vAlign w:val="center"/>
          </w:tcPr>
          <w:p>
            <w:pPr>
              <w:spacing w:line="276" w:lineRule="auto" w:before="0" w:after="0"/>
            </w:pPr>
            <w:r/>
            <w:r>
              <w:rPr>
                <w:rFonts w:ascii="Figtree" w:hAnsi="Figtree"/>
                <w:b w:val="0"/>
                <w:i w:val="0"/>
                <w:sz w:val="20"/>
              </w:rPr>
              <w:t>Instrument lifecycle, venue publication</w:t>
            </w:r>
          </w:p>
        </w:tc>
        <w:tc>
          <w:tcPr>
            <w:tcW w:type="dxa" w:w="3249"/>
            <w:vAlign w:val="center"/>
          </w:tcPr>
          <w:p>
            <w:pPr>
              <w:spacing w:line="276" w:lineRule="auto" w:before="0" w:after="0"/>
            </w:pPr>
            <w:r/>
            <w:r>
              <w:rPr>
                <w:rFonts w:ascii="Figtree" w:hAnsi="Figtree"/>
                <w:b w:val="0"/>
                <w:i w:val="0"/>
                <w:sz w:val="20"/>
              </w:rPr>
              <w:t>DALPAsset lifecycle management</w:t>
            </w:r>
          </w:p>
        </w:tc>
      </w:tr>
      <w:tr>
        <w:trPr>
          <w:trHeight w:val="425" w:hRule="atLeast"/>
        </w:trPr>
        <w:tc>
          <w:tcPr>
            <w:tcW w:type="dxa" w:w="3249"/>
            <w:vAlign w:val="center"/>
          </w:tcPr>
          <w:p>
            <w:pPr>
              <w:spacing w:line="276" w:lineRule="auto" w:before="0" w:after="0"/>
            </w:pPr>
            <w:r/>
            <w:r>
              <w:rPr>
                <w:rFonts w:ascii="Figtree" w:hAnsi="Figtree"/>
                <w:b w:val="0"/>
                <w:i w:val="0"/>
                <w:sz w:val="20"/>
              </w:rPr>
              <w:t>Market data</w:t>
            </w:r>
          </w:p>
        </w:tc>
        <w:tc>
          <w:tcPr>
            <w:tcW w:type="dxa" w:w="3249"/>
            <w:vAlign w:val="center"/>
          </w:tcPr>
          <w:p>
            <w:pPr>
              <w:spacing w:line="276" w:lineRule="auto" w:before="0" w:after="0"/>
            </w:pPr>
            <w:r/>
            <w:r>
              <w:rPr>
                <w:rFonts w:ascii="Figtree" w:hAnsi="Figtree"/>
                <w:b w:val="0"/>
                <w:i w:val="0"/>
                <w:sz w:val="20"/>
              </w:rPr>
              <w:t>Distribution, replay, dissemination</w:t>
            </w:r>
          </w:p>
        </w:tc>
        <w:tc>
          <w:tcPr>
            <w:tcW w:type="dxa" w:w="3249"/>
            <w:vAlign w:val="center"/>
          </w:tcPr>
          <w:p>
            <w:pPr>
              <w:spacing w:line="276" w:lineRule="auto" w:before="0" w:after="0"/>
            </w:pPr>
            <w:r/>
            <w:r>
              <w:rPr>
                <w:rFonts w:ascii="Figtree" w:hAnsi="Figtree"/>
                <w:b w:val="0"/>
                <w:i w:val="0"/>
                <w:sz w:val="20"/>
              </w:rPr>
              <w:t>Chain Indexer export + webhooks</w:t>
            </w:r>
          </w:p>
        </w:tc>
      </w:tr>
      <w:tr>
        <w:trPr>
          <w:trHeight w:val="425" w:hRule="atLeast"/>
        </w:trPr>
        <w:tc>
          <w:tcPr>
            <w:tcW w:type="dxa" w:w="3249"/>
            <w:vAlign w:val="center"/>
          </w:tcPr>
          <w:p>
            <w:pPr>
              <w:spacing w:line="276" w:lineRule="auto" w:before="0" w:after="0"/>
            </w:pPr>
            <w:r/>
            <w:r>
              <w:rPr>
                <w:rFonts w:ascii="Figtree" w:hAnsi="Figtree"/>
                <w:b w:val="0"/>
                <w:i w:val="0"/>
                <w:sz w:val="20"/>
              </w:rPr>
              <w:t>Operator dashboards</w:t>
            </w:r>
          </w:p>
        </w:tc>
        <w:tc>
          <w:tcPr>
            <w:tcW w:type="dxa" w:w="3249"/>
            <w:vAlign w:val="center"/>
          </w:tcPr>
          <w:p>
            <w:pPr>
              <w:spacing w:line="276" w:lineRule="auto" w:before="0" w:after="0"/>
            </w:pPr>
            <w:r/>
            <w:r>
              <w:rPr>
                <w:rFonts w:ascii="Figtree" w:hAnsi="Figtree"/>
                <w:b w:val="0"/>
                <w:i w:val="0"/>
                <w:sz w:val="20"/>
              </w:rPr>
              <w:t>Latency, throughput, participant behavior, venue health</w:t>
            </w:r>
          </w:p>
        </w:tc>
        <w:tc>
          <w:tcPr>
            <w:tcW w:type="dxa" w:w="3249"/>
            <w:vAlign w:val="center"/>
          </w:tcPr>
          <w:p>
            <w:pPr>
              <w:spacing w:line="276" w:lineRule="auto" w:before="0" w:after="0"/>
            </w:pPr>
            <w:r/>
            <w:r>
              <w:rPr>
                <w:rFonts w:ascii="Figtree" w:hAnsi="Figtree"/>
                <w:b w:val="0"/>
                <w:i w:val="0"/>
                <w:sz w:val="20"/>
              </w:rPr>
              <w:t>Grafana pre-built dashboards</w:t>
            </w:r>
          </w:p>
        </w:tc>
      </w:tr>
      <w:tr>
        <w:trPr>
          <w:trHeight w:val="425" w:hRule="atLeast"/>
        </w:trPr>
        <w:tc>
          <w:tcPr>
            <w:tcW w:type="dxa" w:w="3249"/>
            <w:vAlign w:val="center"/>
          </w:tcPr>
          <w:p>
            <w:pPr>
              <w:spacing w:line="276" w:lineRule="auto" w:before="0" w:after="0"/>
            </w:pPr>
            <w:r/>
            <w:r>
              <w:rPr>
                <w:rFonts w:ascii="Figtree" w:hAnsi="Figtree"/>
                <w:b w:val="0"/>
                <w:i w:val="0"/>
                <w:sz w:val="20"/>
              </w:rPr>
              <w:t>Suspension/halt/resume</w:t>
            </w:r>
          </w:p>
        </w:tc>
        <w:tc>
          <w:tcPr>
            <w:tcW w:type="dxa" w:w="3249"/>
            <w:vAlign w:val="center"/>
          </w:tcPr>
          <w:p>
            <w:pPr>
              <w:spacing w:line="276" w:lineRule="auto" w:before="0" w:after="0"/>
            </w:pPr>
            <w:r/>
            <w:r>
              <w:rPr>
                <w:rFonts w:ascii="Figtree" w:hAnsi="Figtree"/>
                <w:b w:val="0"/>
                <w:i w:val="0"/>
                <w:sz w:val="20"/>
              </w:rPr>
              <w:t>Orderly state management</w:t>
            </w:r>
          </w:p>
        </w:tc>
        <w:tc>
          <w:tcPr>
            <w:tcW w:type="dxa" w:w="3249"/>
            <w:vAlign w:val="center"/>
          </w:tcPr>
          <w:p>
            <w:pPr>
              <w:spacing w:line="276" w:lineRule="auto" w:before="0" w:after="0"/>
            </w:pPr>
            <w:r/>
            <w:r>
              <w:rPr>
                <w:rFonts w:ascii="Figtree" w:hAnsi="Figtree"/>
                <w:b w:val="0"/>
                <w:i w:val="0"/>
                <w:sz w:val="20"/>
              </w:rPr>
              <w:t>EMERGENCY + GOVERNANCE roles</w:t>
            </w:r>
          </w:p>
        </w:tc>
      </w:tr>
      <w:tr>
        <w:trPr>
          <w:trHeight w:val="425" w:hRule="atLeast"/>
        </w:trPr>
        <w:tc>
          <w:tcPr>
            <w:tcW w:type="dxa" w:w="3249"/>
            <w:vAlign w:val="center"/>
          </w:tcPr>
          <w:p>
            <w:pPr>
              <w:spacing w:line="276" w:lineRule="auto" w:before="0" w:after="0"/>
            </w:pPr>
            <w:r/>
            <w:r>
              <w:rPr>
                <w:rFonts w:ascii="Figtree" w:hAnsi="Figtree"/>
                <w:b w:val="0"/>
                <w:i w:val="0"/>
                <w:sz w:val="20"/>
              </w:rPr>
              <w:t>Integration</w:t>
            </w:r>
          </w:p>
        </w:tc>
        <w:tc>
          <w:tcPr>
            <w:tcW w:type="dxa" w:w="3249"/>
            <w:vAlign w:val="center"/>
          </w:tcPr>
          <w:p>
            <w:pPr>
              <w:spacing w:line="276" w:lineRule="auto" w:before="0" w:after="0"/>
            </w:pPr>
            <w:r/>
            <w:r>
              <w:rPr>
                <w:rFonts w:ascii="Figtree" w:hAnsi="Figtree"/>
                <w:b w:val="0"/>
                <w:i w:val="0"/>
                <w:sz w:val="20"/>
              </w:rPr>
              <w:t>RTGS/CCP settlement, surveillance systems, D3X/Xetra</w:t>
            </w:r>
          </w:p>
        </w:tc>
        <w:tc>
          <w:tcPr>
            <w:tcW w:type="dxa" w:w="3249"/>
            <w:vAlign w:val="center"/>
          </w:tcPr>
          <w:p>
            <w:pPr>
              <w:spacing w:line="276" w:lineRule="auto" w:before="0" w:after="0"/>
            </w:pPr>
            <w:r/>
            <w:r>
              <w:rPr>
                <w:rFonts w:ascii="Figtree" w:hAnsi="Figtree"/>
                <w:b w:val="0"/>
                <w:i w:val="0"/>
                <w:sz w:val="20"/>
              </w:rPr>
              <w:t>REST API, webhooks, ISO 20022</w:t>
            </w:r>
          </w:p>
        </w:tc>
      </w:tr>
    </w:tbl>
    <w:p>
      <w:pPr>
        <w:spacing w:before="0" w:after="0" w:line="120" w:lineRule="exact"/>
      </w:pPr>
    </w:p>
    <w:p>
      <w:pPr>
        <w:pStyle w:val="H3"/>
        <w:numPr>
          <w:ilvl w:val="2"/>
          <w:numId w:val="1"/>
        </w:numPr>
      </w:pPr>
      <w:r>
        <w:t>5.3 Key Challenges</w:t>
      </w:r>
    </w:p>
    <w:p>
      <w:r>
        <w:rPr>
          <w:rFonts w:ascii="Figtree" w:hAnsi="Figtree"/>
          <w:b/>
          <w:i w:val="0"/>
          <w:sz w:val="22"/>
        </w:rPr>
        <w:t>Challenge 1: DALP as token layer within D3X architecture.</w:t>
      </w:r>
      <w:r>
        <w:rPr>
          <w:rFonts w:ascii="Figtree" w:hAnsi="Figtree"/>
          <w:b w:val="0"/>
          <w:i w:val="0"/>
          <w:sz w:val="22"/>
        </w:rPr>
        <w:t xml:space="preserve"> Deutsche Börse's D3X platform provides the matching engine and market model for digital assets. DALP's role is to be the regulated token and compliance layer within the D3X/Xetra integration pattern — not to replace the matching engine. This requires a clear API boundary between D3X (which manages order flow and matching) and DALP (which manages token lifecycle, compliance, and settlement). This boundary must be precisely designed in Phase 1.</w:t>
      </w:r>
    </w:p>
    <w:p>
      <w:r>
        <w:rPr>
          <w:rFonts w:ascii="Figtree" w:hAnsi="Figtree"/>
          <w:b/>
          <w:i w:val="0"/>
          <w:sz w:val="22"/>
        </w:rPr>
        <w:t>Challenge 2: Deterministic event ordering for surveillance.</w:t>
      </w:r>
      <w:r>
        <w:rPr>
          <w:rFonts w:ascii="Figtree" w:hAnsi="Figtree"/>
          <w:b w:val="0"/>
          <w:i w:val="0"/>
          <w:sz w:val="22"/>
        </w:rPr>
        <w:t xml:space="preserve"> MiFID II surveillance requires that orders and trades can be reconstructed in exact sequence. IBFT 2.0 consensus provides block-ordered determinism, but application-level event sequencing within a block requires additional design. DALP's transaction sequencing model must be aligned with Deutsche Börse's surveillance system's ingestion requirements.</w:t>
      </w:r>
    </w:p>
    <w:p>
      <w:r>
        <w:rPr>
          <w:rFonts w:ascii="Figtree" w:hAnsi="Figtree"/>
          <w:b/>
          <w:i w:val="0"/>
          <w:sz w:val="22"/>
        </w:rPr>
        <w:t>Challenge 3: Participant admission revocation.</w:t>
      </w:r>
      <w:r>
        <w:rPr>
          <w:rFonts w:ascii="Figtree" w:hAnsi="Figtree"/>
          <w:b w:val="0"/>
          <w:i w:val="0"/>
          <w:sz w:val="22"/>
        </w:rPr>
        <w:t xml:space="preserve"> MiFID II's ongoing eligibility monitoring requires that participant admission can be revoked immediately. DALP's claim revocation propagates immediately to the compliance engine — a participant with a revoked admission claim cannot execute any further on-chain actions. This is enforcement at the contract layer, not the application layer.</w:t>
      </w:r>
    </w:p>
    <w:p>
      <w:pPr>
        <w:pStyle w:val="H3"/>
        <w:numPr>
          <w:ilvl w:val="2"/>
          <w:numId w:val="1"/>
        </w:numPr>
      </w:pPr>
      <w:r>
        <w:t>5.4 Response Principles</w:t>
      </w:r>
    </w:p>
    <w:p>
      <w:r>
        <w:rPr>
          <w:rFonts w:ascii="Figtree" w:hAnsi="Figtree"/>
          <w:b/>
          <w:i w:val="0"/>
          <w:sz w:val="22"/>
        </w:rPr>
        <w:t>DALP as regulated token layer.</w:t>
      </w:r>
      <w:r>
        <w:rPr>
          <w:rFonts w:ascii="Figtree" w:hAnsi="Figtree"/>
          <w:b w:val="0"/>
          <w:i w:val="0"/>
          <w:sz w:val="22"/>
        </w:rPr>
        <w:t xml:space="preserve"> DALP does not replace D3X/Xetra market model infrastructure. It provides the token lifecycle, compliance enforcement, and settlement layer that D3X operates against.</w:t>
      </w:r>
    </w:p>
    <w:p>
      <w:r>
        <w:rPr>
          <w:rFonts w:ascii="Figtree" w:hAnsi="Figtree"/>
          <w:b/>
          <w:i w:val="0"/>
          <w:sz w:val="22"/>
        </w:rPr>
        <w:t>Market integrity by design.</w:t>
      </w:r>
      <w:r>
        <w:rPr>
          <w:rFonts w:ascii="Figtree" w:hAnsi="Figtree"/>
          <w:b w:val="0"/>
          <w:i w:val="0"/>
          <w:sz w:val="22"/>
        </w:rPr>
        <w:t xml:space="preserve"> Participant admission, compliance enforcement, and event sequencing are smart contract properties, not application-layer configurations.</w:t>
      </w:r>
    </w:p>
    <w:p>
      <w:r>
        <w:rPr>
          <w:rFonts w:ascii="Figtree" w:hAnsi="Figtree"/>
          <w:b/>
          <w:i w:val="0"/>
          <w:sz w:val="22"/>
        </w:rPr>
        <w:t>Evidence for surveillance.</w:t>
      </w:r>
      <w:r>
        <w:rPr>
          <w:rFonts w:ascii="Figtree" w:hAnsi="Figtree"/>
          <w:b w:val="0"/>
          <w:i w:val="0"/>
          <w:sz w:val="22"/>
        </w:rPr>
        <w:t xml:space="preserve"> Every on-chain event provides evidence for MiFID II surveillance requirements. The Chain Indexer exports events in a format suitable for Deutsche Börse's surveillance system ingestion.</w:t>
      </w:r>
    </w:p>
    <w:p>
      <w:r>
        <w:br w:type="page"/>
      </w:r>
    </w:p>
    <w:p>
      <w:pPr>
        <w:pStyle w:val="H2"/>
        <w:numPr>
          <w:ilvl w:val="1"/>
          <w:numId w:val="1"/>
        </w:numPr>
      </w:pPr>
      <w:r>
        <w:t>6. Proposed Solution and Functional Capabilities</w:t>
      </w:r>
    </w:p>
    <w:p>
      <w:pPr>
        <w:pStyle w:val="H3"/>
        <w:numPr>
          <w:ilvl w:val="2"/>
          <w:numId w:val="1"/>
        </w:numPr>
      </w:pPr>
      <w:r>
        <w:t>6.1 Solution Overview</w:t>
      </w:r>
    </w:p>
    <w:p>
      <w:r>
        <w:rPr>
          <w:rFonts w:ascii="Figtree" w:hAnsi="Figtree"/>
          <w:b w:val="0"/>
          <w:i w:val="0"/>
          <w:sz w:val="22"/>
        </w:rPr>
        <w:t>DALP provides the regulated digital security token infrastructure within Deutsche Börse's D3X/Xetra integration model. Deutsche Börse's existing market model and matching engine infrastructure handles order flow, matching, and trade reporting. DALP manages the token lifecycle, participant admission, compliance enforcement, and post-trade settlement for digital securities.</w:t>
      </w:r>
    </w:p>
    <w:p>
      <w:r>
        <w:rPr>
          <w:rFonts w:ascii="Figtree" w:hAnsi="Figtree"/>
          <w:b/>
          <w:i w:val="0"/>
          <w:sz w:val="22"/>
        </w:rPr>
        <w:t>Key integration boundary:</w:t>
      </w:r>
    </w:p>
    <w:p>
      <w:pPr>
        <w:pStyle w:val="ListParagraph"/>
        <w:numPr>
          <w:ilvl w:val="0"/>
          <w:numId w:val="4"/>
        </w:numPr>
      </w:pPr>
      <w:r>
        <w:rPr>
          <w:rFonts w:ascii="Figtree" w:hAnsi="Figtree"/>
          <w:b w:val="0"/>
          <w:i w:val="0"/>
          <w:sz w:val="22"/>
        </w:rPr>
        <w:t>D3X/Xetra handles: order management, matching, trade reporting, market data distribution</w:t>
      </w:r>
    </w:p>
    <w:p>
      <w:pPr>
        <w:pStyle w:val="ListParagraph"/>
        <w:numPr>
          <w:ilvl w:val="0"/>
          <w:numId w:val="4"/>
        </w:numPr>
      </w:pPr>
      <w:r>
        <w:rPr>
          <w:rFonts w:ascii="Figtree" w:hAnsi="Figtree"/>
          <w:b w:val="0"/>
          <w:i w:val="0"/>
          <w:sz w:val="22"/>
        </w:rPr>
        <w:t>DALP handles: digital security token lifecycle, participant admission (on-chain), compliance enforcement, DvP settlement, and surveillance event export</w:t>
      </w:r>
    </w:p>
    <w:p>
      <w:r>
        <w:rPr>
          <w:rFonts w:ascii="Figtree" w:hAnsi="Figtree"/>
          <w:b/>
          <w:i w:val="0"/>
          <w:sz w:val="22"/>
        </w:rPr>
        <w:t>Actors:</w:t>
      </w:r>
    </w:p>
    <w:p>
      <w:pPr>
        <w:pStyle w:val="ListParagraph"/>
        <w:numPr>
          <w:ilvl w:val="0"/>
          <w:numId w:val="4"/>
        </w:numPr>
      </w:pPr>
      <w:r>
        <w:rPr>
          <w:rFonts w:ascii="Figtree" w:hAnsi="Figtree"/>
          <w:b w:val="0"/>
          <w:i w:val="0"/>
          <w:sz w:val="22"/>
        </w:rPr>
        <w:t>Deutsche Börse (venue operator: GOVERNANCE</w:t>
      </w:r>
      <w:r>
        <w:rPr>
          <w:rFonts w:ascii="Figtree" w:hAnsi="Figtree"/>
          <w:b w:val="0"/>
          <w:i/>
          <w:sz w:val="22"/>
        </w:rPr>
        <w:t>ROLE for admission rule changes, TOKEN</w:t>
      </w:r>
      <w:r>
        <w:rPr>
          <w:rFonts w:ascii="Figtree" w:hAnsi="Figtree"/>
          <w:b w:val="0"/>
          <w:i w:val="0"/>
          <w:sz w:val="22"/>
        </w:rPr>
        <w:t>MANAGER for operational listing)</w:t>
      </w:r>
    </w:p>
    <w:p>
      <w:pPr>
        <w:pStyle w:val="ListParagraph"/>
        <w:numPr>
          <w:ilvl w:val="0"/>
          <w:numId w:val="4"/>
        </w:numPr>
      </w:pPr>
      <w:r>
        <w:rPr>
          <w:rFonts w:ascii="Figtree" w:hAnsi="Figtree"/>
          <w:b w:val="0"/>
          <w:i w:val="0"/>
          <w:sz w:val="22"/>
        </w:rPr>
        <w:t>Issuers (OnchainID identity, issuer admission claim)</w:t>
      </w:r>
    </w:p>
    <w:p>
      <w:pPr>
        <w:pStyle w:val="ListParagraph"/>
        <w:numPr>
          <w:ilvl w:val="0"/>
          <w:numId w:val="4"/>
        </w:numPr>
      </w:pPr>
      <w:r>
        <w:rPr>
          <w:rFonts w:ascii="Figtree" w:hAnsi="Figtree"/>
          <w:b w:val="0"/>
          <w:i w:val="0"/>
          <w:sz w:val="22"/>
        </w:rPr>
        <w:t>Members / broker-dealers (OnchainID identity, member admission claim)</w:t>
      </w:r>
    </w:p>
    <w:p>
      <w:pPr>
        <w:pStyle w:val="ListParagraph"/>
        <w:numPr>
          <w:ilvl w:val="0"/>
          <w:numId w:val="4"/>
        </w:numPr>
      </w:pPr>
      <w:r>
        <w:rPr>
          <w:rFonts w:ascii="Figtree" w:hAnsi="Figtree"/>
          <w:b w:val="0"/>
          <w:i w:val="0"/>
          <w:sz w:val="22"/>
        </w:rPr>
        <w:t>Market makers (designated with market maker claim)</w:t>
      </w:r>
    </w:p>
    <w:p>
      <w:pPr>
        <w:pStyle w:val="ListParagraph"/>
        <w:numPr>
          <w:ilvl w:val="0"/>
          <w:numId w:val="4"/>
        </w:numPr>
      </w:pPr>
      <w:r>
        <w:rPr>
          <w:rFonts w:ascii="Figtree" w:hAnsi="Figtree"/>
          <w:b w:val="0"/>
          <w:i w:val="0"/>
          <w:sz w:val="22"/>
        </w:rPr>
        <w:t>Compliance team (COMPLIANCE_MANAGER role)</w:t>
      </w:r>
    </w:p>
    <w:p>
      <w:pPr>
        <w:pStyle w:val="ListParagraph"/>
        <w:numPr>
          <w:ilvl w:val="0"/>
          <w:numId w:val="4"/>
        </w:numPr>
      </w:pPr>
      <w:r>
        <w:rPr>
          <w:rFonts w:ascii="Figtree" w:hAnsi="Figtree"/>
          <w:b w:val="0"/>
          <w:i w:val="0"/>
          <w:sz w:val="22"/>
        </w:rPr>
        <w:t>BaFin supervisory access (AUDITOR role, read-only)</w:t>
      </w:r>
    </w:p>
    <w:p>
      <w:pPr>
        <w:pStyle w:val="H3"/>
        <w:numPr>
          <w:ilvl w:val="2"/>
          <w:numId w:val="1"/>
        </w:numPr>
      </w:pPr>
      <w:r>
        <w:t>6.2 Participant Admission and Entitlement Model</w:t>
      </w:r>
    </w:p>
    <w:p>
      <w:pPr>
        <w:jc w:val="center"/>
      </w:pPr>
      <w:r>
        <w:drawing>
          <wp:inline xmlns:a="http://schemas.openxmlformats.org/drawingml/2006/main" xmlns:pic="http://schemas.openxmlformats.org/drawingml/2006/picture">
            <wp:extent cx="5486400" cy="1700504"/>
            <wp:docPr id="1" name="Picture 1"/>
            <wp:cNvGraphicFramePr>
              <a:graphicFrameLocks noChangeAspect="1"/>
            </wp:cNvGraphicFramePr>
            <a:graphic>
              <a:graphicData uri="http://schemas.openxmlformats.org/drawingml/2006/picture">
                <pic:pic>
                  <pic:nvPicPr>
                    <pic:cNvPr id="0" name="_diagram-001.png"/>
                    <pic:cNvPicPr/>
                  </pic:nvPicPr>
                  <pic:blipFill>
                    <a:blip r:embed="rId13"/>
                    <a:stretch>
                      <a:fillRect/>
                    </a:stretch>
                  </pic:blipFill>
                  <pic:spPr>
                    <a:xfrm>
                      <a:off x="0" y="0"/>
                      <a:ext cx="5486400" cy="1700504"/>
                    </a:xfrm>
                    <a:prstGeom prst="rect"/>
                  </pic:spPr>
                </pic:pic>
              </a:graphicData>
            </a:graphic>
          </wp:inline>
        </w:drawing>
      </w:r>
    </w:p>
    <w:p>
      <w:r>
        <w:rPr>
          <w:rFonts w:ascii="Figtree" w:hAnsi="Figtree"/>
          <w:b w:val="0"/>
          <w:i w:val="0"/>
          <w:sz w:val="22"/>
        </w:rPr>
        <w:t>Participant admission is controlled through OnchainID verifiable claims. Every digital securities transfer on the venue requires both parties to hold valid admission claims. Revocation of a claim by Deutsche Börse's identity authority immediately prevents all further on-chain activity for that participant — the compliance engine checks claim validity on every transfer.</w:t>
      </w:r>
    </w:p>
    <w:p>
      <w:pPr>
        <w:pStyle w:val="H3"/>
        <w:numPr>
          <w:ilvl w:val="2"/>
          <w:numId w:val="1"/>
        </w:numPr>
      </w:pPr>
      <w:r>
        <w:t>6.3 Venue State Controls</w:t>
      </w:r>
    </w:p>
    <w:p>
      <w:pPr>
        <w:jc w:val="center"/>
      </w:pPr>
      <w:r>
        <w:drawing>
          <wp:inline xmlns:a="http://schemas.openxmlformats.org/drawingml/2006/main" xmlns:pic="http://schemas.openxmlformats.org/drawingml/2006/picture">
            <wp:extent cx="5486400" cy="3058108"/>
            <wp:docPr id="2" name="Picture 2"/>
            <wp:cNvGraphicFramePr>
              <a:graphicFrameLocks noChangeAspect="1"/>
            </wp:cNvGraphicFramePr>
            <a:graphic>
              <a:graphicData uri="http://schemas.openxmlformats.org/drawingml/2006/picture">
                <pic:pic>
                  <pic:nvPicPr>
                    <pic:cNvPr id="0" name="_diagram-002.png"/>
                    <pic:cNvPicPr/>
                  </pic:nvPicPr>
                  <pic:blipFill>
                    <a:blip r:embed="rId14"/>
                    <a:stretch>
                      <a:fillRect/>
                    </a:stretch>
                  </pic:blipFill>
                  <pic:spPr>
                    <a:xfrm>
                      <a:off x="0" y="0"/>
                      <a:ext cx="5486400" cy="3058108"/>
                    </a:xfrm>
                    <a:prstGeom prst="rect"/>
                  </pic:spPr>
                </pic:pic>
              </a:graphicData>
            </a:graphic>
          </wp:inline>
        </w:drawing>
      </w:r>
    </w:p>
    <w:p>
      <w:r>
        <w:rPr>
          <w:rFonts w:ascii="Figtree" w:hAnsi="Figtree"/>
          <w:b w:val="0"/>
          <w:i w:val="0"/>
          <w:sz w:val="22"/>
        </w:rPr>
        <w:t>The venue state model maps MiFID II trading venue operational states to DALP's role-based control model. Deutsche Börse's venue operator team holds TOKEN</w:t>
      </w:r>
      <w:r>
        <w:rPr>
          <w:rFonts w:ascii="Figtree" w:hAnsi="Figtree"/>
          <w:b w:val="0"/>
          <w:i/>
          <w:sz w:val="22"/>
        </w:rPr>
        <w:t>MANAGER for routine operational state changes. The EMERGENCY role provides immediate halt capability without requiring GOVERNANCE</w:t>
      </w:r>
      <w:r>
        <w:rPr>
          <w:rFonts w:ascii="Figtree" w:hAnsi="Figtree"/>
          <w:b w:val="0"/>
          <w:i w:val="0"/>
          <w:sz w:val="22"/>
        </w:rPr>
        <w:t>ROLE authorization. GOVERNANCE_ROLE is used for regulatory-driven state changes and admission rule modifications.</w:t>
      </w:r>
    </w:p>
    <w:p>
      <w:pPr>
        <w:pStyle w:val="H3"/>
        <w:numPr>
          <w:ilvl w:val="2"/>
          <w:numId w:val="1"/>
        </w:numPr>
      </w:pPr>
      <w:r>
        <w:t>6.4 Listing Workflow and Disclosure Capture</w:t>
      </w:r>
    </w:p>
    <w:p>
      <w:pPr>
        <w:jc w:val="center"/>
      </w:pPr>
      <w:r>
        <w:drawing>
          <wp:inline xmlns:a="http://schemas.openxmlformats.org/drawingml/2006/main" xmlns:pic="http://schemas.openxmlformats.org/drawingml/2006/picture">
            <wp:extent cx="5486400" cy="2834174"/>
            <wp:docPr id="3" name="Picture 3"/>
            <wp:cNvGraphicFramePr>
              <a:graphicFrameLocks noChangeAspect="1"/>
            </wp:cNvGraphicFramePr>
            <a:graphic>
              <a:graphicData uri="http://schemas.openxmlformats.org/drawingml/2006/picture">
                <pic:pic>
                  <pic:nvPicPr>
                    <pic:cNvPr id="0" name="_diagram-003.png"/>
                    <pic:cNvPicPr/>
                  </pic:nvPicPr>
                  <pic:blipFill>
                    <a:blip r:embed="rId15"/>
                    <a:stretch>
                      <a:fillRect/>
                    </a:stretch>
                  </pic:blipFill>
                  <pic:spPr>
                    <a:xfrm>
                      <a:off x="0" y="0"/>
                      <a:ext cx="5486400" cy="2834174"/>
                    </a:xfrm>
                    <a:prstGeom prst="rect"/>
                  </pic:spPr>
                </pic:pic>
              </a:graphicData>
            </a:graphic>
          </wp:inline>
        </w:drawing>
      </w:r>
    </w:p>
    <w:p>
      <w:r>
        <w:rPr>
          <w:rFonts w:ascii="Figtree" w:hAnsi="Figtree"/>
          <w:b w:val="0"/>
          <w:i w:val="0"/>
          <w:sz w:val="22"/>
        </w:rPr>
        <w:t>Disclosure documents are stored off-chain (S3-compatible object storage) with content-hash linked to the token address on-chain. This ensures the integrity of disclosure materials while keeping large documents off the ledger.</w:t>
      </w:r>
    </w:p>
    <w:p>
      <w:pPr>
        <w:pStyle w:val="H3"/>
        <w:numPr>
          <w:ilvl w:val="2"/>
          <w:numId w:val="1"/>
        </w:numPr>
      </w:pPr>
      <w:r>
        <w:t>6.5 Market Surveillance Support</w:t>
      </w:r>
    </w:p>
    <w:p>
      <w:pPr>
        <w:jc w:val="center"/>
      </w:pPr>
      <w:r>
        <w:drawing>
          <wp:inline xmlns:a="http://schemas.openxmlformats.org/drawingml/2006/main" xmlns:pic="http://schemas.openxmlformats.org/drawingml/2006/picture">
            <wp:extent cx="5486400" cy="2449286"/>
            <wp:docPr id="4" name="Picture 4"/>
            <wp:cNvGraphicFramePr>
              <a:graphicFrameLocks noChangeAspect="1"/>
            </wp:cNvGraphicFramePr>
            <a:graphic>
              <a:graphicData uri="http://schemas.openxmlformats.org/drawingml/2006/picture">
                <pic:pic>
                  <pic:nvPicPr>
                    <pic:cNvPr id="0" name="_diagram-004.png"/>
                    <pic:cNvPicPr/>
                  </pic:nvPicPr>
                  <pic:blipFill>
                    <a:blip r:embed="rId16"/>
                    <a:stretch>
                      <a:fillRect/>
                    </a:stretch>
                  </pic:blipFill>
                  <pic:spPr>
                    <a:xfrm>
                      <a:off x="0" y="0"/>
                      <a:ext cx="5486400" cy="2449286"/>
                    </a:xfrm>
                    <a:prstGeom prst="rect"/>
                  </pic:spPr>
                </pic:pic>
              </a:graphicData>
            </a:graphic>
          </wp:inline>
        </w:drawing>
      </w:r>
    </w:p>
    <w:p>
      <w:r>
        <w:rPr>
          <w:rFonts w:ascii="Figtree" w:hAnsi="Figtree"/>
          <w:b w:val="0"/>
          <w:i w:val="0"/>
          <w:sz w:val="22"/>
        </w:rPr>
        <w:t>Every on-chain event is timestamped at the IBFT 2.0 block level (consensus-agreed timestamp, not single-node). The Chain Indexer provides time-ordered event export via the REST API and webhooks. Deutsche Börse's surveillance system subscribes to this event feed for pattern detection and regulatory evidence retention.</w:t>
      </w:r>
    </w:p>
    <w:p>
      <w:r>
        <w:rPr>
          <w:rFonts w:ascii="Figtree" w:hAnsi="Figtree"/>
          <w:b/>
          <w:i w:val="0"/>
          <w:sz w:val="22"/>
        </w:rPr>
        <w:t>Alerting hooks:</w:t>
      </w:r>
      <w:r>
        <w:rPr>
          <w:rFonts w:ascii="Figtree" w:hAnsi="Figtree"/>
          <w:b w:val="0"/>
          <w:i w:val="0"/>
          <w:sz w:val="22"/>
        </w:rPr>
        <w:t xml:space="preserve"> DALP's observability stack includes configurable threshold alerts (transaction rate spikes, unusual admission patterns, halt events). Alert routing to Deutsche Börse's surveillance system and SIEM via webhook.</w:t>
      </w:r>
    </w:p>
    <w:p>
      <w:pPr>
        <w:pStyle w:val="H3"/>
        <w:numPr>
          <w:ilvl w:val="2"/>
          <w:numId w:val="1"/>
        </w:numPr>
      </w:pPr>
      <w:r>
        <w:t>6.6 Risk Controls and Kill Switch</w:t>
      </w:r>
    </w:p>
    <w:p>
      <w:r>
        <w:rPr>
          <w:rFonts w:ascii="Figtree" w:hAnsi="Figtree"/>
          <w:b w:val="0"/>
          <w:i w:val="0"/>
          <w:sz w:val="22"/>
        </w:rPr>
        <w:t>DALP's role-based controls provide the following risk management capabilities: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560"/>
        <w:gridCol w:w="3731"/>
        <w:gridCol w:w="2780"/>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Mechanism</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Authorization</w:t>
            </w:r>
          </w:p>
        </w:tc>
      </w:tr>
      <w:tr>
        <w:trPr>
          <w:trHeight w:val="425" w:hRule="atLeast"/>
        </w:trPr>
        <w:tc>
          <w:tcPr>
            <w:tcW w:type="dxa" w:w="3249"/>
            <w:vAlign w:val="center"/>
          </w:tcPr>
          <w:p>
            <w:pPr>
              <w:spacing w:line="276" w:lineRule="auto" w:before="0" w:after="0"/>
            </w:pPr>
            <w:r/>
            <w:r>
              <w:rPr>
                <w:rFonts w:ascii="Figtree" w:hAnsi="Figtree"/>
                <w:b w:val="0"/>
                <w:i w:val="0"/>
                <w:sz w:val="20"/>
              </w:rPr>
              <w:t>Venue halt (all trading)</w:t>
            </w:r>
          </w:p>
        </w:tc>
        <w:tc>
          <w:tcPr>
            <w:tcW w:type="dxa" w:w="3249"/>
            <w:vAlign w:val="center"/>
          </w:tcPr>
          <w:p>
            <w:pPr>
              <w:spacing w:line="276" w:lineRule="auto" w:before="0" w:after="0"/>
            </w:pPr>
            <w:r/>
            <w:r>
              <w:rPr>
                <w:rFonts w:ascii="Figtree" w:hAnsi="Figtree"/>
                <w:b w:val="0"/>
                <w:i w:val="0"/>
                <w:sz w:val="20"/>
              </w:rPr>
              <w:t>EMERGENCY role pause across venue</w:t>
            </w:r>
          </w:p>
        </w:tc>
        <w:tc>
          <w:tcPr>
            <w:tcW w:type="dxa" w:w="3249"/>
            <w:vAlign w:val="center"/>
          </w:tcPr>
          <w:p>
            <w:pPr>
              <w:spacing w:line="276" w:lineRule="auto" w:before="0" w:after="0"/>
            </w:pPr>
            <w:r/>
            <w:r>
              <w:rPr>
                <w:rFonts w:ascii="Figtree" w:hAnsi="Figtree"/>
                <w:b w:val="0"/>
                <w:i w:val="0"/>
                <w:sz w:val="20"/>
              </w:rPr>
              <w:t>Operations team — no GOVERNANCE needed</w:t>
            </w:r>
          </w:p>
        </w:tc>
      </w:tr>
      <w:tr>
        <w:trPr>
          <w:trHeight w:val="425" w:hRule="atLeast"/>
        </w:trPr>
        <w:tc>
          <w:tcPr>
            <w:tcW w:type="dxa" w:w="3249"/>
            <w:vAlign w:val="center"/>
          </w:tcPr>
          <w:p>
            <w:pPr>
              <w:spacing w:line="276" w:lineRule="auto" w:before="0" w:after="0"/>
            </w:pPr>
            <w:r/>
            <w:r>
              <w:rPr>
                <w:rFonts w:ascii="Figtree" w:hAnsi="Figtree"/>
                <w:b w:val="0"/>
                <w:i w:val="0"/>
                <w:sz w:val="20"/>
              </w:rPr>
              <w:t>Single security halt</w:t>
            </w:r>
          </w:p>
        </w:tc>
        <w:tc>
          <w:tcPr>
            <w:tcW w:type="dxa" w:w="3249"/>
            <w:vAlign w:val="center"/>
          </w:tcPr>
          <w:p>
            <w:pPr>
              <w:spacing w:line="276" w:lineRule="auto" w:before="0" w:after="0"/>
            </w:pPr>
            <w:r/>
            <w:r>
              <w:rPr>
                <w:rFonts w:ascii="Figtree" w:hAnsi="Figtree"/>
                <w:b w:val="0"/>
                <w:i w:val="0"/>
                <w:sz w:val="20"/>
              </w:rPr>
              <w:t>TOKEN_MANAGER pause for specific token</w:t>
            </w:r>
          </w:p>
        </w:tc>
        <w:tc>
          <w:tcPr>
            <w:tcW w:type="dxa" w:w="3249"/>
            <w:vAlign w:val="center"/>
          </w:tcPr>
          <w:p>
            <w:pPr>
              <w:spacing w:line="276" w:lineRule="auto" w:before="0" w:after="0"/>
            </w:pPr>
            <w:r/>
            <w:r>
              <w:rPr>
                <w:rFonts w:ascii="Figtree" w:hAnsi="Figtree"/>
                <w:b w:val="0"/>
                <w:i w:val="0"/>
                <w:sz w:val="20"/>
              </w:rPr>
              <w:t>Operations team</w:t>
            </w:r>
          </w:p>
        </w:tc>
      </w:tr>
      <w:tr>
        <w:trPr>
          <w:trHeight w:val="425" w:hRule="atLeast"/>
        </w:trPr>
        <w:tc>
          <w:tcPr>
            <w:tcW w:type="dxa" w:w="3249"/>
            <w:vAlign w:val="center"/>
          </w:tcPr>
          <w:p>
            <w:pPr>
              <w:spacing w:line="276" w:lineRule="auto" w:before="0" w:after="0"/>
            </w:pPr>
            <w:r/>
            <w:r>
              <w:rPr>
                <w:rFonts w:ascii="Figtree" w:hAnsi="Figtree"/>
                <w:b w:val="0"/>
                <w:i w:val="0"/>
                <w:sz w:val="20"/>
              </w:rPr>
              <w:t>Participant suspension</w:t>
            </w:r>
          </w:p>
        </w:tc>
        <w:tc>
          <w:tcPr>
            <w:tcW w:type="dxa" w:w="3249"/>
            <w:vAlign w:val="center"/>
          </w:tcPr>
          <w:p>
            <w:pPr>
              <w:spacing w:line="276" w:lineRule="auto" w:before="0" w:after="0"/>
            </w:pPr>
            <w:r/>
            <w:r>
              <w:rPr>
                <w:rFonts w:ascii="Figtree" w:hAnsi="Figtree"/>
                <w:b w:val="0"/>
                <w:i w:val="0"/>
                <w:sz w:val="20"/>
              </w:rPr>
              <w:t>Revoke admission claim</w:t>
            </w:r>
          </w:p>
        </w:tc>
        <w:tc>
          <w:tcPr>
            <w:tcW w:type="dxa" w:w="3249"/>
            <w:vAlign w:val="center"/>
          </w:tcPr>
          <w:p>
            <w:pPr>
              <w:spacing w:line="276" w:lineRule="auto" w:before="0" w:after="0"/>
            </w:pPr>
            <w:r/>
            <w:r>
              <w:rPr>
                <w:rFonts w:ascii="Figtree" w:hAnsi="Figtree"/>
                <w:b w:val="0"/>
                <w:i w:val="0"/>
                <w:sz w:val="20"/>
              </w:rPr>
              <w:t>Identity Manager</w:t>
            </w:r>
          </w:p>
        </w:tc>
      </w:tr>
      <w:tr>
        <w:trPr>
          <w:trHeight w:val="425" w:hRule="atLeast"/>
        </w:trPr>
        <w:tc>
          <w:tcPr>
            <w:tcW w:type="dxa" w:w="3249"/>
            <w:vAlign w:val="center"/>
          </w:tcPr>
          <w:p>
            <w:pPr>
              <w:spacing w:line="276" w:lineRule="auto" w:before="0" w:after="0"/>
            </w:pPr>
            <w:r/>
            <w:r>
              <w:rPr>
                <w:rFonts w:ascii="Figtree" w:hAnsi="Figtree"/>
                <w:b w:val="0"/>
                <w:i w:val="0"/>
                <w:sz w:val="20"/>
              </w:rPr>
              <w:t>Circuit breaker</w:t>
            </w:r>
          </w:p>
        </w:tc>
        <w:tc>
          <w:tcPr>
            <w:tcW w:type="dxa" w:w="3249"/>
            <w:vAlign w:val="center"/>
          </w:tcPr>
          <w:p>
            <w:pPr>
              <w:spacing w:line="276" w:lineRule="auto" w:before="0" w:after="0"/>
            </w:pPr>
            <w:r/>
            <w:r>
              <w:rPr>
                <w:rFonts w:ascii="Figtree" w:hAnsi="Figtree"/>
                <w:b w:val="0"/>
                <w:i w:val="0"/>
                <w:sz w:val="20"/>
              </w:rPr>
              <w:t>Pre-configured halt trigger via webhook integration</w:t>
            </w:r>
          </w:p>
        </w:tc>
        <w:tc>
          <w:tcPr>
            <w:tcW w:type="dxa" w:w="3249"/>
            <w:vAlign w:val="center"/>
          </w:tcPr>
          <w:p>
            <w:pPr>
              <w:spacing w:line="276" w:lineRule="auto" w:before="0" w:after="0"/>
            </w:pPr>
            <w:r/>
            <w:r>
              <w:rPr>
                <w:rFonts w:ascii="Figtree" w:hAnsi="Figtree"/>
                <w:b w:val="0"/>
                <w:i w:val="0"/>
                <w:sz w:val="20"/>
              </w:rPr>
              <w:t>Automated via D3X integration</w:t>
            </w:r>
          </w:p>
        </w:tc>
      </w:tr>
      <w:tr>
        <w:trPr>
          <w:trHeight w:val="425" w:hRule="atLeast"/>
        </w:trPr>
        <w:tc>
          <w:tcPr>
            <w:tcW w:type="dxa" w:w="3249"/>
            <w:vAlign w:val="center"/>
          </w:tcPr>
          <w:p>
            <w:pPr>
              <w:spacing w:line="276" w:lineRule="auto" w:before="0" w:after="0"/>
            </w:pPr>
            <w:r/>
            <w:r>
              <w:rPr>
                <w:rFonts w:ascii="Figtree" w:hAnsi="Figtree"/>
                <w:b w:val="0"/>
                <w:i w:val="0"/>
                <w:sz w:val="20"/>
              </w:rPr>
              <w:t>Position limits</w:t>
            </w:r>
          </w:p>
        </w:tc>
        <w:tc>
          <w:tcPr>
            <w:tcW w:type="dxa" w:w="3249"/>
            <w:vAlign w:val="center"/>
          </w:tcPr>
          <w:p>
            <w:pPr>
              <w:spacing w:line="276" w:lineRule="auto" w:before="0" w:after="0"/>
            </w:pPr>
            <w:r/>
            <w:r>
              <w:rPr>
                <w:rFonts w:ascii="Figtree" w:hAnsi="Figtree"/>
                <w:b w:val="0"/>
                <w:i w:val="0"/>
                <w:sz w:val="20"/>
              </w:rPr>
              <w:t>Supply limit compliance module per participant</w:t>
            </w:r>
          </w:p>
        </w:tc>
        <w:tc>
          <w:tcPr>
            <w:tcW w:type="dxa" w:w="3249"/>
            <w:vAlign w:val="center"/>
          </w:tcPr>
          <w:p>
            <w:pPr>
              <w:spacing w:line="276" w:lineRule="auto" w:before="0" w:after="0"/>
            </w:pPr>
            <w:r/>
            <w:r>
              <w:rPr>
                <w:rFonts w:ascii="Figtree" w:hAnsi="Figtree"/>
                <w:b w:val="0"/>
                <w:i w:val="0"/>
                <w:sz w:val="20"/>
              </w:rPr>
              <w:t>GOVERNANCE_ROLE configuration</w:t>
            </w:r>
          </w:p>
        </w:tc>
      </w:tr>
      <w:tr>
        <w:trPr>
          <w:trHeight w:val="425" w:hRule="atLeast"/>
        </w:trPr>
        <w:tc>
          <w:tcPr>
            <w:tcW w:type="dxa" w:w="3249"/>
            <w:vAlign w:val="center"/>
          </w:tcPr>
          <w:p>
            <w:pPr>
              <w:spacing w:line="276" w:lineRule="auto" w:before="0" w:after="0"/>
            </w:pPr>
            <w:r/>
            <w:r>
              <w:rPr>
                <w:rFonts w:ascii="Figtree" w:hAnsi="Figtree"/>
                <w:b w:val="0"/>
                <w:i w:val="0"/>
                <w:sz w:val="20"/>
              </w:rPr>
              <w:t>Market maker obligation enforcement</w:t>
            </w:r>
          </w:p>
        </w:tc>
        <w:tc>
          <w:tcPr>
            <w:tcW w:type="dxa" w:w="3249"/>
            <w:vAlign w:val="center"/>
          </w:tcPr>
          <w:p>
            <w:pPr>
              <w:spacing w:line="276" w:lineRule="auto" w:before="0" w:after="0"/>
            </w:pPr>
            <w:r/>
            <w:r>
              <w:rPr>
                <w:rFonts w:ascii="Figtree" w:hAnsi="Figtree"/>
                <w:b w:val="0"/>
                <w:i w:val="0"/>
                <w:sz w:val="20"/>
              </w:rPr>
              <w:t>Entitlement claim monitoring</w:t>
            </w:r>
          </w:p>
        </w:tc>
        <w:tc>
          <w:tcPr>
            <w:tcW w:type="dxa" w:w="3249"/>
            <w:vAlign w:val="center"/>
          </w:tcPr>
          <w:p>
            <w:pPr>
              <w:spacing w:line="276" w:lineRule="auto" w:before="0" w:after="0"/>
            </w:pPr>
            <w:r/>
            <w:r>
              <w:rPr>
                <w:rFonts w:ascii="Figtree" w:hAnsi="Figtree"/>
                <w:b w:val="0"/>
                <w:i w:val="0"/>
                <w:sz w:val="20"/>
              </w:rPr>
              <w:t>Compliance team</w:t>
            </w:r>
          </w:p>
        </w:tc>
      </w:tr>
    </w:tbl>
    <w:p>
      <w:pPr>
        <w:spacing w:before="0" w:after="0" w:line="120" w:lineRule="exact"/>
      </w:pPr>
    </w:p>
    <w:p>
      <w:r>
        <w:rPr>
          <w:rFonts w:ascii="Figtree" w:hAnsi="Figtree"/>
          <w:b/>
          <w:i w:val="0"/>
          <w:sz w:val="22"/>
        </w:rPr>
        <w:t>Throttling:</w:t>
      </w:r>
      <w:r>
        <w:rPr>
          <w:rFonts w:ascii="Figtree" w:hAnsi="Figtree"/>
          <w:b w:val="0"/>
          <w:i w:val="0"/>
          <w:sz w:val="22"/>
        </w:rPr>
        <w:t xml:space="preserve"> API rate limiting at 10,000 requests per 60-second window per API key. Configurable per-participant rate limits can be implemented through the admission control layer.</w:t>
      </w:r>
    </w:p>
    <w:p>
      <w:pPr>
        <w:pStyle w:val="H3"/>
        <w:numPr>
          <w:ilvl w:val="2"/>
          <w:numId w:val="1"/>
        </w:numPr>
      </w:pPr>
      <w:r>
        <w:t>6.7 D3X / Xetra Integration Pattern</w:t>
      </w:r>
    </w:p>
    <w:p>
      <w:pPr>
        <w:jc w:val="center"/>
      </w:pPr>
      <w:r>
        <w:drawing>
          <wp:inline xmlns:a="http://schemas.openxmlformats.org/drawingml/2006/main" xmlns:pic="http://schemas.openxmlformats.org/drawingml/2006/picture">
            <wp:extent cx="5486400" cy="3226059"/>
            <wp:docPr id="5" name="Picture 5"/>
            <wp:cNvGraphicFramePr>
              <a:graphicFrameLocks noChangeAspect="1"/>
            </wp:cNvGraphicFramePr>
            <a:graphic>
              <a:graphicData uri="http://schemas.openxmlformats.org/drawingml/2006/picture">
                <pic:pic>
                  <pic:nvPicPr>
                    <pic:cNvPr id="0" name="_diagram-005.png"/>
                    <pic:cNvPicPr/>
                  </pic:nvPicPr>
                  <pic:blipFill>
                    <a:blip r:embed="rId17"/>
                    <a:stretch>
                      <a:fillRect/>
                    </a:stretch>
                  </pic:blipFill>
                  <pic:spPr>
                    <a:xfrm>
                      <a:off x="0" y="0"/>
                      <a:ext cx="5486400" cy="3226059"/>
                    </a:xfrm>
                    <a:prstGeom prst="rect"/>
                  </pic:spPr>
                </pic:pic>
              </a:graphicData>
            </a:graphic>
          </wp:inline>
        </w:drawing>
      </w:r>
    </w:p>
    <w:p>
      <w:r>
        <w:rPr>
          <w:rFonts w:ascii="Figtree" w:hAnsi="Figtree"/>
          <w:b w:val="0"/>
          <w:i w:val="0"/>
          <w:sz w:val="22"/>
        </w:rPr>
        <w:t>DALP interfaces with D3X as the token execution and settlement layer. After D3X matches a trade, it sends a settlement instruction to DALP's XvP settlement addon, which executes the atomic DvP transfer. Post-settlement events are fed back to D3X's market data distribution and trade reporting systems.</w:t>
      </w:r>
    </w:p>
    <w:p>
      <w:pPr>
        <w:pStyle w:val="H3"/>
        <w:numPr>
          <w:ilvl w:val="2"/>
          <w:numId w:val="1"/>
        </w:numPr>
      </w:pPr>
      <w:r>
        <w:t>6.8 Functional Fit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2669"/>
        <w:gridCol w:w="2485"/>
        <w:gridCol w:w="695"/>
        <w:gridCol w:w="3221"/>
      </w:tblGrid>
      <w:tr>
        <w:trPr>
          <w:trHeight w:val="425" w:hRule="atLeast"/>
        </w:trPr>
        <w:tc>
          <w:tcPr>
            <w:tcW w:type="dxa" w:w="2436"/>
            <w:vAlign w:val="center"/>
            <w:shd w:fill="E8E0F0" w:val="clear"/>
          </w:tcPr>
          <w:p>
            <w:pPr>
              <w:spacing w:line="276" w:lineRule="auto" w:before="0" w:after="0"/>
              <w:jc w:val="left"/>
            </w:pPr>
            <w:r>
              <w:rPr>
                <w:b/>
                <w:color w:val="2D1A8C"/>
              </w:rPr>
            </w:r>
            <w:r>
              <w:rPr>
                <w:rFonts w:ascii="Figtree" w:hAnsi="Figtree"/>
                <w:b/>
                <w:i w:val="0"/>
                <w:color w:val="2D1A8C"/>
                <w:sz w:val="20"/>
              </w:rPr>
              <w:t>Requirement</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DALP Capability</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2436"/>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2436"/>
            <w:vAlign w:val="center"/>
          </w:tcPr>
          <w:p>
            <w:pPr>
              <w:spacing w:line="276" w:lineRule="auto" w:before="0" w:after="0"/>
            </w:pPr>
            <w:r/>
            <w:r>
              <w:rPr>
                <w:rFonts w:ascii="Figtree" w:hAnsi="Figtree"/>
                <w:b w:val="0"/>
                <w:i w:val="0"/>
                <w:sz w:val="20"/>
              </w:rPr>
              <w:t>Participant admission (issuers, members, MMs, operators)</w:t>
            </w:r>
          </w:p>
        </w:tc>
        <w:tc>
          <w:tcPr>
            <w:tcW w:type="dxa" w:w="2436"/>
            <w:vAlign w:val="center"/>
          </w:tcPr>
          <w:p>
            <w:pPr>
              <w:spacing w:line="276" w:lineRule="auto" w:before="0" w:after="0"/>
            </w:pPr>
            <w:r/>
            <w:r>
              <w:rPr>
                <w:rFonts w:ascii="Figtree" w:hAnsi="Figtree"/>
                <w:b w:val="0"/>
                <w:i w:val="0"/>
                <w:sz w:val="20"/>
              </w:rPr>
              <w:t>OnchainID + ERC-3643 admission claim modules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Configurable market models, venue state controls</w:t>
            </w:r>
          </w:p>
        </w:tc>
        <w:tc>
          <w:tcPr>
            <w:tcW w:type="dxa" w:w="2436"/>
            <w:vAlign w:val="center"/>
          </w:tcPr>
          <w:p>
            <w:pPr>
              <w:spacing w:line="276" w:lineRule="auto" w:before="0" w:after="0"/>
            </w:pPr>
            <w:r/>
            <w:r>
              <w:rPr>
                <w:rFonts w:ascii="Figtree" w:hAnsi="Figtree"/>
                <w:b w:val="0"/>
                <w:i w:val="0"/>
                <w:sz w:val="20"/>
              </w:rPr>
              <w:t>GOVERNANCE/EMERGENCY/TOKEN_MANAGER roles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Market model (order book) is D3X; DALP provides token/compliance state</w:t>
            </w:r>
          </w:p>
        </w:tc>
      </w:tr>
      <w:tr>
        <w:trPr>
          <w:trHeight w:val="425" w:hRule="atLeast"/>
        </w:trPr>
        <w:tc>
          <w:tcPr>
            <w:tcW w:type="dxa" w:w="2436"/>
            <w:vAlign w:val="center"/>
          </w:tcPr>
          <w:p>
            <w:pPr>
              <w:spacing w:line="276" w:lineRule="auto" w:before="0" w:after="0"/>
            </w:pPr>
            <w:r/>
            <w:r>
              <w:rPr>
                <w:rFonts w:ascii="Figtree" w:hAnsi="Figtree"/>
                <w:b w:val="0"/>
                <w:i w:val="0"/>
                <w:sz w:val="20"/>
              </w:rPr>
              <w:t>Surveillance data feeds, alerting, evidence retention</w:t>
            </w:r>
          </w:p>
        </w:tc>
        <w:tc>
          <w:tcPr>
            <w:tcW w:type="dxa" w:w="2436"/>
            <w:vAlign w:val="center"/>
          </w:tcPr>
          <w:p>
            <w:pPr>
              <w:spacing w:line="276" w:lineRule="auto" w:before="0" w:after="0"/>
            </w:pPr>
            <w:r/>
            <w:r>
              <w:rPr>
                <w:rFonts w:ascii="Figtree" w:hAnsi="Figtree"/>
                <w:b w:val="0"/>
                <w:i w:val="0"/>
                <w:sz w:val="20"/>
              </w:rPr>
              <w:t>Chain Indexer event export + webhooks + Grafana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Integration-dependent for Deutsche Börse surveillance system</w:t>
            </w:r>
          </w:p>
        </w:tc>
      </w:tr>
      <w:tr>
        <w:trPr>
          <w:trHeight w:val="425" w:hRule="atLeast"/>
        </w:trPr>
        <w:tc>
          <w:tcPr>
            <w:tcW w:type="dxa" w:w="2436"/>
            <w:vAlign w:val="center"/>
          </w:tcPr>
          <w:p>
            <w:pPr>
              <w:spacing w:line="276" w:lineRule="auto" w:before="0" w:after="0"/>
            </w:pPr>
            <w:r/>
            <w:r>
              <w:rPr>
                <w:rFonts w:ascii="Figtree" w:hAnsi="Figtree"/>
                <w:b w:val="0"/>
                <w:i w:val="0"/>
                <w:sz w:val="20"/>
              </w:rPr>
              <w:t>Deterministic message handling, event sequencing</w:t>
            </w:r>
          </w:p>
        </w:tc>
        <w:tc>
          <w:tcPr>
            <w:tcW w:type="dxa" w:w="2436"/>
            <w:vAlign w:val="center"/>
          </w:tcPr>
          <w:p>
            <w:pPr>
              <w:spacing w:line="276" w:lineRule="auto" w:before="0" w:after="0"/>
            </w:pPr>
            <w:r/>
            <w:r>
              <w:rPr>
                <w:rFonts w:ascii="Figtree" w:hAnsi="Figtree"/>
                <w:b w:val="0"/>
                <w:i w:val="0"/>
                <w:sz w:val="20"/>
              </w:rPr>
              <w:t>IBFT 2.0 consensus timestamps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Throttling, kill-switch, circuit breaker, participant risk</w:t>
            </w:r>
          </w:p>
        </w:tc>
        <w:tc>
          <w:tcPr>
            <w:tcW w:type="dxa" w:w="2436"/>
            <w:vAlign w:val="center"/>
          </w:tcPr>
          <w:p>
            <w:pPr>
              <w:spacing w:line="276" w:lineRule="auto" w:before="0" w:after="0"/>
            </w:pPr>
            <w:r/>
            <w:r>
              <w:rPr>
                <w:rFonts w:ascii="Figtree" w:hAnsi="Figtree"/>
                <w:b w:val="0"/>
                <w:i w:val="0"/>
                <w:sz w:val="20"/>
              </w:rPr>
              <w:t>EMERGENCY pause + admission revocation + rate limiting</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r>
              <w:rPr>
                <w:rFonts w:ascii="Figtree" w:hAnsi="Figtree"/>
                <w:b w:val="0"/>
                <w:i w:val="0"/>
                <w:sz w:val="20"/>
              </w:rPr>
              <w:t>Circuit breaker integration with D3X required</w:t>
            </w:r>
          </w:p>
        </w:tc>
      </w:tr>
      <w:tr>
        <w:trPr>
          <w:trHeight w:val="425" w:hRule="atLeast"/>
        </w:trPr>
        <w:tc>
          <w:tcPr>
            <w:tcW w:type="dxa" w:w="2436"/>
            <w:vAlign w:val="center"/>
          </w:tcPr>
          <w:p>
            <w:pPr>
              <w:spacing w:line="276" w:lineRule="auto" w:before="0" w:after="0"/>
            </w:pPr>
            <w:r/>
            <w:r>
              <w:rPr>
                <w:rFonts w:ascii="Figtree" w:hAnsi="Figtree"/>
                <w:b w:val="0"/>
                <w:i w:val="0"/>
                <w:sz w:val="20"/>
              </w:rPr>
              <w:t>Listing workflow with admission checks and disclosure</w:t>
            </w:r>
          </w:p>
        </w:tc>
        <w:tc>
          <w:tcPr>
            <w:tcW w:type="dxa" w:w="2436"/>
            <w:vAlign w:val="center"/>
          </w:tcPr>
          <w:p>
            <w:pPr>
              <w:spacing w:line="276" w:lineRule="auto" w:before="0" w:after="0"/>
            </w:pPr>
            <w:r/>
            <w:r>
              <w:rPr>
                <w:rFonts w:ascii="Figtree" w:hAnsi="Figtree"/>
                <w:b w:val="0"/>
                <w:i w:val="0"/>
                <w:sz w:val="20"/>
              </w:rPr>
              <w:t>Issuance factory + off-chain disclosure metadata</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Reference data management, instrument lifecycle</w:t>
            </w:r>
          </w:p>
        </w:tc>
        <w:tc>
          <w:tcPr>
            <w:tcW w:type="dxa" w:w="2436"/>
            <w:vAlign w:val="center"/>
          </w:tcPr>
          <w:p>
            <w:pPr>
              <w:spacing w:line="276" w:lineRule="auto" w:before="0" w:after="0"/>
            </w:pPr>
            <w:r/>
            <w:r>
              <w:rPr>
                <w:rFonts w:ascii="Figtree" w:hAnsi="Figtree"/>
                <w:b w:val="0"/>
                <w:i w:val="0"/>
                <w:sz w:val="20"/>
              </w:rPr>
              <w:t>DALPAsset lifecycle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Resilient market data distribution</w:t>
            </w:r>
          </w:p>
        </w:tc>
        <w:tc>
          <w:tcPr>
            <w:tcW w:type="dxa" w:w="2436"/>
            <w:vAlign w:val="center"/>
          </w:tcPr>
          <w:p>
            <w:pPr>
              <w:spacing w:line="276" w:lineRule="auto" w:before="0" w:after="0"/>
            </w:pPr>
            <w:r/>
            <w:r>
              <w:rPr>
                <w:rFonts w:ascii="Figtree" w:hAnsi="Figtree"/>
                <w:b w:val="0"/>
                <w:i w:val="0"/>
                <w:sz w:val="20"/>
              </w:rPr>
              <w:t>Chain Indexer webhooks</w:t>
            </w:r>
          </w:p>
        </w:tc>
        <w:tc>
          <w:tcPr>
            <w:tcW w:type="dxa" w:w="2436"/>
            <w:vAlign w:val="center"/>
          </w:tcPr>
          <w:p>
            <w:pPr>
              <w:spacing w:line="276" w:lineRule="auto" w:before="0" w:after="0"/>
            </w:pPr>
            <w:r/>
            <w:r>
              <w:rPr>
                <w:rFonts w:ascii="Figtree" w:hAnsi="Figtree"/>
                <w:b w:val="0"/>
                <w:i w:val="0"/>
                <w:sz w:val="20"/>
              </w:rPr>
              <w:t>Partial</w:t>
            </w:r>
          </w:p>
        </w:tc>
        <w:tc>
          <w:tcPr>
            <w:tcW w:type="dxa" w:w="2436"/>
            <w:vAlign w:val="center"/>
          </w:tcPr>
          <w:p>
            <w:pPr>
              <w:spacing w:line="276" w:lineRule="auto" w:before="0" w:after="0"/>
            </w:pPr>
            <w:r/>
            <w:r>
              <w:rPr>
                <w:rFonts w:ascii="Figtree" w:hAnsi="Figtree"/>
                <w:b w:val="0"/>
                <w:i w:val="0"/>
                <w:sz w:val="20"/>
              </w:rPr>
              <w:t>D3X market data distribution handles primary distribution</w:t>
            </w:r>
          </w:p>
        </w:tc>
      </w:tr>
      <w:tr>
        <w:trPr>
          <w:trHeight w:val="425" w:hRule="atLeast"/>
        </w:trPr>
        <w:tc>
          <w:tcPr>
            <w:tcW w:type="dxa" w:w="2436"/>
            <w:vAlign w:val="center"/>
          </w:tcPr>
          <w:p>
            <w:pPr>
              <w:spacing w:line="276" w:lineRule="auto" w:before="0" w:after="0"/>
            </w:pPr>
            <w:r/>
            <w:r>
              <w:rPr>
                <w:rFonts w:ascii="Figtree" w:hAnsi="Figtree"/>
                <w:b w:val="0"/>
                <w:i w:val="0"/>
                <w:sz w:val="20"/>
              </w:rPr>
              <w:t>Operator dashboards</w:t>
            </w:r>
          </w:p>
        </w:tc>
        <w:tc>
          <w:tcPr>
            <w:tcW w:type="dxa" w:w="2436"/>
            <w:vAlign w:val="center"/>
          </w:tcPr>
          <w:p>
            <w:pPr>
              <w:spacing w:line="276" w:lineRule="auto" w:before="0" w:after="0"/>
            </w:pPr>
            <w:r/>
            <w:r>
              <w:rPr>
                <w:rFonts w:ascii="Figtree" w:hAnsi="Figtree"/>
                <w:b w:val="0"/>
                <w:i w:val="0"/>
                <w:sz w:val="20"/>
              </w:rPr>
              <w:t>Grafana pre-built dashboards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Suspension, halt, resume</w:t>
            </w:r>
          </w:p>
        </w:tc>
        <w:tc>
          <w:tcPr>
            <w:tcW w:type="dxa" w:w="2436"/>
            <w:vAlign w:val="center"/>
          </w:tcPr>
          <w:p>
            <w:pPr>
              <w:spacing w:line="276" w:lineRule="auto" w:before="0" w:after="0"/>
            </w:pPr>
            <w:r/>
            <w:r>
              <w:rPr>
                <w:rFonts w:ascii="Figtree" w:hAnsi="Figtree"/>
                <w:b w:val="0"/>
                <w:i w:val="0"/>
                <w:sz w:val="20"/>
              </w:rPr>
              <w:t>EMERGENCY + TOKEN_MANAGER roles</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r>
        <w:trPr>
          <w:trHeight w:val="425" w:hRule="atLeast"/>
        </w:trPr>
        <w:tc>
          <w:tcPr>
            <w:tcW w:type="dxa" w:w="2436"/>
            <w:vAlign w:val="center"/>
          </w:tcPr>
          <w:p>
            <w:pPr>
              <w:spacing w:line="276" w:lineRule="auto" w:before="0" w:after="0"/>
            </w:pPr>
            <w:r/>
            <w:r>
              <w:rPr>
                <w:rFonts w:ascii="Figtree" w:hAnsi="Figtree"/>
                <w:b w:val="0"/>
                <w:i w:val="0"/>
                <w:sz w:val="20"/>
              </w:rPr>
              <w:t>IaC, environments, observability, HA</w:t>
            </w:r>
          </w:p>
        </w:tc>
        <w:tc>
          <w:tcPr>
            <w:tcW w:type="dxa" w:w="2436"/>
            <w:vAlign w:val="center"/>
          </w:tcPr>
          <w:p>
            <w:pPr>
              <w:spacing w:line="276" w:lineRule="auto" w:before="0" w:after="0"/>
            </w:pPr>
            <w:r/>
            <w:r>
              <w:rPr>
                <w:rFonts w:ascii="Figtree" w:hAnsi="Figtree"/>
                <w:b w:val="0"/>
                <w:i w:val="0"/>
                <w:sz w:val="20"/>
              </w:rPr>
              <w:t>Standard DALP infrastructure</w:t>
            </w:r>
          </w:p>
        </w:tc>
        <w:tc>
          <w:tcPr>
            <w:tcW w:type="dxa" w:w="2436"/>
            <w:vAlign w:val="center"/>
          </w:tcPr>
          <w:p>
            <w:pPr>
              <w:spacing w:line="276" w:lineRule="auto" w:before="0" w:after="0"/>
            </w:pPr>
            <w:r/>
            <w:r>
              <w:rPr>
                <w:rFonts w:ascii="Figtree" w:hAnsi="Figtree"/>
                <w:b w:val="0"/>
                <w:i w:val="0"/>
                <w:sz w:val="20"/>
              </w:rPr>
              <w:t>Full</w:t>
            </w:r>
          </w:p>
        </w:tc>
        <w:tc>
          <w:tcPr>
            <w:tcW w:type="dxa" w:w="2436"/>
            <w:vAlign w:val="center"/>
          </w:tcPr>
          <w:p>
            <w:pPr>
              <w:spacing w:line="276" w:lineRule="auto" w:before="0" w:after="0"/>
            </w:pPr>
            <w:r/>
          </w:p>
        </w:tc>
      </w:tr>
    </w:tbl>
    <w:p>
      <w:pPr>
        <w:spacing w:before="0" w:after="0" w:line="120" w:lineRule="exact"/>
      </w:pPr>
    </w:p>
    <w:p>
      <w:r>
        <w:br w:type="page"/>
      </w:r>
    </w:p>
    <w:p>
      <w:pPr>
        <w:pStyle w:val="H2"/>
        <w:numPr>
          <w:ilvl w:val="1"/>
          <w:numId w:val="1"/>
        </w:numPr>
      </w:pPr>
      <w:r>
        <w:t>7. Technical Architecture</w:t>
      </w:r>
    </w:p>
    <w:p>
      <w:pPr>
        <w:pStyle w:val="H3"/>
        <w:numPr>
          <w:ilvl w:val="2"/>
          <w:numId w:val="1"/>
        </w:numPr>
      </w:pPr>
      <w:r>
        <w:t>7.1 Architectural Principles</w:t>
      </w:r>
    </w:p>
    <w:p>
      <w:r>
        <w:rPr>
          <w:rFonts w:ascii="Figtree" w:hAnsi="Figtree"/>
          <w:b/>
          <w:i w:val="0"/>
          <w:sz w:val="22"/>
        </w:rPr>
        <w:t>DALP as regulated token layer.</w:t>
      </w:r>
      <w:r>
        <w:rPr>
          <w:rFonts w:ascii="Figtree" w:hAnsi="Figtree"/>
          <w:b w:val="0"/>
          <w:i w:val="0"/>
          <w:sz w:val="22"/>
        </w:rPr>
        <w:t xml:space="preserve"> DALP does not replace Deutsche Börse's existing market infrastructure. It provides the token lifecycle, compliance enforcement, participant admission, and settlement layer within the D3X/Xetra ecosystem.</w:t>
      </w:r>
    </w:p>
    <w:p>
      <w:r>
        <w:rPr>
          <w:rFonts w:ascii="Figtree" w:hAnsi="Figtree"/>
          <w:b/>
          <w:i w:val="0"/>
          <w:sz w:val="22"/>
        </w:rPr>
        <w:t>Market integrity by contract.</w:t>
      </w:r>
      <w:r>
        <w:rPr>
          <w:rFonts w:ascii="Figtree" w:hAnsi="Figtree"/>
          <w:b w:val="0"/>
          <w:i w:val="0"/>
          <w:sz w:val="22"/>
        </w:rPr>
        <w:t xml:space="preserve"> Participant admission, compliance enforcement, and venue state controls are enforced at the smart contract layer. Application-layer bypasses are structurally prevented.</w:t>
      </w:r>
    </w:p>
    <w:p>
      <w:r>
        <w:rPr>
          <w:rFonts w:ascii="Figtree" w:hAnsi="Figtree"/>
          <w:b/>
          <w:i w:val="0"/>
          <w:sz w:val="22"/>
        </w:rPr>
        <w:t>Deterministic evidence.</w:t>
      </w:r>
      <w:r>
        <w:rPr>
          <w:rFonts w:ascii="Figtree" w:hAnsi="Figtree"/>
          <w:b w:val="0"/>
          <w:i w:val="0"/>
          <w:sz w:val="22"/>
        </w:rPr>
        <w:t xml:space="preserve"> IBFT 2.0 consensus provides immediate, consensus-agreed finality for every on-chain event. Events cannot be rewritten post-finality.</w:t>
      </w:r>
    </w:p>
    <w:p>
      <w:pPr>
        <w:pStyle w:val="H3"/>
        <w:numPr>
          <w:ilvl w:val="2"/>
          <w:numId w:val="1"/>
        </w:numPr>
      </w:pPr>
      <w:r>
        <w:t>7.2 Platform Architecture</w:t>
      </w:r>
    </w:p>
    <w:p>
      <w:pPr>
        <w:jc w:val="center"/>
      </w:pPr>
      <w:r>
        <w:drawing>
          <wp:inline xmlns:a="http://schemas.openxmlformats.org/drawingml/2006/main" xmlns:pic="http://schemas.openxmlformats.org/drawingml/2006/picture">
            <wp:extent cx="5486400" cy="5059525"/>
            <wp:docPr id="6" name="Picture 6"/>
            <wp:cNvGraphicFramePr>
              <a:graphicFrameLocks noChangeAspect="1"/>
            </wp:cNvGraphicFramePr>
            <a:graphic>
              <a:graphicData uri="http://schemas.openxmlformats.org/drawingml/2006/picture">
                <pic:pic>
                  <pic:nvPicPr>
                    <pic:cNvPr id="0" name="_diagram-006.png"/>
                    <pic:cNvPicPr/>
                  </pic:nvPicPr>
                  <pic:blipFill>
                    <a:blip r:embed="rId18"/>
                    <a:stretch>
                      <a:fillRect/>
                    </a:stretch>
                  </pic:blipFill>
                  <pic:spPr>
                    <a:xfrm>
                      <a:off x="0" y="0"/>
                      <a:ext cx="5486400" cy="5059525"/>
                    </a:xfrm>
                    <a:prstGeom prst="rect"/>
                  </pic:spPr>
                </pic:pic>
              </a:graphicData>
            </a:graphic>
          </wp:inline>
        </w:drawing>
      </w:r>
    </w:p>
    <w:p>
      <w:pPr>
        <w:pStyle w:val="H3"/>
        <w:numPr>
          <w:ilvl w:val="2"/>
          <w:numId w:val="1"/>
        </w:numPr>
      </w:pPr>
      <w:r>
        <w:t>7.3 Token Lifecycle State Machine (Digital Security)</w:t>
      </w:r>
    </w:p>
    <w:p>
      <w:pPr>
        <w:jc w:val="center"/>
      </w:pPr>
      <w:r>
        <w:drawing>
          <wp:inline xmlns:a="http://schemas.openxmlformats.org/drawingml/2006/main" xmlns:pic="http://schemas.openxmlformats.org/drawingml/2006/picture">
            <wp:extent cx="5486400" cy="7944592"/>
            <wp:docPr id="7" name="Picture 7"/>
            <wp:cNvGraphicFramePr>
              <a:graphicFrameLocks noChangeAspect="1"/>
            </wp:cNvGraphicFramePr>
            <a:graphic>
              <a:graphicData uri="http://schemas.openxmlformats.org/drawingml/2006/picture">
                <pic:pic>
                  <pic:nvPicPr>
                    <pic:cNvPr id="0" name="_diagram-007.png"/>
                    <pic:cNvPicPr/>
                  </pic:nvPicPr>
                  <pic:blipFill>
                    <a:blip r:embed="rId19"/>
                    <a:stretch>
                      <a:fillRect/>
                    </a:stretch>
                  </pic:blipFill>
                  <pic:spPr>
                    <a:xfrm>
                      <a:off x="0" y="0"/>
                      <a:ext cx="5486400" cy="7944592"/>
                    </a:xfrm>
                    <a:prstGeom prst="rect"/>
                  </pic:spPr>
                </pic:pic>
              </a:graphicData>
            </a:graphic>
          </wp:inline>
        </w:drawing>
      </w:r>
    </w:p>
    <w:p>
      <w:pPr>
        <w:pStyle w:val="H3"/>
        <w:numPr>
          <w:ilvl w:val="2"/>
          <w:numId w:val="1"/>
        </w:numPr>
      </w:pPr>
      <w:r>
        <w:t>7.4 Compliance Enforcement Flow (MiFID II Admission)</w:t>
      </w:r>
    </w:p>
    <w:p>
      <w:pPr>
        <w:jc w:val="center"/>
      </w:pPr>
      <w:r>
        <w:drawing>
          <wp:inline xmlns:a="http://schemas.openxmlformats.org/drawingml/2006/main" xmlns:pic="http://schemas.openxmlformats.org/drawingml/2006/picture">
            <wp:extent cx="4543666" cy="8229599"/>
            <wp:docPr id="8" name="Picture 8"/>
            <wp:cNvGraphicFramePr>
              <a:graphicFrameLocks noChangeAspect="1"/>
            </wp:cNvGraphicFramePr>
            <a:graphic>
              <a:graphicData uri="http://schemas.openxmlformats.org/drawingml/2006/picture">
                <pic:pic>
                  <pic:nvPicPr>
                    <pic:cNvPr id="0" name="_diagram-008.png"/>
                    <pic:cNvPicPr/>
                  </pic:nvPicPr>
                  <pic:blipFill>
                    <a:blip r:embed="rId20"/>
                    <a:stretch>
                      <a:fillRect/>
                    </a:stretch>
                  </pic:blipFill>
                  <pic:spPr>
                    <a:xfrm>
                      <a:off x="0" y="0"/>
                      <a:ext cx="4543666" cy="8229599"/>
                    </a:xfrm>
                    <a:prstGeom prst="rect"/>
                  </pic:spPr>
                </pic:pic>
              </a:graphicData>
            </a:graphic>
          </wp:inline>
        </w:drawing>
      </w:r>
    </w:p>
    <w:p>
      <w:pPr>
        <w:pStyle w:val="H3"/>
        <w:numPr>
          <w:ilvl w:val="2"/>
          <w:numId w:val="1"/>
        </w:numPr>
      </w:pPr>
      <w:r>
        <w:t>7.5 Settlement Flow (D3X Integration)</w:t>
      </w:r>
    </w:p>
    <w:p>
      <w:pPr>
        <w:jc w:val="center"/>
      </w:pPr>
      <w:r>
        <w:drawing>
          <wp:inline xmlns:a="http://schemas.openxmlformats.org/drawingml/2006/main" xmlns:pic="http://schemas.openxmlformats.org/drawingml/2006/picture">
            <wp:extent cx="5486400" cy="2407298"/>
            <wp:docPr id="9" name="Picture 9"/>
            <wp:cNvGraphicFramePr>
              <a:graphicFrameLocks noChangeAspect="1"/>
            </wp:cNvGraphicFramePr>
            <a:graphic>
              <a:graphicData uri="http://schemas.openxmlformats.org/drawingml/2006/picture">
                <pic:pic>
                  <pic:nvPicPr>
                    <pic:cNvPr id="0" name="_diagram-009.png"/>
                    <pic:cNvPicPr/>
                  </pic:nvPicPr>
                  <pic:blipFill>
                    <a:blip r:embed="rId21"/>
                    <a:stretch>
                      <a:fillRect/>
                    </a:stretch>
                  </pic:blipFill>
                  <pic:spPr>
                    <a:xfrm>
                      <a:off x="0" y="0"/>
                      <a:ext cx="5486400" cy="2407298"/>
                    </a:xfrm>
                    <a:prstGeom prst="rect"/>
                  </pic:spPr>
                </pic:pic>
              </a:graphicData>
            </a:graphic>
          </wp:inline>
        </w:drawing>
      </w:r>
    </w:p>
    <w:p>
      <w:pPr>
        <w:pStyle w:val="H3"/>
        <w:numPr>
          <w:ilvl w:val="2"/>
          <w:numId w:val="1"/>
        </w:numPr>
      </w:pPr>
      <w:r>
        <w:t>7.6 Security Architecture</w:t>
      </w:r>
    </w:p>
    <w:p>
      <w:pPr>
        <w:jc w:val="center"/>
      </w:pPr>
      <w:r>
        <w:drawing>
          <wp:inline xmlns:a="http://schemas.openxmlformats.org/drawingml/2006/main" xmlns:pic="http://schemas.openxmlformats.org/drawingml/2006/picture">
            <wp:extent cx="1832330" cy="8229598"/>
            <wp:docPr id="10" name="Picture 10"/>
            <wp:cNvGraphicFramePr>
              <a:graphicFrameLocks noChangeAspect="1"/>
            </wp:cNvGraphicFramePr>
            <a:graphic>
              <a:graphicData uri="http://schemas.openxmlformats.org/drawingml/2006/picture">
                <pic:pic>
                  <pic:nvPicPr>
                    <pic:cNvPr id="0" name="_diagram-010.png"/>
                    <pic:cNvPicPr/>
                  </pic:nvPicPr>
                  <pic:blipFill>
                    <a:blip r:embed="rId22"/>
                    <a:stretch>
                      <a:fillRect/>
                    </a:stretch>
                  </pic:blipFill>
                  <pic:spPr>
                    <a:xfrm>
                      <a:off x="0" y="0"/>
                      <a:ext cx="1832330" cy="8229598"/>
                    </a:xfrm>
                    <a:prstGeom prst="rect"/>
                  </pic:spPr>
                </pic:pic>
              </a:graphicData>
            </a:graphic>
          </wp:inline>
        </w:drawing>
      </w:r>
    </w:p>
    <w:p>
      <w:pPr>
        <w:pStyle w:val="H3"/>
        <w:numPr>
          <w:ilvl w:val="2"/>
          <w:numId w:val="1"/>
        </w:numPr>
      </w:pPr>
      <w:r>
        <w:t>7.7 Deployment Topology</w:t>
      </w:r>
    </w:p>
    <w:p>
      <w:pPr>
        <w:jc w:val="center"/>
      </w:pPr>
      <w:r>
        <w:drawing>
          <wp:inline xmlns:a="http://schemas.openxmlformats.org/drawingml/2006/main" xmlns:pic="http://schemas.openxmlformats.org/drawingml/2006/picture">
            <wp:extent cx="5486400" cy="1259633"/>
            <wp:docPr id="11" name="Picture 11"/>
            <wp:cNvGraphicFramePr>
              <a:graphicFrameLocks noChangeAspect="1"/>
            </wp:cNvGraphicFramePr>
            <a:graphic>
              <a:graphicData uri="http://schemas.openxmlformats.org/drawingml/2006/picture">
                <pic:pic>
                  <pic:nvPicPr>
                    <pic:cNvPr id="0" name="_diagram-011.png"/>
                    <pic:cNvPicPr/>
                  </pic:nvPicPr>
                  <pic:blipFill>
                    <a:blip r:embed="rId23"/>
                    <a:stretch>
                      <a:fillRect/>
                    </a:stretch>
                  </pic:blipFill>
                  <pic:spPr>
                    <a:xfrm>
                      <a:off x="0" y="0"/>
                      <a:ext cx="5486400" cy="1259633"/>
                    </a:xfrm>
                    <a:prstGeom prst="rect"/>
                  </pic:spPr>
                </pic:pic>
              </a:graphicData>
            </a:graphic>
          </wp:inline>
        </w:drawing>
      </w:r>
    </w:p>
    <w:p>
      <w:pPr>
        <w:pStyle w:val="H3"/>
        <w:numPr>
          <w:ilvl w:val="2"/>
          <w:numId w:val="1"/>
        </w:numPr>
      </w:pPr>
      <w:r>
        <w:t>7.8 Integration Architecture (D3X Ecosystem)</w:t>
      </w:r>
    </w:p>
    <w:p>
      <w:pPr>
        <w:jc w:val="center"/>
      </w:pPr>
      <w:r>
        <w:drawing>
          <wp:inline xmlns:a="http://schemas.openxmlformats.org/drawingml/2006/main" xmlns:pic="http://schemas.openxmlformats.org/drawingml/2006/picture">
            <wp:extent cx="5486400" cy="4989049"/>
            <wp:docPr id="12" name="Picture 12"/>
            <wp:cNvGraphicFramePr>
              <a:graphicFrameLocks noChangeAspect="1"/>
            </wp:cNvGraphicFramePr>
            <a:graphic>
              <a:graphicData uri="http://schemas.openxmlformats.org/drawingml/2006/picture">
                <pic:pic>
                  <pic:nvPicPr>
                    <pic:cNvPr id="0" name="_diagram-012.png"/>
                    <pic:cNvPicPr/>
                  </pic:nvPicPr>
                  <pic:blipFill>
                    <a:blip r:embed="rId24"/>
                    <a:stretch>
                      <a:fillRect/>
                    </a:stretch>
                  </pic:blipFill>
                  <pic:spPr>
                    <a:xfrm>
                      <a:off x="0" y="0"/>
                      <a:ext cx="5486400" cy="4989049"/>
                    </a:xfrm>
                    <a:prstGeom prst="rect"/>
                  </pic:spPr>
                </pic:pic>
              </a:graphicData>
            </a:graphic>
          </wp:inline>
        </w:drawing>
      </w:r>
    </w:p>
    <w:p>
      <w:pPr>
        <w:pStyle w:val="H3"/>
        <w:numPr>
          <w:ilvl w:val="2"/>
          <w:numId w:val="1"/>
        </w:numPr>
      </w:pPr>
      <w:r>
        <w:t>7.9 Implementation Timeline</w:t>
      </w:r>
    </w:p>
    <w:p>
      <w:pPr>
        <w:jc w:val="center"/>
      </w:pPr>
      <w:r>
        <w:drawing>
          <wp:inline xmlns:a="http://schemas.openxmlformats.org/drawingml/2006/main" xmlns:pic="http://schemas.openxmlformats.org/drawingml/2006/picture">
            <wp:extent cx="5486400" cy="3554963"/>
            <wp:docPr id="13" name="Picture 13"/>
            <wp:cNvGraphicFramePr>
              <a:graphicFrameLocks noChangeAspect="1"/>
            </wp:cNvGraphicFramePr>
            <a:graphic>
              <a:graphicData uri="http://schemas.openxmlformats.org/drawingml/2006/picture">
                <pic:pic>
                  <pic:nvPicPr>
                    <pic:cNvPr id="0" name="_diagram-013.png"/>
                    <pic:cNvPicPr/>
                  </pic:nvPicPr>
                  <pic:blipFill>
                    <a:blip r:embed="rId25"/>
                    <a:stretch>
                      <a:fillRect/>
                    </a:stretch>
                  </pic:blipFill>
                  <pic:spPr>
                    <a:xfrm>
                      <a:off x="0" y="0"/>
                      <a:ext cx="5486400" cy="3554963"/>
                    </a:xfrm>
                    <a:prstGeom prst="rect"/>
                  </pic:spPr>
                </pic:pic>
              </a:graphicData>
            </a:graphic>
          </wp:inline>
        </w:drawing>
      </w:r>
    </w:p>
    <w:p>
      <w:r>
        <w:br w:type="page"/>
      </w:r>
    </w:p>
    <w:p>
      <w:pPr>
        <w:pStyle w:val="H2"/>
        <w:numPr>
          <w:ilvl w:val="1"/>
          <w:numId w:val="1"/>
        </w:numPr>
      </w:pPr>
      <w:r>
        <w:t>8. Security</w:t>
      </w:r>
    </w:p>
    <w:p>
      <w:pPr>
        <w:pStyle w:val="H3"/>
        <w:numPr>
          <w:ilvl w:val="2"/>
          <w:numId w:val="1"/>
        </w:numPr>
      </w:pPr>
      <w:r>
        <w:t>8.1 Security Model Overview</w:t>
      </w:r>
    </w:p>
    <w:p>
      <w:r>
        <w:rPr>
          <w:rFonts w:ascii="Figtree" w:hAnsi="Figtree"/>
          <w:b w:val="0"/>
          <w:i w:val="0"/>
          <w:sz w:val="22"/>
        </w:rPr>
        <w:t>Five independent control layers enforce security. For the trading venue context, the on-chain participant admission and venue state controls are the critical layer: they enforce MiFID II obligations at the contract layer, not the application layer.</w:t>
      </w:r>
    </w:p>
    <w:p>
      <w:pPr>
        <w:pStyle w:val="H3"/>
        <w:numPr>
          <w:ilvl w:val="2"/>
          <w:numId w:val="1"/>
        </w:numPr>
      </w:pPr>
      <w:r>
        <w:t>8.2 Authentication and Access</w:t>
      </w:r>
    </w:p>
    <w:p>
      <w:r>
        <w:rPr>
          <w:rFonts w:ascii="Figtree" w:hAnsi="Figtree"/>
          <w:b/>
          <w:i w:val="0"/>
          <w:sz w:val="22"/>
        </w:rPr>
        <w:t>Venue operators</w:t>
      </w:r>
      <w:r>
        <w:rPr>
          <w:rFonts w:ascii="Figtree" w:hAnsi="Figtree"/>
          <w:b w:val="0"/>
          <w:i w:val="0"/>
          <w:sz w:val="22"/>
        </w:rPr>
        <w:t xml:space="preserve"> authenticate via OAuth 2.0/OIDC integration with Deutsche Börse's enterprise identity provider. Blockchain write operations require wallet verification (TOTP or hardware passkey).</w:t>
      </w:r>
    </w:p>
    <w:p>
      <w:r>
        <w:rPr>
          <w:rFonts w:ascii="Figtree" w:hAnsi="Figtree"/>
          <w:b/>
          <w:i w:val="0"/>
          <w:sz w:val="22"/>
        </w:rPr>
        <w:t>D3X integration</w:t>
      </w:r>
      <w:r>
        <w:rPr>
          <w:rFonts w:ascii="Figtree" w:hAnsi="Figtree"/>
          <w:b w:val="0"/>
          <w:i w:val="0"/>
          <w:sz w:val="22"/>
        </w:rPr>
        <w:t xml:space="preserve"> uses organization-scoped API keys with settlement-specific namespace permissions. The D3X adapter cannot execute listing or admission operations; only settlement instructions are permitted.</w:t>
      </w:r>
    </w:p>
    <w:p>
      <w:r>
        <w:rPr>
          <w:rFonts w:ascii="Figtree" w:hAnsi="Figtree"/>
          <w:b/>
          <w:i w:val="0"/>
          <w:sz w:val="22"/>
        </w:rPr>
        <w:t>BaFin supervisory access:</w:t>
      </w:r>
      <w:r>
        <w:rPr>
          <w:rFonts w:ascii="Figtree" w:hAnsi="Figtree"/>
          <w:b w:val="0"/>
          <w:i w:val="0"/>
          <w:sz w:val="22"/>
        </w:rPr>
        <w:t xml:space="preserve"> The AUDITOR role provides read-only access to all on-chain events, participant identity records, compliance states, and historical activity. BaFin can access the audit trail without SettleMint involvement.</w:t>
      </w:r>
    </w:p>
    <w:p>
      <w:pPr>
        <w:pStyle w:val="H3"/>
        <w:numPr>
          <w:ilvl w:val="2"/>
          <w:numId w:val="1"/>
        </w:numPr>
      </w:pPr>
      <w:r>
        <w:t>8.3 Key Management</w:t>
      </w:r>
    </w:p>
    <w:p>
      <w:r>
        <w:rPr>
          <w:rFonts w:ascii="Figtree" w:hAnsi="Figtree"/>
          <w:b w:val="0"/>
          <w:i w:val="0"/>
          <w:sz w:val="22"/>
        </w:rPr>
        <w:t>HSM-backed key management for all operational keys. GOVERNANCE_ROLE keys in offline cold storage with multi-custodian access. Maker-checker for listing activations and admission decisions via DFNS or Fireblocks policy engine.</w:t>
      </w:r>
    </w:p>
    <w:p>
      <w:pPr>
        <w:pStyle w:val="H3"/>
        <w:numPr>
          <w:ilvl w:val="2"/>
          <w:numId w:val="1"/>
        </w:numPr>
      </w:pPr>
      <w:r>
        <w:t>8.4 Data Protection</w:t>
      </w:r>
    </w:p>
    <w:p>
      <w:r>
        <w:rPr>
          <w:rFonts w:ascii="Figtree" w:hAnsi="Figtree"/>
          <w:b w:val="0"/>
          <w:i w:val="0"/>
          <w:sz w:val="22"/>
        </w:rPr>
        <w:t>TLS 1.3 for all traffic. AES-256 at rest. Data residency within Germany (Frankfurt region). GDPR-compliant participant data management. Audit records retained per MiFID II RTS 6 requirements (at minimum 5 years).</w:t>
      </w:r>
    </w:p>
    <w:p>
      <w:pPr>
        <w:pStyle w:val="H3"/>
        <w:numPr>
          <w:ilvl w:val="2"/>
          <w:numId w:val="1"/>
        </w:numPr>
      </w:pPr>
      <w:r>
        <w:t>8.5 DORA Compliance</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64"/>
        <w:gridCol w:w="5807"/>
      </w:tblGrid>
      <w:tr>
        <w:trPr>
          <w:trHeight w:val="425" w:hRule="atLeast"/>
        </w:trPr>
        <w:tc>
          <w:tcPr>
            <w:tcW w:type="dxa" w:w="4873"/>
            <w:vAlign w:val="center"/>
            <w:shd w:fill="E8E0F0" w:val="clear"/>
          </w:tcPr>
          <w:p>
            <w:pPr>
              <w:spacing w:line="276" w:lineRule="auto" w:before="0" w:after="0"/>
              <w:jc w:val="left"/>
            </w:pPr>
            <w:r>
              <w:rPr>
                <w:b/>
                <w:color w:val="2D1A8C"/>
              </w:rPr>
            </w:r>
            <w:r>
              <w:rPr>
                <w:rFonts w:ascii="Figtree" w:hAnsi="Figtree"/>
                <w:b/>
                <w:i w:val="0"/>
                <w:color w:val="2D1A8C"/>
                <w:sz w:val="20"/>
              </w:rPr>
              <w:t>DORA Requirement</w:t>
            </w:r>
          </w:p>
        </w:tc>
        <w:tc>
          <w:tcPr>
            <w:tcW w:type="dxa" w:w="4873"/>
            <w:vAlign w:val="center"/>
            <w:shd w:fill="E8E0F0" w:val="clear"/>
          </w:tcPr>
          <w:p>
            <w:pPr>
              <w:spacing w:line="276" w:lineRule="auto" w:before="0" w:after="0"/>
              <w:jc w:val="center"/>
            </w:pPr>
            <w:r>
              <w:rPr>
                <w:b/>
                <w:color w:val="2D1A8C"/>
              </w:rPr>
            </w:r>
            <w:r>
              <w:rPr>
                <w:rFonts w:ascii="Figtree" w:hAnsi="Figtree"/>
                <w:b/>
                <w:i w:val="0"/>
                <w:color w:val="2D1A8C"/>
                <w:sz w:val="20"/>
              </w:rPr>
              <w:t>Response</w:t>
            </w:r>
          </w:p>
        </w:tc>
      </w:tr>
      <w:tr>
        <w:trPr>
          <w:trHeight w:val="425" w:hRule="atLeast"/>
        </w:trPr>
        <w:tc>
          <w:tcPr>
            <w:tcW w:type="dxa" w:w="4873"/>
            <w:vAlign w:val="center"/>
          </w:tcPr>
          <w:p>
            <w:pPr>
              <w:spacing w:line="276" w:lineRule="auto" w:before="0" w:after="0"/>
            </w:pPr>
            <w:r/>
            <w:r>
              <w:rPr>
                <w:rFonts w:ascii="Figtree" w:hAnsi="Figtree"/>
                <w:b w:val="0"/>
                <w:i w:val="0"/>
                <w:sz w:val="20"/>
              </w:rPr>
              <w:t>ICT risk management</w:t>
            </w:r>
          </w:p>
        </w:tc>
        <w:tc>
          <w:tcPr>
            <w:tcW w:type="dxa" w:w="4873"/>
            <w:vAlign w:val="center"/>
          </w:tcPr>
          <w:p>
            <w:pPr>
              <w:spacing w:line="276" w:lineRule="auto" w:before="0" w:after="0"/>
            </w:pPr>
            <w:r/>
            <w:r>
              <w:rPr>
                <w:rFonts w:ascii="Figtree" w:hAnsi="Figtree"/>
                <w:b w:val="0"/>
                <w:i w:val="0"/>
                <w:sz w:val="20"/>
              </w:rPr>
              <w:t>Documented; vendor risk evidence available</w:t>
            </w:r>
          </w:p>
        </w:tc>
      </w:tr>
      <w:tr>
        <w:trPr>
          <w:trHeight w:val="425" w:hRule="atLeast"/>
        </w:trPr>
        <w:tc>
          <w:tcPr>
            <w:tcW w:type="dxa" w:w="4873"/>
            <w:vAlign w:val="center"/>
          </w:tcPr>
          <w:p>
            <w:pPr>
              <w:spacing w:line="276" w:lineRule="auto" w:before="0" w:after="0"/>
            </w:pPr>
            <w:r/>
            <w:r>
              <w:rPr>
                <w:rFonts w:ascii="Figtree" w:hAnsi="Figtree"/>
                <w:b w:val="0"/>
                <w:i w:val="0"/>
                <w:sz w:val="20"/>
              </w:rPr>
              <w:t>ICT incident classification</w:t>
            </w:r>
          </w:p>
        </w:tc>
        <w:tc>
          <w:tcPr>
            <w:tcW w:type="dxa" w:w="4873"/>
            <w:vAlign w:val="center"/>
          </w:tcPr>
          <w:p>
            <w:pPr>
              <w:spacing w:line="276" w:lineRule="auto" w:before="0" w:after="0"/>
            </w:pPr>
            <w:r/>
            <w:r>
              <w:rPr>
                <w:rFonts w:ascii="Figtree" w:hAnsi="Figtree"/>
                <w:b w:val="0"/>
                <w:i w:val="0"/>
                <w:sz w:val="20"/>
              </w:rPr>
              <w:t>P1-P4 taxonomy; 4-hour BaFin notification for P1</w:t>
            </w:r>
          </w:p>
        </w:tc>
      </w:tr>
      <w:tr>
        <w:trPr>
          <w:trHeight w:val="425" w:hRule="atLeast"/>
        </w:trPr>
        <w:tc>
          <w:tcPr>
            <w:tcW w:type="dxa" w:w="4873"/>
            <w:vAlign w:val="center"/>
          </w:tcPr>
          <w:p>
            <w:pPr>
              <w:spacing w:line="276" w:lineRule="auto" w:before="0" w:after="0"/>
            </w:pPr>
            <w:r/>
            <w:r>
              <w:rPr>
                <w:rFonts w:ascii="Figtree" w:hAnsi="Figtree"/>
                <w:b w:val="0"/>
                <w:i w:val="0"/>
                <w:sz w:val="20"/>
              </w:rPr>
              <w:t>TLPT testing</w:t>
            </w:r>
          </w:p>
        </w:tc>
        <w:tc>
          <w:tcPr>
            <w:tcW w:type="dxa" w:w="4873"/>
            <w:vAlign w:val="center"/>
          </w:tcPr>
          <w:p>
            <w:pPr>
              <w:spacing w:line="276" w:lineRule="auto" w:before="0" w:after="0"/>
            </w:pPr>
            <w:r/>
            <w:r>
              <w:rPr>
                <w:rFonts w:ascii="Figtree" w:hAnsi="Figtree"/>
                <w:b w:val="0"/>
                <w:i w:val="0"/>
                <w:sz w:val="20"/>
              </w:rPr>
              <w:t>Annual penetration testing; results available under NDA</w:t>
            </w:r>
          </w:p>
        </w:tc>
      </w:tr>
      <w:tr>
        <w:trPr>
          <w:trHeight w:val="425" w:hRule="atLeast"/>
        </w:trPr>
        <w:tc>
          <w:tcPr>
            <w:tcW w:type="dxa" w:w="4873"/>
            <w:vAlign w:val="center"/>
          </w:tcPr>
          <w:p>
            <w:pPr>
              <w:spacing w:line="276" w:lineRule="auto" w:before="0" w:after="0"/>
            </w:pPr>
            <w:r/>
            <w:r>
              <w:rPr>
                <w:rFonts w:ascii="Figtree" w:hAnsi="Figtree"/>
                <w:b w:val="0"/>
                <w:i w:val="0"/>
                <w:sz w:val="20"/>
              </w:rPr>
              <w:t>Third-party ICT dependencies</w:t>
            </w:r>
          </w:p>
        </w:tc>
        <w:tc>
          <w:tcPr>
            <w:tcW w:type="dxa" w:w="4873"/>
            <w:vAlign w:val="center"/>
          </w:tcPr>
          <w:p>
            <w:pPr>
              <w:spacing w:line="276" w:lineRule="auto" w:before="0" w:after="0"/>
            </w:pPr>
            <w:r/>
            <w:r>
              <w:rPr>
                <w:rFonts w:ascii="Figtree" w:hAnsi="Figtree"/>
                <w:b w:val="0"/>
                <w:i w:val="0"/>
                <w:sz w:val="20"/>
              </w:rPr>
              <w:t>Dependency disclosure; SBOM per release</w:t>
            </w:r>
          </w:p>
        </w:tc>
      </w:tr>
    </w:tbl>
    <w:p>
      <w:pPr>
        <w:spacing w:before="0" w:after="0" w:line="120" w:lineRule="exact"/>
      </w:pPr>
    </w:p>
    <w:p>
      <w:pPr>
        <w:pStyle w:val="H3"/>
        <w:numPr>
          <w:ilvl w:val="2"/>
          <w:numId w:val="1"/>
        </w:numPr>
      </w:pPr>
      <w:r>
        <w:t>8.6 Security Responsibility Matrix</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3279"/>
        <w:gridCol w:w="2841"/>
        <w:gridCol w:w="2951"/>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Control Area</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SettleMint</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Deutsche Börse</w:t>
            </w:r>
          </w:p>
        </w:tc>
      </w:tr>
      <w:tr>
        <w:trPr>
          <w:trHeight w:val="425" w:hRule="atLeast"/>
        </w:trPr>
        <w:tc>
          <w:tcPr>
            <w:tcW w:type="dxa" w:w="3249"/>
            <w:vAlign w:val="center"/>
          </w:tcPr>
          <w:p>
            <w:pPr>
              <w:spacing w:line="276" w:lineRule="auto" w:before="0" w:after="0"/>
            </w:pPr>
            <w:r/>
            <w:r>
              <w:rPr>
                <w:rFonts w:ascii="Figtree" w:hAnsi="Figtree"/>
                <w:b w:val="0"/>
                <w:i w:val="0"/>
                <w:sz w:val="20"/>
              </w:rPr>
              <w:t>Platform security patches</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r>
        <w:trPr>
          <w:trHeight w:val="425" w:hRule="atLeast"/>
        </w:trPr>
        <w:tc>
          <w:tcPr>
            <w:tcW w:type="dxa" w:w="3249"/>
            <w:vAlign w:val="center"/>
          </w:tcPr>
          <w:p>
            <w:pPr>
              <w:spacing w:line="276" w:lineRule="auto" w:before="0" w:after="0"/>
            </w:pPr>
            <w:r/>
            <w:r>
              <w:rPr>
                <w:rFonts w:ascii="Figtree" w:hAnsi="Figtree"/>
                <w:b w:val="0"/>
                <w:i w:val="0"/>
                <w:sz w:val="20"/>
              </w:rPr>
              <w:t>HSM operation</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GOVERNANCE_ROLE keys</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D3X integration security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BaFin audit access</w:t>
            </w:r>
          </w:p>
        </w:tc>
        <w:tc>
          <w:tcPr>
            <w:tcW w:type="dxa" w:w="3249"/>
            <w:vAlign w:val="center"/>
          </w:tcPr>
          <w:p>
            <w:pPr>
              <w:spacing w:line="276" w:lineRule="auto" w:before="0" w:after="0"/>
            </w:pPr>
            <w:r/>
            <w:r>
              <w:rPr>
                <w:rFonts w:ascii="Figtree" w:hAnsi="Figtree"/>
                <w:b w:val="0"/>
                <w:i w:val="0"/>
                <w:sz w:val="20"/>
              </w:rPr>
              <w:t>Responsible (AUDITOR role)</w:t>
            </w:r>
          </w:p>
        </w:tc>
        <w:tc>
          <w:tcPr>
            <w:tcW w:type="dxa" w:w="3249"/>
            <w:vAlign w:val="center"/>
          </w:tcPr>
          <w:p>
            <w:pPr>
              <w:spacing w:line="276" w:lineRule="auto" w:before="0" w:after="0"/>
            </w:pPr>
            <w:r/>
            <w:r>
              <w:rPr>
                <w:rFonts w:ascii="Figtree" w:hAnsi="Figtree"/>
                <w:b w:val="0"/>
                <w:i w:val="0"/>
                <w:sz w:val="20"/>
              </w:rPr>
              <w:t>Responsible (access policy)</w:t>
            </w:r>
          </w:p>
        </w:tc>
      </w:tr>
      <w:tr>
        <w:trPr>
          <w:trHeight w:val="425" w:hRule="atLeast"/>
        </w:trPr>
        <w:tc>
          <w:tcPr>
            <w:tcW w:type="dxa" w:w="3249"/>
            <w:vAlign w:val="center"/>
          </w:tcPr>
          <w:p>
            <w:pPr>
              <w:spacing w:line="276" w:lineRule="auto" w:before="0" w:after="0"/>
            </w:pPr>
            <w:r/>
            <w:r>
              <w:rPr>
                <w:rFonts w:ascii="Figtree" w:hAnsi="Figtree"/>
                <w:b w:val="0"/>
                <w:i w:val="0"/>
                <w:sz w:val="20"/>
              </w:rPr>
              <w:t>Market surveillance integrity</w:t>
            </w:r>
          </w:p>
        </w:tc>
        <w:tc>
          <w:tcPr>
            <w:tcW w:type="dxa" w:w="3249"/>
            <w:vAlign w:val="center"/>
          </w:tcPr>
          <w:p>
            <w:pPr>
              <w:spacing w:line="276" w:lineRule="auto" w:before="0" w:after="0"/>
            </w:pPr>
            <w:r/>
          </w:p>
        </w:tc>
        <w:tc>
          <w:tcPr>
            <w:tcW w:type="dxa" w:w="3249"/>
            <w:vAlign w:val="center"/>
          </w:tcPr>
          <w:p>
            <w:pPr>
              <w:spacing w:line="276" w:lineRule="auto" w:before="0" w:after="0"/>
            </w:pPr>
            <w:r/>
            <w:r>
              <w:rPr>
                <w:rFonts w:ascii="Figtree" w:hAnsi="Figtree"/>
                <w:b w:val="0"/>
                <w:i w:val="0"/>
                <w:sz w:val="20"/>
              </w:rPr>
              <w:t>Responsible</w:t>
            </w:r>
          </w:p>
        </w:tc>
      </w:tr>
      <w:tr>
        <w:trPr>
          <w:trHeight w:val="425" w:hRule="atLeast"/>
        </w:trPr>
        <w:tc>
          <w:tcPr>
            <w:tcW w:type="dxa" w:w="3249"/>
            <w:vAlign w:val="center"/>
          </w:tcPr>
          <w:p>
            <w:pPr>
              <w:spacing w:line="276" w:lineRule="auto" w:before="0" w:after="0"/>
            </w:pPr>
            <w:r/>
            <w:r>
              <w:rPr>
                <w:rFonts w:ascii="Figtree" w:hAnsi="Figtree"/>
                <w:b w:val="0"/>
                <w:i w:val="0"/>
                <w:sz w:val="20"/>
              </w:rPr>
              <w:t>Penetration testing (platform)</w:t>
            </w:r>
          </w:p>
        </w:tc>
        <w:tc>
          <w:tcPr>
            <w:tcW w:type="dxa" w:w="3249"/>
            <w:vAlign w:val="center"/>
          </w:tcPr>
          <w:p>
            <w:pPr>
              <w:spacing w:line="276" w:lineRule="auto" w:before="0" w:after="0"/>
            </w:pPr>
            <w:r/>
            <w:r>
              <w:rPr>
                <w:rFonts w:ascii="Figtree" w:hAnsi="Figtree"/>
                <w:b w:val="0"/>
                <w:i w:val="0"/>
                <w:sz w:val="20"/>
              </w:rPr>
              <w:t>Responsible</w:t>
            </w:r>
          </w:p>
        </w:tc>
        <w:tc>
          <w:tcPr>
            <w:tcW w:type="dxa" w:w="3249"/>
            <w:vAlign w:val="center"/>
          </w:tcPr>
          <w:p>
            <w:pPr>
              <w:spacing w:line="276" w:lineRule="auto" w:before="0" w:after="0"/>
            </w:pPr>
            <w:r/>
            <w:r>
              <w:rPr>
                <w:rFonts w:ascii="Figtree" w:hAnsi="Figtree"/>
                <w:b w:val="0"/>
                <w:i w:val="0"/>
                <w:sz w:val="20"/>
              </w:rPr>
              <w:t>Informed</w:t>
            </w:r>
          </w:p>
        </w:tc>
      </w:tr>
    </w:tbl>
    <w:p>
      <w:pPr>
        <w:spacing w:before="0" w:after="0" w:line="120" w:lineRule="exact"/>
      </w:pPr>
    </w:p>
    <w:p>
      <w:r>
        <w:br w:type="page"/>
      </w:r>
    </w:p>
    <w:p>
      <w:pPr>
        <w:pStyle w:val="H2"/>
        <w:numPr>
          <w:ilvl w:val="1"/>
          <w:numId w:val="1"/>
        </w:numPr>
      </w:pPr>
      <w:r>
        <w:t>9. Implementation and Delivery</w:t>
      </w:r>
    </w:p>
    <w:p>
      <w:pPr>
        <w:pStyle w:val="H3"/>
        <w:numPr>
          <w:ilvl w:val="2"/>
          <w:numId w:val="1"/>
        </w:numPr>
      </w:pPr>
      <w:r>
        <w:t>9.1 Delivery Overview</w:t>
      </w:r>
    </w:p>
    <w:p>
      <w:r>
        <w:rPr>
          <w:rFonts w:ascii="Figtree" w:hAnsi="Figtree"/>
          <w:b w:val="0"/>
          <w:i w:val="0"/>
          <w:sz w:val="22"/>
        </w:rPr>
        <w:t>32-week phase-gated implementation. The extended timeline accommodates BaFin notification requirements, D3X integration complexity, and Deutsche Börse's institutional change governance processes.</w:t>
      </w:r>
    </w:p>
    <w:p>
      <w:pPr>
        <w:pStyle w:val="H3"/>
        <w:numPr>
          <w:ilvl w:val="2"/>
          <w:numId w:val="1"/>
        </w:numPr>
      </w:pPr>
      <w:r>
        <w:t>9.2 Phase Plan</w:t>
      </w:r>
    </w:p>
    <w:p>
      <w:r>
        <w:rPr>
          <w:rFonts w:ascii="Figtree" w:hAnsi="Figtree"/>
          <w:b/>
          <w:i w:val="0"/>
          <w:sz w:val="22"/>
        </w:rPr>
        <w:t>Phase 1: Discovery (Weeks 1-3):</w:t>
      </w:r>
      <w:r>
        <w:rPr>
          <w:rFonts w:ascii="Figtree" w:hAnsi="Figtree"/>
          <w:b w:val="0"/>
          <w:i w:val="0"/>
          <w:sz w:val="22"/>
        </w:rPr>
        <w:t xml:space="preserve"> D3X integration boundary design, BaFin notification planning, admission module design, architecture documentation.</w:t>
      </w:r>
    </w:p>
    <w:p>
      <w:r>
        <w:rPr>
          <w:rFonts w:ascii="Figtree" w:hAnsi="Figtree"/>
          <w:b/>
          <w:i w:val="0"/>
          <w:sz w:val="22"/>
        </w:rPr>
        <w:t>Phase 2: Foundation (Weeks 4-7):</w:t>
      </w:r>
      <w:r>
        <w:rPr>
          <w:rFonts w:ascii="Figtree" w:hAnsi="Figtree"/>
          <w:b w:val="0"/>
          <w:i w:val="0"/>
          <w:sz w:val="22"/>
        </w:rPr>
        <w:t xml:space="preserve"> Frankfurt private cloud deployment, Besu network setup, identity framework.</w:t>
      </w:r>
    </w:p>
    <w:p>
      <w:r>
        <w:rPr>
          <w:rFonts w:ascii="Figtree" w:hAnsi="Figtree"/>
          <w:b/>
          <w:i w:val="0"/>
          <w:sz w:val="22"/>
        </w:rPr>
        <w:t>Phase 3: Configuration (Weeks 8-13):</w:t>
      </w:r>
      <w:r>
        <w:rPr>
          <w:rFonts w:ascii="Figtree" w:hAnsi="Figtree"/>
          <w:b w:val="0"/>
          <w:i w:val="0"/>
          <w:sz w:val="22"/>
        </w:rPr>
        <w:t xml:space="preserve"> Admission modules, venue state controls, listing workflow, D3X integration design specification.</w:t>
      </w:r>
    </w:p>
    <w:p>
      <w:r>
        <w:rPr>
          <w:rFonts w:ascii="Figtree" w:hAnsi="Figtree"/>
          <w:b/>
          <w:i w:val="0"/>
          <w:sz w:val="22"/>
        </w:rPr>
        <w:t>Phase 4: Integration and Testing (Weeks 14-24):</w:t>
      </w:r>
      <w:r>
        <w:rPr>
          <w:rFonts w:ascii="Figtree" w:hAnsi="Figtree"/>
          <w:b w:val="0"/>
          <w:i w:val="0"/>
          <w:sz w:val="22"/>
        </w:rPr>
        <w:t xml:space="preserve"> D3X integration build, Eurex Clearing settlement integration, surveillance feed integration, comprehensive testing.</w:t>
      </w:r>
    </w:p>
    <w:p>
      <w:r>
        <w:rPr>
          <w:rFonts w:ascii="Figtree" w:hAnsi="Figtree"/>
          <w:b/>
          <w:i w:val="0"/>
          <w:sz w:val="22"/>
        </w:rPr>
        <w:t>Phase 5: Production (Weeks 25-29):</w:t>
      </w:r>
      <w:r>
        <w:rPr>
          <w:rFonts w:ascii="Figtree" w:hAnsi="Figtree"/>
          <w:b w:val="0"/>
          <w:i w:val="0"/>
          <w:sz w:val="22"/>
        </w:rPr>
        <w:t xml:space="preserve"> Production deployment, controlled launch, parallel operation monitoring.</w:t>
      </w:r>
    </w:p>
    <w:p>
      <w:r>
        <w:rPr>
          <w:rFonts w:ascii="Figtree" w:hAnsi="Figtree"/>
          <w:b/>
          <w:i w:val="0"/>
          <w:sz w:val="22"/>
        </w:rPr>
        <w:t>Phase 6: Hypercare (Weeks 30-32):</w:t>
      </w:r>
      <w:r>
        <w:rPr>
          <w:rFonts w:ascii="Figtree" w:hAnsi="Figtree"/>
          <w:b w:val="0"/>
          <w:i w:val="0"/>
          <w:sz w:val="22"/>
        </w:rPr>
        <w:t xml:space="preserve"> Stabilization, knowledge transfer, support transition.</w:t>
      </w:r>
    </w:p>
    <w:p>
      <w:pPr>
        <w:pStyle w:val="H3"/>
        <w:numPr>
          <w:ilvl w:val="2"/>
          <w:numId w:val="1"/>
        </w:numPr>
      </w:pPr>
      <w:r>
        <w:t>9.3 Key Risks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4610"/>
        <w:gridCol w:w="743"/>
        <w:gridCol w:w="3718"/>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Risk</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3249"/>
            <w:vAlign w:val="center"/>
          </w:tcPr>
          <w:p>
            <w:pPr>
              <w:spacing w:line="276" w:lineRule="auto" w:before="0" w:after="0"/>
            </w:pPr>
            <w:r/>
            <w:r>
              <w:rPr>
                <w:rFonts w:ascii="Figtree" w:hAnsi="Figtree"/>
                <w:b w:val="0"/>
                <w:i w:val="0"/>
                <w:sz w:val="20"/>
              </w:rPr>
              <w:t>D3X integration API specification incomplete</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API specification workshop in Phase 1</w:t>
            </w:r>
          </w:p>
        </w:tc>
      </w:tr>
      <w:tr>
        <w:trPr>
          <w:trHeight w:val="425" w:hRule="atLeast"/>
        </w:trPr>
        <w:tc>
          <w:tcPr>
            <w:tcW w:type="dxa" w:w="3249"/>
            <w:vAlign w:val="center"/>
          </w:tcPr>
          <w:p>
            <w:pPr>
              <w:spacing w:line="276" w:lineRule="auto" w:before="0" w:after="0"/>
            </w:pPr>
            <w:r/>
            <w:r>
              <w:rPr>
                <w:rFonts w:ascii="Figtree" w:hAnsi="Figtree"/>
                <w:b w:val="0"/>
                <w:i w:val="0"/>
                <w:sz w:val="20"/>
              </w:rPr>
              <w:t>BaFin notification extends Phase 3 timeline</w:t>
            </w:r>
          </w:p>
        </w:tc>
        <w:tc>
          <w:tcPr>
            <w:tcW w:type="dxa" w:w="3249"/>
            <w:vAlign w:val="center"/>
          </w:tcPr>
          <w:p>
            <w:pPr>
              <w:spacing w:line="276" w:lineRule="auto" w:before="0" w:after="0"/>
            </w:pPr>
            <w:r/>
            <w:r>
              <w:rPr>
                <w:rFonts w:ascii="Figtree" w:hAnsi="Figtree"/>
                <w:b w:val="0"/>
                <w:i w:val="0"/>
                <w:sz w:val="20"/>
              </w:rPr>
              <w:t>High</w:t>
            </w:r>
          </w:p>
        </w:tc>
        <w:tc>
          <w:tcPr>
            <w:tcW w:type="dxa" w:w="3249"/>
            <w:vAlign w:val="center"/>
          </w:tcPr>
          <w:p>
            <w:pPr>
              <w:spacing w:line="276" w:lineRule="auto" w:before="0" w:after="0"/>
            </w:pPr>
            <w:r/>
            <w:r>
              <w:rPr>
                <w:rFonts w:ascii="Figtree" w:hAnsi="Figtree"/>
                <w:b w:val="0"/>
                <w:i w:val="0"/>
                <w:sz w:val="20"/>
              </w:rPr>
              <w:t>BaFin planning in Phase 1; buffer in timeline</w:t>
            </w:r>
          </w:p>
        </w:tc>
      </w:tr>
      <w:tr>
        <w:trPr>
          <w:trHeight w:val="425" w:hRule="atLeast"/>
        </w:trPr>
        <w:tc>
          <w:tcPr>
            <w:tcW w:type="dxa" w:w="3249"/>
            <w:vAlign w:val="center"/>
          </w:tcPr>
          <w:p>
            <w:pPr>
              <w:spacing w:line="276" w:lineRule="auto" w:before="0" w:after="0"/>
            </w:pPr>
            <w:r/>
            <w:r>
              <w:rPr>
                <w:rFonts w:ascii="Figtree" w:hAnsi="Figtree"/>
                <w:b w:val="0"/>
                <w:i w:val="0"/>
                <w:sz w:val="20"/>
              </w:rPr>
              <w:t>Eurex Clearing settlement interface complexity</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Early Eurex engagement; mock interface for testing</w:t>
            </w:r>
          </w:p>
        </w:tc>
      </w:tr>
      <w:tr>
        <w:trPr>
          <w:trHeight w:val="425" w:hRule="atLeast"/>
        </w:trPr>
        <w:tc>
          <w:tcPr>
            <w:tcW w:type="dxa" w:w="3249"/>
            <w:vAlign w:val="center"/>
          </w:tcPr>
          <w:p>
            <w:pPr>
              <w:spacing w:line="276" w:lineRule="auto" w:before="0" w:after="0"/>
            </w:pPr>
            <w:r/>
            <w:r>
              <w:rPr>
                <w:rFonts w:ascii="Figtree" w:hAnsi="Figtree"/>
                <w:b w:val="0"/>
                <w:i w:val="0"/>
                <w:sz w:val="20"/>
              </w:rPr>
              <w:t>MiCA instrument classification determines which modules needed</w:t>
            </w:r>
          </w:p>
        </w:tc>
        <w:tc>
          <w:tcPr>
            <w:tcW w:type="dxa" w:w="3249"/>
            <w:vAlign w:val="center"/>
          </w:tcPr>
          <w:p>
            <w:pPr>
              <w:spacing w:line="276" w:lineRule="auto" w:before="0" w:after="0"/>
            </w:pPr>
            <w:r/>
            <w:r>
              <w:rPr>
                <w:rFonts w:ascii="Figtree" w:hAnsi="Figtree"/>
                <w:b w:val="0"/>
                <w:i w:val="0"/>
                <w:sz w:val="20"/>
              </w:rPr>
              <w:t>Medium</w:t>
            </w:r>
          </w:p>
        </w:tc>
        <w:tc>
          <w:tcPr>
            <w:tcW w:type="dxa" w:w="3249"/>
            <w:vAlign w:val="center"/>
          </w:tcPr>
          <w:p>
            <w:pPr>
              <w:spacing w:line="276" w:lineRule="auto" w:before="0" w:after="0"/>
            </w:pPr>
            <w:r/>
            <w:r>
              <w:rPr>
                <w:rFonts w:ascii="Figtree" w:hAnsi="Figtree"/>
                <w:b w:val="0"/>
                <w:i w:val="0"/>
                <w:sz w:val="20"/>
              </w:rPr>
              <w:t>Classification analysis in Phase 1</w:t>
            </w:r>
          </w:p>
        </w:tc>
      </w:tr>
    </w:tbl>
    <w:p>
      <w:pPr>
        <w:spacing w:before="0" w:after="0" w:line="120" w:lineRule="exact"/>
      </w:pPr>
    </w:p>
    <w:p>
      <w:r>
        <w:br w:type="page"/>
      </w:r>
    </w:p>
    <w:p>
      <w:pPr>
        <w:pStyle w:val="H2"/>
        <w:numPr>
          <w:ilvl w:val="1"/>
          <w:numId w:val="1"/>
        </w:numPr>
      </w:pPr>
      <w:r>
        <w:t>10. Deployment Options</w:t>
      </w:r>
    </w:p>
    <w:p>
      <w:pPr>
        <w:pStyle w:val="H3"/>
        <w:numPr>
          <w:ilvl w:val="2"/>
          <w:numId w:val="1"/>
        </w:numPr>
      </w:pPr>
      <w:r>
        <w:t>10.1 Recommended: Private Cloud (Frankfurt, Germany)</w:t>
      </w:r>
    </w:p>
    <w:p>
      <w:r>
        <w:rPr>
          <w:rFonts w:ascii="Figtree" w:hAnsi="Figtree"/>
          <w:b w:val="0"/>
          <w:i w:val="0"/>
          <w:sz w:val="22"/>
        </w:rPr>
        <w:t>Frankfurt Azure Germany West Central or AWS eu-central-1 for German data residency. Deutsche Börse manages cloud subscription; SettleMint provides Helm deployment support.</w:t>
      </w:r>
    </w:p>
    <w:p>
      <w:r>
        <w:rPr>
          <w:rFonts w:ascii="Figtree" w:hAnsi="Figtree"/>
          <w:b w:val="0"/>
          <w:i w:val="0"/>
          <w:sz w:val="22"/>
        </w:rPr>
        <w:t>RTO/RPO: Multi-AZ deployment achieves 2-15 minute RTO, seconds RPO for zone failures.</w:t>
      </w:r>
    </w:p>
    <w:p>
      <w:r>
        <w:br w:type="page"/>
      </w:r>
    </w:p>
    <w:p>
      <w:pPr>
        <w:pStyle w:val="H2"/>
        <w:numPr>
          <w:ilvl w:val="1"/>
          <w:numId w:val="1"/>
        </w:numPr>
      </w:pPr>
      <w:r>
        <w:t>11. Training</w:t>
      </w:r>
    </w:p>
    <w:p>
      <w:r>
        <w:rPr>
          <w:rFonts w:ascii="Figtree" w:hAnsi="Figtree"/>
          <w:b w:val="0"/>
          <w:i w:val="0"/>
          <w:sz w:val="22"/>
        </w:rPr>
        <w:t>Three tracks: Administrator (3-4 days, venue operations team), Developer/Integration (4-5 days, D3X integration engineers), Operations/Surveillance (2 days, market surveillance and compliance team, covering admission management, venue state operations, surveillance feed validation).</w:t>
      </w:r>
    </w:p>
    <w:p>
      <w:r>
        <w:br w:type="page"/>
      </w:r>
    </w:p>
    <w:p>
      <w:pPr>
        <w:pStyle w:val="H2"/>
        <w:numPr>
          <w:ilvl w:val="1"/>
          <w:numId w:val="1"/>
        </w:numPr>
      </w:pPr>
      <w:r>
        <w:t>12. Support and SLA</w:t>
      </w:r>
    </w:p>
    <w:p>
      <w:r>
        <w:rPr>
          <w:rFonts w:ascii="Figtree" w:hAnsi="Figtree"/>
          <w:b w:val="0"/>
          <w:i w:val="0"/>
          <w:sz w:val="22"/>
        </w:rPr>
        <w:t>Enterprise Support recommended (24/7, 15-minute P1 response, dedicated SRE, 99.99% uptime SLA). DORA ICT incident classification applied. BaFin incident notification within 4 hours for P1.</w:t>
      </w:r>
    </w:p>
    <w:p>
      <w:r>
        <w:br w:type="page"/>
      </w:r>
    </w:p>
    <w:p>
      <w:pPr>
        <w:pStyle w:val="H2"/>
        <w:numPr>
          <w:ilvl w:val="1"/>
          <w:numId w:val="1"/>
        </w:numPr>
      </w:pPr>
      <w:r>
        <w:t>13. Risk Management</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65"/>
        <w:gridCol w:w="3656"/>
        <w:gridCol w:w="665"/>
        <w:gridCol w:w="665"/>
        <w:gridCol w:w="3420"/>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Risk</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Likelihood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Impact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Mitigation</w:t>
            </w:r>
          </w:p>
        </w:tc>
      </w:tr>
      <w:tr>
        <w:trPr>
          <w:trHeight w:val="425" w:hRule="atLeast"/>
        </w:trPr>
        <w:tc>
          <w:tcPr>
            <w:tcW w:type="dxa" w:w="1949"/>
            <w:vAlign w:val="center"/>
          </w:tcPr>
          <w:p>
            <w:pPr>
              <w:spacing w:line="276" w:lineRule="auto" w:before="0" w:after="0"/>
            </w:pPr>
            <w:r/>
            <w:r>
              <w:rPr>
                <w:rFonts w:ascii="Figtree" w:hAnsi="Figtree"/>
                <w:b w:val="0"/>
                <w:i w:val="0"/>
                <w:sz w:val="20"/>
              </w:rPr>
              <w:t>R-001</w:t>
            </w:r>
          </w:p>
        </w:tc>
        <w:tc>
          <w:tcPr>
            <w:tcW w:type="dxa" w:w="1949"/>
            <w:vAlign w:val="center"/>
          </w:tcPr>
          <w:p>
            <w:pPr>
              <w:spacing w:line="276" w:lineRule="auto" w:before="0" w:after="0"/>
            </w:pPr>
            <w:r/>
            <w:r>
              <w:rPr>
                <w:rFonts w:ascii="Figtree" w:hAnsi="Figtree"/>
                <w:b w:val="0"/>
                <w:i w:val="0"/>
                <w:sz w:val="20"/>
              </w:rPr>
              <w:t>BaFin approval for digital asset venue extends timeline</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Early BaFin engagement; notification plan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R-002</w:t>
            </w:r>
          </w:p>
        </w:tc>
        <w:tc>
          <w:tcPr>
            <w:tcW w:type="dxa" w:w="1949"/>
            <w:vAlign w:val="center"/>
          </w:tcPr>
          <w:p>
            <w:pPr>
              <w:spacing w:line="276" w:lineRule="auto" w:before="0" w:after="0"/>
            </w:pPr>
            <w:r/>
            <w:r>
              <w:rPr>
                <w:rFonts w:ascii="Figtree" w:hAnsi="Figtree"/>
                <w:b w:val="0"/>
                <w:i w:val="0"/>
                <w:sz w:val="20"/>
              </w:rPr>
              <w:t>D3X API specification change during integration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API versioning agreement; change control</w:t>
            </w:r>
          </w:p>
        </w:tc>
      </w:tr>
      <w:tr>
        <w:trPr>
          <w:trHeight w:val="425" w:hRule="atLeast"/>
        </w:trPr>
        <w:tc>
          <w:tcPr>
            <w:tcW w:type="dxa" w:w="1949"/>
            <w:vAlign w:val="center"/>
          </w:tcPr>
          <w:p>
            <w:pPr>
              <w:spacing w:line="276" w:lineRule="auto" w:before="0" w:after="0"/>
            </w:pPr>
            <w:r/>
            <w:r>
              <w:rPr>
                <w:rFonts w:ascii="Figtree" w:hAnsi="Figtree"/>
                <w:b w:val="0"/>
                <w:i w:val="0"/>
                <w:sz w:val="20"/>
              </w:rPr>
              <w:t>R-003</w:t>
            </w:r>
          </w:p>
        </w:tc>
        <w:tc>
          <w:tcPr>
            <w:tcW w:type="dxa" w:w="1949"/>
            <w:vAlign w:val="center"/>
          </w:tcPr>
          <w:p>
            <w:pPr>
              <w:spacing w:line="276" w:lineRule="auto" w:before="0" w:after="0"/>
            </w:pPr>
            <w:r/>
            <w:r>
              <w:rPr>
                <w:rFonts w:ascii="Figtree" w:hAnsi="Figtree"/>
                <w:b w:val="0"/>
                <w:i w:val="0"/>
                <w:sz w:val="20"/>
              </w:rPr>
              <w:t>MiCA instrument classification creates regulatory uncertainty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Legal analysis in Phase 1; configurable compliance modules</w:t>
            </w:r>
          </w:p>
        </w:tc>
      </w:tr>
      <w:tr>
        <w:trPr>
          <w:trHeight w:val="425" w:hRule="atLeast"/>
        </w:trPr>
        <w:tc>
          <w:tcPr>
            <w:tcW w:type="dxa" w:w="1949"/>
            <w:vAlign w:val="center"/>
          </w:tcPr>
          <w:p>
            <w:pPr>
              <w:spacing w:line="276" w:lineRule="auto" w:before="0" w:after="0"/>
            </w:pPr>
            <w:r/>
            <w:r>
              <w:rPr>
                <w:rFonts w:ascii="Figtree" w:hAnsi="Figtree"/>
                <w:b w:val="0"/>
                <w:i w:val="0"/>
                <w:sz w:val="20"/>
              </w:rPr>
              <w:t>R-004</w:t>
            </w:r>
          </w:p>
        </w:tc>
        <w:tc>
          <w:tcPr>
            <w:tcW w:type="dxa" w:w="1949"/>
            <w:vAlign w:val="center"/>
          </w:tcPr>
          <w:p>
            <w:pPr>
              <w:spacing w:line="276" w:lineRule="auto" w:before="0" w:after="0"/>
            </w:pPr>
            <w:r/>
            <w:r>
              <w:rPr>
                <w:rFonts w:ascii="Figtree" w:hAnsi="Figtree"/>
                <w:b w:val="0"/>
                <w:i w:val="0"/>
                <w:sz w:val="20"/>
              </w:rPr>
              <w:t>Eurex Clearing settlement interface availability</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High</w:t>
            </w:r>
          </w:p>
        </w:tc>
        <w:tc>
          <w:tcPr>
            <w:tcW w:type="dxa" w:w="1949"/>
            <w:vAlign w:val="center"/>
          </w:tcPr>
          <w:p>
            <w:pPr>
              <w:spacing w:line="276" w:lineRule="auto" w:before="0" w:after="0"/>
            </w:pPr>
            <w:r/>
            <w:r>
              <w:rPr>
                <w:rFonts w:ascii="Figtree" w:hAnsi="Figtree"/>
                <w:b w:val="0"/>
                <w:i w:val="0"/>
                <w:sz w:val="20"/>
              </w:rPr>
              <w:t>Early Eurex engagement; mock interface development</w:t>
            </w:r>
          </w:p>
        </w:tc>
      </w:tr>
      <w:tr>
        <w:trPr>
          <w:trHeight w:val="425" w:hRule="atLeast"/>
        </w:trPr>
        <w:tc>
          <w:tcPr>
            <w:tcW w:type="dxa" w:w="1949"/>
            <w:vAlign w:val="center"/>
          </w:tcPr>
          <w:p>
            <w:pPr>
              <w:spacing w:line="276" w:lineRule="auto" w:before="0" w:after="0"/>
            </w:pPr>
            <w:r/>
            <w:r>
              <w:rPr>
                <w:rFonts w:ascii="Figtree" w:hAnsi="Figtree"/>
                <w:b w:val="0"/>
                <w:i w:val="0"/>
                <w:sz w:val="20"/>
              </w:rPr>
              <w:t>R-005</w:t>
            </w:r>
          </w:p>
        </w:tc>
        <w:tc>
          <w:tcPr>
            <w:tcW w:type="dxa" w:w="1949"/>
            <w:vAlign w:val="center"/>
          </w:tcPr>
          <w:p>
            <w:pPr>
              <w:spacing w:line="276" w:lineRule="auto" w:before="0" w:after="0"/>
            </w:pPr>
            <w:r/>
            <w:r>
              <w:rPr>
                <w:rFonts w:ascii="Figtree" w:hAnsi="Figtree"/>
                <w:b w:val="0"/>
                <w:i w:val="0"/>
                <w:sz w:val="20"/>
              </w:rPr>
              <w:t>Market surveillance system event format requires customization</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Event taxonomy workshop in Phase 1</w:t>
            </w:r>
          </w:p>
        </w:tc>
      </w:tr>
      <w:tr>
        <w:trPr>
          <w:trHeight w:val="425" w:hRule="atLeast"/>
        </w:trPr>
        <w:tc>
          <w:tcPr>
            <w:tcW w:type="dxa" w:w="1949"/>
            <w:vAlign w:val="center"/>
          </w:tcPr>
          <w:p>
            <w:pPr>
              <w:spacing w:line="276" w:lineRule="auto" w:before="0" w:after="0"/>
            </w:pPr>
            <w:r/>
            <w:r>
              <w:rPr>
                <w:rFonts w:ascii="Figtree" w:hAnsi="Figtree"/>
                <w:b w:val="0"/>
                <w:i w:val="0"/>
                <w:sz w:val="20"/>
              </w:rPr>
              <w:t>R-006</w:t>
            </w:r>
          </w:p>
        </w:tc>
        <w:tc>
          <w:tcPr>
            <w:tcW w:type="dxa" w:w="1949"/>
            <w:vAlign w:val="center"/>
          </w:tcPr>
          <w:p>
            <w:pPr>
              <w:spacing w:line="276" w:lineRule="auto" w:before="0" w:after="0"/>
            </w:pPr>
            <w:r/>
            <w:r>
              <w:rPr>
                <w:rFonts w:ascii="Figtree" w:hAnsi="Figtree"/>
                <w:b w:val="0"/>
                <w:i w:val="0"/>
                <w:sz w:val="20"/>
              </w:rPr>
              <w:t>eWpG compliance requirements for electronic securities</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Medium</w:t>
            </w:r>
          </w:p>
        </w:tc>
        <w:tc>
          <w:tcPr>
            <w:tcW w:type="dxa" w:w="1949"/>
            <w:vAlign w:val="center"/>
          </w:tcPr>
          <w:p>
            <w:pPr>
              <w:spacing w:line="276" w:lineRule="auto" w:before="0" w:after="0"/>
            </w:pPr>
            <w:r/>
            <w:r>
              <w:rPr>
                <w:rFonts w:ascii="Figtree" w:hAnsi="Figtree"/>
                <w:b w:val="0"/>
                <w:i w:val="0"/>
                <w:sz w:val="20"/>
              </w:rPr>
              <w:t>eWpG analysis in Phase 1; disclosure metadata design</w:t>
            </w:r>
          </w:p>
        </w:tc>
      </w:tr>
    </w:tbl>
    <w:p>
      <w:pPr>
        <w:spacing w:before="0" w:after="0" w:line="120" w:lineRule="exact"/>
      </w:pPr>
    </w:p>
    <w:p>
      <w:r>
        <w:br w:type="page"/>
      </w:r>
    </w:p>
    <w:p>
      <w:pPr>
        <w:pStyle w:val="H2"/>
        <w:numPr>
          <w:ilvl w:val="1"/>
          <w:numId w:val="1"/>
        </w:numPr>
      </w:pPr>
      <w:r>
        <w:t>14. Compliance Matrix</w:t>
      </w:r>
    </w:p>
    <w:p>
      <w:pPr>
        <w:pStyle w:val="H3"/>
        <w:numPr>
          <w:ilvl w:val="2"/>
          <w:numId w:val="1"/>
        </w:numPr>
      </w:pPr>
      <w:r>
        <w:t>14.1 Technical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650"/>
        <w:gridCol w:w="650"/>
        <w:gridCol w:w="3154"/>
        <w:gridCol w:w="650"/>
        <w:gridCol w:w="3967"/>
      </w:tblGrid>
      <w:tr>
        <w:trPr>
          <w:trHeight w:val="425" w:hRule="atLeast"/>
        </w:trPr>
        <w:tc>
          <w:tcPr>
            <w:tcW w:type="dxa" w:w="19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Priority</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Requirement</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19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1949"/>
            <w:vAlign w:val="center"/>
          </w:tcPr>
          <w:p>
            <w:pPr>
              <w:spacing w:line="276" w:lineRule="auto" w:before="0" w:after="0"/>
            </w:pPr>
            <w:r/>
            <w:r>
              <w:rPr>
                <w:rFonts w:ascii="Figtree" w:hAnsi="Figtree"/>
                <w:b w:val="0"/>
                <w:i w:val="0"/>
                <w:sz w:val="20"/>
              </w:rPr>
              <w:t>TR-001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Participant admission and entitlement controls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OnchainID + ERC-3643 admission modules; 4 participant types</w:t>
            </w:r>
          </w:p>
        </w:tc>
      </w:tr>
      <w:tr>
        <w:trPr>
          <w:trHeight w:val="425" w:hRule="atLeast"/>
        </w:trPr>
        <w:tc>
          <w:tcPr>
            <w:tcW w:type="dxa" w:w="1949"/>
            <w:vAlign w:val="center"/>
          </w:tcPr>
          <w:p>
            <w:pPr>
              <w:spacing w:line="276" w:lineRule="auto" w:before="0" w:after="0"/>
            </w:pPr>
            <w:r/>
            <w:r>
              <w:rPr>
                <w:rFonts w:ascii="Figtree" w:hAnsi="Figtree"/>
                <w:b w:val="0"/>
                <w:i w:val="0"/>
                <w:sz w:val="20"/>
              </w:rPr>
              <w:t>TR-002</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Configurable market models, trading sessions, venue state</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provides token/compliance state controls; D3X provides order book/market model</w:t>
            </w:r>
          </w:p>
        </w:tc>
      </w:tr>
      <w:tr>
        <w:trPr>
          <w:trHeight w:val="425" w:hRule="atLeast"/>
        </w:trPr>
        <w:tc>
          <w:tcPr>
            <w:tcW w:type="dxa" w:w="1949"/>
            <w:vAlign w:val="center"/>
          </w:tcPr>
          <w:p>
            <w:pPr>
              <w:spacing w:line="276" w:lineRule="auto" w:before="0" w:after="0"/>
            </w:pPr>
            <w:r/>
            <w:r>
              <w:rPr>
                <w:rFonts w:ascii="Figtree" w:hAnsi="Figtree"/>
                <w:b w:val="0"/>
                <w:i w:val="0"/>
                <w:sz w:val="20"/>
              </w:rPr>
              <w:t>TR-003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Market surveillance data feeds, alerting, evidence retention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Chain Indexer time-ordered export; webhooks; Grafana alerts</w:t>
            </w:r>
          </w:p>
        </w:tc>
      </w:tr>
      <w:tr>
        <w:trPr>
          <w:trHeight w:val="425" w:hRule="atLeast"/>
        </w:trPr>
        <w:tc>
          <w:tcPr>
            <w:tcW w:type="dxa" w:w="1949"/>
            <w:vAlign w:val="center"/>
          </w:tcPr>
          <w:p>
            <w:pPr>
              <w:spacing w:line="276" w:lineRule="auto" w:before="0" w:after="0"/>
            </w:pPr>
            <w:r/>
            <w:r>
              <w:rPr>
                <w:rFonts w:ascii="Figtree" w:hAnsi="Figtree"/>
                <w:b w:val="0"/>
                <w:i w:val="0"/>
                <w:sz w:val="20"/>
              </w:rPr>
              <w:t>TR-004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Deterministic message handling, event sequencing, time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IBFT 2.0 consensus timestamps; immutable block ordering</w:t>
            </w:r>
          </w:p>
        </w:tc>
      </w:tr>
      <w:tr>
        <w:trPr>
          <w:trHeight w:val="425" w:hRule="atLeast"/>
        </w:trPr>
        <w:tc>
          <w:tcPr>
            <w:tcW w:type="dxa" w:w="1949"/>
            <w:vAlign w:val="center"/>
          </w:tcPr>
          <w:p>
            <w:pPr>
              <w:spacing w:line="276" w:lineRule="auto" w:before="0" w:after="0"/>
            </w:pPr>
            <w:r/>
            <w:r>
              <w:rPr>
                <w:rFonts w:ascii="Figtree" w:hAnsi="Figtree"/>
                <w:b w:val="0"/>
                <w:i w:val="0"/>
                <w:sz w:val="20"/>
              </w:rPr>
              <w:t>TR-005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Throttling, kill-switch, circuit-breaker, participant risk</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pause; admission revocation; API rate limiting</w:t>
            </w:r>
          </w:p>
        </w:tc>
      </w:tr>
      <w:tr>
        <w:trPr>
          <w:trHeight w:val="425" w:hRule="atLeast"/>
        </w:trPr>
        <w:tc>
          <w:tcPr>
            <w:tcW w:type="dxa" w:w="1949"/>
            <w:vAlign w:val="center"/>
          </w:tcPr>
          <w:p>
            <w:pPr>
              <w:spacing w:line="276" w:lineRule="auto" w:before="0" w:after="0"/>
            </w:pPr>
            <w:r/>
            <w:r>
              <w:rPr>
                <w:rFonts w:ascii="Figtree" w:hAnsi="Figtree"/>
                <w:b w:val="0"/>
                <w:i w:val="0"/>
                <w:sz w:val="20"/>
              </w:rPr>
              <w:t>TR-006</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Listing workflow: admission checks, disclosure, attestations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Issuance factory + off-chain disclosure metadata + claim attestations</w:t>
            </w:r>
          </w:p>
        </w:tc>
      </w:tr>
      <w:tr>
        <w:trPr>
          <w:trHeight w:val="425" w:hRule="atLeast"/>
        </w:trPr>
        <w:tc>
          <w:tcPr>
            <w:tcW w:type="dxa" w:w="1949"/>
            <w:vAlign w:val="center"/>
          </w:tcPr>
          <w:p>
            <w:pPr>
              <w:spacing w:line="276" w:lineRule="auto" w:before="0" w:after="0"/>
            </w:pPr>
            <w:r/>
            <w:r>
              <w:rPr>
                <w:rFonts w:ascii="Figtree" w:hAnsi="Figtree"/>
                <w:b w:val="0"/>
                <w:i w:val="0"/>
                <w:sz w:val="20"/>
              </w:rPr>
              <w:t>TR-007</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Reference data management, instrument lifecycle, venue publication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DALPAsset lifecycle; chain indexer publication</w:t>
            </w:r>
          </w:p>
        </w:tc>
      </w:tr>
      <w:tr>
        <w:trPr>
          <w:trHeight w:val="425" w:hRule="atLeast"/>
        </w:trPr>
        <w:tc>
          <w:tcPr>
            <w:tcW w:type="dxa" w:w="1949"/>
            <w:vAlign w:val="center"/>
          </w:tcPr>
          <w:p>
            <w:pPr>
              <w:spacing w:line="276" w:lineRule="auto" w:before="0" w:after="0"/>
            </w:pPr>
            <w:r/>
            <w:r>
              <w:rPr>
                <w:rFonts w:ascii="Figtree" w:hAnsi="Figtree"/>
                <w:b w:val="0"/>
                <w:i w:val="0"/>
                <w:sz w:val="20"/>
              </w:rPr>
              <w:t>TR-008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Resilient market data distribution, replay, dissemination</w:t>
            </w:r>
          </w:p>
        </w:tc>
        <w:tc>
          <w:tcPr>
            <w:tcW w:type="dxa" w:w="1949"/>
            <w:vAlign w:val="center"/>
          </w:tcPr>
          <w:p>
            <w:pPr>
              <w:spacing w:line="276" w:lineRule="auto" w:before="0" w:after="0"/>
            </w:pPr>
            <w:r/>
            <w:r>
              <w:rPr>
                <w:rFonts w:ascii="Figtree" w:hAnsi="Figtree"/>
                <w:b w:val="0"/>
                <w:i w:val="0"/>
                <w:sz w:val="20"/>
              </w:rPr>
              <w:t>Partial</w:t>
            </w:r>
          </w:p>
        </w:tc>
        <w:tc>
          <w:tcPr>
            <w:tcW w:type="dxa" w:w="1949"/>
            <w:vAlign w:val="center"/>
          </w:tcPr>
          <w:p>
            <w:pPr>
              <w:spacing w:line="276" w:lineRule="auto" w:before="0" w:after="0"/>
            </w:pPr>
            <w:r/>
            <w:r>
              <w:rPr>
                <w:rFonts w:ascii="Figtree" w:hAnsi="Figtree"/>
                <w:b w:val="0"/>
                <w:i w:val="0"/>
                <w:sz w:val="20"/>
              </w:rPr>
              <w:t>DALP provides event webhooks; D3X handles market data distribution</w:t>
            </w:r>
          </w:p>
        </w:tc>
      </w:tr>
      <w:tr>
        <w:trPr>
          <w:trHeight w:val="425" w:hRule="atLeast"/>
        </w:trPr>
        <w:tc>
          <w:tcPr>
            <w:tcW w:type="dxa" w:w="1949"/>
            <w:vAlign w:val="center"/>
          </w:tcPr>
          <w:p>
            <w:pPr>
              <w:spacing w:line="276" w:lineRule="auto" w:before="0" w:after="0"/>
            </w:pPr>
            <w:r/>
            <w:r>
              <w:rPr>
                <w:rFonts w:ascii="Figtree" w:hAnsi="Figtree"/>
                <w:b w:val="0"/>
                <w:i w:val="0"/>
                <w:sz w:val="20"/>
              </w:rPr>
              <w:t>TR-009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Operator dashboards: latency, throughput, participant behavior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Grafana pre-built + customizable dashboards</w:t>
            </w:r>
          </w:p>
        </w:tc>
      </w:tr>
      <w:tr>
        <w:trPr>
          <w:trHeight w:val="425" w:hRule="atLeast"/>
        </w:trPr>
        <w:tc>
          <w:tcPr>
            <w:tcW w:type="dxa" w:w="1949"/>
            <w:vAlign w:val="center"/>
          </w:tcPr>
          <w:p>
            <w:pPr>
              <w:spacing w:line="276" w:lineRule="auto" w:before="0" w:after="0"/>
            </w:pPr>
            <w:r/>
            <w:r>
              <w:rPr>
                <w:rFonts w:ascii="Figtree" w:hAnsi="Figtree"/>
                <w:b w:val="0"/>
                <w:i w:val="0"/>
                <w:sz w:val="20"/>
              </w:rPr>
              <w:t>TR-010</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Suspension, halt, resumption procedures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 GOVERNANCE + TOKEN_MANAGER roles</w:t>
            </w:r>
          </w:p>
        </w:tc>
      </w:tr>
      <w:tr>
        <w:trPr>
          <w:trHeight w:val="425" w:hRule="atLeast"/>
        </w:trPr>
        <w:tc>
          <w:tcPr>
            <w:tcW w:type="dxa" w:w="1949"/>
            <w:vAlign w:val="center"/>
          </w:tcPr>
          <w:p>
            <w:pPr>
              <w:spacing w:line="276" w:lineRule="auto" w:before="0" w:after="0"/>
            </w:pPr>
            <w:r/>
            <w:r>
              <w:rPr>
                <w:rFonts w:ascii="Figtree" w:hAnsi="Figtree"/>
                <w:b w:val="0"/>
                <w:i w:val="0"/>
                <w:sz w:val="20"/>
              </w:rPr>
              <w:t>TR-011</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Environment segregation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Dev/staging/prod per Helm</w:t>
            </w:r>
          </w:p>
        </w:tc>
      </w:tr>
      <w:tr>
        <w:trPr>
          <w:trHeight w:val="425" w:hRule="atLeast"/>
        </w:trPr>
        <w:tc>
          <w:tcPr>
            <w:tcW w:type="dxa" w:w="1949"/>
            <w:vAlign w:val="center"/>
          </w:tcPr>
          <w:p>
            <w:pPr>
              <w:spacing w:line="276" w:lineRule="auto" w:before="0" w:after="0"/>
            </w:pPr>
            <w:r/>
            <w:r>
              <w:rPr>
                <w:rFonts w:ascii="Figtree" w:hAnsi="Figtree"/>
                <w:b w:val="0"/>
                <w:i w:val="0"/>
                <w:sz w:val="20"/>
              </w:rPr>
              <w:t>TR-012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IaC, config baselining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Helm charts</w:t>
            </w:r>
          </w:p>
        </w:tc>
      </w:tr>
      <w:tr>
        <w:trPr>
          <w:trHeight w:val="425" w:hRule="atLeast"/>
        </w:trPr>
        <w:tc>
          <w:tcPr>
            <w:tcW w:type="dxa" w:w="1949"/>
            <w:vAlign w:val="center"/>
          </w:tcPr>
          <w:p>
            <w:pPr>
              <w:spacing w:line="276" w:lineRule="auto" w:before="0" w:after="0"/>
            </w:pPr>
            <w:r/>
            <w:r>
              <w:rPr>
                <w:rFonts w:ascii="Figtree" w:hAnsi="Figtree"/>
                <w:b w:val="0"/>
                <w:i w:val="0"/>
                <w:sz w:val="20"/>
              </w:rPr>
              <w:t>TR-013</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Immutable audit logs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On-chain IBFT 2.0 finality; Loki logs</w:t>
            </w:r>
          </w:p>
        </w:tc>
      </w:tr>
      <w:tr>
        <w:trPr>
          <w:trHeight w:val="425" w:hRule="atLeast"/>
        </w:trPr>
        <w:tc>
          <w:tcPr>
            <w:tcW w:type="dxa" w:w="1949"/>
            <w:vAlign w:val="center"/>
          </w:tcPr>
          <w:p>
            <w:pPr>
              <w:spacing w:line="276" w:lineRule="auto" w:before="0" w:after="0"/>
            </w:pPr>
            <w:r/>
            <w:r>
              <w:rPr>
                <w:rFonts w:ascii="Figtree" w:hAnsi="Figtree"/>
                <w:b w:val="0"/>
                <w:i w:val="0"/>
                <w:sz w:val="20"/>
              </w:rPr>
              <w:t>TR-014</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HA deployment, no SPOF</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Multi-AZ Frankfurt; IBFT 2.0 1/4 fault tolerance</w:t>
            </w:r>
          </w:p>
        </w:tc>
      </w:tr>
      <w:tr>
        <w:trPr>
          <w:trHeight w:val="425" w:hRule="atLeast"/>
        </w:trPr>
        <w:tc>
          <w:tcPr>
            <w:tcW w:type="dxa" w:w="1949"/>
            <w:vAlign w:val="center"/>
          </w:tcPr>
          <w:p>
            <w:pPr>
              <w:spacing w:line="276" w:lineRule="auto" w:before="0" w:after="0"/>
            </w:pPr>
            <w:r/>
            <w:r>
              <w:rPr>
                <w:rFonts w:ascii="Figtree" w:hAnsi="Figtree"/>
                <w:b w:val="0"/>
                <w:i w:val="0"/>
                <w:sz w:val="20"/>
              </w:rPr>
              <w:t>TR-015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Comprehensive observability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VictoriaMetrics, Loki, Tempo, Grafana</w:t>
            </w:r>
          </w:p>
        </w:tc>
      </w:tr>
      <w:tr>
        <w:trPr>
          <w:trHeight w:val="425" w:hRule="atLeast"/>
        </w:trPr>
        <w:tc>
          <w:tcPr>
            <w:tcW w:type="dxa" w:w="1949"/>
            <w:vAlign w:val="center"/>
          </w:tcPr>
          <w:p>
            <w:pPr>
              <w:spacing w:line="276" w:lineRule="auto" w:before="0" w:after="0"/>
            </w:pPr>
            <w:r/>
            <w:r>
              <w:rPr>
                <w:rFonts w:ascii="Figtree" w:hAnsi="Figtree"/>
                <w:b w:val="0"/>
                <w:i w:val="0"/>
                <w:sz w:val="20"/>
              </w:rPr>
              <w:t>TR-016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Time synchronization, timestamping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NTP; IBFT 2.0 consensus; trace IDs</w:t>
            </w:r>
          </w:p>
        </w:tc>
      </w:tr>
      <w:tr>
        <w:trPr>
          <w:trHeight w:val="425" w:hRule="atLeast"/>
        </w:trPr>
        <w:tc>
          <w:tcPr>
            <w:tcW w:type="dxa" w:w="1949"/>
            <w:vAlign w:val="center"/>
          </w:tcPr>
          <w:p>
            <w:pPr>
              <w:spacing w:line="276" w:lineRule="auto" w:before="0" w:after="0"/>
            </w:pPr>
            <w:r/>
            <w:r>
              <w:rPr>
                <w:rFonts w:ascii="Figtree" w:hAnsi="Figtree"/>
                <w:b w:val="0"/>
                <w:i w:val="0"/>
                <w:sz w:val="20"/>
              </w:rPr>
              <w:t>TR-017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Backup, restore, DR</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Velero; WAL archival; documented RTO/RPO</w:t>
            </w:r>
          </w:p>
        </w:tc>
      </w:tr>
      <w:tr>
        <w:trPr>
          <w:trHeight w:val="425" w:hRule="atLeast"/>
        </w:trPr>
        <w:tc>
          <w:tcPr>
            <w:tcW w:type="dxa" w:w="1949"/>
            <w:vAlign w:val="center"/>
          </w:tcPr>
          <w:p>
            <w:pPr>
              <w:spacing w:line="276" w:lineRule="auto" w:before="0" w:after="0"/>
            </w:pPr>
            <w:r/>
            <w:r>
              <w:rPr>
                <w:rFonts w:ascii="Figtree" w:hAnsi="Figtree"/>
                <w:b w:val="0"/>
                <w:i w:val="0"/>
                <w:sz w:val="20"/>
              </w:rPr>
              <w:t>TR-018</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Secure API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OAuth2/OIDC; API keys; TLS 1.3</w:t>
            </w:r>
          </w:p>
        </w:tc>
      </w:tr>
      <w:tr>
        <w:trPr>
          <w:trHeight w:val="425" w:hRule="atLeast"/>
        </w:trPr>
        <w:tc>
          <w:tcPr>
            <w:tcW w:type="dxa" w:w="1949"/>
            <w:vAlign w:val="center"/>
          </w:tcPr>
          <w:p>
            <w:pPr>
              <w:spacing w:line="276" w:lineRule="auto" w:before="0" w:after="0"/>
            </w:pPr>
            <w:r/>
            <w:r>
              <w:rPr>
                <w:rFonts w:ascii="Figtree" w:hAnsi="Figtree"/>
                <w:b w:val="0"/>
                <w:i w:val="0"/>
                <w:sz w:val="20"/>
              </w:rPr>
              <w:t>TR-019</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Controlled release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GitOps; staging verification; rollback</w:t>
            </w:r>
          </w:p>
        </w:tc>
      </w:tr>
      <w:tr>
        <w:trPr>
          <w:trHeight w:val="425" w:hRule="atLeast"/>
        </w:trPr>
        <w:tc>
          <w:tcPr>
            <w:tcW w:type="dxa" w:w="1949"/>
            <w:vAlign w:val="center"/>
          </w:tcPr>
          <w:p>
            <w:pPr>
              <w:spacing w:line="276" w:lineRule="auto" w:before="0" w:after="0"/>
            </w:pPr>
            <w:r/>
            <w:r>
              <w:rPr>
                <w:rFonts w:ascii="Figtree" w:hAnsi="Figtree"/>
                <w:b w:val="0"/>
                <w:i w:val="0"/>
                <w:sz w:val="20"/>
              </w:rPr>
              <w:t>TR-020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Runbooks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5 deliverable</w:t>
            </w:r>
          </w:p>
        </w:tc>
      </w:tr>
      <w:tr>
        <w:trPr>
          <w:trHeight w:val="425" w:hRule="atLeast"/>
        </w:trPr>
        <w:tc>
          <w:tcPr>
            <w:tcW w:type="dxa" w:w="1949"/>
            <w:vAlign w:val="center"/>
          </w:tcPr>
          <w:p>
            <w:pPr>
              <w:spacing w:line="276" w:lineRule="auto" w:before="0" w:after="0"/>
            </w:pPr>
            <w:r/>
            <w:r>
              <w:rPr>
                <w:rFonts w:ascii="Figtree" w:hAnsi="Figtree"/>
                <w:b w:val="0"/>
                <w:i w:val="0"/>
                <w:sz w:val="20"/>
              </w:rPr>
              <w:t>TR-021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Performance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4 load testing</w:t>
            </w:r>
          </w:p>
        </w:tc>
      </w:tr>
      <w:tr>
        <w:trPr>
          <w:trHeight w:val="425" w:hRule="atLeast"/>
        </w:trPr>
        <w:tc>
          <w:tcPr>
            <w:tcW w:type="dxa" w:w="1949"/>
            <w:vAlign w:val="center"/>
          </w:tcPr>
          <w:p>
            <w:pPr>
              <w:spacing w:line="276" w:lineRule="auto" w:before="0" w:after="0"/>
            </w:pPr>
            <w:r/>
            <w:r>
              <w:rPr>
                <w:rFonts w:ascii="Figtree" w:hAnsi="Figtree"/>
                <w:b w:val="0"/>
                <w:i w:val="0"/>
                <w:sz w:val="20"/>
              </w:rPr>
              <w:t>TR-022</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Config freeze, emergency access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EMERGENCY role; config freeze procedure</w:t>
            </w:r>
          </w:p>
        </w:tc>
      </w:tr>
      <w:tr>
        <w:trPr>
          <w:trHeight w:val="425" w:hRule="atLeast"/>
        </w:trPr>
        <w:tc>
          <w:tcPr>
            <w:tcW w:type="dxa" w:w="1949"/>
            <w:vAlign w:val="center"/>
          </w:tcPr>
          <w:p>
            <w:pPr>
              <w:spacing w:line="276" w:lineRule="auto" w:before="0" w:after="0"/>
            </w:pPr>
            <w:r/>
            <w:r>
              <w:rPr>
                <w:rFonts w:ascii="Figtree" w:hAnsi="Figtree"/>
                <w:b w:val="0"/>
                <w:i w:val="0"/>
                <w:sz w:val="20"/>
              </w:rPr>
              <w:t>TR-023</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IAM, role separation, least privilege, PAM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26 roles; on-chain AccessManager; wallet verification</w:t>
            </w:r>
          </w:p>
        </w:tc>
      </w:tr>
      <w:tr>
        <w:trPr>
          <w:trHeight w:val="425" w:hRule="atLeast"/>
        </w:trPr>
        <w:tc>
          <w:tcPr>
            <w:tcW w:type="dxa" w:w="1949"/>
            <w:vAlign w:val="center"/>
          </w:tcPr>
          <w:p>
            <w:pPr>
              <w:spacing w:line="276" w:lineRule="auto" w:before="0" w:after="0"/>
            </w:pPr>
            <w:r/>
            <w:r>
              <w:rPr>
                <w:rFonts w:ascii="Figtree" w:hAnsi="Figtree"/>
                <w:b w:val="0"/>
                <w:i w:val="0"/>
                <w:sz w:val="20"/>
              </w:rPr>
              <w:t>TR-024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Encryption at rest and in transit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TLS 1.3; AES-256; HSM</w:t>
            </w:r>
          </w:p>
        </w:tc>
      </w:tr>
      <w:tr>
        <w:trPr>
          <w:trHeight w:val="425" w:hRule="atLeast"/>
        </w:trPr>
        <w:tc>
          <w:tcPr>
            <w:tcW w:type="dxa" w:w="1949"/>
            <w:vAlign w:val="center"/>
          </w:tcPr>
          <w:p>
            <w:pPr>
              <w:spacing w:line="276" w:lineRule="auto" w:before="0" w:after="0"/>
            </w:pPr>
            <w:r/>
            <w:r>
              <w:rPr>
                <w:rFonts w:ascii="Figtree" w:hAnsi="Figtree"/>
                <w:b w:val="0"/>
                <w:i w:val="0"/>
                <w:sz w:val="20"/>
              </w:rPr>
              <w:t>TR-025</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SIEM integration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JSON/CEF event export; webhooks</w:t>
            </w:r>
          </w:p>
        </w:tc>
      </w:tr>
      <w:tr>
        <w:trPr>
          <w:trHeight w:val="425" w:hRule="atLeast"/>
        </w:trPr>
        <w:tc>
          <w:tcPr>
            <w:tcW w:type="dxa" w:w="1949"/>
            <w:vAlign w:val="center"/>
          </w:tcPr>
          <w:p>
            <w:pPr>
              <w:spacing w:line="276" w:lineRule="auto" w:before="0" w:after="0"/>
            </w:pPr>
            <w:r/>
            <w:r>
              <w:rPr>
                <w:rFonts w:ascii="Figtree" w:hAnsi="Figtree"/>
                <w:b w:val="0"/>
                <w:i w:val="0"/>
                <w:sz w:val="20"/>
              </w:rPr>
              <w:t>TR-026</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Vulnerability management, patch governance, SBOM</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CVE monitoring; critical patches 24h; SBOM per release</w:t>
            </w:r>
          </w:p>
        </w:tc>
      </w:tr>
      <w:tr>
        <w:trPr>
          <w:trHeight w:val="425" w:hRule="atLeast"/>
        </w:trPr>
        <w:tc>
          <w:tcPr>
            <w:tcW w:type="dxa" w:w="1949"/>
            <w:vAlign w:val="center"/>
          </w:tcPr>
          <w:p>
            <w:pPr>
              <w:spacing w:line="276" w:lineRule="auto" w:before="0" w:after="0"/>
            </w:pPr>
            <w:r/>
            <w:r>
              <w:rPr>
                <w:rFonts w:ascii="Figtree" w:hAnsi="Figtree"/>
                <w:b w:val="0"/>
                <w:i w:val="0"/>
                <w:sz w:val="20"/>
              </w:rPr>
              <w:t>TR-027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Secure development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Peer review; SAST; change approval</w:t>
            </w:r>
          </w:p>
        </w:tc>
      </w:tr>
      <w:tr>
        <w:trPr>
          <w:trHeight w:val="425" w:hRule="atLeast"/>
        </w:trPr>
        <w:tc>
          <w:tcPr>
            <w:tcW w:type="dxa" w:w="1949"/>
            <w:vAlign w:val="center"/>
          </w:tcPr>
          <w:p>
            <w:pPr>
              <w:spacing w:line="276" w:lineRule="auto" w:before="0" w:after="0"/>
            </w:pPr>
            <w:r/>
            <w:r>
              <w:rPr>
                <w:rFonts w:ascii="Figtree" w:hAnsi="Figtree"/>
                <w:b w:val="0"/>
                <w:i w:val="0"/>
                <w:sz w:val="20"/>
              </w:rPr>
              <w:t>TR-028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Data classification, retention, deletion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MiFID II 5-year minimum retention; GDPR</w:t>
            </w:r>
          </w:p>
        </w:tc>
      </w:tr>
      <w:tr>
        <w:trPr>
          <w:trHeight w:val="425" w:hRule="atLeast"/>
        </w:trPr>
        <w:tc>
          <w:tcPr>
            <w:tcW w:type="dxa" w:w="1949"/>
            <w:vAlign w:val="center"/>
          </w:tcPr>
          <w:p>
            <w:pPr>
              <w:spacing w:line="276" w:lineRule="auto" w:before="0" w:after="0"/>
            </w:pPr>
            <w:r/>
            <w:r>
              <w:rPr>
                <w:rFonts w:ascii="Figtree" w:hAnsi="Figtree"/>
                <w:b w:val="0"/>
                <w:i w:val="0"/>
                <w:sz w:val="20"/>
              </w:rPr>
              <w:t>TR-029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Incident notification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4-hour BaFin notification for P1; DORA ICT classification</w:t>
            </w:r>
          </w:p>
        </w:tc>
      </w:tr>
      <w:tr>
        <w:trPr>
          <w:trHeight w:val="425" w:hRule="atLeast"/>
        </w:trPr>
        <w:tc>
          <w:tcPr>
            <w:tcW w:type="dxa" w:w="1949"/>
            <w:vAlign w:val="center"/>
          </w:tcPr>
          <w:p>
            <w:pPr>
              <w:spacing w:line="276" w:lineRule="auto" w:before="0" w:after="0"/>
            </w:pPr>
            <w:r/>
            <w:r>
              <w:rPr>
                <w:rFonts w:ascii="Figtree" w:hAnsi="Figtree"/>
                <w:b w:val="0"/>
                <w:i w:val="0"/>
                <w:sz w:val="20"/>
              </w:rPr>
              <w:t>TR-030</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Network segmentation, API protection, certificate lifecycle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Kubernetes NetworkPolicies; cert-manager; secrets KMS</w:t>
            </w:r>
          </w:p>
        </w:tc>
      </w:tr>
      <w:tr>
        <w:trPr>
          <w:trHeight w:val="425" w:hRule="atLeast"/>
        </w:trPr>
        <w:tc>
          <w:tcPr>
            <w:tcW w:type="dxa" w:w="1949"/>
            <w:vAlign w:val="center"/>
          </w:tcPr>
          <w:p>
            <w:pPr>
              <w:spacing w:line="276" w:lineRule="auto" w:before="0" w:after="0"/>
            </w:pPr>
            <w:r/>
            <w:r>
              <w:rPr>
                <w:rFonts w:ascii="Figtree" w:hAnsi="Figtree"/>
                <w:b w:val="0"/>
                <w:i w:val="0"/>
                <w:sz w:val="20"/>
              </w:rPr>
              <w:t>TR-031</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DoS/replay/duplicate/operator error resilience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Rate limiting; idempotency; durable execution; maker-checker</w:t>
            </w:r>
          </w:p>
        </w:tc>
      </w:tr>
      <w:tr>
        <w:trPr>
          <w:trHeight w:val="425" w:hRule="atLeast"/>
        </w:trPr>
        <w:tc>
          <w:tcPr>
            <w:tcW w:type="dxa" w:w="1949"/>
            <w:vAlign w:val="center"/>
          </w:tcPr>
          <w:p>
            <w:pPr>
              <w:spacing w:line="276" w:lineRule="auto" w:before="0" w:after="0"/>
            </w:pPr>
            <w:r/>
            <w:r>
              <w:rPr>
                <w:rFonts w:ascii="Figtree" w:hAnsi="Figtree"/>
                <w:b w:val="0"/>
                <w:i w:val="0"/>
                <w:sz w:val="20"/>
              </w:rPr>
              <w:t>TR-032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risk management</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Subcontractor disclosure; SBOM;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Penetration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Annual third-party; reports under NDA</w:t>
            </w:r>
          </w:p>
        </w:tc>
      </w:tr>
      <w:tr>
        <w:trPr>
          <w:trHeight w:val="425" w:hRule="atLeast"/>
        </w:trPr>
        <w:tc>
          <w:tcPr>
            <w:tcW w:type="dxa" w:w="1949"/>
            <w:vAlign w:val="center"/>
          </w:tcPr>
          <w:p>
            <w:pPr>
              <w:spacing w:line="276" w:lineRule="auto" w:before="0" w:after="0"/>
            </w:pPr>
            <w:r/>
            <w:r>
              <w:rPr>
                <w:rFonts w:ascii="Figtree" w:hAnsi="Figtree"/>
                <w:b w:val="0"/>
                <w:i w:val="0"/>
                <w:sz w:val="20"/>
              </w:rPr>
              <w:t>TR-034</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Cryptographic agility, key rotation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Algorithm configurable; key rotation without disruption</w:t>
            </w:r>
          </w:p>
        </w:tc>
      </w:tr>
      <w:tr>
        <w:trPr>
          <w:trHeight w:val="425" w:hRule="atLeast"/>
        </w:trPr>
        <w:tc>
          <w:tcPr>
            <w:tcW w:type="dxa" w:w="1949"/>
            <w:vAlign w:val="center"/>
          </w:tcPr>
          <w:p>
            <w:pPr>
              <w:spacing w:line="276" w:lineRule="auto" w:before="0" w:after="0"/>
            </w:pPr>
            <w:r/>
            <w:r>
              <w:rPr>
                <w:rFonts w:ascii="Figtree" w:hAnsi="Figtree"/>
                <w:b w:val="0"/>
                <w:i w:val="0"/>
                <w:sz w:val="20"/>
              </w:rPr>
              <w:t>TR-035</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Delivery plan with milestones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32-week plan; 6 phases; gate criteria</w:t>
            </w:r>
          </w:p>
        </w:tc>
      </w:tr>
      <w:tr>
        <w:trPr>
          <w:trHeight w:val="425" w:hRule="atLeast"/>
        </w:trPr>
        <w:tc>
          <w:tcPr>
            <w:tcW w:type="dxa" w:w="1949"/>
            <w:vAlign w:val="center"/>
          </w:tcPr>
          <w:p>
            <w:pPr>
              <w:spacing w:line="276" w:lineRule="auto" w:before="0" w:after="0"/>
            </w:pPr>
            <w:r/>
            <w:r>
              <w:rPr>
                <w:rFonts w:ascii="Figtree" w:hAnsi="Figtree"/>
                <w:b w:val="0"/>
                <w:i w:val="0"/>
                <w:sz w:val="20"/>
              </w:rPr>
              <w:t>TR-036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Buyer dependencies documented</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RACI; dependency register</w:t>
            </w:r>
          </w:p>
        </w:tc>
      </w:tr>
      <w:tr>
        <w:trPr>
          <w:trHeight w:val="425" w:hRule="atLeast"/>
        </w:trPr>
        <w:tc>
          <w:tcPr>
            <w:tcW w:type="dxa" w:w="1949"/>
            <w:vAlign w:val="center"/>
          </w:tcPr>
          <w:p>
            <w:pPr>
              <w:spacing w:line="276" w:lineRule="auto" w:before="0" w:after="0"/>
            </w:pPr>
            <w:r/>
            <w:r>
              <w:rPr>
                <w:rFonts w:ascii="Figtree" w:hAnsi="Figtree"/>
                <w:b w:val="0"/>
                <w:i w:val="0"/>
                <w:sz w:val="20"/>
              </w:rPr>
              <w:t>TR-037</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Migration approach</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Participant onboarding; data migration; cutover runbook</w:t>
            </w:r>
          </w:p>
        </w:tc>
      </w:tr>
      <w:tr>
        <w:trPr>
          <w:trHeight w:val="425" w:hRule="atLeast"/>
        </w:trPr>
        <w:tc>
          <w:tcPr>
            <w:tcW w:type="dxa" w:w="1949"/>
            <w:vAlign w:val="center"/>
          </w:tcPr>
          <w:p>
            <w:pPr>
              <w:spacing w:line="276" w:lineRule="auto" w:before="0" w:after="0"/>
            </w:pPr>
            <w:r/>
            <w:r>
              <w:rPr>
                <w:rFonts w:ascii="Figtree" w:hAnsi="Figtree"/>
                <w:b w:val="0"/>
                <w:i w:val="0"/>
                <w:sz w:val="20"/>
              </w:rPr>
              <w:t>TR-038</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Structured testing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Functional, security, performance, DR, UAT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TR-039</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Training materials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Three tracks in Phase 6</w:t>
            </w:r>
          </w:p>
        </w:tc>
      </w:tr>
      <w:tr>
        <w:trPr>
          <w:trHeight w:val="425" w:hRule="atLeast"/>
        </w:trPr>
        <w:tc>
          <w:tcPr>
            <w:tcW w:type="dxa" w:w="1949"/>
            <w:vAlign w:val="center"/>
          </w:tcPr>
          <w:p>
            <w:pPr>
              <w:spacing w:line="276" w:lineRule="auto" w:before="0" w:after="0"/>
            </w:pPr>
            <w:r/>
            <w:r>
              <w:rPr>
                <w:rFonts w:ascii="Figtree" w:hAnsi="Figtree"/>
                <w:b w:val="0"/>
                <w:i w:val="0"/>
                <w:sz w:val="20"/>
              </w:rPr>
              <w:t>TR-040</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Service transition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Phase 6 hypercare deliverables</w:t>
            </w:r>
          </w:p>
        </w:tc>
      </w:tr>
      <w:tr>
        <w:trPr>
          <w:trHeight w:val="425" w:hRule="atLeast"/>
        </w:trPr>
        <w:tc>
          <w:tcPr>
            <w:tcW w:type="dxa" w:w="1949"/>
            <w:vAlign w:val="center"/>
          </w:tcPr>
          <w:p>
            <w:pPr>
              <w:spacing w:line="276" w:lineRule="auto" w:before="0" w:after="0"/>
            </w:pPr>
            <w:r/>
            <w:r>
              <w:rPr>
                <w:rFonts w:ascii="Figtree" w:hAnsi="Figtree"/>
                <w:b w:val="0"/>
                <w:i w:val="0"/>
                <w:sz w:val="20"/>
              </w:rPr>
              <w:t>TR-041</w:t>
            </w:r>
          </w:p>
        </w:tc>
        <w:tc>
          <w:tcPr>
            <w:tcW w:type="dxa" w:w="1949"/>
            <w:vAlign w:val="center"/>
          </w:tcPr>
          <w:p>
            <w:pPr>
              <w:spacing w:line="276" w:lineRule="auto" w:before="0" w:after="0"/>
            </w:pPr>
            <w:r/>
            <w:r>
              <w:rPr>
                <w:rFonts w:ascii="Figtree" w:hAnsi="Figtree"/>
                <w:b w:val="0"/>
                <w:i w:val="0"/>
                <w:sz w:val="20"/>
              </w:rPr>
              <w:t>P1</w:t>
            </w:r>
          </w:p>
        </w:tc>
        <w:tc>
          <w:tcPr>
            <w:tcW w:type="dxa" w:w="1949"/>
            <w:vAlign w:val="center"/>
          </w:tcPr>
          <w:p>
            <w:pPr>
              <w:spacing w:line="276" w:lineRule="auto" w:before="0" w:after="0"/>
            </w:pPr>
            <w:r/>
            <w:r>
              <w:rPr>
                <w:rFonts w:ascii="Figtree" w:hAnsi="Figtree"/>
                <w:b w:val="0"/>
                <w:i w:val="0"/>
                <w:sz w:val="20"/>
              </w:rPr>
              <w:t>Governance forums, reporting, escalation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Programme Board; Working Group; issue log</w:t>
            </w:r>
          </w:p>
        </w:tc>
      </w:tr>
      <w:tr>
        <w:trPr>
          <w:trHeight w:val="425" w:hRule="atLeast"/>
        </w:trPr>
        <w:tc>
          <w:tcPr>
            <w:tcW w:type="dxa" w:w="1949"/>
            <w:vAlign w:val="center"/>
          </w:tcPr>
          <w:p>
            <w:pPr>
              <w:spacing w:line="276" w:lineRule="auto" w:before="0" w:after="0"/>
            </w:pPr>
            <w:r/>
            <w:r>
              <w:rPr>
                <w:rFonts w:ascii="Figtree" w:hAnsi="Figtree"/>
                <w:b w:val="0"/>
                <w:i w:val="0"/>
                <w:sz w:val="20"/>
              </w:rPr>
              <w:t>TR-042</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Third-party connectivity assumptions</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Assumptions register Phase 1</w:t>
            </w:r>
          </w:p>
        </w:tc>
      </w:tr>
      <w:tr>
        <w:trPr>
          <w:trHeight w:val="425" w:hRule="atLeast"/>
        </w:trPr>
        <w:tc>
          <w:tcPr>
            <w:tcW w:type="dxa" w:w="1949"/>
            <w:vAlign w:val="center"/>
          </w:tcPr>
          <w:p>
            <w:pPr>
              <w:spacing w:line="276" w:lineRule="auto" w:before="0" w:after="0"/>
            </w:pPr>
            <w:r/>
            <w:r>
              <w:rPr>
                <w:rFonts w:ascii="Figtree" w:hAnsi="Figtree"/>
                <w:b w:val="0"/>
                <w:i w:val="0"/>
                <w:sz w:val="20"/>
              </w:rPr>
              <w:t>TR-043</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Rollback and contingency</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Tested in Phase 4</w:t>
            </w:r>
          </w:p>
        </w:tc>
      </w:tr>
      <w:tr>
        <w:trPr>
          <w:trHeight w:val="425" w:hRule="atLeast"/>
        </w:trPr>
        <w:tc>
          <w:tcPr>
            <w:tcW w:type="dxa" w:w="1949"/>
            <w:vAlign w:val="center"/>
          </w:tcPr>
          <w:p>
            <w:pPr>
              <w:spacing w:line="276" w:lineRule="auto" w:before="0" w:after="0"/>
            </w:pPr>
            <w:r/>
            <w:r>
              <w:rPr>
                <w:rFonts w:ascii="Figtree" w:hAnsi="Figtree"/>
                <w:b w:val="0"/>
                <w:i w:val="0"/>
                <w:sz w:val="20"/>
              </w:rPr>
              <w:t>TR-044</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Parallel running</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parallel run Phase 5</w:t>
            </w:r>
          </w:p>
        </w:tc>
      </w:tr>
      <w:tr>
        <w:trPr>
          <w:trHeight w:val="425" w:hRule="atLeast"/>
        </w:trPr>
        <w:tc>
          <w:tcPr>
            <w:tcW w:type="dxa" w:w="1949"/>
            <w:vAlign w:val="center"/>
          </w:tcPr>
          <w:p>
            <w:pPr>
              <w:spacing w:line="276" w:lineRule="auto" w:before="0" w:after="0"/>
            </w:pPr>
            <w:r/>
            <w:r>
              <w:rPr>
                <w:rFonts w:ascii="Figtree" w:hAnsi="Figtree"/>
                <w:b w:val="0"/>
                <w:i w:val="0"/>
                <w:sz w:val="20"/>
              </w:rPr>
              <w:t>TR-045</w:t>
            </w:r>
          </w:p>
        </w:tc>
        <w:tc>
          <w:tcPr>
            <w:tcW w:type="dxa" w:w="1949"/>
            <w:vAlign w:val="center"/>
          </w:tcPr>
          <w:p>
            <w:pPr>
              <w:spacing w:line="276" w:lineRule="auto" w:before="0" w:after="0"/>
            </w:pPr>
            <w:r/>
            <w:r>
              <w:rPr>
                <w:rFonts w:ascii="Figtree" w:hAnsi="Figtree"/>
                <w:b w:val="0"/>
                <w:i w:val="0"/>
                <w:sz w:val="20"/>
              </w:rPr>
              <w:t>P2</w:t>
            </w:r>
          </w:p>
        </w:tc>
        <w:tc>
          <w:tcPr>
            <w:tcW w:type="dxa" w:w="1949"/>
            <w:vAlign w:val="center"/>
          </w:tcPr>
          <w:p>
            <w:pPr>
              <w:spacing w:line="276" w:lineRule="auto" w:before="0" w:after="0"/>
            </w:pPr>
            <w:r/>
            <w:r>
              <w:rPr>
                <w:rFonts w:ascii="Figtree" w:hAnsi="Figtree"/>
                <w:b w:val="0"/>
                <w:i w:val="0"/>
                <w:sz w:val="20"/>
              </w:rPr>
              <w:t>Hypercare and stabilization</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3-week hypercare Phase 6</w:t>
            </w:r>
          </w:p>
        </w:tc>
      </w:tr>
      <w:tr>
        <w:trPr>
          <w:trHeight w:val="425" w:hRule="atLeast"/>
        </w:trPr>
        <w:tc>
          <w:tcPr>
            <w:tcW w:type="dxa" w:w="1949"/>
            <w:vAlign w:val="center"/>
          </w:tcPr>
          <w:p>
            <w:pPr>
              <w:spacing w:line="276" w:lineRule="auto" w:before="0" w:after="0"/>
            </w:pPr>
            <w:r/>
            <w:r>
              <w:rPr>
                <w:rFonts w:ascii="Figtree" w:hAnsi="Figtree"/>
                <w:b w:val="0"/>
                <w:i w:val="0"/>
                <w:sz w:val="20"/>
              </w:rPr>
              <w:t>TR-046</w:t>
            </w:r>
          </w:p>
        </w:tc>
        <w:tc>
          <w:tcPr>
            <w:tcW w:type="dxa" w:w="1949"/>
            <w:vAlign w:val="center"/>
          </w:tcPr>
          <w:p>
            <w:pPr>
              <w:spacing w:line="276" w:lineRule="auto" w:before="0" w:after="0"/>
            </w:pPr>
            <w:r/>
            <w:r>
              <w:rPr>
                <w:rFonts w:ascii="Figtree" w:hAnsi="Figtree"/>
                <w:b w:val="0"/>
                <w:i w:val="0"/>
                <w:sz w:val="20"/>
              </w:rPr>
              <w:t>P3</w:t>
            </w:r>
          </w:p>
        </w:tc>
        <w:tc>
          <w:tcPr>
            <w:tcW w:type="dxa" w:w="1949"/>
            <w:vAlign w:val="center"/>
          </w:tcPr>
          <w:p>
            <w:pPr>
              <w:spacing w:line="276" w:lineRule="auto" w:before="0" w:after="0"/>
            </w:pPr>
            <w:r/>
            <w:r>
              <w:rPr>
                <w:rFonts w:ascii="Figtree" w:hAnsi="Figtree"/>
                <w:b w:val="0"/>
                <w:i w:val="0"/>
                <w:sz w:val="20"/>
              </w:rPr>
              <w:t>Roadmap governance</w:t>
            </w:r>
          </w:p>
        </w:tc>
        <w:tc>
          <w:tcPr>
            <w:tcW w:type="dxa" w:w="1949"/>
            <w:vAlign w:val="center"/>
          </w:tcPr>
          <w:p>
            <w:pPr>
              <w:spacing w:line="276" w:lineRule="auto" w:before="0" w:after="0"/>
            </w:pPr>
            <w:r/>
            <w:r>
              <w:rPr>
                <w:rFonts w:ascii="Figtree" w:hAnsi="Figtree"/>
                <w:b w:val="0"/>
                <w:i w:val="0"/>
                <w:sz w:val="20"/>
              </w:rPr>
              <w:t>Full</w:t>
            </w:r>
          </w:p>
        </w:tc>
        <w:tc>
          <w:tcPr>
            <w:tcW w:type="dxa" w:w="1949"/>
            <w:vAlign w:val="center"/>
          </w:tcPr>
          <w:p>
            <w:pPr>
              <w:spacing w:line="276" w:lineRule="auto" w:before="0" w:after="0"/>
            </w:pPr>
            <w:r/>
            <w:r>
              <w:rPr>
                <w:rFonts w:ascii="Figtree" w:hAnsi="Figtree"/>
                <w:b w:val="0"/>
                <w:i w:val="0"/>
                <w:sz w:val="20"/>
              </w:rPr>
              <w:t>Committed vs exploratory clearly distinguished</w:t>
            </w:r>
          </w:p>
        </w:tc>
      </w:tr>
    </w:tbl>
    <w:p>
      <w:pPr>
        <w:spacing w:before="0" w:after="0" w:line="120" w:lineRule="exact"/>
      </w:pPr>
    </w:p>
    <w:p>
      <w:r>
        <w:rPr>
          <w:rFonts w:ascii="Figtree" w:hAnsi="Figtree"/>
          <w:b/>
          <w:i w:val="0"/>
          <w:sz w:val="22"/>
        </w:rPr>
        <w:t>Regulatory Requirements:</w:t>
      </w:r>
    </w:p>
    <w:tbl>
      <w:tblPr>
        <w:tblStyle w:val="TableGrid"/>
        <w:tblW w:type="auto" w:w="0"/>
        <w:jc w:val="center"/>
        <w:tblLook w:firstColumn="1" w:firstRow="1" w:lastColumn="0" w:lastRow="0" w:noHBand="0" w:noVBand="1" w:val="04A0"/>
        <w:tblBorders>
          <w:top w:val="single" w:sz="4" w:space="0" w:color="C4B4D8"/>
          <w:left w:val="single" w:sz="4" w:space="0" w:color="C4B4D8"/>
          <w:bottom w:val="single" w:sz="4" w:space="0" w:color="C4B4D8"/>
          <w:right w:val="single" w:sz="4" w:space="0" w:color="C4B4D8"/>
          <w:insideH w:val="single" w:sz="4" w:space="0" w:color="C4B4D8"/>
          <w:insideV w:val="single" w:sz="4" w:space="0" w:color="C4B4D8"/>
        </w:tblBorders>
        <w:tblCellMar>
          <w:top w:w="58" w:type="dxa"/>
          <w:bottom w:w="58" w:type="dxa"/>
          <w:left w:w="58" w:type="dxa"/>
          <w:right w:w="58" w:type="dxa"/>
        </w:tblCellMar>
      </w:tblPr>
      <w:tblGrid>
        <w:gridCol w:w="959"/>
        <w:gridCol w:w="954"/>
        <w:gridCol w:w="7157"/>
      </w:tblGrid>
      <w:tr>
        <w:trPr>
          <w:trHeight w:val="425" w:hRule="atLeast"/>
        </w:trPr>
        <w:tc>
          <w:tcPr>
            <w:tcW w:type="dxa" w:w="3249"/>
            <w:vAlign w:val="center"/>
            <w:shd w:fill="E8E0F0" w:val="clear"/>
          </w:tcPr>
          <w:p>
            <w:pPr>
              <w:spacing w:line="276" w:lineRule="auto" w:before="0" w:after="0"/>
              <w:jc w:val="left"/>
            </w:pPr>
            <w:r>
              <w:rPr>
                <w:b/>
                <w:color w:val="2D1A8C"/>
              </w:rPr>
            </w:r>
            <w:r>
              <w:rPr>
                <w:rFonts w:ascii="Figtree" w:hAnsi="Figtree"/>
                <w:b/>
                <w:i w:val="0"/>
                <w:color w:val="2D1A8C"/>
                <w:sz w:val="20"/>
              </w:rPr>
              <w:t>ID</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Status</w:t>
            </w:r>
          </w:p>
        </w:tc>
        <w:tc>
          <w:tcPr>
            <w:tcW w:type="dxa" w:w="3249"/>
            <w:vAlign w:val="center"/>
            <w:shd w:fill="E8E0F0" w:val="clear"/>
          </w:tcPr>
          <w:p>
            <w:pPr>
              <w:spacing w:line="276" w:lineRule="auto" w:before="0" w:after="0"/>
              <w:jc w:val="center"/>
            </w:pPr>
            <w:r>
              <w:rPr>
                <w:b/>
                <w:color w:val="2D1A8C"/>
              </w:rPr>
            </w:r>
            <w:r>
              <w:rPr>
                <w:rFonts w:ascii="Figtree" w:hAnsi="Figtree"/>
                <w:b/>
                <w:i w:val="0"/>
                <w:color w:val="2D1A8C"/>
                <w:sz w:val="20"/>
              </w:rPr>
              <w:t>Notes</w:t>
            </w:r>
          </w:p>
        </w:tc>
      </w:tr>
      <w:tr>
        <w:trPr>
          <w:trHeight w:val="425" w:hRule="atLeast"/>
        </w:trPr>
        <w:tc>
          <w:tcPr>
            <w:tcW w:type="dxa" w:w="3249"/>
            <w:vAlign w:val="center"/>
          </w:tcPr>
          <w:p>
            <w:pPr>
              <w:spacing w:line="276" w:lineRule="auto" w:before="0" w:after="0"/>
            </w:pPr>
            <w:r/>
            <w:r>
              <w:rPr>
                <w:rFonts w:ascii="Figtree" w:hAnsi="Figtree"/>
                <w:b w:val="0"/>
                <w:i w:val="0"/>
                <w:sz w:val="20"/>
              </w:rPr>
              <w:t>REG-001</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MiFID II/MiFIR, DORA, GDPR, AMLD, MiCA framework mapping</w:t>
            </w:r>
          </w:p>
        </w:tc>
      </w:tr>
      <w:tr>
        <w:trPr>
          <w:trHeight w:val="425" w:hRule="atLeast"/>
        </w:trPr>
        <w:tc>
          <w:tcPr>
            <w:tcW w:type="dxa" w:w="3249"/>
            <w:vAlign w:val="center"/>
          </w:tcPr>
          <w:p>
            <w:pPr>
              <w:spacing w:line="276" w:lineRule="auto" w:before="0" w:after="0"/>
            </w:pPr>
            <w:r/>
            <w:r>
              <w:rPr>
                <w:rFonts w:ascii="Figtree" w:hAnsi="Figtree"/>
                <w:b w:val="0"/>
                <w:i w:val="0"/>
                <w:sz w:val="20"/>
              </w:rPr>
              <w:t>REG-002</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 critical ICT designation; control model documented</w:t>
            </w:r>
          </w:p>
        </w:tc>
      </w:tr>
      <w:tr>
        <w:trPr>
          <w:trHeight w:val="425" w:hRule="atLeast"/>
        </w:trPr>
        <w:tc>
          <w:tcPr>
            <w:tcW w:type="dxa" w:w="3249"/>
            <w:vAlign w:val="center"/>
          </w:tcPr>
          <w:p>
            <w:pPr>
              <w:spacing w:line="276" w:lineRule="auto" w:before="0" w:after="0"/>
            </w:pPr>
            <w:r/>
            <w:r>
              <w:rPr>
                <w:rFonts w:ascii="Figtree" w:hAnsi="Figtree"/>
                <w:b w:val="0"/>
                <w:i w:val="0"/>
                <w:sz w:val="20"/>
              </w:rPr>
              <w:t>REG-003</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German data residency; GDPR categories</w:t>
            </w:r>
          </w:p>
        </w:tc>
      </w:tr>
      <w:tr>
        <w:trPr>
          <w:trHeight w:val="425" w:hRule="atLeast"/>
        </w:trPr>
        <w:tc>
          <w:tcPr>
            <w:tcW w:type="dxa" w:w="3249"/>
            <w:vAlign w:val="center"/>
          </w:tcPr>
          <w:p>
            <w:pPr>
              <w:spacing w:line="276" w:lineRule="auto" w:before="0" w:after="0"/>
            </w:pPr>
            <w:r/>
            <w:r>
              <w:rPr>
                <w:rFonts w:ascii="Figtree" w:hAnsi="Figtree"/>
                <w:b w:val="0"/>
                <w:i w:val="0"/>
                <w:sz w:val="20"/>
              </w:rPr>
              <w:t>REG-004</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AUDITOR role; BaFin access via role delegation</w:t>
            </w:r>
          </w:p>
        </w:tc>
      </w:tr>
      <w:tr>
        <w:trPr>
          <w:trHeight w:val="425" w:hRule="atLeast"/>
        </w:trPr>
        <w:tc>
          <w:tcPr>
            <w:tcW w:type="dxa" w:w="3249"/>
            <w:vAlign w:val="center"/>
          </w:tcPr>
          <w:p>
            <w:pPr>
              <w:spacing w:line="276" w:lineRule="auto" w:before="0" w:after="0"/>
            </w:pPr>
            <w:r/>
            <w:r>
              <w:rPr>
                <w:rFonts w:ascii="Figtree" w:hAnsi="Figtree"/>
                <w:b w:val="0"/>
                <w:i w:val="0"/>
                <w:sz w:val="20"/>
              </w:rPr>
              <w:t>REG-005</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DORA-aligned; RTO/RPO; DR drills; TLPT support</w:t>
            </w:r>
          </w:p>
        </w:tc>
      </w:tr>
      <w:tr>
        <w:trPr>
          <w:trHeight w:val="425" w:hRule="atLeast"/>
        </w:trPr>
        <w:tc>
          <w:tcPr>
            <w:tcW w:type="dxa" w:w="3249"/>
            <w:vAlign w:val="center"/>
          </w:tcPr>
          <w:p>
            <w:pPr>
              <w:spacing w:line="276" w:lineRule="auto" w:before="0" w:after="0"/>
            </w:pPr>
            <w:r/>
            <w:r>
              <w:rPr>
                <w:rFonts w:ascii="Figtree" w:hAnsi="Figtree"/>
                <w:b w:val="0"/>
                <w:i w:val="0"/>
                <w:sz w:val="20"/>
              </w:rPr>
              <w:t>REG-006</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OnchainID AML/CFT claims; sanctions integration-dependent</w:t>
            </w:r>
          </w:p>
        </w:tc>
      </w:tr>
      <w:tr>
        <w:trPr>
          <w:trHeight w:val="425" w:hRule="atLeast"/>
        </w:trPr>
        <w:tc>
          <w:tcPr>
            <w:tcW w:type="dxa" w:w="3249"/>
            <w:vAlign w:val="center"/>
          </w:tcPr>
          <w:p>
            <w:pPr>
              <w:spacing w:line="276" w:lineRule="auto" w:before="0" w:after="0"/>
            </w:pPr>
            <w:r/>
            <w:r>
              <w:rPr>
                <w:rFonts w:ascii="Figtree" w:hAnsi="Figtree"/>
                <w:b w:val="0"/>
                <w:i w:val="0"/>
                <w:sz w:val="20"/>
              </w:rPr>
              <w:t>REG-007</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Immutable IBFT 2.0 finality; audit trail</w:t>
            </w:r>
          </w:p>
        </w:tc>
      </w:tr>
      <w:tr>
        <w:trPr>
          <w:trHeight w:val="425" w:hRule="atLeast"/>
        </w:trPr>
        <w:tc>
          <w:tcPr>
            <w:tcW w:type="dxa" w:w="3249"/>
            <w:vAlign w:val="center"/>
          </w:tcPr>
          <w:p>
            <w:pPr>
              <w:spacing w:line="276" w:lineRule="auto" w:before="0" w:after="0"/>
            </w:pPr>
            <w:r/>
            <w:r>
              <w:rPr>
                <w:rFonts w:ascii="Figtree" w:hAnsi="Figtree"/>
                <w:b w:val="0"/>
                <w:i w:val="0"/>
                <w:sz w:val="20"/>
              </w:rPr>
              <w:t>REG-008</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GitOps change governance; BaFin notification plan</w:t>
            </w:r>
          </w:p>
        </w:tc>
      </w:tr>
      <w:tr>
        <w:trPr>
          <w:trHeight w:val="425" w:hRule="atLeast"/>
        </w:trPr>
        <w:tc>
          <w:tcPr>
            <w:tcW w:type="dxa" w:w="3249"/>
            <w:vAlign w:val="center"/>
          </w:tcPr>
          <w:p>
            <w:pPr>
              <w:spacing w:line="276" w:lineRule="auto" w:before="0" w:after="0"/>
            </w:pPr>
            <w:r/>
            <w:r>
              <w:rPr>
                <w:rFonts w:ascii="Figtree" w:hAnsi="Figtree"/>
                <w:b w:val="0"/>
                <w:i w:val="0"/>
                <w:sz w:val="20"/>
              </w:rPr>
              <w:t>REG-009</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MiFID II market integrity; admission enforcement; surveillance export</w:t>
            </w:r>
          </w:p>
        </w:tc>
      </w:tr>
      <w:tr>
        <w:trPr>
          <w:trHeight w:val="425" w:hRule="atLeast"/>
        </w:trPr>
        <w:tc>
          <w:tcPr>
            <w:tcW w:type="dxa" w:w="3249"/>
            <w:vAlign w:val="center"/>
          </w:tcPr>
          <w:p>
            <w:pPr>
              <w:spacing w:line="276" w:lineRule="auto" w:before="0" w:after="0"/>
            </w:pPr>
            <w:r/>
            <w:r>
              <w:rPr>
                <w:rFonts w:ascii="Figtree" w:hAnsi="Figtree"/>
                <w:b w:val="0"/>
                <w:i w:val="0"/>
                <w:sz w:val="20"/>
              </w:rPr>
              <w:t>REG-010</w:t>
            </w:r>
          </w:p>
        </w:tc>
        <w:tc>
          <w:tcPr>
            <w:tcW w:type="dxa" w:w="3249"/>
            <w:vAlign w:val="center"/>
          </w:tcPr>
          <w:p>
            <w:pPr>
              <w:spacing w:line="276" w:lineRule="auto" w:before="0" w:after="0"/>
            </w:pPr>
            <w:r/>
            <w:r>
              <w:rPr>
                <w:rFonts w:ascii="Figtree" w:hAnsi="Figtree"/>
                <w:b w:val="0"/>
                <w:i w:val="0"/>
                <w:sz w:val="20"/>
              </w:rPr>
              <w:t>Full</w:t>
            </w:r>
          </w:p>
        </w:tc>
        <w:tc>
          <w:tcPr>
            <w:tcW w:type="dxa" w:w="3249"/>
            <w:vAlign w:val="center"/>
          </w:tcPr>
          <w:p>
            <w:pPr>
              <w:spacing w:line="276" w:lineRule="auto" w:before="0" w:after="0"/>
            </w:pPr>
            <w:r/>
            <w:r>
              <w:rPr>
                <w:rFonts w:ascii="Figtree" w:hAnsi="Figtree"/>
                <w:b w:val="0"/>
                <w:i w:val="0"/>
                <w:sz w:val="20"/>
              </w:rPr>
              <w:t>Admission and disclosure governance; listing workflow; eWpG considerations</w:t>
            </w:r>
          </w:p>
        </w:tc>
      </w:tr>
    </w:tbl>
    <w:p>
      <w:pPr>
        <w:spacing w:before="0" w:after="0" w:line="120" w:lineRule="exact"/>
      </w:pPr>
    </w:p>
    <w:p>
      <w:r>
        <w:br w:type="page"/>
      </w:r>
    </w:p>
    <w:p>
      <w:r>
        <w:rPr>
          <w:rFonts w:ascii="Figtree" w:hAnsi="Figtree"/>
          <w:b w:val="0"/>
          <w:i/>
          <w:sz w:val="22"/>
        </w:rPr>
        <w:t>Document Classification: SettleMint Confidential</w:t>
      </w:r>
    </w:p>
    <w:p>
      <w:r>
        <w:rPr>
          <w:rFonts w:ascii="Figtree" w:hAnsi="Figtree"/>
          <w:b w:val="0"/>
          <w:i/>
          <w:sz w:val="22"/>
        </w:rPr>
        <w:t>Version 1.0 Draft — March 2026</w:t>
      </w:r>
    </w:p>
    <w:p>
      <w:r>
        <w:rPr>
          <w:rFonts w:ascii="Figtree" w:hAnsi="Figtree"/>
          <w:b w:val="0"/>
          <w:i/>
          <w:sz w:val="22"/>
        </w:rPr>
        <w:t>For Deutsche Börse evaluation purposes only</w:t>
      </w:r>
    </w:p>
    <w:sectPr w:rsidR="00D852BB" w:rsidRPr="00A9690B" w:rsidSect="001F6184">
      <w:headerReference w:type="default" r:id="rId8"/>
      <w:footerReference w:type="default" r:id="rId9"/>
      <w:pgSz w:w="11906" w:h="16838"/>
      <w:pgMar w:top="1440" w:right="1080" w:bottom="1440" w:left="108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6AE061" w14:textId="77777777" w:rsidR="009F4DB8" w:rsidRDefault="009F4DB8" w:rsidP="00D852BB">
      <w:pPr>
        <w:spacing w:after="0" w:line="240" w:lineRule="auto"/>
      </w:pPr>
      <w:r>
        <w:separator/>
      </w:r>
    </w:p>
  </w:endnote>
  <w:endnote w:type="continuationSeparator" w:id="0">
    <w:p w14:paraId="429347AA" w14:textId="77777777" w:rsidR="009F4DB8" w:rsidRDefault="009F4DB8" w:rsidP="00D852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6AAF02" w14:textId="0BD27254" w:rsidR="00E32BFB" w:rsidRPr="0093551D" w:rsidRDefault="00E32BFB" w:rsidP="00E32BFB">
    <w:pPr>
      <w:pStyle w:val="Footer"/>
      <w:tabs>
        <w:tab w:val="clear" w:pos="4513"/>
        <w:tab w:val="clear" w:pos="9026"/>
        <w:tab w:val="center" w:pos="4873"/>
      </w:tabs>
      <w:rPr>
        <w:color w:val="000099"/>
        <w:sz w:val="20"/>
        <w:szCs w:val="20"/>
      </w:rPr>
    </w:pPr>
    <w:r>
      <w:rPr>
        <w:noProof/>
      </w:rPr>
      <mc:AlternateContent>
        <mc:Choice Requires="wps">
          <w:drawing>
            <wp:anchor distT="0" distB="0" distL="114300" distR="114300" simplePos="0" relativeHeight="251663360" behindDoc="0" locked="0" layoutInCell="1" allowOverlap="1" wp14:anchorId="1073185A" wp14:editId="2A79EDDE">
              <wp:simplePos x="0" y="0"/>
              <wp:positionH relativeFrom="page">
                <wp:posOffset>-66675</wp:posOffset>
              </wp:positionH>
              <wp:positionV relativeFrom="paragraph">
                <wp:posOffset>-181610</wp:posOffset>
              </wp:positionV>
              <wp:extent cx="7884000" cy="0"/>
              <wp:effectExtent l="0" t="0" r="0" b="0"/>
              <wp:wrapNone/>
              <wp:docPr id="885456621"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33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FBE3D7E" id="Straight Connector 9" o:spid="_x0000_s1026" style="position:absolute;flip:y;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5.25pt,-14.3pt" to="615.55pt,-14.3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" strokecolor="#039" strokeweight=".5pt">
              <v:stroke joinstyle="miter"/>
              <w10:wrap anchorx="page"/>
            </v:line>
          </w:pict>
        </mc:Fallback>
      </mc:AlternateContent>
    </w:r>
    <w:r w:rsidRPr="00E32BFB">
      <w:rPr>
        <w:sz w:val="20"/>
        <w:szCs w:val="20"/>
      </w:rPr>
      <w:ptab w:relativeTo="margin" w:alignment="center" w:leader="none"/>
    </w:r>
    <w:r w:rsidRPr="0093551D">
      <w:rPr>
        <w:color w:val="0E2841" w:themeColor="text2"/>
        <w:sz w:val="20"/>
        <w:szCs w:val="20"/>
      </w:rPr>
      <w:t>SettleMint Confidential, All Rights Reserved</w:t>
    </w:r>
    <w:r w:rsidRPr="0093551D">
      <w:rPr>
        <w:color w:val="0E2841" w:themeColor="text2"/>
        <w:sz w:val="20"/>
        <w:szCs w:val="20"/>
      </w:rPr>
      <w:ptab w:relativeTo="margin" w:alignment="right" w:leader="none"/>
    </w:r>
    <w:r w:rsidRPr="0093551D">
      <w:rPr>
        <w:color w:val="0E2841" w:themeColor="text2"/>
        <w:sz w:val="20"/>
        <w:szCs w:val="20"/>
      </w:rPr>
      <w:fldChar w:fldCharType="begin"/>
    </w:r>
    <w:r w:rsidRPr="0093551D">
      <w:rPr>
        <w:color w:val="0E2841" w:themeColor="text2"/>
        <w:sz w:val="20"/>
        <w:szCs w:val="20"/>
      </w:rPr>
      <w:instrText xml:space="preserve"> PAGE   \* MERGEFORMAT </w:instrText>
    </w:r>
    <w:r w:rsidRPr="0093551D">
      <w:rPr>
        <w:color w:val="0E2841" w:themeColor="text2"/>
        <w:sz w:val="20"/>
        <w:szCs w:val="20"/>
      </w:rPr>
      <w:fldChar w:fldCharType="separate"/>
    </w:r>
    <w:r w:rsidRPr="0093551D">
      <w:rPr>
        <w:noProof/>
        <w:color w:val="0E2841" w:themeColor="text2"/>
        <w:sz w:val="20"/>
        <w:szCs w:val="20"/>
      </w:rPr>
      <w:t>1</w:t>
    </w:r>
    <w:r w:rsidRPr="0093551D">
      <w:rPr>
        <w:noProof/>
        <w:color w:val="0E2841" w:themeColor="text2"/>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CD5B74" w14:textId="77777777" w:rsidR="009F4DB8" w:rsidRDefault="009F4DB8" w:rsidP="00D852BB">
      <w:pPr>
        <w:spacing w:after="0" w:line="240" w:lineRule="auto"/>
      </w:pPr>
      <w:r>
        <w:separator/>
      </w:r>
    </w:p>
  </w:footnote>
  <w:footnote w:type="continuationSeparator" w:id="0">
    <w:p w14:paraId="62AEAD1A" w14:textId="77777777" w:rsidR="009F4DB8" w:rsidRDefault="009F4DB8" w:rsidP="00D852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B648D1" w14:textId="77777777" w:rsidR="00D852BB" w:rsidRDefault="00E32BFB">
    <w:pPr>
      <w:pStyle w:val="Header"/>
    </w:pPr>
    <w:r>
      <w:rPr>
        <w:noProof/>
      </w:rPr>
      <w:drawing>
        <wp:anchor distT="0" distB="0" distL="114300" distR="114300" simplePos="0" relativeHeight="251659264" behindDoc="0" locked="0" layoutInCell="1" allowOverlap="1" wp14:anchorId="633C2A67" wp14:editId="4494BAB8">
          <wp:simplePos x="0" y="0"/>
          <wp:positionH relativeFrom="margin">
            <wp:posOffset>5257165</wp:posOffset>
          </wp:positionH>
          <wp:positionV relativeFrom="paragraph">
            <wp:posOffset>-209550</wp:posOffset>
          </wp:positionV>
          <wp:extent cx="914400" cy="305435"/>
          <wp:effectExtent l="0" t="0" r="0" b="0"/>
          <wp:wrapSquare wrapText="bothSides"/>
          <wp:docPr id="1852263197" name="Picture 7" descr="A grey background with white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263197" name="Picture 7" descr="A grey background with white tex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14400" cy="30543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55A84FA9" wp14:editId="18CBED61">
          <wp:simplePos x="0" y="0"/>
          <wp:positionH relativeFrom="margin">
            <wp:posOffset>0</wp:posOffset>
          </wp:positionH>
          <wp:positionV relativeFrom="paragraph">
            <wp:posOffset>-259080</wp:posOffset>
          </wp:positionV>
          <wp:extent cx="1828800" cy="414551"/>
          <wp:effectExtent l="0" t="0" r="0" b="5080"/>
          <wp:wrapSquare wrapText="bothSides"/>
          <wp:docPr id="1471399059" name="Picture 8" descr="A black and gre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399059" name="Picture 8" descr="A black and grey logo"/>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828800" cy="414551"/>
                  </a:xfrm>
                  <a:prstGeom prst="rect">
                    <a:avLst/>
                  </a:prstGeom>
                  <a:noFill/>
                  <a:ln>
                    <a:noFill/>
                  </a:ln>
                </pic:spPr>
              </pic:pic>
            </a:graphicData>
          </a:graphic>
        </wp:anchor>
      </w:drawing>
    </w:r>
    <w:r>
      <w:rPr>
        <w:noProof/>
      </w:rPr>
      <mc:AlternateContent>
        <mc:Choice Requires="wps">
          <w:drawing>
            <wp:anchor distT="0" distB="0" distL="114300" distR="114300" simplePos="0" relativeHeight="251661312" behindDoc="0" locked="0" layoutInCell="1" allowOverlap="1" wp14:anchorId="18A21DE2" wp14:editId="1E61291E">
              <wp:simplePos x="0" y="0"/>
              <wp:positionH relativeFrom="column">
                <wp:posOffset>-971550</wp:posOffset>
              </wp:positionH>
              <wp:positionV relativeFrom="paragraph">
                <wp:posOffset>283845</wp:posOffset>
              </wp:positionV>
              <wp:extent cx="7884000" cy="0"/>
              <wp:effectExtent l="0" t="0" r="0" b="0"/>
              <wp:wrapNone/>
              <wp:docPr id="588624232" name="Straight Connector 9"/>
              <wp:cNvGraphicFramePr/>
              <a:graphic xmlns:a="http://schemas.openxmlformats.org/drawingml/2006/main">
                <a:graphicData uri="http://schemas.microsoft.com/office/word/2010/wordprocessingShape">
                  <wps:wsp>
                    <wps:cNvCnPr/>
                    <wps:spPr>
                      <a:xfrm flipV="1">
                        <a:off x="0" y="0"/>
                        <a:ext cx="7884000" cy="0"/>
                      </a:xfrm>
                      <a:prstGeom prst="line">
                        <a:avLst/>
                      </a:prstGeom>
                      <a:ln>
                        <a:solidFill>
                          <a:srgbClr val="00009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A7DB5CA" id="Straight Connector 9" o:spid="_x0000_s1026" style="position:absolute;flip: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76.5pt,22.35pt" to="544.3pt,22.35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" strokecolor="#009" strokeweight=".5pt">
              <v:stroke joinstyle="miter"/>
            </v:line>
          </w:pict>
        </mc:Fallback>
      </mc:AlternateContent>
    </w:r>
    <w:r w:rsidR="00D852BB">
      <w:rPr>
        <w:noProof/>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100D30"/>
    <w:multiLevelType w:val="multilevel"/>
    <w:tmpl w:val="E08E3C74"/>
    <w:name w:val="SettleMint"/>
    <w:lvl w:ilvl="0">
      <w:start w:val="1"/>
      <w:numFmt w:val="decimal"/>
      <w:pStyle w:val="Heading1"/>
      <w:suff w:val="space"/>
      <w:lvlText w:val="%1."/>
      <w:lvlJc w:val="left"/>
      <w:pPr>
        <w:ind w:left="0" w:firstLine="0"/>
      </w:pPr>
      <w:rPr>
        <w:rFonts w:ascii="Figtree" w:hAnsi="Figtree" w:hint="default"/>
        <w:b/>
        <w:i w:val="0"/>
        <w:color w:val="000099"/>
        <w:sz w:val="32"/>
      </w:rPr>
    </w:lvl>
    <w:lvl w:ilvl="1">
      <w:start w:val="1"/>
      <w:numFmt w:val="decimal"/>
      <w:pStyle w:val="Heading2"/>
      <w:suff w:val="space"/>
      <w:lvlText w:val="%1.%2"/>
      <w:lvlJc w:val="left"/>
      <w:pPr>
        <w:ind w:left="0" w:firstLine="0"/>
      </w:pPr>
      <w:rPr>
        <w:rFonts w:ascii="Figtree" w:hAnsi="Figtree" w:hint="default"/>
        <w:b/>
        <w:i w:val="0"/>
        <w:color w:val="000099"/>
        <w:sz w:val="28"/>
      </w:rPr>
    </w:lvl>
    <w:lvl w:ilvl="2">
      <w:start w:val="1"/>
      <w:numFmt w:val="decimal"/>
      <w:pStyle w:val="Heading3"/>
      <w:suff w:val="space"/>
      <w:lvlText w:val="%1.%2.%3"/>
      <w:lvlJc w:val="left"/>
      <w:pPr>
        <w:ind w:left="0" w:firstLine="0"/>
      </w:pPr>
      <w:rPr>
        <w:rFonts w:ascii="Figtree" w:hAnsi="Figtree" w:hint="default"/>
        <w:b/>
        <w:i w:val="0"/>
        <w:color w:val="000099"/>
        <w:sz w:val="24"/>
      </w:rPr>
      <w:lvlRestart w:val="1"/>
    </w:lvl>
    <w:lvl w:ilvl="3">
      <w:start w:val="1"/>
      <w:numFmt w:val="decimal"/>
      <w:pStyle w:val="Heading4"/>
      <w:suff w:val="space"/>
      <w:lvlText w:val="%1.%2.%3.%4"/>
      <w:lvlJc w:val="left"/>
      <w:pPr>
        <w:ind w:left="0" w:firstLine="0"/>
      </w:pPr>
      <w:rPr>
        <w:rFonts w:ascii="Figtree" w:hAnsi="Figtree" w:hint="default"/>
        <w:b/>
        <w:i w:val="0"/>
        <w:color w:val="000099"/>
        <w:sz w:val="24"/>
      </w:rPr>
      <w:lvlRestart w:val="2"/>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1" w15:restartNumberingAfterBreak="0">
    <w:nsid w:val="2B7555D5"/>
    <w:multiLevelType w:val="hybridMultilevel"/>
    <w:tmpl w:val="31C01D58"/>
    <w:name w:val="SettleMint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35E5549"/>
    <w:multiLevelType w:val="multilevel"/>
    <w:tmpl w:val="AA60BFE8"/>
    <w:lvl w:ilvl="0">
      <w:start w:val="1"/>
      <w:numFmt w:val="decimal"/>
      <w:suff w:val="space"/>
      <w:lvlText w:val="%1."/>
      <w:lvlJc w:val="left"/>
      <w:pPr>
        <w:ind w:left="0" w:firstLine="0"/>
      </w:pPr>
      <w:rPr>
        <w:rFonts w:ascii="Figtree" w:hAnsi="Figtree" w:hint="default"/>
        <w:b/>
        <w:i w:val="0"/>
        <w:color w:val="0070C0"/>
        <w:sz w:val="32"/>
      </w:rPr>
    </w:lvl>
    <w:lvl w:ilvl="1">
      <w:start w:val="1"/>
      <w:numFmt w:val="decimal"/>
      <w:suff w:val="space"/>
      <w:lvlText w:val="%1.%2"/>
      <w:lvlJc w:val="left"/>
      <w:pPr>
        <w:ind w:left="0" w:firstLine="0"/>
      </w:pPr>
      <w:rPr>
        <w:rFonts w:ascii="Figtree" w:hAnsi="Figtree" w:hint="default"/>
        <w:b/>
        <w:i w:val="0"/>
        <w:color w:val="0070C0"/>
        <w:sz w:val="28"/>
      </w:rPr>
    </w:lvl>
    <w:lvl w:ilvl="2">
      <w:start w:val="1"/>
      <w:numFmt w:val="decimal"/>
      <w:suff w:val="space"/>
      <w:lvlText w:val="%1.%2.%3"/>
      <w:lvlJc w:val="left"/>
      <w:pPr>
        <w:ind w:left="0" w:firstLine="0"/>
      </w:pPr>
      <w:rPr>
        <w:rFonts w:ascii="Figtree" w:hAnsi="Figtree" w:hint="default"/>
        <w:b/>
        <w:i w:val="0"/>
        <w:color w:val="0070C0"/>
        <w:sz w:val="24"/>
      </w:rPr>
    </w:lvl>
    <w:lvl w:ilvl="3">
      <w:start w:val="1"/>
      <w:numFmt w:val="decimal"/>
      <w:suff w:val="space"/>
      <w:lvlText w:val="%1.%2.%3.%4"/>
      <w:lvlJc w:val="left"/>
      <w:pPr>
        <w:ind w:left="0" w:firstLine="0"/>
      </w:pPr>
      <w:rPr>
        <w:rFonts w:ascii="Figtree" w:hAnsi="Figtree" w:hint="default"/>
        <w:b/>
        <w:i w:val="0"/>
        <w:color w:val="0070C0"/>
        <w:sz w:val="24"/>
      </w:rPr>
    </w:lvl>
    <w:lvl w:ilvl="4">
      <w:start w:val="1"/>
      <w:numFmt w:val="lowerLetter"/>
      <w:lvlText w:val="(%5)"/>
      <w:lvlJc w:val="left"/>
      <w:pPr>
        <w:ind w:left="0" w:firstLine="0"/>
      </w:pPr>
      <w:rPr>
        <w:rFonts w:hint="default"/>
      </w:rPr>
    </w:lvl>
    <w:lvl w:ilvl="5">
      <w:start w:val="1"/>
      <w:numFmt w:val="lowerRoman"/>
      <w:lvlText w:val="(%6)"/>
      <w:lvlJc w:val="left"/>
      <w:pPr>
        <w:ind w:left="0" w:firstLine="0"/>
      </w:pPr>
      <w:rPr>
        <w:rFonts w:hint="default"/>
      </w:rPr>
    </w:lvl>
    <w:lvl w:ilvl="6">
      <w:start w:val="1"/>
      <w:numFmt w:val="decimal"/>
      <w:lvlText w:val="%7."/>
      <w:lvlJc w:val="left"/>
      <w:pPr>
        <w:ind w:left="0" w:firstLine="0"/>
      </w:pPr>
      <w:rPr>
        <w:rFonts w:hint="default"/>
      </w:rPr>
    </w:lvl>
    <w:lvl w:ilvl="7">
      <w:start w:val="1"/>
      <w:numFmt w:val="lowerLetter"/>
      <w:lvlText w:val="%8."/>
      <w:lvlJc w:val="left"/>
      <w:pPr>
        <w:ind w:left="0" w:firstLine="0"/>
      </w:pPr>
      <w:rPr>
        <w:rFonts w:hint="default"/>
      </w:rPr>
    </w:lvl>
    <w:lvl w:ilvl="8">
      <w:start w:val="1"/>
      <w:numFmt w:val="lowerRoman"/>
      <w:lvlText w:val="%9."/>
      <w:lvlJc w:val="left"/>
      <w:pPr>
        <w:ind w:left="0" w:firstLine="0"/>
      </w:pPr>
      <w:rPr>
        <w:rFonts w:hint="default"/>
      </w:rPr>
    </w:lvl>
  </w:abstractNum>
  <w:abstractNum w:abstractNumId="3">
    <w:multiLevelType w:val="hybridMultilevel"/>
    <w:lvl w:ilvl="0">
      <w:start w:val="1"/>
      <w:numFmt w:val="bullet"/>
      <w:lvlText w:val="•"/>
      <w:lvlJc w:val="left"/>
      <w:pPr>
        <w:ind w:left="720" w:hanging="360"/>
      </w:pPr>
      <w:rPr>
        <w:color w:val="000099"/>
      </w:rPr>
    </w:lvl>
    <w:lvl w:ilvl="1">
      <w:start w:val="1"/>
      <w:numFmt w:val="bullet"/>
      <w:lvlText w:val="•"/>
      <w:lvlJc w:val="left"/>
      <w:pPr>
        <w:ind w:left="1440" w:hanging="360"/>
      </w:pPr>
      <w:rPr>
        <w:color w:val="000099"/>
      </w:rPr>
    </w:lvl>
    <w:lvl w:ilvl="2">
      <w:start w:val="1"/>
      <w:numFmt w:val="bullet"/>
      <w:lvlText w:val="•"/>
      <w:lvlJc w:val="left"/>
      <w:pPr>
        <w:ind w:left="2160" w:hanging="360"/>
      </w:pPr>
      <w:rPr>
        <w:color w:val="000099"/>
      </w:rPr>
    </w:lvl>
  </w:abstractNum>
  <w:abstractNum w:abstractNumId="4">
    <w:multiLevelType w:val="hybridMultilevel"/>
    <w:lvl w:ilvl="0">
      <w:start w:val="1"/>
      <w:numFmt w:val="lowerRoman"/>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160" w:hanging="360"/>
      </w:pPr>
    </w:lvl>
  </w:abstractNum>
  <w:num w:numId="1" w16cid:durableId="305939933">
    <w:abstractNumId w:val="0"/>
  </w:num>
  <w:num w:numId="2" w16cid:durableId="2016149747">
    <w:abstractNumId w:val="1"/>
  </w:num>
  <w:num w:numId="3" w16cid:durableId="1914775445">
    <w:abstractNumId w:val="2"/>
  </w:num>
  <w:num w:numId="4">
    <w:abstractNumId w:val="3"/>
  </w:num>
  <w:num w:numId="5">
    <w:abstractNumId w:val="4"/>
  </w:num>
  <w:num w:numId="6">
    <w:abstractNumId w:val="4"/>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7"/>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0879"/>
    <w:rsid w:val="000A6351"/>
    <w:rsid w:val="001279DF"/>
    <w:rsid w:val="0018162B"/>
    <w:rsid w:val="001F6184"/>
    <w:rsid w:val="00341B65"/>
    <w:rsid w:val="003E3C19"/>
    <w:rsid w:val="004056C9"/>
    <w:rsid w:val="004840D8"/>
    <w:rsid w:val="004962CD"/>
    <w:rsid w:val="005F2DC1"/>
    <w:rsid w:val="00647809"/>
    <w:rsid w:val="006B17EB"/>
    <w:rsid w:val="006B6750"/>
    <w:rsid w:val="006E1665"/>
    <w:rsid w:val="007B0879"/>
    <w:rsid w:val="00802738"/>
    <w:rsid w:val="008A14BF"/>
    <w:rsid w:val="0093551D"/>
    <w:rsid w:val="0096408F"/>
    <w:rsid w:val="0099373D"/>
    <w:rsid w:val="009F101E"/>
    <w:rsid w:val="009F4DB8"/>
    <w:rsid w:val="00A218FC"/>
    <w:rsid w:val="00A5624E"/>
    <w:rsid w:val="00A9690B"/>
    <w:rsid w:val="00AD0410"/>
    <w:rsid w:val="00AD4564"/>
    <w:rsid w:val="00B2009A"/>
    <w:rsid w:val="00B31896"/>
    <w:rsid w:val="00B47CD9"/>
    <w:rsid w:val="00B56DDB"/>
    <w:rsid w:val="00C51B52"/>
    <w:rsid w:val="00CF39A3"/>
    <w:rsid w:val="00D852BB"/>
    <w:rsid w:val="00E32BFB"/>
    <w:rsid w:val="00E86454"/>
    <w:rsid w:val="00E90D74"/>
    <w:rsid w:val="00ED206E"/>
    <w:rsid w:val="00F367C1"/>
    <w:rsid w:val="00F85425"/>
    <w:rsid w:val="00FB2FE9"/>
    <w:rsid w:val="00FD6333"/>
    <w:rsid w:val="00FF3C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92407E5"/>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F39A3"/>
    <w:pPr>
      <w:jc w:val="both"/>
    </w:pPr>
    <w:rPr>
      <w:rFonts w:ascii="Figtree" w:hAnsi="Figtree"/>
      <w:sz w:val="22"/>
    </w:rPr>
  </w:style>
  <w:style w:type="paragraph" w:styleId="Heading1">
    <w:name w:val="heading 1"/>
    <w:basedOn w:val="Normal"/>
    <w:next w:val="Normal"/>
    <w:link w:val="Heading1Char"/>
    <w:uiPriority w:val="9"/>
    <w:rsid w:val="00FD6333"/>
    <w:pPr>
      <w:keepNext/>
      <w:keepLines/>
      <w:numPr>
        <w:numId w:val="1"/>
      </w:numPr>
      <w:spacing w:before="360" w:after="80"/>
      <w:outlineLvl w:val="0"/>
    </w:pPr>
    <w:rPr>
      <w:rFonts w:asciiTheme="majorHAnsi" w:eastAsiaTheme="majorEastAsia" w:hAnsiTheme="majorHAnsi" w:cstheme="majorBidi"/>
      <w:color w:val="000072" w:themeColor="accent1" w:themeShade="BF"/>
      <w:sz w:val="40"/>
      <w:szCs w:val="40"/>
    </w:rPr>
  </w:style>
  <w:style w:type="paragraph" w:styleId="Heading2">
    <w:name w:val="heading 2"/>
    <w:basedOn w:val="Normal"/>
    <w:next w:val="Normal"/>
    <w:link w:val="Heading2Char"/>
    <w:uiPriority w:val="9"/>
    <w:unhideWhenUsed/>
    <w:rsid w:val="00FD6333"/>
    <w:pPr>
      <w:keepNext/>
      <w:keepLines/>
      <w:numPr>
        <w:ilvl w:val="1"/>
        <w:numId w:val="1"/>
      </w:numPr>
      <w:spacing w:before="160" w:after="80"/>
      <w:outlineLvl w:val="1"/>
    </w:pPr>
    <w:rPr>
      <w:rFonts w:asciiTheme="majorHAnsi" w:eastAsiaTheme="majorEastAsia" w:hAnsiTheme="majorHAnsi" w:cstheme="majorBidi"/>
      <w:color w:val="000072" w:themeColor="accent1" w:themeShade="BF"/>
      <w:sz w:val="32"/>
      <w:szCs w:val="32"/>
    </w:rPr>
  </w:style>
  <w:style w:type="paragraph" w:styleId="Heading3">
    <w:name w:val="heading 3"/>
    <w:basedOn w:val="Normal"/>
    <w:next w:val="Normal"/>
    <w:link w:val="Heading3Char"/>
    <w:uiPriority w:val="9"/>
    <w:unhideWhenUsed/>
    <w:rsid w:val="00FD6333"/>
    <w:pPr>
      <w:keepNext/>
      <w:keepLines/>
      <w:numPr>
        <w:ilvl w:val="2"/>
        <w:numId w:val="1"/>
      </w:numPr>
      <w:spacing w:before="160" w:after="80"/>
      <w:outlineLvl w:val="2"/>
    </w:pPr>
    <w:rPr>
      <w:rFonts w:eastAsiaTheme="majorEastAsia" w:cstheme="majorBidi"/>
      <w:color w:val="000072" w:themeColor="accent1" w:themeShade="BF"/>
      <w:sz w:val="28"/>
      <w:szCs w:val="28"/>
    </w:rPr>
  </w:style>
  <w:style w:type="paragraph" w:styleId="Heading4">
    <w:name w:val="heading 4"/>
    <w:basedOn w:val="Normal"/>
    <w:next w:val="Normal"/>
    <w:link w:val="Heading4Char"/>
    <w:uiPriority w:val="9"/>
    <w:unhideWhenUsed/>
    <w:rsid w:val="00FD6333"/>
    <w:pPr>
      <w:keepNext/>
      <w:keepLines/>
      <w:numPr>
        <w:ilvl w:val="3"/>
        <w:numId w:val="1"/>
      </w:numPr>
      <w:spacing w:before="80" w:after="40"/>
      <w:outlineLvl w:val="3"/>
    </w:pPr>
    <w:rPr>
      <w:rFonts w:eastAsiaTheme="majorEastAsia" w:cstheme="majorBidi"/>
      <w:i/>
      <w:iCs/>
      <w:color w:val="000072" w:themeColor="accent1" w:themeShade="BF"/>
    </w:rPr>
  </w:style>
  <w:style w:type="paragraph" w:styleId="Heading5">
    <w:name w:val="heading 5"/>
    <w:basedOn w:val="Normal"/>
    <w:next w:val="Normal"/>
    <w:link w:val="Heading5Char"/>
    <w:uiPriority w:val="9"/>
    <w:semiHidden/>
    <w:unhideWhenUsed/>
    <w:rsid w:val="00FD6333"/>
    <w:pPr>
      <w:keepNext/>
      <w:keepLines/>
      <w:spacing w:before="80" w:after="40"/>
      <w:outlineLvl w:val="4"/>
    </w:pPr>
    <w:rPr>
      <w:rFonts w:eastAsiaTheme="majorEastAsia" w:cstheme="majorBidi"/>
      <w:color w:val="000072" w:themeColor="accent1" w:themeShade="BF"/>
    </w:rPr>
  </w:style>
  <w:style w:type="paragraph" w:styleId="Heading6">
    <w:name w:val="heading 6"/>
    <w:basedOn w:val="Normal"/>
    <w:next w:val="Normal"/>
    <w:link w:val="Heading6Char"/>
    <w:uiPriority w:val="9"/>
    <w:semiHidden/>
    <w:unhideWhenUsed/>
    <w:qFormat/>
    <w:rsid w:val="00FD63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3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3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3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333"/>
    <w:rPr>
      <w:rFonts w:asciiTheme="majorHAnsi" w:eastAsiaTheme="majorEastAsia" w:hAnsiTheme="majorHAnsi" w:cstheme="majorBidi"/>
      <w:color w:val="000072" w:themeColor="accent1" w:themeShade="BF"/>
      <w:sz w:val="40"/>
      <w:szCs w:val="40"/>
    </w:rPr>
  </w:style>
  <w:style w:type="character" w:customStyle="1" w:styleId="Heading2Char">
    <w:name w:val="Heading 2 Char"/>
    <w:basedOn w:val="DefaultParagraphFont"/>
    <w:link w:val="Heading2"/>
    <w:uiPriority w:val="9"/>
    <w:rsid w:val="00FD6333"/>
    <w:rPr>
      <w:rFonts w:asciiTheme="majorHAnsi" w:eastAsiaTheme="majorEastAsia" w:hAnsiTheme="majorHAnsi" w:cstheme="majorBidi"/>
      <w:color w:val="000072" w:themeColor="accent1" w:themeShade="BF"/>
      <w:sz w:val="32"/>
      <w:szCs w:val="32"/>
    </w:rPr>
  </w:style>
  <w:style w:type="character" w:customStyle="1" w:styleId="Heading3Char">
    <w:name w:val="Heading 3 Char"/>
    <w:basedOn w:val="DefaultParagraphFont"/>
    <w:link w:val="Heading3"/>
    <w:uiPriority w:val="9"/>
    <w:rsid w:val="00FD6333"/>
    <w:rPr>
      <w:rFonts w:eastAsiaTheme="majorEastAsia" w:cstheme="majorBidi"/>
      <w:color w:val="000072" w:themeColor="accent1" w:themeShade="BF"/>
      <w:sz w:val="28"/>
      <w:szCs w:val="28"/>
    </w:rPr>
  </w:style>
  <w:style w:type="character" w:customStyle="1" w:styleId="Heading4Char">
    <w:name w:val="Heading 4 Char"/>
    <w:basedOn w:val="DefaultParagraphFont"/>
    <w:link w:val="Heading4"/>
    <w:uiPriority w:val="9"/>
    <w:rsid w:val="00FD6333"/>
    <w:rPr>
      <w:rFonts w:eastAsiaTheme="majorEastAsia" w:cstheme="majorBidi"/>
      <w:i/>
      <w:iCs/>
      <w:color w:val="000072" w:themeColor="accent1" w:themeShade="BF"/>
    </w:rPr>
  </w:style>
  <w:style w:type="character" w:customStyle="1" w:styleId="Heading5Char">
    <w:name w:val="Heading 5 Char"/>
    <w:basedOn w:val="DefaultParagraphFont"/>
    <w:link w:val="Heading5"/>
    <w:uiPriority w:val="9"/>
    <w:semiHidden/>
    <w:rsid w:val="00FD6333"/>
    <w:rPr>
      <w:rFonts w:eastAsiaTheme="majorEastAsia" w:cstheme="majorBidi"/>
      <w:color w:val="000072" w:themeColor="accent1" w:themeShade="BF"/>
    </w:rPr>
  </w:style>
  <w:style w:type="character" w:customStyle="1" w:styleId="Heading6Char">
    <w:name w:val="Heading 6 Char"/>
    <w:basedOn w:val="DefaultParagraphFont"/>
    <w:link w:val="Heading6"/>
    <w:uiPriority w:val="9"/>
    <w:semiHidden/>
    <w:rsid w:val="00FD63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3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3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333"/>
    <w:rPr>
      <w:rFonts w:eastAsiaTheme="majorEastAsia" w:cstheme="majorBidi"/>
      <w:color w:val="272727" w:themeColor="text1" w:themeTint="D8"/>
    </w:rPr>
  </w:style>
  <w:style w:type="paragraph" w:styleId="Title">
    <w:name w:val="Title"/>
    <w:basedOn w:val="Normal"/>
    <w:next w:val="Normal"/>
    <w:link w:val="TitleChar"/>
    <w:uiPriority w:val="10"/>
    <w:rsid w:val="00FD63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3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rsid w:val="00FD63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3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rsid w:val="00FD6333"/>
    <w:pPr>
      <w:spacing w:before="160"/>
      <w:jc w:val="center"/>
    </w:pPr>
    <w:rPr>
      <w:i/>
      <w:iCs/>
      <w:color w:val="404040" w:themeColor="text1" w:themeTint="BF"/>
    </w:rPr>
  </w:style>
  <w:style w:type="character" w:customStyle="1" w:styleId="QuoteChar">
    <w:name w:val="Quote Char"/>
    <w:basedOn w:val="DefaultParagraphFont"/>
    <w:link w:val="Quote"/>
    <w:uiPriority w:val="29"/>
    <w:rsid w:val="00FD6333"/>
    <w:rPr>
      <w:i/>
      <w:iCs/>
      <w:color w:val="404040" w:themeColor="text1" w:themeTint="BF"/>
    </w:rPr>
  </w:style>
  <w:style w:type="paragraph" w:styleId="ListParagraph">
    <w:name w:val="List Paragraph"/>
    <w:basedOn w:val="Normal"/>
    <w:uiPriority w:val="34"/>
    <w:rsid w:val="00FD6333"/>
    <w:pPr>
      <w:ind w:left="720"/>
      <w:contextualSpacing/>
    </w:pPr>
  </w:style>
  <w:style w:type="character" w:styleId="IntenseEmphasis">
    <w:name w:val="Intense Emphasis"/>
    <w:basedOn w:val="DefaultParagraphFont"/>
    <w:uiPriority w:val="21"/>
    <w:rsid w:val="00FD6333"/>
    <w:rPr>
      <w:i/>
      <w:iCs/>
      <w:color w:val="000072" w:themeColor="accent1" w:themeShade="BF"/>
    </w:rPr>
  </w:style>
  <w:style w:type="paragraph" w:styleId="IntenseQuote">
    <w:name w:val="Intense Quote"/>
    <w:basedOn w:val="Normal"/>
    <w:next w:val="Normal"/>
    <w:link w:val="IntenseQuoteChar"/>
    <w:uiPriority w:val="30"/>
    <w:rsid w:val="00FD6333"/>
    <w:pPr>
      <w:pBdr>
        <w:top w:val="single" w:sz="4" w:space="10" w:color="000072" w:themeColor="accent1" w:themeShade="BF"/>
        <w:bottom w:val="single" w:sz="4" w:space="10" w:color="000072" w:themeColor="accent1" w:themeShade="BF"/>
      </w:pBdr>
      <w:spacing w:before="360" w:after="360"/>
      <w:ind w:left="864" w:right="864"/>
      <w:jc w:val="center"/>
    </w:pPr>
    <w:rPr>
      <w:i/>
      <w:iCs/>
      <w:color w:val="000072" w:themeColor="accent1" w:themeShade="BF"/>
    </w:rPr>
  </w:style>
  <w:style w:type="character" w:customStyle="1" w:styleId="IntenseQuoteChar">
    <w:name w:val="Intense Quote Char"/>
    <w:basedOn w:val="DefaultParagraphFont"/>
    <w:link w:val="IntenseQuote"/>
    <w:uiPriority w:val="30"/>
    <w:rsid w:val="00FD6333"/>
    <w:rPr>
      <w:i/>
      <w:iCs/>
      <w:color w:val="000072" w:themeColor="accent1" w:themeShade="BF"/>
    </w:rPr>
  </w:style>
  <w:style w:type="character" w:styleId="IntenseReference">
    <w:name w:val="Intense Reference"/>
    <w:basedOn w:val="DefaultParagraphFont"/>
    <w:uiPriority w:val="32"/>
    <w:rsid w:val="00FD6333"/>
    <w:rPr>
      <w:b/>
      <w:bCs/>
      <w:smallCaps/>
      <w:color w:val="000072" w:themeColor="accent1" w:themeShade="BF"/>
      <w:spacing w:val="5"/>
    </w:rPr>
  </w:style>
  <w:style w:type="paragraph" w:styleId="Header">
    <w:name w:val="header"/>
    <w:basedOn w:val="Normal"/>
    <w:link w:val="HeaderChar"/>
    <w:uiPriority w:val="99"/>
    <w:unhideWhenUsed/>
    <w:rsid w:val="00D852BB"/>
    <w:pPr>
      <w:tabs>
        <w:tab w:val="center" w:pos="4513"/>
        <w:tab w:val="right" w:pos="9026"/>
      </w:tabs>
      <w:spacing w:after="0" w:line="240" w:lineRule="auto"/>
    </w:pPr>
  </w:style>
  <w:style w:type="character" w:customStyle="1" w:styleId="HeaderChar">
    <w:name w:val="Header Char"/>
    <w:basedOn w:val="DefaultParagraphFont"/>
    <w:link w:val="Header"/>
    <w:uiPriority w:val="99"/>
    <w:rsid w:val="00D852BB"/>
  </w:style>
  <w:style w:type="paragraph" w:styleId="Footer">
    <w:name w:val="footer"/>
    <w:basedOn w:val="Normal"/>
    <w:link w:val="FooterChar"/>
    <w:uiPriority w:val="99"/>
    <w:unhideWhenUsed/>
    <w:rsid w:val="00D852BB"/>
    <w:pPr>
      <w:tabs>
        <w:tab w:val="center" w:pos="4513"/>
        <w:tab w:val="right" w:pos="9026"/>
      </w:tabs>
      <w:spacing w:after="0" w:line="240" w:lineRule="auto"/>
    </w:pPr>
  </w:style>
  <w:style w:type="character" w:customStyle="1" w:styleId="FooterChar">
    <w:name w:val="Footer Char"/>
    <w:basedOn w:val="DefaultParagraphFont"/>
    <w:link w:val="Footer"/>
    <w:uiPriority w:val="99"/>
    <w:rsid w:val="00D852BB"/>
  </w:style>
  <w:style w:type="paragraph" w:styleId="NoSpacing">
    <w:name w:val="No Spacing"/>
    <w:link w:val="NoSpacingChar"/>
    <w:uiPriority w:val="1"/>
    <w:qFormat/>
    <w:rsid w:val="001F6184"/>
    <w:pPr>
      <w:spacing w:after="0" w:line="240" w:lineRule="auto"/>
    </w:pPr>
    <w:rPr>
      <w:rFonts w:eastAsiaTheme="minorEastAsia"/>
      <w:kern w:val="0"/>
      <w:sz w:val="22"/>
      <w:szCs w:val="22"/>
      <w:lang w:val="en-US"/>
      <w14:ligatures w14:val="none"/>
    </w:rPr>
  </w:style>
  <w:style w:type="character" w:customStyle="1" w:styleId="NoSpacingChar">
    <w:name w:val="No Spacing Char"/>
    <w:basedOn w:val="DefaultParagraphFont"/>
    <w:link w:val="NoSpacing"/>
    <w:uiPriority w:val="1"/>
    <w:rsid w:val="001F6184"/>
    <w:rPr>
      <w:rFonts w:eastAsiaTheme="minorEastAsia"/>
      <w:kern w:val="0"/>
      <w:sz w:val="22"/>
      <w:szCs w:val="22"/>
      <w:lang w:val="en-US"/>
      <w14:ligatures w14:val="none"/>
    </w:rPr>
  </w:style>
  <w:style w:type="paragraph" w:customStyle="1" w:styleId="H1">
    <w:name w:val="H1"/>
    <w:basedOn w:val="Heading1"/>
    <w:link w:val="H1Char"/>
    <w:autoRedefine/>
    <w:qFormat/>
    <w:rsid w:val="000A6351"/>
    <w:pPr>
      <w:ind w:left="0" w:firstLine="0"/>
      <w:jc w:val="left"/>
    </w:pPr>
    <w:rPr>
      <w:rFonts w:ascii="Figtree" w:hAnsi="Figtree"/>
      <w:b/>
      <w:color w:val="000099"/>
      <w:sz w:val="32"/>
    </w:rPr>
  </w:style>
  <w:style w:type="character" w:customStyle="1" w:styleId="H1Char">
    <w:name w:val="H1 Char"/>
    <w:basedOn w:val="Heading1Char"/>
    <w:link w:val="H1"/>
    <w:rsid w:val="000A6351"/>
    <w:rPr>
      <w:rFonts w:ascii="Figtree" w:eastAsiaTheme="majorEastAsia" w:hAnsi="Figtree" w:cstheme="majorBidi"/>
      <w:b/>
      <w:color w:val="000099"/>
      <w:sz w:val="32"/>
      <w:szCs w:val="40"/>
    </w:rPr>
  </w:style>
  <w:style w:type="paragraph" w:customStyle="1" w:styleId="H2">
    <w:name w:val="H2"/>
    <w:basedOn w:val="Heading2"/>
    <w:link w:val="H2Char"/>
    <w:autoRedefine/>
    <w:qFormat/>
    <w:rsid w:val="000A6351"/>
    <w:pPr>
      <w:ind w:left="0" w:firstLine="0"/>
      <w:jc w:val="left"/>
    </w:pPr>
    <w:rPr>
      <w:rFonts w:ascii="Figtree" w:hAnsi="Figtree"/>
      <w:b/>
      <w:color w:val="000099"/>
      <w:sz w:val="28"/>
    </w:rPr>
  </w:style>
  <w:style w:type="character" w:customStyle="1" w:styleId="H2Char">
    <w:name w:val="H2 Char"/>
    <w:basedOn w:val="Heading2Char"/>
    <w:link w:val="H2"/>
    <w:rsid w:val="000A6351"/>
    <w:rPr>
      <w:rFonts w:ascii="Figtree" w:eastAsiaTheme="majorEastAsia" w:hAnsi="Figtree" w:cstheme="majorBidi"/>
      <w:b/>
      <w:color w:val="000099"/>
      <w:sz w:val="28"/>
      <w:szCs w:val="32"/>
    </w:rPr>
  </w:style>
  <w:style w:type="paragraph" w:customStyle="1" w:styleId="H3">
    <w:name w:val="H3"/>
    <w:basedOn w:val="Heading3"/>
    <w:link w:val="H3Char"/>
    <w:autoRedefine/>
    <w:qFormat/>
    <w:rsid w:val="000A6351"/>
    <w:pPr>
      <w:ind w:left="0" w:firstLine="0"/>
      <w:jc w:val="left"/>
    </w:pPr>
    <w:rPr>
      <w:rFonts w:ascii="Figtree" w:hAnsi="Figtree"/>
      <w:b/>
      <w:color w:val="000099"/>
      <w:sz w:val="24"/>
    </w:rPr>
  </w:style>
  <w:style w:type="character" w:customStyle="1" w:styleId="H3Char">
    <w:name w:val="H3 Char"/>
    <w:basedOn w:val="Heading3Char"/>
    <w:link w:val="H3"/>
    <w:rsid w:val="000A6351"/>
    <w:rPr>
      <w:rFonts w:ascii="Figtree" w:eastAsiaTheme="majorEastAsia" w:hAnsi="Figtree" w:cstheme="majorBidi"/>
      <w:b/>
      <w:color w:val="000099"/>
      <w:sz w:val="28"/>
      <w:szCs w:val="28"/>
    </w:rPr>
  </w:style>
  <w:style w:type="paragraph" w:customStyle="1" w:styleId="H4">
    <w:name w:val="H4"/>
    <w:basedOn w:val="Heading4"/>
    <w:link w:val="H4Char"/>
    <w:autoRedefine/>
    <w:qFormat/>
    <w:rsid w:val="000A6351"/>
    <w:pPr>
      <w:ind w:left="0" w:firstLine="0"/>
      <w:jc w:val="left"/>
    </w:pPr>
    <w:rPr>
      <w:rFonts w:ascii="Figtree" w:hAnsi="Figtree"/>
      <w:b/>
      <w:i w:val="0"/>
      <w:color w:val="000099"/>
    </w:rPr>
  </w:style>
  <w:style w:type="character" w:customStyle="1" w:styleId="H4Char">
    <w:name w:val="H4 Char"/>
    <w:basedOn w:val="Heading4Char"/>
    <w:link w:val="H4"/>
    <w:rsid w:val="000A6351"/>
    <w:rPr>
      <w:rFonts w:ascii="Figtree" w:eastAsiaTheme="majorEastAsia" w:hAnsi="Figtree" w:cstheme="majorBidi"/>
      <w:b/>
      <w:i w:val="0"/>
      <w:iCs/>
      <w:color w:val="000099"/>
    </w:rPr>
  </w:style>
  <w:style w:type="paragraph" w:styleId="TOCHeading">
    <w:name w:val="TOC Heading"/>
    <w:basedOn w:val="Heading1"/>
    <w:next w:val="Normal"/>
    <w:uiPriority w:val="39"/>
    <w:unhideWhenUsed/>
    <w:qFormat/>
    <w:rsid w:val="006B6750"/>
    <w:pPr>
      <w:numPr>
        <w:numId w:val="0"/>
      </w:numPr>
      <w:spacing w:before="240" w:after="0" w:line="259" w:lineRule="auto"/>
      <w:outlineLvl w:val="9"/>
    </w:pPr>
    <w:rPr>
      <w:kern w:val="0"/>
      <w:sz w:val="32"/>
      <w:szCs w:val="32"/>
      <w:lang w:val="en-US"/>
      <w14:ligatures w14:val="none"/>
    </w:rPr>
  </w:style>
  <w:style w:type="paragraph" w:styleId="TOC2">
    <w:name w:val="toc 2"/>
    <w:basedOn w:val="Normal"/>
    <w:next w:val="Normal"/>
    <w:autoRedefine/>
    <w:uiPriority w:val="39"/>
    <w:unhideWhenUsed/>
    <w:rsid w:val="006B6750"/>
    <w:pPr>
      <w:spacing w:after="100" w:line="259" w:lineRule="auto"/>
      <w:ind w:left="220"/>
    </w:pPr>
    <w:rPr>
      <w:rFonts w:eastAsiaTheme="minorEastAsia" w:cs="Times New Roman"/>
      <w:kern w:val="0"/>
      <w:sz w:val="22"/>
      <w:szCs w:val="22"/>
      <w:lang w:val="en-US"/>
      <w14:ligatures w14:val="none"/>
    </w:rPr>
  </w:style>
  <w:style w:type="paragraph" w:styleId="TOC1">
    <w:name w:val="toc 1"/>
    <w:basedOn w:val="Normal"/>
    <w:next w:val="Normal"/>
    <w:autoRedefine/>
    <w:uiPriority w:val="39"/>
    <w:unhideWhenUsed/>
    <w:rsid w:val="006B6750"/>
    <w:pPr>
      <w:spacing w:after="100" w:line="259" w:lineRule="auto"/>
    </w:pPr>
    <w:rPr>
      <w:rFonts w:eastAsiaTheme="minorEastAsia" w:cs="Times New Roman"/>
      <w:kern w:val="0"/>
      <w:sz w:val="22"/>
      <w:szCs w:val="22"/>
      <w:lang w:val="en-US"/>
      <w14:ligatures w14:val="none"/>
    </w:rPr>
  </w:style>
  <w:style w:type="paragraph" w:styleId="TOC3">
    <w:name w:val="toc 3"/>
    <w:basedOn w:val="Normal"/>
    <w:next w:val="Normal"/>
    <w:autoRedefine/>
    <w:uiPriority w:val="39"/>
    <w:unhideWhenUsed/>
    <w:rsid w:val="006B6750"/>
    <w:pPr>
      <w:spacing w:after="100" w:line="259" w:lineRule="auto"/>
      <w:ind w:left="440"/>
    </w:pPr>
    <w:rPr>
      <w:rFonts w:eastAsiaTheme="minorEastAsia" w:cs="Times New Roman"/>
      <w:kern w:val="0"/>
      <w:sz w:val="22"/>
      <w:szCs w:val="22"/>
      <w:lang w:val="en-US"/>
      <w14:ligatures w14:val="none"/>
    </w:rPr>
  </w:style>
  <w:style w:type="character" w:styleId="Hyperlink">
    <w:name w:val="Hyperlink"/>
    <w:basedOn w:val="DefaultParagraphFont"/>
    <w:uiPriority w:val="99"/>
    <w:unhideWhenUsed/>
    <w:rsid w:val="006B6750"/>
    <w:rPr>
      <w:color w:val="000048" w:themeColor="hyperlink"/>
      <w:u w:val="single"/>
    </w:rPr>
  </w:style>
  <w:style w:type="table" w:styleId="TableGrid">
    <w:name w:val="Table Grid"/>
    <w:basedOn w:val="TableNormal"/>
    <w:uiPriority w:val="39"/>
    <w:rsid w:val="00F8542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4962CD"/>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glossaryDocument" Target="glossary/document.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F3537D4C677A4AAC856F674BAF4DF3"/>
        <w:category>
          <w:name w:val="General"/>
          <w:gallery w:val="placeholder"/>
        </w:category>
        <w:types>
          <w:type w:val="bbPlcHdr"/>
        </w:types>
        <w:behaviors>
          <w:behavior w:val="content"/>
        </w:behaviors>
        <w:guid w:val="{21C83031-79E6-8444-A272-10097DDD570D}"/>
      </w:docPartPr>
      <w:docPartBody>
        <w:p w:rsidR="00000000" w:rsidRDefault="00000000">
          <w:pPr>
            <w:pStyle w:val="02F3537D4C677A4AAC856F674BAF4DF3"/>
          </w:pPr>
          <w:r>
            <w:rPr>
              <w:color w:val="0F4761" w:themeColor="accent1" w:themeShade="BF"/>
            </w:rPr>
            <w:t>[Company name]</w:t>
          </w:r>
        </w:p>
      </w:docPartBody>
    </w:docPart>
    <w:docPart>
      <w:docPartPr>
        <w:name w:val="00F9803809315C46887E272E02859745"/>
        <w:category>
          <w:name w:val="General"/>
          <w:gallery w:val="placeholder"/>
        </w:category>
        <w:types>
          <w:type w:val="bbPlcHdr"/>
        </w:types>
        <w:behaviors>
          <w:behavior w:val="content"/>
        </w:behaviors>
        <w:guid w:val="{B11F9B95-38C3-7746-A0B8-DA6B55175233}"/>
      </w:docPartPr>
      <w:docPartBody>
        <w:p w:rsidR="00000000" w:rsidRDefault="00000000">
          <w:pPr>
            <w:pStyle w:val="00F9803809315C46887E272E02859745"/>
          </w:pPr>
          <w:r>
            <w:rPr>
              <w:rFonts w:asciiTheme="majorHAnsi" w:eastAsiaTheme="majorEastAsia" w:hAnsiTheme="majorHAnsi" w:cstheme="majorBidi"/>
              <w:color w:val="156082" w:themeColor="accent1"/>
              <w:sz w:val="88"/>
              <w:szCs w:val="88"/>
            </w:rPr>
            <w:t>[Document title]</w:t>
          </w:r>
        </w:p>
      </w:docPartBody>
    </w:docPart>
    <w:docPart>
      <w:docPartPr>
        <w:name w:val="0D460E9532679D4283311473F5C36932"/>
        <w:category>
          <w:name w:val="General"/>
          <w:gallery w:val="placeholder"/>
        </w:category>
        <w:types>
          <w:type w:val="bbPlcHdr"/>
        </w:types>
        <w:behaviors>
          <w:behavior w:val="content"/>
        </w:behaviors>
        <w:guid w:val="{D28655B3-928F-E644-BE5D-C357A9384B90}"/>
      </w:docPartPr>
      <w:docPartBody>
        <w:p w:rsidR="00000000" w:rsidRDefault="00000000">
          <w:pPr>
            <w:pStyle w:val="0D460E9532679D4283311473F5C36932"/>
          </w:pPr>
          <w:r>
            <w:rPr>
              <w:color w:val="0F4761" w:themeColor="accent1" w:themeShade="BF"/>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Figtree">
    <w:altName w:val="Calibri"/>
    <w:panose1 w:val="00000000000000000000"/>
    <w:charset w:val="00"/>
    <w:family w:val="auto"/>
    <w:notTrueType/>
    <w:pitch w:val="variable"/>
    <w:sig w:usb0="A000006F" w:usb1="0000007B" w:usb2="00000000" w:usb3="00000000" w:csb0="00000093" w:csb1="00000000"/>
  </w:font>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B91"/>
    <w:rsid w:val="00080B91"/>
    <w:rsid w:val="005F2D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2F3537D4C677A4AAC856F674BAF4DF3">
    <w:name w:val="02F3537D4C677A4AAC856F674BAF4DF3"/>
  </w:style>
  <w:style w:type="paragraph" w:customStyle="1" w:styleId="00F9803809315C46887E272E02859745">
    <w:name w:val="00F9803809315C46887E272E02859745"/>
  </w:style>
  <w:style w:type="paragraph" w:customStyle="1" w:styleId="0D460E9532679D4283311473F5C36932">
    <w:name w:val="0D460E9532679D4283311473F5C36932"/>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SettleMint">
      <a:dk1>
        <a:sysClr val="windowText" lastClr="000000"/>
      </a:dk1>
      <a:lt1>
        <a:sysClr val="window" lastClr="FFFFFF"/>
      </a:lt1>
      <a:dk2>
        <a:srgbClr val="0E2841"/>
      </a:dk2>
      <a:lt2>
        <a:srgbClr val="E8E8E8"/>
      </a:lt2>
      <a:accent1>
        <a:srgbClr val="000099"/>
      </a:accent1>
      <a:accent2>
        <a:srgbClr val="0066FF"/>
      </a:accent2>
      <a:accent3>
        <a:srgbClr val="0000FF"/>
      </a:accent3>
      <a:accent4>
        <a:srgbClr val="0F9ED5"/>
      </a:accent4>
      <a:accent5>
        <a:srgbClr val="67EBCC"/>
      </a:accent5>
      <a:accent6>
        <a:srgbClr val="70FF9E"/>
      </a:accent6>
      <a:hlink>
        <a:srgbClr val="000048"/>
      </a:hlink>
      <a:folHlink>
        <a:srgbClr val="000017"/>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04310B7-8EAE-46C7-B490-25129E3B87E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Normal.dotx</Template>
  <TotalTime>0</TotalTime>
  <Pages>5</Pages>
  <Words>504</Words>
  <Characters>2877</Characters>
  <Application>Microsoft Office Word</Application>
  <DocSecurity>0</DocSecurity>
  <Lines>23</Lines>
  <Paragraphs>6</Paragraphs>
  <ScaleCrop>false</ScaleCrop>
  <Company/>
  <LinksUpToDate>false</LinksUpToDate>
  <CharactersWithSpaces>3375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Gyanendra Sharma</dc:creator>
  <cp:keywords/>
  <dc:description/>
  <cp:lastModifiedBy>Gyan Sharma</cp:lastModifiedBy>
  <cp:revision>1</cp:revision>
  <dcterms:created xsi:type="dcterms:W3CDTF">2026-03-13T17:24:00Z</dcterms:created>
  <dcterms:modified xsi:type="dcterms:W3CDTF">2026-03-13T17:24:00Z</dcterms:modified>
</cp:coreProperties>
</file>