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Position</w:t>
          </w:r>
          <w:r>
            <w:tab/>
          </w:r>
          <w:r>
            <w:t xml:space="preserve">5</w:t>
          </w:r>
        </w:p>
        <w:p>
          <w:pPr>
            <w:pStyle w:val="TOC3"/>
            <w:tabs>
              <w:tab w:val="right" w:leader="dot" w:pos="9072"/>
            </w:tabs>
          </w:pPr>
          <w:r>
            <w:t xml:space="preserve">1.2 Why This Upgrade is Strategically Necessary</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Infrastructure Continuity Approach</w:t>
          </w:r>
          <w:r>
            <w:tab/>
          </w:r>
          <w:r>
            <w:t xml:space="preserve">8</w:t>
          </w:r>
        </w:p>
        <w:p>
          <w:pPr>
            <w:pStyle w:val="TOC3"/>
            <w:tabs>
              <w:tab w:val="right" w:leader="dot" w:pos="9072"/>
            </w:tabs>
          </w:pPr>
          <w:r>
            <w:t xml:space="preserve">1.4a Infrastructure Continuity: Technical Detail</w:t>
          </w:r>
          <w:r>
            <w:tab/>
          </w:r>
          <w:r>
            <w:t xml:space="preserve">9</w:t>
          </w:r>
        </w:p>
        <w:p>
          <w:pPr>
            <w:pStyle w:val="TOC3"/>
            <w:tabs>
              <w:tab w:val="right" w:leader="dot" w:pos="9072"/>
            </w:tabs>
          </w:pPr>
          <w:r>
            <w:t xml:space="preserve">1.4b Why DALP for Swiss DLT Infrastructure</w:t>
          </w:r>
          <w:r>
            <w:tab/>
          </w:r>
          <w:r>
            <w:t xml:space="preserve">10</w:t>
          </w:r>
        </w:p>
        <w:p>
          <w:pPr>
            <w:pStyle w:val="TOC3"/>
            <w:tabs>
              <w:tab w:val="right" w:leader="dot" w:pos="9072"/>
            </w:tabs>
          </w:pPr>
          <w:r>
            <w:t xml:space="preserve">1.5 Reference Fit Snapshot</w:t>
          </w:r>
          <w:r>
            <w:tab/>
          </w:r>
          <w:r>
            <w:t xml:space="preserve">11</w:t>
          </w:r>
        </w:p>
        <w:p>
          <w:pPr>
            <w:pStyle w:val="TOC2"/>
            <w:tabs>
              <w:tab w:val="right" w:leader="dot" w:pos="9072"/>
            </w:tabs>
          </w:pPr>
          <w:r>
            <w:t xml:space="preserve">2. SettleMint Company Profile</w:t>
          </w:r>
          <w:r>
            <w:tab/>
          </w:r>
          <w:r>
            <w:t xml:space="preserve">12</w:t>
          </w:r>
        </w:p>
        <w:p>
          <w:pPr>
            <w:pStyle w:val="TOC3"/>
            <w:tabs>
              <w:tab w:val="right" w:leader="dot" w:pos="9072"/>
            </w:tabs>
          </w:pPr>
          <w:r>
            <w:t xml:space="preserve">2.1 Company Overview</w:t>
          </w:r>
          <w:r>
            <w:tab/>
          </w:r>
          <w:r>
            <w:t xml:space="preserve">13</w:t>
          </w:r>
        </w:p>
        <w:p>
          <w:pPr>
            <w:pStyle w:val="TOC3"/>
            <w:tabs>
              <w:tab w:val="right" w:leader="dot" w:pos="9072"/>
            </w:tabs>
          </w:pPr>
          <w:r>
            <w:t xml:space="preserve">2.2 Certifications</w:t>
          </w:r>
          <w:r>
            <w:tab/>
          </w:r>
          <w:r>
            <w:t xml:space="preserve">14</w:t>
          </w:r>
        </w:p>
        <w:p>
          <w:pPr>
            <w:pStyle w:val="TOC3"/>
            <w:tabs>
              <w:tab w:val="right" w:leader="dot" w:pos="9072"/>
            </w:tabs>
          </w:pPr>
          <w:r>
            <w:t xml:space="preserve">2.3 Swiss Market Expertise</w:t>
          </w:r>
          <w:r>
            <w:tab/>
          </w:r>
          <w:r>
            <w:t xml:space="preserve">15</w:t>
          </w:r>
        </w:p>
        <w:p>
          <w:pPr>
            <w:pStyle w:val="TOC2"/>
            <w:tabs>
              <w:tab w:val="right" w:leader="dot" w:pos="9072"/>
            </w:tabs>
          </w:pPr>
          <w:r>
            <w:t xml:space="preserve">3. DALP Platform Overview</w:t>
          </w:r>
          <w:r>
            <w:tab/>
          </w:r>
          <w:r>
            <w:t xml:space="preserve">16</w:t>
          </w:r>
        </w:p>
        <w:p>
          <w:pPr>
            <w:pStyle w:val="TOC3"/>
            <w:tabs>
              <w:tab w:val="right" w:leader="dot" w:pos="9072"/>
            </w:tabs>
          </w:pPr>
          <w:r>
            <w:t xml:space="preserve">3.1 Four-Layer Architecture</w:t>
          </w:r>
          <w:r>
            <w:tab/>
          </w:r>
          <w:r>
            <w:t xml:space="preserve">17</w:t>
          </w:r>
        </w:p>
        <w:p>
          <w:pPr>
            <w:pStyle w:val="TOC3"/>
            <w:tabs>
              <w:tab w:val="right" w:leader="dot" w:pos="9072"/>
            </w:tabs>
          </w:pPr>
          <w:r>
            <w:t xml:space="preserve">3.2 Five-Layer On-Chain Architecture</w:t>
          </w:r>
          <w:r>
            <w:tab/>
          </w:r>
          <w:r>
            <w:t xml:space="preserve">18</w:t>
          </w:r>
        </w:p>
        <w:p>
          <w:pPr>
            <w:pStyle w:val="TOC2"/>
            <w:tabs>
              <w:tab w:val="right" w:leader="dot" w:pos="9072"/>
            </w:tabs>
          </w:pPr>
          <w:r>
            <w:t xml:space="preserve">4. Solution Architecture</w:t>
          </w:r>
          <w:r>
            <w:tab/>
          </w:r>
          <w:r>
            <w:t xml:space="preserve">19</w:t>
          </w:r>
        </w:p>
        <w:p>
          <w:pPr>
            <w:pStyle w:val="TOC3"/>
            <w:tabs>
              <w:tab w:val="right" w:leader="dot" w:pos="9072"/>
            </w:tabs>
          </w:pPr>
          <w:r>
            <w:t xml:space="preserve">4.1 SDX-Specific Architecture</w:t>
          </w:r>
          <w:r>
            <w:tab/>
          </w:r>
          <w:r>
            <w:t xml:space="preserve">20</w:t>
          </w:r>
        </w:p>
        <w:p>
          <w:pPr>
            <w:pStyle w:val="TOC3"/>
            <w:tabs>
              <w:tab w:val="right" w:leader="dot" w:pos="9072"/>
            </w:tabs>
          </w:pPr>
          <w:r>
            <w:t xml:space="preserve">4.2 DLT Act Governance Architecture</w:t>
          </w:r>
          <w:r>
            <w:tab/>
          </w:r>
          <w:r>
            <w:t xml:space="preserve">21</w:t>
          </w:r>
        </w:p>
        <w:p>
          <w:pPr>
            <w:pStyle w:val="TOC3"/>
            <w:tabs>
              <w:tab w:val="right" w:leader="dot" w:pos="9072"/>
            </w:tabs>
          </w:pPr>
          <w:r>
            <w:t xml:space="preserve">4.3 Participant Controls and Entitlement</w:t>
          </w:r>
          <w:r>
            <w:tab/>
          </w:r>
          <w:r>
            <w:t xml:space="preserve">22</w:t>
          </w:r>
        </w:p>
        <w:p>
          <w:pPr>
            <w:pStyle w:val="TOC3"/>
            <w:tabs>
              <w:tab w:val="right" w:leader="dot" w:pos="9072"/>
            </w:tabs>
          </w:pPr>
          <w:r>
            <w:t xml:space="preserve">4.4 Market Integrity Controls</w:t>
          </w:r>
          <w:r>
            <w:tab/>
          </w:r>
          <w:r>
            <w:t xml:space="preserve">23</w:t>
          </w:r>
        </w:p>
        <w:p>
          <w:pPr>
            <w:pStyle w:val="TOC3"/>
            <w:tabs>
              <w:tab w:val="right" w:leader="dot" w:pos="9072"/>
            </w:tabs>
          </w:pPr>
          <w:r>
            <w:t xml:space="preserve">4.4a Venue Governance and SDX Rulebook Implementation</w:t>
          </w:r>
          <w:r>
            <w:tab/>
          </w:r>
          <w:r>
            <w:t xml:space="preserve">24</w:t>
          </w:r>
        </w:p>
        <w:p>
          <w:pPr>
            <w:pStyle w:val="TOC3"/>
            <w:tabs>
              <w:tab w:val="right" w:leader="dot" w:pos="9072"/>
            </w:tabs>
          </w:pPr>
          <w:r>
            <w:t xml:space="preserve">4.5 Tokenized Securities Asset Classes</w:t>
          </w:r>
          <w:r>
            <w:tab/>
          </w:r>
          <w:r>
            <w:t xml:space="preserve">25</w:t>
          </w:r>
        </w:p>
        <w:p>
          <w:pPr>
            <w:pStyle w:val="TOC3"/>
            <w:tabs>
              <w:tab w:val="right" w:leader="dot" w:pos="9072"/>
            </w:tabs>
          </w:pPr>
          <w:r>
            <w:t xml:space="preserve">4.6 Participant Lifecycle Management</w:t>
          </w:r>
          <w:r>
            <w:tab/>
          </w:r>
          <w:r>
            <w:t xml:space="preserve">26</w:t>
          </w:r>
        </w:p>
        <w:p>
          <w:pPr>
            <w:pStyle w:val="TOC2"/>
            <w:tabs>
              <w:tab w:val="right" w:leader="dot" w:pos="9072"/>
            </w:tabs>
          </w:pPr>
          <w:r>
            <w:t xml:space="preserve">5. Asset Lifecycle Management</w:t>
          </w:r>
          <w:r>
            <w:tab/>
          </w:r>
          <w:r>
            <w:t xml:space="preserve">27</w:t>
          </w:r>
        </w:p>
        <w:p>
          <w:pPr>
            <w:pStyle w:val="TOC3"/>
            <w:tabs>
              <w:tab w:val="right" w:leader="dot" w:pos="9072"/>
            </w:tabs>
          </w:pPr>
          <w:r>
            <w:t xml:space="preserve">5.1 Token Lifecycle Flow</w:t>
          </w:r>
          <w:r>
            <w:tab/>
          </w:r>
          <w:r>
            <w:t xml:space="preserve">28</w:t>
          </w:r>
        </w:p>
        <w:p>
          <w:pPr>
            <w:pStyle w:val="TOC3"/>
            <w:tabs>
              <w:tab w:val="right" w:leader="dot" w:pos="9072"/>
            </w:tabs>
          </w:pPr>
          <w:r>
            <w:t xml:space="preserve">5.2 Token Issuance Flow</w:t>
          </w:r>
          <w:r>
            <w:tab/>
          </w:r>
          <w:r>
            <w:t xml:space="preserve">29</w:t>
          </w:r>
        </w:p>
        <w:p>
          <w:pPr>
            <w:pStyle w:val="TOC3"/>
            <w:tabs>
              <w:tab w:val="right" w:leader="dot" w:pos="9072"/>
            </w:tabs>
          </w:pPr>
          <w:r>
            <w:t xml:space="preserve">5.3 Corporate Actions</w:t>
          </w:r>
          <w:r>
            <w:tab/>
          </w:r>
          <w:r>
            <w:t xml:space="preserve">30</w:t>
          </w:r>
        </w:p>
        <w:p>
          <w:pPr>
            <w:pStyle w:val="TOC2"/>
            <w:tabs>
              <w:tab w:val="right" w:leader="dot" w:pos="9072"/>
            </w:tabs>
          </w:pPr>
          <w:r>
            <w:t xml:space="preserve">6. Compliance and Regulatory Framework</w:t>
          </w:r>
          <w:r>
            <w:tab/>
          </w:r>
          <w:r>
            <w:t xml:space="preserve">31</w:t>
          </w:r>
        </w:p>
        <w:p>
          <w:pPr>
            <w:pStyle w:val="TOC3"/>
            <w:tabs>
              <w:tab w:val="right" w:leader="dot" w:pos="9072"/>
            </w:tabs>
          </w:pPr>
          <w:r>
            <w:t xml:space="preserve">6.1 Swiss Regulatory Landscape</w:t>
          </w:r>
          <w:r>
            <w:tab/>
          </w:r>
          <w:r>
            <w:t xml:space="preserve">32</w:t>
          </w:r>
        </w:p>
        <w:p>
          <w:pPr>
            <w:pStyle w:val="TOC3"/>
            <w:tabs>
              <w:tab w:val="right" w:leader="dot" w:pos="9072"/>
            </w:tabs>
          </w:pPr>
          <w:r>
            <w:t xml:space="preserve">6.2 FMIA Settlement Finality (Article 51)</w:t>
          </w:r>
          <w:r>
            <w:tab/>
          </w:r>
          <w:r>
            <w:t xml:space="preserve">33</w:t>
          </w:r>
        </w:p>
        <w:p>
          <w:pPr>
            <w:pStyle w:val="TOC3"/>
            <w:tabs>
              <w:tab w:val="right" w:leader="dot" w:pos="9072"/>
            </w:tabs>
          </w:pPr>
          <w:r>
            <w:t xml:space="preserve">6.3 DLT Act Compliance</w:t>
          </w:r>
          <w:r>
            <w:tab/>
          </w:r>
          <w:r>
            <w:t xml:space="preserve">34</w:t>
          </w:r>
        </w:p>
        <w:p>
          <w:pPr>
            <w:pStyle w:val="TOC3"/>
            <w:tabs>
              <w:tab w:val="right" w:leader="dot" w:pos="9072"/>
            </w:tabs>
          </w:pPr>
          <w:r>
            <w:t xml:space="preserve">6.4 AMLA and KYC/AML</w:t>
          </w:r>
          <w:r>
            <w:tab/>
          </w:r>
          <w:r>
            <w:t xml:space="preserve">35</w:t>
          </w:r>
        </w:p>
        <w:p>
          <w:pPr>
            <w:pStyle w:val="TOC3"/>
            <w:tabs>
              <w:tab w:val="right" w:leader="dot" w:pos="9072"/>
            </w:tabs>
          </w:pPr>
          <w:r>
            <w:t xml:space="preserve">6.5 CPMI-IOSCO PFMI Mapping</w:t>
          </w:r>
          <w:r>
            <w:tab/>
          </w:r>
          <w:r>
            <w:t xml:space="preserve">36</w:t>
          </w:r>
        </w:p>
        <w:p>
          <w:pPr>
            <w:pStyle w:val="TOC3"/>
            <w:tabs>
              <w:tab w:val="right" w:leader="dot" w:pos="9072"/>
            </w:tabs>
          </w:pPr>
          <w:r>
            <w:t xml:space="preserve">6.6 Swiss Data Protection Act (nDSG)</w:t>
          </w:r>
          <w:r>
            <w:tab/>
          </w:r>
          <w:r>
            <w:t xml:space="preserve">37</w:t>
          </w:r>
        </w:p>
        <w:p>
          <w:pPr>
            <w:pStyle w:val="TOC2"/>
            <w:tabs>
              <w:tab w:val="right" w:leader="dot" w:pos="9072"/>
            </w:tabs>
          </w:pPr>
          <w:r>
            <w:t xml:space="preserve">7. Security Architecture</w:t>
          </w:r>
          <w:r>
            <w:tab/>
          </w:r>
          <w:r>
            <w:t xml:space="preserve">38</w:t>
          </w:r>
        </w:p>
        <w:p>
          <w:pPr>
            <w:pStyle w:val="TOC3"/>
            <w:tabs>
              <w:tab w:val="right" w:leader="dot" w:pos="9072"/>
            </w:tabs>
          </w:pPr>
          <w:r>
            <w:t xml:space="preserve">7.1 Security Framework Overview</w:t>
          </w:r>
          <w:r>
            <w:tab/>
          </w:r>
          <w:r>
            <w:t xml:space="preserve">39</w:t>
          </w:r>
        </w:p>
        <w:p>
          <w:pPr>
            <w:pStyle w:val="TOC3"/>
            <w:tabs>
              <w:tab w:val="right" w:leader="dot" w:pos="9072"/>
            </w:tabs>
          </w:pPr>
          <w:r>
            <w:t xml:space="preserve">7.2 Authentication</w:t>
          </w:r>
          <w:r>
            <w:tab/>
          </w:r>
          <w:r>
            <w:t xml:space="preserve">40</w:t>
          </w:r>
        </w:p>
        <w:p>
          <w:pPr>
            <w:pStyle w:val="TOC3"/>
            <w:tabs>
              <w:tab w:val="right" w:leader="dot" w:pos="9072"/>
            </w:tabs>
          </w:pPr>
          <w:r>
            <w:t xml:space="preserve">7.3 Key Management</w:t>
          </w:r>
          <w:r>
            <w:tab/>
          </w:r>
          <w:r>
            <w:t xml:space="preserve">41</w:t>
          </w:r>
        </w:p>
        <w:p>
          <w:pPr>
            <w:pStyle w:val="TOC3"/>
            <w:tabs>
              <w:tab w:val="right" w:leader="dot" w:pos="9072"/>
            </w:tabs>
          </w:pPr>
          <w:r>
            <w:t xml:space="preserve">7.4 FINMA Cybersecurity Circular Alignment</w:t>
          </w:r>
          <w:r>
            <w:tab/>
          </w:r>
          <w:r>
            <w:t xml:space="preserve">42</w:t>
          </w:r>
        </w:p>
        <w:p>
          <w:pPr>
            <w:pStyle w:val="TOC2"/>
            <w:tabs>
              <w:tab w:val="right" w:leader="dot" w:pos="9072"/>
            </w:tabs>
          </w:pPr>
          <w:r>
            <w:t xml:space="preserve">8. Settlement and Integration</w:t>
          </w:r>
          <w:r>
            <w:tab/>
          </w:r>
          <w:r>
            <w:t xml:space="preserve">43</w:t>
          </w:r>
        </w:p>
        <w:p>
          <w:pPr>
            <w:pStyle w:val="TOC3"/>
            <w:tabs>
              <w:tab w:val="right" w:leader="dot" w:pos="9072"/>
            </w:tabs>
          </w:pPr>
          <w:r>
            <w:t xml:space="preserve">8.1 Atomic DvP Settlement</w:t>
          </w:r>
          <w:r>
            <w:tab/>
          </w:r>
          <w:r>
            <w:t xml:space="preserve">44</w:t>
          </w:r>
        </w:p>
        <w:p>
          <w:pPr>
            <w:pStyle w:val="TOC3"/>
            <w:tabs>
              <w:tab w:val="right" w:leader="dot" w:pos="9072"/>
            </w:tabs>
          </w:pPr>
          <w:r>
            <w:t xml:space="preserve">8.2 Integration Architecture</w:t>
          </w:r>
          <w:r>
            <w:tab/>
          </w:r>
          <w:r>
            <w:t xml:space="preserve">45</w:t>
          </w:r>
        </w:p>
        <w:p>
          <w:pPr>
            <w:pStyle w:val="TOC3"/>
            <w:tabs>
              <w:tab w:val="right" w:leader="dot" w:pos="9072"/>
            </w:tabs>
          </w:pPr>
          <w:r>
            <w:t xml:space="preserve">8.3 SIX Group Infrastructure Integration</w:t>
          </w:r>
          <w:r>
            <w:tab/>
          </w:r>
          <w:r>
            <w:t xml:space="preserve">46</w:t>
          </w:r>
        </w:p>
        <w:p>
          <w:pPr>
            <w:pStyle w:val="TOC2"/>
            <w:tabs>
              <w:tab w:val="right" w:leader="dot" w:pos="9072"/>
            </w:tabs>
          </w:pPr>
          <w:r>
            <w:t xml:space="preserve">9. Deployment and Infrastructure</w:t>
          </w:r>
          <w:r>
            <w:tab/>
          </w:r>
          <w:r>
            <w:t xml:space="preserve">47</w:t>
          </w:r>
        </w:p>
        <w:p>
          <w:pPr>
            <w:pStyle w:val="TOC3"/>
            <w:tabs>
              <w:tab w:val="right" w:leader="dot" w:pos="9072"/>
            </w:tabs>
          </w:pPr>
          <w:r>
            <w:t xml:space="preserve">9.1 High-Availability Architecture</w:t>
          </w:r>
          <w:r>
            <w:tab/>
          </w:r>
          <w:r>
            <w:t xml:space="preserve">48</w:t>
          </w:r>
        </w:p>
        <w:p>
          <w:pPr>
            <w:pStyle w:val="TOC3"/>
            <w:tabs>
              <w:tab w:val="right" w:leader="dot" w:pos="9072"/>
            </w:tabs>
          </w:pPr>
          <w:r>
            <w:t xml:space="preserve">9.2 Disaster Recovery</w:t>
          </w:r>
          <w:r>
            <w:tab/>
          </w:r>
          <w:r>
            <w:t xml:space="preserve">49</w:t>
          </w:r>
        </w:p>
        <w:p>
          <w:pPr>
            <w:pStyle w:val="TOC3"/>
            <w:tabs>
              <w:tab w:val="right" w:leader="dot" w:pos="9072"/>
            </w:tabs>
          </w:pPr>
          <w:r>
            <w:t xml:space="preserve">9.3 Observability</w:t>
          </w:r>
          <w:r>
            <w:tab/>
          </w:r>
          <w:r>
            <w:t xml:space="preserve">50</w:t>
          </w:r>
        </w:p>
        <w:p>
          <w:pPr>
            <w:pStyle w:val="TOC2"/>
            <w:tabs>
              <w:tab w:val="right" w:leader="dot" w:pos="9072"/>
            </w:tabs>
          </w:pPr>
          <w:r>
            <w:t xml:space="preserve">10. Implementation Methodology</w:t>
          </w:r>
          <w:r>
            <w:tab/>
          </w:r>
          <w:r>
            <w:t xml:space="preserve">51</w:t>
          </w:r>
        </w:p>
        <w:p>
          <w:pPr>
            <w:pStyle w:val="TOC3"/>
            <w:tabs>
              <w:tab w:val="right" w:leader="dot" w:pos="9072"/>
            </w:tabs>
          </w:pPr>
          <w:r>
            <w:t xml:space="preserve">10.1 19-Week Delivery Plan</w:t>
          </w:r>
          <w:r>
            <w:tab/>
          </w:r>
          <w:r>
            <w:t xml:space="preserve">52</w:t>
          </w:r>
        </w:p>
        <w:p>
          <w:pPr>
            <w:pStyle w:val="TOC3"/>
            <w:tabs>
              <w:tab w:val="right" w:leader="dot" w:pos="9072"/>
            </w:tabs>
          </w:pPr>
          <w:r>
            <w:t xml:space="preserve">10.2 Phase Descriptions</w:t>
          </w:r>
          <w:r>
            <w:tab/>
          </w:r>
          <w:r>
            <w:t xml:space="preserve">53</w:t>
          </w:r>
        </w:p>
        <w:p>
          <w:pPr>
            <w:pStyle w:val="TOC2"/>
            <w:tabs>
              <w:tab w:val="right" w:leader="dot" w:pos="9072"/>
            </w:tabs>
          </w:pPr>
          <w:r>
            <w:t xml:space="preserve">11. Support and SLA</w:t>
          </w:r>
          <w:r>
            <w:tab/>
          </w:r>
          <w:r>
            <w:t xml:space="preserve">54</w:t>
          </w:r>
        </w:p>
        <w:p>
          <w:pPr>
            <w:pStyle w:val="TOC3"/>
            <w:tabs>
              <w:tab w:val="right" w:leader="dot" w:pos="9072"/>
            </w:tabs>
          </w:pPr>
          <w:r>
            <w:t xml:space="preserve">11.1 Enterprise Tier Recommendation</w:t>
          </w:r>
          <w:r>
            <w:tab/>
          </w:r>
          <w:r>
            <w:t xml:space="preserve">55</w:t>
          </w:r>
        </w:p>
        <w:p>
          <w:pPr>
            <w:pStyle w:val="TOC3"/>
            <w:tabs>
              <w:tab w:val="right" w:leader="dot" w:pos="9072"/>
            </w:tabs>
          </w:pPr>
          <w:r>
            <w:t xml:space="preserve">11.2 PFMI Operational Resilience Evidence</w:t>
          </w:r>
          <w:r>
            <w:tab/>
          </w:r>
          <w:r>
            <w:t xml:space="preserve">56</w:t>
          </w:r>
        </w:p>
        <w:p>
          <w:pPr>
            <w:pStyle w:val="TOC2"/>
            <w:tabs>
              <w:tab w:val="right" w:leader="dot" w:pos="9072"/>
            </w:tabs>
          </w:pPr>
          <w:r>
            <w:t xml:space="preserve">12. Reference Projects</w:t>
          </w:r>
          <w:r>
            <w:tab/>
          </w:r>
          <w:r>
            <w:t xml:space="preserve">57</w:t>
          </w:r>
        </w:p>
        <w:p>
          <w:pPr>
            <w:pStyle w:val="TOC3"/>
            <w:tabs>
              <w:tab w:val="right" w:leader="dot" w:pos="9072"/>
            </w:tabs>
          </w:pPr>
          <w:r>
            <w:t xml:space="preserve">12.1 Deutsche Borse / Eurex — Digital Securities Infrastructure</w:t>
          </w:r>
          <w:r>
            <w:tab/>
          </w:r>
          <w:r>
            <w:t xml:space="preserve">58</w:t>
          </w:r>
        </w:p>
        <w:p>
          <w:pPr>
            <w:pStyle w:val="TOC3"/>
            <w:tabs>
              <w:tab w:val="right" w:leader="dot" w:pos="9072"/>
            </w:tabs>
          </w:pPr>
          <w:r>
            <w:t xml:space="preserve">12.2 Euronext — Tokenized Securities Marketplace</w:t>
          </w:r>
          <w:r>
            <w:tab/>
          </w:r>
          <w:r>
            <w:t xml:space="preserve">59</w:t>
          </w:r>
        </w:p>
        <w:p>
          <w:pPr>
            <w:pStyle w:val="TOC3"/>
            <w:tabs>
              <w:tab w:val="right" w:leader="dot" w:pos="9072"/>
            </w:tabs>
          </w:pPr>
          <w:r>
            <w:t xml:space="preserve">12.3 Clearstream — Tokenized Collateral Management</w:t>
          </w:r>
          <w:r>
            <w:tab/>
          </w:r>
          <w:r>
            <w:t xml:space="preserve">60</w:t>
          </w:r>
        </w:p>
        <w:p>
          <w:pPr>
            <w:pStyle w:val="TOC2"/>
            <w:tabs>
              <w:tab w:val="right" w:leader="dot" w:pos="9072"/>
            </w:tabs>
          </w:pPr>
          <w:r>
            <w:t xml:space="preserve">12a. Risk Management</w:t>
          </w:r>
          <w:r>
            <w:tab/>
          </w:r>
          <w:r>
            <w:t xml:space="preserve">61</w:t>
          </w:r>
        </w:p>
        <w:p>
          <w:pPr>
            <w:pStyle w:val="TOC3"/>
            <w:tabs>
              <w:tab w:val="right" w:leader="dot" w:pos="9072"/>
            </w:tabs>
          </w:pPr>
          <w:r>
            <w:t xml:space="preserve">12a.1 SDX-Specific Risk Register</w:t>
          </w:r>
          <w:r>
            <w:tab/>
          </w:r>
          <w:r>
            <w:t xml:space="preserve">62</w:t>
          </w:r>
        </w:p>
        <w:p>
          <w:pPr>
            <w:pStyle w:val="TOC3"/>
            <w:tabs>
              <w:tab w:val="right" w:leader="dot" w:pos="9072"/>
            </w:tabs>
          </w:pPr>
          <w:r>
            <w:t xml:space="preserve">12a.2 FINMA Regulatory Risk Management</w:t>
          </w:r>
          <w:r>
            <w:tab/>
          </w:r>
          <w:r>
            <w:t xml:space="preserve">63</w:t>
          </w:r>
        </w:p>
        <w:p>
          <w:pPr>
            <w:pStyle w:val="TOC3"/>
            <w:tabs>
              <w:tab w:val="right" w:leader="dot" w:pos="9072"/>
            </w:tabs>
          </w:pPr>
          <w:r>
            <w:t xml:space="preserve">12a.3 Smart Contract Audit Process</w:t>
          </w:r>
          <w:r>
            <w:tab/>
          </w:r>
          <w:r>
            <w:t xml:space="preserve">64</w:t>
          </w:r>
        </w:p>
        <w:p>
          <w:pPr>
            <w:pStyle w:val="TOC3"/>
            <w:tabs>
              <w:tab w:val="right" w:leader="dot" w:pos="9072"/>
            </w:tabs>
          </w:pPr>
          <w:r>
            <w:t xml:space="preserve">12a.4 Business Continuity</w:t>
          </w:r>
          <w:r>
            <w:tab/>
          </w:r>
          <w:r>
            <w:t xml:space="preserve">65</w:t>
          </w:r>
        </w:p>
        <w:p>
          <w:pPr>
            <w:pStyle w:val="TOC2"/>
            <w:tabs>
              <w:tab w:val="right" w:leader="dot" w:pos="9072"/>
            </w:tabs>
          </w:pPr>
          <w:r>
            <w:t xml:space="preserve">12b. Training and Knowledge Transfer</w:t>
          </w:r>
          <w:r>
            <w:tab/>
          </w:r>
          <w:r>
            <w:t xml:space="preserve">66</w:t>
          </w:r>
        </w:p>
        <w:p>
          <w:pPr>
            <w:pStyle w:val="TOC3"/>
            <w:tabs>
              <w:tab w:val="right" w:leader="dot" w:pos="9072"/>
            </w:tabs>
          </w:pPr>
          <w:r>
            <w:t xml:space="preserve">12b.1 SDX Training Programme</w:t>
          </w:r>
          <w:r>
            <w:tab/>
          </w:r>
          <w:r>
            <w:t xml:space="preserve">67</w:t>
          </w:r>
        </w:p>
        <w:p>
          <w:pPr>
            <w:pStyle w:val="TOC3"/>
            <w:tabs>
              <w:tab w:val="right" w:leader="dot" w:pos="9072"/>
            </w:tabs>
          </w:pPr>
          <w:r>
            <w:t xml:space="preserve">12b.2 Documentation Deliverables</w:t>
          </w:r>
          <w:r>
            <w:tab/>
          </w:r>
          <w:r>
            <w:t xml:space="preserve">68</w:t>
          </w:r>
        </w:p>
        <w:p>
          <w:pPr>
            <w:pStyle w:val="TOC3"/>
            <w:tabs>
              <w:tab w:val="right" w:leader="dot" w:pos="9072"/>
            </w:tabs>
          </w:pPr>
          <w:r>
            <w:t xml:space="preserve">12b.3 Post-Go-Live Knowledge Management</w:t>
          </w:r>
          <w:r>
            <w:tab/>
          </w:r>
          <w:r>
            <w:t xml:space="preserve">69</w:t>
          </w:r>
        </w:p>
        <w:p>
          <w:pPr>
            <w:pStyle w:val="TOC2"/>
            <w:tabs>
              <w:tab w:val="right" w:leader="dot" w:pos="9072"/>
            </w:tabs>
          </w:pPr>
          <w:r>
            <w:t xml:space="preserve">13. Technical Requirements Response Matrix</w:t>
          </w:r>
          <w:r>
            <w:tab/>
          </w:r>
          <w:r>
            <w:t xml:space="preserve">70</w:t>
          </w:r>
        </w:p>
        <w:p>
          <w:pPr>
            <w:pStyle w:val="TOC2"/>
            <w:tabs>
              <w:tab w:val="right" w:leader="dot" w:pos="9072"/>
            </w:tabs>
          </w:pPr>
          <w:r>
            <w:t xml:space="preserve">14. Appendices</w:t>
          </w:r>
          <w:r>
            <w:tab/>
          </w:r>
          <w:r>
            <w:t xml:space="preserve">71</w:t>
          </w:r>
        </w:p>
        <w:p>
          <w:pPr>
            <w:pStyle w:val="TOC3"/>
            <w:tabs>
              <w:tab w:val="right" w:leader="dot" w:pos="9072"/>
            </w:tabs>
          </w:pPr>
          <w:r>
            <w:t xml:space="preserve">Appendix A: DLT Act Compliance Matrix</w:t>
          </w:r>
          <w:r>
            <w:tab/>
          </w:r>
          <w:r>
            <w:t xml:space="preserve">72</w:t>
          </w:r>
        </w:p>
        <w:p>
          <w:pPr>
            <w:pStyle w:val="TOC3"/>
            <w:tabs>
              <w:tab w:val="right" w:leader="dot" w:pos="9072"/>
            </w:tabs>
          </w:pPr>
          <w:r>
            <w:t xml:space="preserve">Appendix B: FINMA Circular Alignment</w:t>
          </w:r>
          <w:r>
            <w:tab/>
          </w:r>
          <w:r>
            <w:t xml:space="preserve">73</w:t>
          </w:r>
        </w:p>
        <w:p>
          <w:pPr>
            <w:pStyle w:val="TOC3"/>
            <w:tabs>
              <w:tab w:val="right" w:leader="dot" w:pos="9072"/>
            </w:tabs>
          </w:pPr>
          <w:r>
            <w:t xml:space="preserve">Appendix C: Settlement Performance Benchmarks</w:t>
          </w:r>
          <w:r>
            <w:tab/>
          </w:r>
          <w:r>
            <w:t xml:space="preserve">74</w:t>
          </w:r>
        </w:p>
        <w:p>
          <w:pPr>
            <w:pStyle w:val="TOC3"/>
            <w:tabs>
              <w:tab w:val="right" w:leader="dot" w:pos="9072"/>
            </w:tabs>
          </w:pPr>
          <w:r>
            <w:t xml:space="preserve">Appendix D: Competitive Differentiation for Swiss Regulated Venue</w:t>
          </w:r>
          <w:r>
            <w:tab/>
          </w:r>
          <w:r>
            <w:t xml:space="preserve">75</w:t>
          </w:r>
        </w:p>
        <w:p>
          <w:pPr>
            <w:pStyle w:val="TOC3"/>
            <w:tabs>
              <w:tab w:val="right" w:leader="dot" w:pos="9072"/>
            </w:tabs>
          </w:pPr>
          <w:r>
            <w:t xml:space="preserve">Appendix E: Implementation Staffing</w:t>
          </w:r>
          <w:r>
            <w:tab/>
          </w:r>
          <w:r>
            <w:t xml:space="preserve">76</w:t>
          </w:r>
        </w:p>
        <w:p>
          <w:pPr>
            <w:pStyle w:val="TOC3"/>
            <w:tabs>
              <w:tab w:val="right" w:leader="dot" w:pos="9072"/>
            </w:tabs>
          </w:pPr>
          <w:r>
            <w:t xml:space="preserve">Appendix F: Smart Contract Event Reference (SDX)</w:t>
          </w:r>
          <w:r>
            <w:tab/>
          </w:r>
          <w:r>
            <w:t xml:space="preserve">77</w:t>
          </w:r>
        </w:p>
        <w:p>
          <w:pPr>
            <w:pStyle w:val="TOC3"/>
            <w:tabs>
              <w:tab w:val="right" w:leader="dot" w:pos="9072"/>
            </w:tabs>
          </w:pPr>
          <w:r>
            <w:t xml:space="preserve">Appendix I: API Specifications</w:t>
          </w:r>
          <w:r>
            <w:tab/>
          </w:r>
          <w:r>
            <w:t xml:space="preserve">78</w:t>
          </w:r>
        </w:p>
        <w:p>
          <w:pPr>
            <w:pStyle w:val="TOC3"/>
            <w:tabs>
              <w:tab w:val="right" w:leader="dot" w:pos="9072"/>
            </w:tabs>
          </w:pPr>
          <w:r>
            <w:t xml:space="preserve">Appendix J: Performance Benchmarks (Swiss Deployment)</w:t>
          </w:r>
          <w:r>
            <w:tab/>
          </w:r>
          <w:r>
            <w:t xml:space="preserve">79</w:t>
          </w:r>
        </w:p>
        <w:p>
          <w:pPr>
            <w:pStyle w:val="TOC3"/>
            <w:tabs>
              <w:tab w:val="right" w:leader="dot" w:pos="9072"/>
            </w:tabs>
          </w:pPr>
          <w:r>
            <w:t xml:space="preserve">Appendix K: FMIA and DLT Act Implementation Evidence Package</w:t>
          </w:r>
          <w:r>
            <w:tab/>
          </w:r>
          <w:r>
            <w:t xml:space="preserve">80</w:t>
          </w:r>
        </w:p>
        <w:p>
          <w:pPr>
            <w:pStyle w:val="TOC3"/>
            <w:tabs>
              <w:tab w:val="right" w:leader="dot" w:pos="9072"/>
            </w:tabs>
          </w:pPr>
          <w:r>
            <w:t xml:space="preserve">Appendix M: Glossary</w:t>
          </w:r>
          <w:r>
            <w:tab/>
          </w:r>
          <w:r>
            <w:t xml:space="preserve">81</w:t>
          </w:r>
        </w:p>
        <w:p>
          <w:pPr>
            <w:pStyle w:val="TOC3"/>
            <w:tabs>
              <w:tab w:val="right" w:leader="dot" w:pos="9072"/>
            </w:tabs>
          </w:pPr>
          <w:r>
            <w:t xml:space="preserve">Appendix N: Version History</w:t>
          </w:r>
          <w:r>
            <w:tab/>
          </w:r>
          <w:r>
            <w:t xml:space="preserve">82</w:t>
          </w:r>
        </w:p>
        <w:p>
          <w:pPr>
            <w:pStyle w:val="TOC2"/>
            <w:tabs>
              <w:tab w:val="right" w:leader="dot" w:pos="9072"/>
            </w:tabs>
          </w:pPr>
          <w:r>
            <w:t xml:space="preserve">Document Control</w:t>
          </w:r>
          <w:r>
            <w:tab/>
          </w:r>
          <w:r>
            <w:t xml:space="preserve">83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SIX Digital Exchange (SDX)</w:t>
      </w:r>
    </w:p>
    <w:p>
      <w:r>
        <w:rPr>
          <w:rFonts w:ascii="Figtree" w:hAnsi="Figtree"/>
          <w:b/>
          <w:i w:val="0"/>
          <w:sz w:val="22"/>
        </w:rPr>
        <w:t>Document Title:</w:t>
      </w:r>
      <w:r>
        <w:rPr>
          <w:rFonts w:ascii="Figtree" w:hAnsi="Figtree"/>
          <w:b w:val="0"/>
          <w:i w:val="0"/>
          <w:sz w:val="22"/>
        </w:rPr>
        <w:t xml:space="preserve"> Technical Proposal — Digital Asset Exchange Infrastructure Upgrade</w:t>
      </w:r>
    </w:p>
    <w:p>
      <w:r>
        <w:rPr>
          <w:rFonts w:ascii="Figtree" w:hAnsi="Figtree"/>
          <w:b/>
          <w:i w:val="0"/>
          <w:sz w:val="22"/>
        </w:rPr>
        <w:t>RFP Reference:</w:t>
      </w:r>
      <w:r>
        <w:rPr>
          <w:rFonts w:ascii="Figtree" w:hAnsi="Figtree"/>
          <w:b w:val="0"/>
          <w:i w:val="0"/>
          <w:sz w:val="22"/>
        </w:rPr>
        <w:t xml:space="preserve"> SDX-RFP-DIGITAL-ASSET-EXCHANGE-INFRASTRUCTURE-UPGRADE-202603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1.2 (Post Review 2 - Final)</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SettleMint Company Profile</w:t>
      </w:r>
    </w:p>
    <w:p>
      <w:pPr>
        <w:pStyle w:val="ListParagraph"/>
        <w:numPr>
          <w:ilvl w:val="0"/>
          <w:numId w:val="6"/>
        </w:numPr>
      </w:pPr>
      <w:r>
        <w:rPr>
          <w:rFonts w:ascii="Figtree" w:hAnsi="Figtree"/>
          <w:b w:val="0"/>
          <w:i w:val="0"/>
          <w:sz w:val="22"/>
        </w:rPr>
        <w:t>DALP Platform Overview</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Management</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Settlement and Integration</w:t>
      </w:r>
    </w:p>
    <w:p>
      <w:pPr>
        <w:pStyle w:val="ListParagraph"/>
        <w:numPr>
          <w:ilvl w:val="0"/>
          <w:numId w:val="6"/>
        </w:numPr>
      </w:pPr>
      <w:r>
        <w:rPr>
          <w:rFonts w:ascii="Figtree" w:hAnsi="Figtree"/>
          <w:b w:val="0"/>
          <w:i w:val="0"/>
          <w:sz w:val="22"/>
        </w:rPr>
        <w:t>Deployment and Infrastructure</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Technical Requirements Response Matrix</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1. Executive Summary</w:t>
      </w:r>
    </w:p>
    <w:p>
      <w:pPr>
        <w:pStyle w:val="H3"/>
        <w:numPr>
          <w:ilvl w:val="2"/>
          <w:numId w:val="1"/>
        </w:numPr>
      </w:pPr>
      <w:r>
        <w:t>1.1 Context and Strategic Position</w:t>
      </w:r>
    </w:p>
    <w:p>
      <w:r>
        <w:rPr>
          <w:rFonts w:ascii="Figtree" w:hAnsi="Figtree"/>
          <w:b w:val="0"/>
          <w:i w:val="0"/>
          <w:sz w:val="22"/>
        </w:rPr>
        <w:t>SIX Digital Exchange occupies a singular position in the global digital asset landscape. As the world's first regulated digital asset exchange and central securities depository operating under Swiss law, SDX has already navigated the foundational regulatory and governance challenges that other venues are only beginning to encounter. The infrastructure upgrade programme addressed by this procurement is therefore not a question of building from scratch; it is a question of whether the selected platform can match the operational maturity, regulatory precision, and governance discipline that SDX's existing DLT Act (DLT-Gesetz) authorisation demands.</w:t>
      </w:r>
    </w:p>
    <w:p>
      <w:r>
        <w:rPr>
          <w:rFonts w:ascii="Figtree" w:hAnsi="Figtree"/>
          <w:b w:val="0"/>
          <w:i w:val="0"/>
          <w:sz w:val="22"/>
        </w:rPr>
        <w:t>Switzerland's legislative framework for distributed ledger technology, the Federal Act on the Adaptation of Federal Law to Developments in Distributed Ledger Technology (DLT Act), enacted in 2021, introduced the DLT trading venue category as a new licence type under the Financial Market Infrastructure Act (FMIA). FINMA regulates SDX as a DLT trading venue and CSD operating under this framework. The Swiss Data Protection Act (nDSG, in force since September 2023), Anti-Money Laundering Act (AMLA), and the CPMI-IOSCO Principles for Financial Market Infrastructures (PFMI) impose further obligations that permeate every aspect of SDX's operational model.</w:t>
      </w:r>
    </w:p>
    <w:p>
      <w:r>
        <w:rPr>
          <w:rFonts w:ascii="Figtree" w:hAnsi="Figtree"/>
          <w:b w:val="0"/>
          <w:i w:val="0"/>
          <w:sz w:val="22"/>
        </w:rPr>
        <w:t>The CPMI-IOSCO PFMI principles are particularly relevant: they require a financial market infrastructure to maintain sound risk management frameworks, legal certainty over settlement finality, clear default management procedures, and governance arrangements that ensure accountability. SDX's infrastructure upgrade must therefore be evaluated not only against functional requirements but against the risk framework that PFMI compliance imposes.</w:t>
      </w:r>
    </w:p>
    <w:p>
      <w:pPr>
        <w:pStyle w:val="H3"/>
        <w:numPr>
          <w:ilvl w:val="2"/>
          <w:numId w:val="1"/>
        </w:numPr>
      </w:pPr>
      <w:r>
        <w:t>1.2 Why This Upgrade is Strategically Necessary</w:t>
      </w:r>
    </w:p>
    <w:p>
      <w:r>
        <w:rPr>
          <w:rFonts w:ascii="Figtree" w:hAnsi="Figtree"/>
          <w:b w:val="0"/>
          <w:i w:val="0"/>
          <w:sz w:val="22"/>
        </w:rPr>
        <w:t>SDX's existing infrastructure delivered the foundational capability: a regulated, operating DLT-based exchange and CSD in Switzerland. The upgrade programme reflects the next phase of that journey, as the initial architecture encounters the scale, asset class diversity, and participant volume that SDX's commercial success requires.</w:t>
      </w:r>
    </w:p>
    <w:p>
      <w:r>
        <w:rPr>
          <w:rFonts w:ascii="Figtree" w:hAnsi="Figtree"/>
          <w:b w:val="0"/>
          <w:i w:val="0"/>
          <w:sz w:val="22"/>
        </w:rPr>
        <w:t>Digital asset exchanges face a distinct challenge at the point of growth: the initial infrastructure, often built with specific asset classes and participant cohorts in mind, must be extended without disrupting the operational continuity of existing participants and assets. This is not simply a technology upgrade; it is a live migration problem under regulatory supervision.</w:t>
      </w:r>
    </w:p>
    <w:p>
      <w:r>
        <w:rPr>
          <w:rFonts w:ascii="Figtree" w:hAnsi="Figtree"/>
          <w:b w:val="0"/>
          <w:i w:val="0"/>
          <w:sz w:val="22"/>
        </w:rPr>
        <w:t>The Swiss regulatory context adds further complexity. FINMA's supervisory model for DLT trading venues includes ongoing assessment of technical resilience, governance controls, and risk management under PFMI principles. Any infrastructure change at SDX is subject to FINMA notification obligations and must be managed within the change control discipline that FINMA supervision requires.</w:t>
      </w:r>
    </w:p>
    <w:p>
      <w:r>
        <w:rPr>
          <w:rFonts w:ascii="Figtree" w:hAnsi="Figtree"/>
          <w:b w:val="0"/>
          <w:i w:val="0"/>
          <w:sz w:val="22"/>
        </w:rPr>
        <w:t>The FMIA places settlement finality as a non-negotiable property of a regulated CSD: once a settlement instruction achieves finality, it cannot be reversed except through a court order. The infrastructure upgrade must preserve this property without interruption, and the selected platform must demonstrate that its settlement architecture provides finality that meets FMIA Article 51 standards.</w:t>
      </w:r>
    </w:p>
    <w:p>
      <w:r>
        <w:rPr>
          <w:rFonts w:ascii="Figtree" w:hAnsi="Figtree"/>
          <w:b w:val="0"/>
          <w:i w:val="0"/>
          <w:sz w:val="22"/>
        </w:rPr>
        <w:t>SDX's requirements also reflect the evolution of the Swiss capital market: issuers want to offer tokenized bonds, funds, and structured products across multiple investor categories. Each asset class carries different compliance configurations, different eligibility criteria, and different corporate action structures. The upgraded infrastructure must support this diversity while maintaining the governance coherence that a single regulated venue requires.</w:t>
      </w:r>
    </w:p>
    <w:p>
      <w:pPr>
        <w:pStyle w:val="H3"/>
        <w:numPr>
          <w:ilvl w:val="2"/>
          <w:numId w:val="1"/>
        </w:numPr>
      </w:pPr>
      <w:r>
        <w:t>1.3 Proposed Response</w:t>
      </w:r>
    </w:p>
    <w:p>
      <w:r>
        <w:rPr>
          <w:rFonts w:ascii="Figtree" w:hAnsi="Figtree"/>
          <w:b w:val="0"/>
          <w:i w:val="0"/>
          <w:sz w:val="22"/>
        </w:rPr>
        <w:t>SettleMint proposes the Digital Asset Lifecycle Platform (DALP) as the infrastructure layer for SDX's exchange upgrade. DALP's architecture is designed specifically for the requirements of regulated FMI operators: on-chain compliance enforcement, durable execution, HSM-backed key management, and atomic settlement are not optional modules but foundational properties of the platform.</w:t>
      </w:r>
    </w:p>
    <w:p>
      <w:r>
        <w:rPr>
          <w:rFonts w:ascii="Figtree" w:hAnsi="Figtree"/>
          <w:b/>
          <w:i w:val="0"/>
          <w:sz w:val="22"/>
        </w:rPr>
        <w:t>Deployment model:</w:t>
      </w:r>
      <w:r>
        <w:rPr>
          <w:rFonts w:ascii="Figtree" w:hAnsi="Figtree"/>
          <w:b w:val="0"/>
          <w:i w:val="0"/>
          <w:sz w:val="22"/>
        </w:rPr>
        <w:t xml:space="preserve"> Private permissioned EVM network using Hyperledger Besu with IBFT 2.0 consensus, deployed within SDX-controlled infrastructure in Switzerland. Swiss data residency is enforced at all layers. The deployment supports integration with SDX's existing Hyperledger-based network components where applicable, reducing migration disruption for participants.</w:t>
      </w:r>
    </w:p>
    <w:p>
      <w:r>
        <w:rPr>
          <w:rFonts w:ascii="Figtree" w:hAnsi="Figtree"/>
          <w:b/>
          <w:i w:val="0"/>
          <w:sz w:val="22"/>
        </w:rPr>
        <w:t>DLT Act alignment:</w:t>
      </w:r>
      <w:r>
        <w:rPr>
          <w:rFonts w:ascii="Figtree" w:hAnsi="Figtree"/>
          <w:b w:val="0"/>
          <w:i w:val="0"/>
          <w:sz w:val="22"/>
        </w:rPr>
        <w:t xml:space="preserve"> DALP's governance architecture directly supports the DLT Act's requirement that a DLT trading venue maintain clear rules on settlement finality, participant access, and default management. The on-chain AccessManager contract provides the technical implementation of SDX's rulebook on participant entitlement, and the XvP settlement addon provides the atomic finality mechanism required by FMIA Article 51.</w:t>
      </w:r>
    </w:p>
    <w:p>
      <w:r>
        <w:rPr>
          <w:rFonts w:ascii="Figtree" w:hAnsi="Figtree"/>
          <w:b/>
          <w:i w:val="0"/>
          <w:sz w:val="22"/>
        </w:rPr>
        <w:t>FMIA compliance:</w:t>
      </w:r>
      <w:r>
        <w:rPr>
          <w:rFonts w:ascii="Figtree" w:hAnsi="Figtree"/>
          <w:b w:val="0"/>
          <w:i w:val="0"/>
          <w:sz w:val="22"/>
        </w:rPr>
        <w:t xml:space="preserve"> DALP's compliance module suite covers all FMIA-required eligibility and transfer restriction controls. The identity verification module enforces participant eligibility at the transaction level. The transfer approval module supports SDX's pre-settlement compliance workflow. All compliance decisions are emitted as auditable events.</w:t>
      </w:r>
    </w:p>
    <w:p>
      <w:r>
        <w:rPr>
          <w:rFonts w:ascii="Figtree" w:hAnsi="Figtree"/>
          <w:b/>
          <w:i w:val="0"/>
          <w:sz w:val="22"/>
        </w:rPr>
        <w:t>FINMA circular alignment:</w:t>
      </w:r>
      <w:r>
        <w:rPr>
          <w:rFonts w:ascii="Figtree" w:hAnsi="Figtree"/>
          <w:b w:val="0"/>
          <w:i w:val="0"/>
          <w:sz w:val="22"/>
        </w:rPr>
        <w:t xml:space="preserve"> FINMA's circulars on operational risk, outsourcing, and cybersecurity impose requirements that DALP's architecture satisfies: ISO 27001 certification, SOC 2 Type II report, HSM-backed key management, and a formal incident response process.</w:t>
      </w:r>
    </w:p>
    <w:p>
      <w:r>
        <w:rPr>
          <w:rFonts w:ascii="Figtree" w:hAnsi="Figtree"/>
          <w:b/>
          <w:i w:val="0"/>
          <w:sz w:val="22"/>
        </w:rPr>
        <w:t>CPMI-IOSCO PFMI:</w:t>
      </w:r>
      <w:r>
        <w:rPr>
          <w:rFonts w:ascii="Figtree" w:hAnsi="Figtree"/>
          <w:b w:val="0"/>
          <w:i w:val="0"/>
          <w:sz w:val="22"/>
        </w:rPr>
        <w:t xml:space="preserve"> DALP's design addresses the PFMI principles directly:</w:t>
      </w:r>
    </w:p>
    <w:p>
      <w:pPr>
        <w:pStyle w:val="ListParagraph"/>
        <w:numPr>
          <w:ilvl w:val="0"/>
          <w:numId w:val="4"/>
        </w:numPr>
      </w:pPr>
      <w:r>
        <w:rPr>
          <w:rFonts w:ascii="Figtree" w:hAnsi="Figtree"/>
          <w:b/>
          <w:i w:val="0"/>
          <w:sz w:val="22"/>
        </w:rPr>
        <w:t>Legal certainty (PFMI 1):</w:t>
      </w:r>
      <w:r>
        <w:rPr>
          <w:rFonts w:ascii="Figtree" w:hAnsi="Figtree"/>
          <w:b w:val="0"/>
          <w:i w:val="0"/>
          <w:sz w:val="22"/>
        </w:rPr>
        <w:t xml:space="preserve"> Smart contract settlement is final on-chain; DALP's event structure supports Swiss private law notarial function</w:t>
      </w:r>
    </w:p>
    <w:p>
      <w:pPr>
        <w:pStyle w:val="ListParagraph"/>
        <w:numPr>
          <w:ilvl w:val="0"/>
          <w:numId w:val="4"/>
        </w:numPr>
      </w:pPr>
      <w:r>
        <w:rPr>
          <w:rFonts w:ascii="Figtree" w:hAnsi="Figtree"/>
          <w:b/>
          <w:i w:val="0"/>
          <w:sz w:val="22"/>
        </w:rPr>
        <w:t>Governance (PFMI 2):</w:t>
      </w:r>
      <w:r>
        <w:rPr>
          <w:rFonts w:ascii="Figtree" w:hAnsi="Figtree"/>
          <w:b w:val="0"/>
          <w:i w:val="0"/>
          <w:sz w:val="22"/>
        </w:rPr>
        <w:t xml:space="preserve"> GOVERNANCE_ROLE architecture provides clear accountability</w:t>
      </w:r>
    </w:p>
    <w:p>
      <w:pPr>
        <w:pStyle w:val="ListParagraph"/>
        <w:numPr>
          <w:ilvl w:val="0"/>
          <w:numId w:val="4"/>
        </w:numPr>
      </w:pPr>
      <w:r>
        <w:rPr>
          <w:rFonts w:ascii="Figtree" w:hAnsi="Figtree"/>
          <w:b/>
          <w:i w:val="0"/>
          <w:sz w:val="22"/>
        </w:rPr>
        <w:t>Risk management (PFMI 3-8):</w:t>
      </w:r>
      <w:r>
        <w:rPr>
          <w:rFonts w:ascii="Figtree" w:hAnsi="Figtree"/>
          <w:b w:val="0"/>
          <w:i w:val="0"/>
          <w:sz w:val="22"/>
        </w:rPr>
        <w:t xml:space="preserve"> Credit, liquidity, settlement, operational, and custody risks are addressed through atomic XvP, HSM key management, HA deployment, and immutable audit</w:t>
      </w:r>
    </w:p>
    <w:p>
      <w:pPr>
        <w:pStyle w:val="ListParagraph"/>
        <w:numPr>
          <w:ilvl w:val="0"/>
          <w:numId w:val="4"/>
        </w:numPr>
      </w:pPr>
      <w:r>
        <w:rPr>
          <w:rFonts w:ascii="Figtree" w:hAnsi="Figtree"/>
          <w:b/>
          <w:i w:val="0"/>
          <w:sz w:val="22"/>
        </w:rPr>
        <w:t>Efficiency (PFMI 21-24):</w:t>
      </w:r>
      <w:r>
        <w:rPr>
          <w:rFonts w:ascii="Figtree" w:hAnsi="Figtree"/>
          <w:b w:val="0"/>
          <w:i w:val="0"/>
          <w:sz w:val="22"/>
        </w:rPr>
        <w:t xml:space="preserve"> T+0 DvP, transparent fee structure, accessible API</w:t>
      </w:r>
    </w:p>
    <w:p>
      <w:r>
        <w:rPr>
          <w:rFonts w:ascii="Figtree" w:hAnsi="Figtree"/>
          <w:b/>
          <w:i w:val="0"/>
          <w:sz w:val="22"/>
        </w:rPr>
        <w:t>Swiss Data Protection Act (nDSG):</w:t>
      </w:r>
      <w:r>
        <w:rPr>
          <w:rFonts w:ascii="Figtree" w:hAnsi="Figtree"/>
          <w:b w:val="0"/>
          <w:i w:val="0"/>
          <w:sz w:val="22"/>
        </w:rPr>
        <w:t xml:space="preserve"> All personal data processing complies with nDSG requirements. Data residency in Switzerland satisfies nDSG's data localisation expectations for systemically important FMIs.</w:t>
      </w:r>
    </w:p>
    <w:p>
      <w:pPr>
        <w:pStyle w:val="H3"/>
        <w:numPr>
          <w:ilvl w:val="2"/>
          <w:numId w:val="1"/>
        </w:numPr>
      </w:pPr>
      <w:r>
        <w:t>1.4 Infrastructure Continuity Approach</w:t>
      </w:r>
    </w:p>
    <w:p>
      <w:r>
        <w:rPr>
          <w:rFonts w:ascii="Figtree" w:hAnsi="Figtree"/>
          <w:b w:val="0"/>
          <w:i w:val="0"/>
          <w:sz w:val="22"/>
        </w:rPr>
        <w:t>SDX's upgrade programme must maintain operational continuity for existing participants and assets. SettleMint's approach to this challenge is explicit:</w:t>
      </w:r>
    </w:p>
    <w:p>
      <w:pPr>
        <w:pStyle w:val="ListParagraph"/>
        <w:numPr>
          <w:ilvl w:val="0"/>
          <w:numId w:val="4"/>
        </w:numPr>
      </w:pPr>
      <w:r>
        <w:rPr>
          <w:rFonts w:ascii="Figtree" w:hAnsi="Figtree"/>
          <w:b/>
          <w:i w:val="0"/>
          <w:sz w:val="22"/>
        </w:rPr>
        <w:t>Parallel operation phase:</w:t>
      </w:r>
      <w:r>
        <w:rPr>
          <w:rFonts w:ascii="Figtree" w:hAnsi="Figtree"/>
          <w:b w:val="0"/>
          <w:i w:val="0"/>
          <w:sz w:val="22"/>
        </w:rPr>
        <w:t xml:space="preserve"> DALP is deployed alongside existing SDX infrastructure. Existing assets continue to operate on the current infrastructure while new assets are issued natively on DALP.</w:t>
      </w:r>
    </w:p>
    <w:p>
      <w:pPr>
        <w:pStyle w:val="ListParagraph"/>
        <w:numPr>
          <w:ilvl w:val="0"/>
          <w:numId w:val="4"/>
        </w:numPr>
      </w:pPr>
      <w:r>
        <w:rPr>
          <w:rFonts w:ascii="Figtree" w:hAnsi="Figtree"/>
          <w:b/>
          <w:i w:val="0"/>
          <w:sz w:val="22"/>
        </w:rPr>
        <w:t>Gradual migration:</w:t>
      </w:r>
      <w:r>
        <w:rPr>
          <w:rFonts w:ascii="Figtree" w:hAnsi="Figtree"/>
          <w:b w:val="0"/>
          <w:i w:val="0"/>
          <w:sz w:val="22"/>
        </w:rPr>
        <w:t xml:space="preserve"> Existing assets can be migrated to DALP through a token-for-token exchange mechanism, with participant consent and regulatory notification.</w:t>
      </w:r>
    </w:p>
    <w:p>
      <w:pPr>
        <w:pStyle w:val="ListParagraph"/>
        <w:numPr>
          <w:ilvl w:val="0"/>
          <w:numId w:val="4"/>
        </w:numPr>
      </w:pPr>
      <w:r>
        <w:rPr>
          <w:rFonts w:ascii="Figtree" w:hAnsi="Figtree"/>
          <w:b/>
          <w:i w:val="0"/>
          <w:sz w:val="22"/>
        </w:rPr>
        <w:t>API compatibility layer:</w:t>
      </w:r>
      <w:r>
        <w:rPr>
          <w:rFonts w:ascii="Figtree" w:hAnsi="Figtree"/>
          <w:b w:val="0"/>
          <w:i w:val="0"/>
          <w:sz w:val="22"/>
        </w:rPr>
        <w:t xml:space="preserve"> DALP's API is configured to expose endpoints compatible with SDX's existing participant integration patterns, minimising participant-side migration cost.</w:t>
      </w:r>
    </w:p>
    <w:p>
      <w:pPr>
        <w:pStyle w:val="ListParagraph"/>
        <w:numPr>
          <w:ilvl w:val="0"/>
          <w:numId w:val="4"/>
        </w:numPr>
      </w:pPr>
      <w:r>
        <w:rPr>
          <w:rFonts w:ascii="Figtree" w:hAnsi="Figtree"/>
          <w:b/>
          <w:i w:val="0"/>
          <w:sz w:val="22"/>
        </w:rPr>
        <w:t>Zero participant disruption target:</w:t>
      </w:r>
      <w:r>
        <w:rPr>
          <w:rFonts w:ascii="Figtree" w:hAnsi="Figtree"/>
          <w:b w:val="0"/>
          <w:i w:val="0"/>
          <w:sz w:val="22"/>
        </w:rPr>
        <w:t xml:space="preserve"> The migration design aims for zero forced participant changes during the transition period; participants adopt new APIs on their own schedule within an agreed migration window.</w:t>
      </w:r>
    </w:p>
    <w:p>
      <w:pPr>
        <w:pStyle w:val="H3"/>
        <w:numPr>
          <w:ilvl w:val="2"/>
          <w:numId w:val="1"/>
        </w:numPr>
      </w:pPr>
      <w:r>
        <w:t>1.4a Infrastructure Continuity: Technical Detail</w:t>
      </w:r>
    </w:p>
    <w:p>
      <w:r>
        <w:rPr>
          <w:rFonts w:ascii="Figtree" w:hAnsi="Figtree"/>
          <w:b w:val="0"/>
          <w:i w:val="0"/>
          <w:sz w:val="22"/>
        </w:rPr>
        <w:t>The migration from SDX's current infrastructure to DALP requires specific technical mechanisms to prevent disruption. SettleMint's approach involves three distinct phases:</w:t>
      </w:r>
    </w:p>
    <w:p>
      <w:r>
        <w:rPr>
          <w:rFonts w:ascii="Figtree" w:hAnsi="Figtree"/>
          <w:b/>
          <w:i w:val="0"/>
          <w:sz w:val="22"/>
        </w:rPr>
        <w:t>Phase A - Parallel operation (Weeks 14-16):</w:t>
      </w:r>
      <w:r>
        <w:rPr>
          <w:rFonts w:ascii="Figtree" w:hAnsi="Figtree"/>
          <w:b w:val="0"/>
          <w:i w:val="0"/>
          <w:sz w:val="22"/>
        </w:rPr>
        <w:t xml:space="preserve"> DALP is live in production for new asset issuances only. Existing assets continue on the current infrastructure. Both systems operate simultaneously. Participants connect to DALP for new assets while maintaining existing connections for current assets. This phase validates the new infrastructure with real production traffic before any migration begins.</w:t>
      </w:r>
    </w:p>
    <w:p>
      <w:r>
        <w:rPr>
          <w:rFonts w:ascii="Figtree" w:hAnsi="Figtree"/>
          <w:b/>
          <w:i w:val="0"/>
          <w:sz w:val="22"/>
        </w:rPr>
        <w:t>Phase B - Voluntary migration window (Weeks 17-24, post go-live):</w:t>
      </w:r>
      <w:r>
        <w:rPr>
          <w:rFonts w:ascii="Figtree" w:hAnsi="Figtree"/>
          <w:b w:val="0"/>
          <w:i w:val="0"/>
          <w:sz w:val="22"/>
        </w:rPr>
        <w:t xml:space="preserve"> SDX opens the migration pathway for existing assets. Issuers can elect to migrate existing securities to DALP through the token-for-token mechanism. Migration requires issuer consent, SDX approval, and FINMA notification if the asset is systemically significant. Participants maintain API access to both platforms during this window.</w:t>
      </w:r>
    </w:p>
    <w:p>
      <w:r>
        <w:rPr>
          <w:rFonts w:ascii="Figtree" w:hAnsi="Figtree"/>
          <w:b/>
          <w:i w:val="0"/>
          <w:sz w:val="22"/>
        </w:rPr>
        <w:t>Phase C - Full migration (Month 6+ post go-live):</w:t>
      </w:r>
      <w:r>
        <w:rPr>
          <w:rFonts w:ascii="Figtree" w:hAnsi="Figtree"/>
          <w:b w:val="0"/>
          <w:i w:val="0"/>
          <w:sz w:val="22"/>
        </w:rPr>
        <w:t xml:space="preserve"> After the voluntary window closes, any remaining assets are migrated under the agreed rulebook process. By this point, the DALP platform has established a production track record and the migration process is well-understood by all parties.</w:t>
      </w:r>
    </w:p>
    <w:p>
      <w:r>
        <w:rPr>
          <w:rFonts w:ascii="Figtree" w:hAnsi="Figtree"/>
          <w:b w:val="0"/>
          <w:i w:val="0"/>
          <w:sz w:val="22"/>
        </w:rPr>
        <w:t>This approach avoids the risk of a hard cutover that could disrupt existing participants or trigger FINMA notification requirements for a disruptive migration event.</w:t>
      </w:r>
    </w:p>
    <w:p>
      <w:pPr>
        <w:pStyle w:val="H3"/>
        <w:numPr>
          <w:ilvl w:val="2"/>
          <w:numId w:val="1"/>
        </w:numPr>
      </w:pPr>
      <w:r>
        <w:t>1.4b Why DALP for Swiss DLT Infrastructure</w:t>
      </w:r>
    </w:p>
    <w:p>
      <w:r>
        <w:rPr>
          <w:rFonts w:ascii="Figtree" w:hAnsi="Figtree"/>
          <w:b w:val="0"/>
          <w:i w:val="0"/>
          <w:sz w:val="22"/>
        </w:rPr>
        <w:t>DALP's design decisions are specifically relevant to SDX's Swiss regulatory context:</w:t>
      </w:r>
    </w:p>
    <w:p>
      <w:r>
        <w:rPr>
          <w:rFonts w:ascii="Figtree" w:hAnsi="Figtree"/>
          <w:b/>
          <w:i w:val="0"/>
          <w:sz w:val="22"/>
        </w:rPr>
        <w:t>On-chain compliance as the primary enforcement layer:</w:t>
      </w:r>
      <w:r>
        <w:rPr>
          <w:rFonts w:ascii="Figtree" w:hAnsi="Figtree"/>
          <w:b w:val="0"/>
          <w:i w:val="0"/>
          <w:sz w:val="22"/>
        </w:rPr>
        <w:t xml:space="preserve"> FINMA's supervisory model for DLT trading venues requires that compliance controls be embedded in the technology, not applied as process overlays. ERC-3643's on-chain compliance engine satisfies this requirement by making compliance enforcement a property of the smart contract, not the application layer.</w:t>
      </w:r>
    </w:p>
    <w:p>
      <w:r>
        <w:rPr>
          <w:rFonts w:ascii="Figtree" w:hAnsi="Figtree"/>
          <w:b/>
          <w:i w:val="0"/>
          <w:sz w:val="22"/>
        </w:rPr>
        <w:t>IBFT 2.0 and FMIA Article 51:</w:t>
      </w:r>
      <w:r>
        <w:rPr>
          <w:rFonts w:ascii="Figtree" w:hAnsi="Figtree"/>
          <w:b w:val="0"/>
          <w:i w:val="0"/>
          <w:sz w:val="22"/>
        </w:rPr>
        <w:t xml:space="preserve"> The FMIA settlement finality requirement demands that finality be unambiguous. IBFT 2.0's immediate, deterministic finality is categorically different from probabilistic finality systems where finality is estimated rather than guaranteed. For Swiss law purposes, this distinction is material.</w:t>
      </w:r>
    </w:p>
    <w:p>
      <w:r>
        <w:rPr>
          <w:rFonts w:ascii="Figtree" w:hAnsi="Figtree"/>
          <w:b/>
          <w:i w:val="0"/>
          <w:sz w:val="22"/>
        </w:rPr>
        <w:t>DLT Act register requirements:</w:t>
      </w:r>
      <w:r>
        <w:rPr>
          <w:rFonts w:ascii="Figtree" w:hAnsi="Figtree"/>
          <w:b w:val="0"/>
          <w:i w:val="0"/>
          <w:sz w:val="22"/>
        </w:rPr>
        <w:t xml:space="preserve"> The DLT Act requires that a DLT rights register be resistant to unauthorised modification. DALP's permissioned Besu network, with validator control held by SDX, satisfies this requirement. No external party can modify the register without SDX's validator participation.</w:t>
      </w:r>
    </w:p>
    <w:p>
      <w:r>
        <w:rPr>
          <w:rFonts w:ascii="Figtree" w:hAnsi="Figtree"/>
          <w:b/>
          <w:i w:val="0"/>
          <w:sz w:val="22"/>
        </w:rPr>
        <w:t>Multi-signature governance for systemic controls:</w:t>
      </w:r>
      <w:r>
        <w:rPr>
          <w:rFonts w:ascii="Figtree" w:hAnsi="Figtree"/>
          <w:b w:val="0"/>
          <w:i w:val="0"/>
          <w:sz w:val="22"/>
        </w:rPr>
        <w:t xml:space="preserve"> The DLT Act and FMIA require that a DLT trading venue's governance arrangements prevent unilateral action by a single party for system-level changes. DALP's GOVERNANCE_ROLE multi-signature requirement implements this at the technical level.</w:t>
      </w:r>
    </w:p>
    <w:p>
      <w:pPr>
        <w:pStyle w:val="H3"/>
        <w:numPr>
          <w:ilvl w:val="2"/>
          <w:numId w:val="1"/>
        </w:numPr>
      </w:pPr>
      <w:r>
        <w:t>1.5 Reference Fit Snapshot</w:t>
      </w:r>
    </w:p>
    <w:p>
      <w:r>
        <w:rPr>
          <w:rFonts w:ascii="Figtree" w:hAnsi="Figtree"/>
          <w:b w:val="0"/>
          <w:i w:val="0"/>
          <w:sz w:val="22"/>
        </w:rPr>
        <w:t>Three reference engagements demonstrate direct relevance to SDX's evaluation:</w:t>
      </w:r>
    </w:p>
    <w:p>
      <w:pPr>
        <w:pStyle w:val="ListParagraph"/>
        <w:numPr>
          <w:ilvl w:val="0"/>
          <w:numId w:val="4"/>
        </w:numPr>
      </w:pPr>
      <w:r>
        <w:rPr>
          <w:rFonts w:ascii="Figtree" w:hAnsi="Figtree"/>
          <w:b/>
          <w:i w:val="0"/>
          <w:sz w:val="22"/>
        </w:rPr>
        <w:t>Euronext (Tokenized Securities Marketplace):</w:t>
      </w:r>
      <w:r>
        <w:rPr>
          <w:rFonts w:ascii="Figtree" w:hAnsi="Figtree"/>
          <w:b w:val="0"/>
          <w:i w:val="0"/>
          <w:sz w:val="22"/>
        </w:rPr>
        <w:t xml:space="preserve"> Exchange-group delivery demonstrating configurable market model support, participant entitlement management, and real-time compliance enforcement for a multi-jurisdiction regulated venue.</w:t>
      </w:r>
    </w:p>
    <w:p>
      <w:pPr>
        <w:pStyle w:val="ListParagraph"/>
        <w:numPr>
          <w:ilvl w:val="0"/>
          <w:numId w:val="4"/>
        </w:numPr>
      </w:pPr>
      <w:r>
        <w:rPr>
          <w:rFonts w:ascii="Figtree" w:hAnsi="Figtree"/>
          <w:b/>
          <w:i w:val="0"/>
          <w:sz w:val="22"/>
        </w:rPr>
        <w:t>Deutsche Borse / Eurex (Digital Securities Infrastructure):</w:t>
      </w:r>
      <w:r>
        <w:rPr>
          <w:rFonts w:ascii="Figtree" w:hAnsi="Figtree"/>
          <w:b w:val="0"/>
          <w:i w:val="0"/>
          <w:sz w:val="22"/>
        </w:rPr>
        <w:t xml:space="preserve"> Post-trade and settlement infrastructure upgrade for a systemically important exchange group, demonstrating atomic DvP integration and PFMI-aligned governance.</w:t>
      </w:r>
    </w:p>
    <w:p>
      <w:pPr>
        <w:pStyle w:val="ListParagraph"/>
        <w:numPr>
          <w:ilvl w:val="0"/>
          <w:numId w:val="4"/>
        </w:numPr>
      </w:pPr>
      <w:r>
        <w:rPr>
          <w:rFonts w:ascii="Figtree" w:hAnsi="Figtree"/>
          <w:b/>
          <w:i w:val="0"/>
          <w:sz w:val="22"/>
        </w:rPr>
        <w:t>Central Bank of UAE (Digital Dirham):</w:t>
      </w:r>
      <w:r>
        <w:rPr>
          <w:rFonts w:ascii="Figtree" w:hAnsi="Figtree"/>
          <w:b w:val="0"/>
          <w:i w:val="0"/>
          <w:sz w:val="22"/>
        </w:rPr>
        <w:t xml:space="preserve"> Central bank infrastructure demonstrating governance architecture and audit integrity at the sovereign level.</w:t>
      </w:r>
    </w:p>
    <w:p>
      <w:r>
        <w:br w:type="page"/>
      </w:r>
    </w:p>
    <w:p>
      <w:pPr>
        <w:pStyle w:val="H2"/>
        <w:numPr>
          <w:ilvl w:val="1"/>
          <w:numId w:val="1"/>
        </w:numPr>
      </w:pPr>
      <w:r>
        <w:t>2. SettleMint Company Profile</w:t>
      </w:r>
    </w:p>
    <w:p>
      <w:pPr>
        <w:pStyle w:val="H3"/>
        <w:numPr>
          <w:ilvl w:val="2"/>
          <w:numId w:val="1"/>
        </w:numPr>
      </w:pPr>
      <w:r>
        <w:t>2.1 Company Overview</w:t>
      </w:r>
    </w:p>
    <w:p>
      <w:r>
        <w:rPr>
          <w:rFonts w:ascii="Figtree" w:hAnsi="Figtree"/>
          <w:b w:val="0"/>
          <w:i w:val="0"/>
          <w:sz w:val="22"/>
        </w:rPr>
        <w:t>SettleMint NV is a regulated digital asset infrastructure company headquartered in Brussels, Belgium, with offices in the United Kingdom, Switzerland, UAE, Singapore, and India. Founded in 2016, SettleMint has delivered production-grade digital asset platforms across more than fifteen jurisdictions.</w:t>
      </w:r>
    </w:p>
    <w:p>
      <w:r>
        <w:rPr>
          <w:rFonts w:ascii="Figtree" w:hAnsi="Figtree"/>
          <w:b w:val="0"/>
          <w:i w:val="0"/>
          <w:sz w:val="22"/>
        </w:rPr>
        <w:t>DALP is SettleMint's institutional-grade digital asset lifecycle platform, built on the ERC-3643 security token standard and extended with enterprise middleware for durable execution, HSM-backed key management, multi-network connectivity, and a compliance module suite covering the major regulatory frameworks applicable to regulated exchanges and CSDs.</w:t>
      </w:r>
    </w:p>
    <w:p>
      <w:pPr>
        <w:pStyle w:val="H3"/>
        <w:numPr>
          <w:ilvl w:val="2"/>
          <w:numId w:val="1"/>
        </w:numPr>
      </w:pPr>
      <w:r>
        <w:t>2.2 Certifications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4"/>
        <w:gridCol w:w="4017"/>
        <w:gridCol w:w="33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Information Security Management</w:t>
            </w:r>
          </w:p>
        </w:tc>
        <w:tc>
          <w:tcPr>
            <w:tcW w:type="dxa" w:w="3249"/>
            <w:vAlign w:val="center"/>
          </w:tcPr>
          <w:p>
            <w:pPr>
              <w:spacing w:line="276" w:lineRule="auto" w:before="0" w:after="0"/>
            </w:pPr>
            <w:r/>
            <w:r>
              <w:rPr>
                <w:rFonts w:ascii="Figtree" w:hAnsi="Figtree"/>
                <w:b w:val="0"/>
                <w:i w:val="0"/>
                <w:sz w:val="20"/>
              </w:rPr>
              <w:t>Full platform and delivery</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Service Organization Controls</w:t>
            </w:r>
          </w:p>
        </w:tc>
        <w:tc>
          <w:tcPr>
            <w:tcW w:type="dxa" w:w="3249"/>
            <w:vAlign w:val="center"/>
          </w:tcPr>
          <w:p>
            <w:pPr>
              <w:spacing w:line="276" w:lineRule="auto" w:before="0" w:after="0"/>
            </w:pPr>
            <w:r/>
            <w:r>
              <w:rPr>
                <w:rFonts w:ascii="Figtree" w:hAnsi="Figtree"/>
                <w:b w:val="0"/>
                <w:i w:val="0"/>
                <w:sz w:val="20"/>
              </w:rPr>
              <w:t>Platform operations</w:t>
            </w:r>
          </w:p>
        </w:tc>
      </w:tr>
      <w:tr>
        <w:trPr>
          <w:trHeight w:val="425" w:hRule="atLeast"/>
        </w:trPr>
        <w:tc>
          <w:tcPr>
            <w:tcW w:type="dxa" w:w="3249"/>
            <w:vAlign w:val="center"/>
          </w:tcPr>
          <w:p>
            <w:pPr>
              <w:spacing w:line="276" w:lineRule="auto" w:before="0" w:after="0"/>
            </w:pPr>
            <w:r/>
            <w:r>
              <w:rPr>
                <w:rFonts w:ascii="Figtree" w:hAnsi="Figtree"/>
                <w:b w:val="0"/>
                <w:i w:val="0"/>
                <w:sz w:val="20"/>
              </w:rPr>
              <w:t>nDSG/GDPR</w:t>
            </w:r>
          </w:p>
        </w:tc>
        <w:tc>
          <w:tcPr>
            <w:tcW w:type="dxa" w:w="3249"/>
            <w:vAlign w:val="center"/>
          </w:tcPr>
          <w:p>
            <w:pPr>
              <w:spacing w:line="276" w:lineRule="auto" w:before="0" w:after="0"/>
            </w:pPr>
            <w:r/>
            <w:r>
              <w:rPr>
                <w:rFonts w:ascii="Figtree" w:hAnsi="Figtree"/>
                <w:b w:val="0"/>
                <w:i w:val="0"/>
                <w:sz w:val="20"/>
              </w:rPr>
              <w:t>Swiss and EU data protection</w:t>
            </w:r>
          </w:p>
        </w:tc>
        <w:tc>
          <w:tcPr>
            <w:tcW w:type="dxa" w:w="3249"/>
            <w:vAlign w:val="center"/>
          </w:tcPr>
          <w:p>
            <w:pPr>
              <w:spacing w:line="276" w:lineRule="auto" w:before="0" w:after="0"/>
            </w:pPr>
            <w:r/>
            <w:r>
              <w:rPr>
                <w:rFonts w:ascii="Figtree" w:hAnsi="Figtree"/>
                <w:b w:val="0"/>
                <w:i w:val="0"/>
                <w:sz w:val="20"/>
              </w:rPr>
              <w:t>Data processing activities</w:t>
            </w:r>
          </w:p>
        </w:tc>
      </w:tr>
    </w:tbl>
    <w:p>
      <w:pPr>
        <w:spacing w:before="0" w:after="0" w:line="120" w:lineRule="exact"/>
      </w:pPr>
    </w:p>
    <w:p>
      <w:pPr>
        <w:pStyle w:val="H3"/>
        <w:numPr>
          <w:ilvl w:val="2"/>
          <w:numId w:val="1"/>
        </w:numPr>
      </w:pPr>
      <w:r>
        <w:t>2.3 Swiss Market Expertise</w:t>
      </w:r>
    </w:p>
    <w:p>
      <w:pPr>
        <w:pStyle w:val="ListParagraph"/>
        <w:numPr>
          <w:ilvl w:val="0"/>
          <w:numId w:val="4"/>
        </w:numPr>
      </w:pPr>
      <w:r>
        <w:rPr>
          <w:rFonts w:ascii="Figtree" w:hAnsi="Figtree"/>
          <w:b w:val="0"/>
          <w:i w:val="0"/>
          <w:sz w:val="22"/>
        </w:rPr>
        <w:t>DLT Act analysis completed by Swiss legal counsel</w:t>
      </w:r>
    </w:p>
    <w:p>
      <w:pPr>
        <w:pStyle w:val="ListParagraph"/>
        <w:numPr>
          <w:ilvl w:val="0"/>
          <w:numId w:val="4"/>
        </w:numPr>
      </w:pPr>
      <w:r>
        <w:rPr>
          <w:rFonts w:ascii="Figtree" w:hAnsi="Figtree"/>
          <w:b w:val="0"/>
          <w:i w:val="0"/>
          <w:sz w:val="22"/>
        </w:rPr>
        <w:t>FINMA circular alignment validated for DLT trading venue operations</w:t>
      </w:r>
    </w:p>
    <w:p>
      <w:pPr>
        <w:pStyle w:val="ListParagraph"/>
        <w:numPr>
          <w:ilvl w:val="0"/>
          <w:numId w:val="4"/>
        </w:numPr>
      </w:pPr>
      <w:r>
        <w:rPr>
          <w:rFonts w:ascii="Figtree" w:hAnsi="Figtree"/>
          <w:b w:val="0"/>
          <w:i w:val="0"/>
          <w:sz w:val="22"/>
        </w:rPr>
        <w:t>FMIA Article 51 settlement finality analysis completed</w:t>
      </w:r>
    </w:p>
    <w:p>
      <w:pPr>
        <w:pStyle w:val="ListParagraph"/>
        <w:numPr>
          <w:ilvl w:val="0"/>
          <w:numId w:val="4"/>
        </w:numPr>
      </w:pPr>
      <w:r>
        <w:rPr>
          <w:rFonts w:ascii="Figtree" w:hAnsi="Figtree"/>
          <w:b w:val="0"/>
          <w:i w:val="0"/>
          <w:sz w:val="22"/>
        </w:rPr>
        <w:t>CPMI-IOSCO PFMI gap assessment available for SDX review</w:t>
      </w:r>
    </w:p>
    <w:p>
      <w:pPr>
        <w:pStyle w:val="ListParagraph"/>
        <w:numPr>
          <w:ilvl w:val="0"/>
          <w:numId w:val="4"/>
        </w:numPr>
      </w:pPr>
      <w:r>
        <w:rPr>
          <w:rFonts w:ascii="Figtree" w:hAnsi="Figtree"/>
          <w:b w:val="0"/>
          <w:i w:val="0"/>
          <w:sz w:val="22"/>
        </w:rPr>
        <w:t>Hyperledger Besu deployment in Swiss data centres completed for reference client</w:t>
      </w:r>
    </w:p>
    <w:p>
      <w:r>
        <w:br w:type="page"/>
      </w:r>
    </w:p>
    <w:p>
      <w:pPr>
        <w:pStyle w:val="H2"/>
        <w:numPr>
          <w:ilvl w:val="1"/>
          <w:numId w:val="1"/>
        </w:numPr>
      </w:pPr>
      <w:r>
        <w:t>3. DALP Platform Overview</w:t>
      </w:r>
    </w:p>
    <w:p>
      <w:pPr>
        <w:pStyle w:val="H3"/>
        <w:numPr>
          <w:ilvl w:val="2"/>
          <w:numId w:val="1"/>
        </w:numPr>
      </w:pPr>
      <w:r>
        <w:t>3.1 Four-Layer Architecture</w:t>
      </w:r>
    </w:p>
    <w:p>
      <w:pPr>
        <w:jc w:val="center"/>
      </w:pPr>
      <w:r>
        <w:drawing>
          <wp:inline xmlns:a="http://schemas.openxmlformats.org/drawingml/2006/main" xmlns:pic="http://schemas.openxmlformats.org/drawingml/2006/picture">
            <wp:extent cx="5375649" cy="822959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375649" cy="8229599"/>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Asset Console for SDX operators, compliance officers, participant services, and FINMA supervisory access portal.</w:t>
      </w:r>
    </w:p>
    <w:p>
      <w:r>
        <w:rPr>
          <w:rFonts w:ascii="Figtree" w:hAnsi="Figtree"/>
          <w:b/>
          <w:i w:val="0"/>
          <w:sz w:val="22"/>
        </w:rPr>
        <w:t>API Layer:</w:t>
      </w:r>
      <w:r>
        <w:rPr>
          <w:rFonts w:ascii="Figtree" w:hAnsi="Figtree"/>
          <w:b w:val="0"/>
          <w:i w:val="0"/>
          <w:sz w:val="22"/>
        </w:rPr>
        <w:t xml:space="preserve"> Full OpenAPI 3.1 REST API. All platform functions accessible via authenticated API. Rate limiting: 10,000 requests per 60 seconds per key. Compatible with SDX's existing participant API integration patterns.</w:t>
      </w:r>
    </w:p>
    <w:p>
      <w:r>
        <w:rPr>
          <w:rFonts w:ascii="Figtree" w:hAnsi="Figtree"/>
          <w:b/>
          <w:i w:val="0"/>
          <w:sz w:val="22"/>
        </w:rPr>
        <w:t>Middleware Layer:</w:t>
      </w:r>
    </w:p>
    <w:p>
      <w:pPr>
        <w:pStyle w:val="ListParagraph"/>
        <w:numPr>
          <w:ilvl w:val="0"/>
          <w:numId w:val="4"/>
        </w:numPr>
      </w:pPr>
      <w:r>
        <w:rPr>
          <w:rFonts w:ascii="Figtree" w:hAnsi="Figtree"/>
          <w:b/>
          <w:i w:val="0"/>
          <w:sz w:val="22"/>
        </w:rPr>
        <w:t>Execution Engine (Restate):</w:t>
      </w:r>
      <w:r>
        <w:rPr>
          <w:rFonts w:ascii="Figtree" w:hAnsi="Figtree"/>
          <w:b w:val="0"/>
          <w:i w:val="0"/>
          <w:sz w:val="22"/>
        </w:rPr>
        <w:t xml:space="preserve"> Exactly-once workflow execution. Survives infrastructure failures. Deterministic replay for audit reconstruction.</w:t>
      </w:r>
    </w:p>
    <w:p>
      <w:pPr>
        <w:pStyle w:val="ListParagraph"/>
        <w:numPr>
          <w:ilvl w:val="0"/>
          <w:numId w:val="4"/>
        </w:numPr>
      </w:pPr>
      <w:r>
        <w:rPr>
          <w:rFonts w:ascii="Figtree" w:hAnsi="Figtree"/>
          <w:b/>
          <w:i w:val="0"/>
          <w:sz w:val="22"/>
        </w:rPr>
        <w:t>Key Guardian:</w:t>
      </w:r>
      <w:r>
        <w:rPr>
          <w:rFonts w:ascii="Figtree" w:hAnsi="Figtree"/>
          <w:b w:val="0"/>
          <w:i w:val="0"/>
          <w:sz w:val="22"/>
        </w:rPr>
        <w:t xml:space="preserve"> HSM-backed key management with cloud KMS integration. FIPS 140-2 Level 3 HSM options available for Swiss regulatory requirements.</w:t>
      </w:r>
    </w:p>
    <w:p>
      <w:pPr>
        <w:pStyle w:val="ListParagraph"/>
        <w:numPr>
          <w:ilvl w:val="0"/>
          <w:numId w:val="4"/>
        </w:numPr>
      </w:pPr>
      <w:r>
        <w:rPr>
          <w:rFonts w:ascii="Figtree" w:hAnsi="Figtree"/>
          <w:b/>
          <w:i w:val="0"/>
          <w:sz w:val="22"/>
        </w:rPr>
        <w:t>Transaction Signer:</w:t>
      </w:r>
      <w:r>
        <w:rPr>
          <w:rFonts w:ascii="Figtree" w:hAnsi="Figtree"/>
          <w:b w:val="0"/>
          <w:i w:val="0"/>
          <w:sz w:val="22"/>
        </w:rPr>
        <w:t xml:space="preserve"> EIP-1559 gas pricing, ERC-2771 meta-transactions, nonce coordination.</w:t>
      </w:r>
    </w:p>
    <w:p>
      <w:pPr>
        <w:pStyle w:val="ListParagraph"/>
        <w:numPr>
          <w:ilvl w:val="0"/>
          <w:numId w:val="4"/>
        </w:numPr>
      </w:pPr>
      <w:r>
        <w:rPr>
          <w:rFonts w:ascii="Figtree" w:hAnsi="Figtree"/>
          <w:b/>
          <w:i w:val="0"/>
          <w:sz w:val="22"/>
        </w:rPr>
        <w:t>Chain Indexer:</w:t>
      </w:r>
      <w:r>
        <w:rPr>
          <w:rFonts w:ascii="Figtree" w:hAnsi="Figtree"/>
          <w:b w:val="0"/>
          <w:i w:val="0"/>
          <w:sz w:val="22"/>
        </w:rPr>
        <w:t xml:space="preserve"> Real-time event processing, structured state projection, queryable history for FINMA reporting.</w:t>
      </w:r>
    </w:p>
    <w:p>
      <w:pPr>
        <w:pStyle w:val="ListParagraph"/>
        <w:numPr>
          <w:ilvl w:val="0"/>
          <w:numId w:val="4"/>
        </w:numPr>
      </w:pPr>
      <w:r>
        <w:rPr>
          <w:rFonts w:ascii="Figtree" w:hAnsi="Figtree"/>
          <w:b/>
          <w:i w:val="0"/>
          <w:sz w:val="22"/>
        </w:rPr>
        <w:t>Chain Gateway:</w:t>
      </w:r>
      <w:r>
        <w:rPr>
          <w:rFonts w:ascii="Figtree" w:hAnsi="Figtree"/>
          <w:b w:val="0"/>
          <w:i w:val="0"/>
          <w:sz w:val="22"/>
        </w:rPr>
        <w:t xml:space="preserve"> Multi-network connectivity with failover.</w:t>
      </w:r>
    </w:p>
    <w:p>
      <w:pPr>
        <w:pStyle w:val="ListParagraph"/>
        <w:numPr>
          <w:ilvl w:val="0"/>
          <w:numId w:val="4"/>
        </w:numPr>
      </w:pPr>
      <w:r>
        <w:rPr>
          <w:rFonts w:ascii="Figtree" w:hAnsi="Figtree"/>
          <w:b/>
          <w:i w:val="0"/>
          <w:sz w:val="22"/>
        </w:rPr>
        <w:t>Feeds System:</w:t>
      </w:r>
      <w:r>
        <w:rPr>
          <w:rFonts w:ascii="Figtree" w:hAnsi="Figtree"/>
          <w:b w:val="0"/>
          <w:i w:val="0"/>
          <w:sz w:val="22"/>
        </w:rPr>
        <w:t xml:space="preserve"> Market data, NAV calculations, reference rates for Swiss franc and other currencies.</w:t>
      </w:r>
    </w:p>
    <w:p>
      <w:r>
        <w:rPr>
          <w:rFonts w:ascii="Figtree" w:hAnsi="Figtree"/>
          <w:b/>
          <w:i w:val="0"/>
          <w:sz w:val="22"/>
        </w:rPr>
        <w:t>Smart Contract Layer:</w:t>
      </w:r>
      <w:r>
        <w:rPr>
          <w:rFonts w:ascii="Figtree" w:hAnsi="Figtree"/>
          <w:b w:val="0"/>
          <w:i w:val="0"/>
          <w:sz w:val="22"/>
        </w:rPr>
        <w:t xml:space="preserve"> SMART Protocol (ERC-3643) with modular compliance engine, OnchainID (ERC-734/735), UUPS proxy pattern, CREATE2 deterministic deployment.</w:t>
      </w:r>
    </w:p>
    <w:p>
      <w:pPr>
        <w:pStyle w:val="H3"/>
        <w:numPr>
          <w:ilvl w:val="2"/>
          <w:numId w:val="1"/>
        </w:numPr>
      </w:pPr>
      <w:r>
        <w:t>3.2 Five-Layer On-Chain Architecture</w:t>
      </w:r>
    </w:p>
    <w:p>
      <w:pPr>
        <w:jc w:val="center"/>
      </w:pPr>
      <w:r>
        <w:drawing>
          <wp:inline xmlns:a="http://schemas.openxmlformats.org/drawingml/2006/main" xmlns:pic="http://schemas.openxmlformats.org/drawingml/2006/picture">
            <wp:extent cx="2628900" cy="54864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628900" cy="5486400"/>
                    </a:xfrm>
                    <a:prstGeom prst="rect"/>
                  </pic:spPr>
                </pic:pic>
              </a:graphicData>
            </a:graphic>
          </wp:inline>
        </w:drawing>
      </w:r>
    </w:p>
    <w:p>
      <w:r>
        <w:br w:type="page"/>
      </w:r>
    </w:p>
    <w:p>
      <w:pPr>
        <w:pStyle w:val="H2"/>
        <w:numPr>
          <w:ilvl w:val="1"/>
          <w:numId w:val="1"/>
        </w:numPr>
      </w:pPr>
      <w:r>
        <w:t>4. Solution Architecture</w:t>
      </w:r>
    </w:p>
    <w:p>
      <w:pPr>
        <w:pStyle w:val="H3"/>
        <w:numPr>
          <w:ilvl w:val="2"/>
          <w:numId w:val="1"/>
        </w:numPr>
      </w:pPr>
      <w:r>
        <w:t>4.1 SDX-Specific Architecture</w:t>
      </w:r>
    </w:p>
    <w:p>
      <w:pPr>
        <w:jc w:val="center"/>
      </w:pPr>
      <w:r>
        <w:drawing>
          <wp:inline xmlns:a="http://schemas.openxmlformats.org/drawingml/2006/main" xmlns:pic="http://schemas.openxmlformats.org/drawingml/2006/picture">
            <wp:extent cx="5486400" cy="268021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680218"/>
                    </a:xfrm>
                    <a:prstGeom prst="rect"/>
                  </pic:spPr>
                </pic:pic>
              </a:graphicData>
            </a:graphic>
          </wp:inline>
        </w:drawing>
      </w:r>
    </w:p>
    <w:p>
      <w:pPr>
        <w:pStyle w:val="H3"/>
        <w:numPr>
          <w:ilvl w:val="2"/>
          <w:numId w:val="1"/>
        </w:numPr>
      </w:pPr>
      <w:r>
        <w:t>4.2 DLT Act Governance Architecture</w:t>
      </w:r>
    </w:p>
    <w:p>
      <w:r>
        <w:rPr>
          <w:rFonts w:ascii="Figtree" w:hAnsi="Figtree"/>
          <w:b w:val="0"/>
          <w:i w:val="0"/>
          <w:sz w:val="22"/>
        </w:rPr>
        <w:t>The DLT Act requires a DLT trading venue to maintain clear governance rules that are technically implemented and auditable. DALP's governance architecture maps to the DLT Act's requirements as follows:</w:t>
      </w:r>
    </w:p>
    <w:p>
      <w:r>
        <w:rPr>
          <w:rFonts w:ascii="Figtree" w:hAnsi="Figtree"/>
          <w:b/>
          <w:i w:val="0"/>
          <w:sz w:val="22"/>
        </w:rPr>
        <w:t>Access rights:</w:t>
      </w:r>
      <w:r>
        <w:rPr>
          <w:rFonts w:ascii="Figtree" w:hAnsi="Figtree"/>
          <w:b w:val="0"/>
          <w:i w:val="0"/>
          <w:sz w:val="22"/>
        </w:rPr>
        <w:t xml:space="preserve"> The AccessManager contract implements the DLT Act's requirement that access rights to the trading system be clearly defined and enforceable. SDX assigns participant roles on-chain; all role grants and revocations are recorded immutably.</w:t>
      </w:r>
    </w:p>
    <w:p>
      <w:r>
        <w:rPr>
          <w:rFonts w:ascii="Figtree" w:hAnsi="Figtree"/>
          <w:b/>
          <w:i w:val="0"/>
          <w:sz w:val="22"/>
        </w:rPr>
        <w:t>Settlement finality:</w:t>
      </w:r>
      <w:r>
        <w:rPr>
          <w:rFonts w:ascii="Figtree" w:hAnsi="Figtree"/>
          <w:b w:val="0"/>
          <w:i w:val="0"/>
          <w:sz w:val="22"/>
        </w:rPr>
        <w:t xml:space="preserve"> DALP's XvP addon provides settlement finality aligned with FMIA Article 51. Once an XvP transaction completes, both asset and cash legs are recorded as final on the permissioned blockchain. The IBFT 2.0 consensus mechanism provides immediate finality at the block level, meaning there are no probabilistic confirmations or reorg risks.</w:t>
      </w:r>
    </w:p>
    <w:p>
      <w:r>
        <w:rPr>
          <w:rFonts w:ascii="Figtree" w:hAnsi="Figtree"/>
          <w:b/>
          <w:i w:val="0"/>
          <w:sz w:val="22"/>
        </w:rPr>
        <w:t>Default management:</w:t>
      </w:r>
      <w:r>
        <w:rPr>
          <w:rFonts w:ascii="Figtree" w:hAnsi="Figtree"/>
          <w:b w:val="0"/>
          <w:i w:val="0"/>
          <w:sz w:val="22"/>
        </w:rPr>
        <w:t xml:space="preserve"> The custodian extension's forced transfer and account freeze capabilities provide the technical mechanism for implementing SDX's default management procedures as defined in its rulebook. The CUSTODIAN_ROLE gated freeze prevents a defaulting participant from further trading activity immediately upon regulatory decision.</w:t>
      </w:r>
    </w:p>
    <w:p>
      <w:r>
        <w:rPr>
          <w:rFonts w:ascii="Figtree" w:hAnsi="Figtree"/>
          <w:b/>
          <w:i w:val="0"/>
          <w:sz w:val="22"/>
        </w:rPr>
        <w:t>Transparency:</w:t>
      </w:r>
      <w:r>
        <w:rPr>
          <w:rFonts w:ascii="Figtree" w:hAnsi="Figtree"/>
          <w:b w:val="0"/>
          <w:i w:val="0"/>
          <w:sz w:val="22"/>
        </w:rPr>
        <w:t xml:space="preserve"> The Chain Indexer provides SDX's compliance team and FINMA with transparent access to all settlement records, participant positions, and compliance enforcement events in real time.</w:t>
      </w:r>
    </w:p>
    <w:p>
      <w:pPr>
        <w:pStyle w:val="H3"/>
        <w:numPr>
          <w:ilvl w:val="2"/>
          <w:numId w:val="1"/>
        </w:numPr>
      </w:pPr>
      <w:r>
        <w:t>4.3 Participant Controls and Entitlement</w:t>
      </w:r>
    </w:p>
    <w:p>
      <w:r>
        <w:rPr>
          <w:rFonts w:ascii="Figtree" w:hAnsi="Figtree"/>
          <w:b w:val="0"/>
          <w:i w:val="0"/>
          <w:sz w:val="22"/>
        </w:rPr>
        <w:t>SDX's DLT Act licence requires precise participant entitlement controls. DALP implements these through the AccessManager contract with the following SDX-specific role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41"/>
        <w:gridCol w:w="2382"/>
        <w:gridCol w:w="49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On-Chain Identifier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3249"/>
            <w:vAlign w:val="center"/>
          </w:tcPr>
          <w:p>
            <w:pPr>
              <w:spacing w:line="276" w:lineRule="auto" w:before="0" w:after="0"/>
            </w:pPr>
            <w:r/>
            <w:r>
              <w:rPr>
                <w:rFonts w:ascii="Figtree" w:hAnsi="Figtree"/>
                <w:b w:val="0"/>
                <w:i w:val="0"/>
                <w:sz w:val="20"/>
              </w:rPr>
              <w:t>Issuer</w:t>
            </w:r>
          </w:p>
        </w:tc>
        <w:tc>
          <w:tcPr>
            <w:tcW w:type="dxa" w:w="3249"/>
            <w:vAlign w:val="center"/>
          </w:tcPr>
          <w:p>
            <w:pPr>
              <w:spacing w:line="276" w:lineRule="auto" w:before="0" w:after="0"/>
            </w:pPr>
            <w:r/>
            <w:r>
              <w:rPr>
                <w:rFonts w:ascii="Figtree" w:hAnsi="Figtree"/>
                <w:b w:val="0"/>
                <w:i w:val="0"/>
                <w:sz w:val="20"/>
              </w:rPr>
              <w:t>`ISSUER_ROLE`</w:t>
            </w:r>
          </w:p>
        </w:tc>
        <w:tc>
          <w:tcPr>
            <w:tcW w:type="dxa" w:w="3249"/>
            <w:vAlign w:val="center"/>
          </w:tcPr>
          <w:p>
            <w:pPr>
              <w:spacing w:line="276" w:lineRule="auto" w:before="0" w:after="0"/>
            </w:pPr>
            <w:r/>
            <w:r>
              <w:rPr>
                <w:rFonts w:ascii="Figtree" w:hAnsi="Figtree"/>
                <w:b w:val="0"/>
                <w:i w:val="0"/>
                <w:sz w:val="20"/>
              </w:rPr>
              <w:t>Authorised to originate and service digital securities</w:t>
            </w:r>
          </w:p>
        </w:tc>
      </w:tr>
      <w:tr>
        <w:trPr>
          <w:trHeight w:val="425" w:hRule="atLeast"/>
        </w:trPr>
        <w:tc>
          <w:tcPr>
            <w:tcW w:type="dxa" w:w="3249"/>
            <w:vAlign w:val="center"/>
          </w:tcPr>
          <w:p>
            <w:pPr>
              <w:spacing w:line="276" w:lineRule="auto" w:before="0" w:after="0"/>
            </w:pPr>
            <w:r/>
            <w:r>
              <w:rPr>
                <w:rFonts w:ascii="Figtree" w:hAnsi="Figtree"/>
                <w:b w:val="0"/>
                <w:i w:val="0"/>
                <w:sz w:val="20"/>
              </w:rPr>
              <w:t>Trading Participant</w:t>
            </w:r>
          </w:p>
        </w:tc>
        <w:tc>
          <w:tcPr>
            <w:tcW w:type="dxa" w:w="3249"/>
            <w:vAlign w:val="center"/>
          </w:tcPr>
          <w:p>
            <w:pPr>
              <w:spacing w:line="276" w:lineRule="auto" w:before="0" w:after="0"/>
            </w:pPr>
            <w:r/>
            <w:r>
              <w:rPr>
                <w:rFonts w:ascii="Figtree" w:hAnsi="Figtree"/>
                <w:b w:val="0"/>
                <w:i w:val="0"/>
                <w:sz w:val="20"/>
              </w:rPr>
              <w:t>`TRADING</w:t>
            </w:r>
            <w:r>
              <w:rPr>
                <w:rFonts w:ascii="Figtree" w:hAnsi="Figtree"/>
                <w:b w:val="0"/>
                <w:i/>
                <w:sz w:val="20"/>
              </w:rPr>
              <w:t>PARTICIPANT</w:t>
            </w:r>
            <w:r>
              <w:rPr>
                <w:rFonts w:ascii="Figtree" w:hAnsi="Figtree"/>
                <w:b w:val="0"/>
                <w:i w:val="0"/>
                <w:sz w:val="20"/>
              </w:rPr>
              <w:t>ROLE`</w:t>
            </w:r>
          </w:p>
        </w:tc>
        <w:tc>
          <w:tcPr>
            <w:tcW w:type="dxa" w:w="3249"/>
            <w:vAlign w:val="center"/>
          </w:tcPr>
          <w:p>
            <w:pPr>
              <w:spacing w:line="276" w:lineRule="auto" w:before="0" w:after="0"/>
            </w:pPr>
            <w:r/>
            <w:r>
              <w:rPr>
                <w:rFonts w:ascii="Figtree" w:hAnsi="Figtree"/>
                <w:b w:val="0"/>
                <w:i w:val="0"/>
                <w:sz w:val="20"/>
              </w:rPr>
              <w:t>Access to secondary market trading functions</w:t>
            </w:r>
          </w:p>
        </w:tc>
      </w:tr>
      <w:tr>
        <w:trPr>
          <w:trHeight w:val="425" w:hRule="atLeast"/>
        </w:trPr>
        <w:tc>
          <w:tcPr>
            <w:tcW w:type="dxa" w:w="3249"/>
            <w:vAlign w:val="center"/>
          </w:tcPr>
          <w:p>
            <w:pPr>
              <w:spacing w:line="276" w:lineRule="auto" w:before="0" w:after="0"/>
            </w:pPr>
            <w:r/>
            <w:r>
              <w:rPr>
                <w:rFonts w:ascii="Figtree" w:hAnsi="Figtree"/>
                <w:b w:val="0"/>
                <w:i w:val="0"/>
                <w:sz w:val="20"/>
              </w:rPr>
              <w:t>Settlement Member</w:t>
            </w:r>
          </w:p>
        </w:tc>
        <w:tc>
          <w:tcPr>
            <w:tcW w:type="dxa" w:w="3249"/>
            <w:vAlign w:val="center"/>
          </w:tcPr>
          <w:p>
            <w:pPr>
              <w:spacing w:line="276" w:lineRule="auto" w:before="0" w:after="0"/>
            </w:pPr>
            <w:r/>
            <w:r>
              <w:rPr>
                <w:rFonts w:ascii="Figtree" w:hAnsi="Figtree"/>
                <w:b w:val="0"/>
                <w:i w:val="0"/>
                <w:sz w:val="20"/>
              </w:rPr>
              <w:t>`SETTLEMENT</w:t>
            </w:r>
            <w:r>
              <w:rPr>
                <w:rFonts w:ascii="Figtree" w:hAnsi="Figtree"/>
                <w:b w:val="0"/>
                <w:i/>
                <w:sz w:val="20"/>
              </w:rPr>
              <w:t>MEMBER</w:t>
            </w:r>
            <w:r>
              <w:rPr>
                <w:rFonts w:ascii="Figtree" w:hAnsi="Figtree"/>
                <w:b w:val="0"/>
                <w:i w:val="0"/>
                <w:sz w:val="20"/>
              </w:rPr>
              <w:t>ROLE`</w:t>
            </w:r>
          </w:p>
        </w:tc>
        <w:tc>
          <w:tcPr>
            <w:tcW w:type="dxa" w:w="3249"/>
            <w:vAlign w:val="center"/>
          </w:tcPr>
          <w:p>
            <w:pPr>
              <w:spacing w:line="276" w:lineRule="auto" w:before="0" w:after="0"/>
            </w:pPr>
            <w:r/>
            <w:r>
              <w:rPr>
                <w:rFonts w:ascii="Figtree" w:hAnsi="Figtree"/>
                <w:b w:val="0"/>
                <w:i w:val="0"/>
                <w:sz w:val="20"/>
              </w:rPr>
              <w:t>Access to DvP settlement initiation and confirmation</w:t>
            </w:r>
          </w:p>
        </w:tc>
      </w:tr>
      <w:tr>
        <w:trPr>
          <w:trHeight w:val="425" w:hRule="atLeast"/>
        </w:trPr>
        <w:tc>
          <w:tcPr>
            <w:tcW w:type="dxa" w:w="3249"/>
            <w:vAlign w:val="center"/>
          </w:tcPr>
          <w:p>
            <w:pPr>
              <w:spacing w:line="276" w:lineRule="auto" w:before="0" w:after="0"/>
            </w:pPr>
            <w:r/>
            <w:r>
              <w:rPr>
                <w:rFonts w:ascii="Figtree" w:hAnsi="Figtree"/>
                <w:b w:val="0"/>
                <w:i w:val="0"/>
                <w:sz w:val="20"/>
              </w:rPr>
              <w:t>Custodian</w:t>
            </w:r>
          </w:p>
        </w:tc>
        <w:tc>
          <w:tcPr>
            <w:tcW w:type="dxa" w:w="3249"/>
            <w:vAlign w:val="center"/>
          </w:tcPr>
          <w:p>
            <w:pPr>
              <w:spacing w:line="276" w:lineRule="auto" w:before="0" w:after="0"/>
            </w:pPr>
            <w:r/>
            <w:r>
              <w:rPr>
                <w:rFonts w:ascii="Figtree" w:hAnsi="Figtree"/>
                <w:b w:val="0"/>
                <w:i w:val="0"/>
                <w:sz w:val="20"/>
              </w:rPr>
              <w:t>`CUSTODIAN_ROLE`</w:t>
            </w:r>
          </w:p>
        </w:tc>
        <w:tc>
          <w:tcPr>
            <w:tcW w:type="dxa" w:w="3249"/>
            <w:vAlign w:val="center"/>
          </w:tcPr>
          <w:p>
            <w:pPr>
              <w:spacing w:line="276" w:lineRule="auto" w:before="0" w:after="0"/>
            </w:pPr>
            <w:r/>
            <w:r>
              <w:rPr>
                <w:rFonts w:ascii="Figtree" w:hAnsi="Figtree"/>
                <w:b w:val="0"/>
                <w:i w:val="0"/>
                <w:sz w:val="20"/>
              </w:rPr>
              <w:t>Account freezing, forced transfer, recovery</w:t>
            </w:r>
          </w:p>
        </w:tc>
      </w:tr>
      <w:tr>
        <w:trPr>
          <w:trHeight w:val="425" w:hRule="atLeast"/>
        </w:trPr>
        <w:tc>
          <w:tcPr>
            <w:tcW w:type="dxa" w:w="3249"/>
            <w:vAlign w:val="center"/>
          </w:tcPr>
          <w:p>
            <w:pPr>
              <w:spacing w:line="276" w:lineRule="auto" w:before="0" w:after="0"/>
            </w:pPr>
            <w:r/>
            <w:r>
              <w:rPr>
                <w:rFonts w:ascii="Figtree" w:hAnsi="Figtree"/>
                <w:b w:val="0"/>
                <w:i w:val="0"/>
                <w:sz w:val="20"/>
              </w:rPr>
              <w:t>Compliance Officer</w:t>
            </w:r>
          </w:p>
        </w:tc>
        <w:tc>
          <w:tcPr>
            <w:tcW w:type="dxa" w:w="3249"/>
            <w:vAlign w:val="center"/>
          </w:tcPr>
          <w:p>
            <w:pPr>
              <w:spacing w:line="276" w:lineRule="auto" w:before="0" w:after="0"/>
            </w:pPr>
            <w:r/>
            <w:r>
              <w:rPr>
                <w:rFonts w:ascii="Figtree" w:hAnsi="Figtree"/>
                <w:b w:val="0"/>
                <w:i w:val="0"/>
                <w:sz w:val="20"/>
              </w:rPr>
              <w:t>`COMPLIANCE</w:t>
            </w:r>
            <w:r>
              <w:rPr>
                <w:rFonts w:ascii="Figtree" w:hAnsi="Figtree"/>
                <w:b w:val="0"/>
                <w:i/>
                <w:sz w:val="20"/>
              </w:rPr>
              <w:t>OFFICER</w:t>
            </w:r>
            <w:r>
              <w:rPr>
                <w:rFonts w:ascii="Figtree" w:hAnsi="Figtree"/>
                <w:b w:val="0"/>
                <w:i w:val="0"/>
                <w:sz w:val="20"/>
              </w:rPr>
              <w:t>ROLE`</w:t>
            </w:r>
          </w:p>
        </w:tc>
        <w:tc>
          <w:tcPr>
            <w:tcW w:type="dxa" w:w="3249"/>
            <w:vAlign w:val="center"/>
          </w:tcPr>
          <w:p>
            <w:pPr>
              <w:spacing w:line="276" w:lineRule="auto" w:before="0" w:after="0"/>
            </w:pPr>
            <w:r/>
            <w:r>
              <w:rPr>
                <w:rFonts w:ascii="Figtree" w:hAnsi="Figtree"/>
                <w:b w:val="0"/>
                <w:i w:val="0"/>
                <w:sz w:val="20"/>
              </w:rPr>
              <w:t>Compliance module configuration and monitoring</w:t>
            </w:r>
          </w:p>
        </w:tc>
      </w:tr>
      <w:tr>
        <w:trPr>
          <w:trHeight w:val="425" w:hRule="atLeast"/>
        </w:trPr>
        <w:tc>
          <w:tcPr>
            <w:tcW w:type="dxa" w:w="3249"/>
            <w:vAlign w:val="center"/>
          </w:tcPr>
          <w:p>
            <w:pPr>
              <w:spacing w:line="276" w:lineRule="auto" w:before="0" w:after="0"/>
            </w:pPr>
            <w:r/>
            <w:r>
              <w:rPr>
                <w:rFonts w:ascii="Figtree" w:hAnsi="Figtree"/>
                <w:b w:val="0"/>
                <w:i w:val="0"/>
                <w:sz w:val="20"/>
              </w:rPr>
              <w:t>FINMA Observer</w:t>
            </w:r>
          </w:p>
        </w:tc>
        <w:tc>
          <w:tcPr>
            <w:tcW w:type="dxa" w:w="3249"/>
            <w:vAlign w:val="center"/>
          </w:tcPr>
          <w:p>
            <w:pPr>
              <w:spacing w:line="276" w:lineRule="auto" w:before="0" w:after="0"/>
            </w:pPr>
            <w:r/>
            <w:r>
              <w:rPr>
                <w:rFonts w:ascii="Figtree" w:hAnsi="Figtree"/>
                <w:b w:val="0"/>
                <w:i w:val="0"/>
                <w:sz w:val="20"/>
              </w:rPr>
              <w:t>`REGULATOR_ROLE`</w:t>
            </w:r>
          </w:p>
        </w:tc>
        <w:tc>
          <w:tcPr>
            <w:tcW w:type="dxa" w:w="3249"/>
            <w:vAlign w:val="center"/>
          </w:tcPr>
          <w:p>
            <w:pPr>
              <w:spacing w:line="276" w:lineRule="auto" w:before="0" w:after="0"/>
            </w:pPr>
            <w:r/>
            <w:r>
              <w:rPr>
                <w:rFonts w:ascii="Figtree" w:hAnsi="Figtree"/>
                <w:b w:val="0"/>
                <w:i w:val="0"/>
                <w:sz w:val="20"/>
              </w:rPr>
              <w:t>Full read access, zero write capability</w:t>
            </w:r>
          </w:p>
        </w:tc>
      </w:tr>
      <w:tr>
        <w:trPr>
          <w:trHeight w:val="425" w:hRule="atLeast"/>
        </w:trPr>
        <w:tc>
          <w:tcPr>
            <w:tcW w:type="dxa" w:w="3249"/>
            <w:vAlign w:val="center"/>
          </w:tcPr>
          <w:p>
            <w:pPr>
              <w:spacing w:line="276" w:lineRule="auto" w:before="0" w:after="0"/>
            </w:pPr>
            <w:r/>
            <w:r>
              <w:rPr>
                <w:rFonts w:ascii="Figtree" w:hAnsi="Figtree"/>
                <w:b w:val="0"/>
                <w:i w:val="0"/>
                <w:sz w:val="20"/>
              </w:rPr>
              <w:t>SDX Governance</w:t>
            </w:r>
          </w:p>
        </w:tc>
        <w:tc>
          <w:tcPr>
            <w:tcW w:type="dxa" w:w="3249"/>
            <w:vAlign w:val="center"/>
          </w:tcPr>
          <w:p>
            <w:pPr>
              <w:spacing w:line="276" w:lineRule="auto" w:before="0" w:after="0"/>
            </w:pPr>
            <w:r/>
            <w:r>
              <w:rPr>
                <w:rFonts w:ascii="Figtree" w:hAnsi="Figtree"/>
                <w:b w:val="0"/>
                <w:i w:val="0"/>
                <w:sz w:val="20"/>
              </w:rPr>
              <w:t>`GOVERNANCE_ROLE`</w:t>
            </w:r>
          </w:p>
        </w:tc>
        <w:tc>
          <w:tcPr>
            <w:tcW w:type="dxa" w:w="3249"/>
            <w:vAlign w:val="center"/>
          </w:tcPr>
          <w:p>
            <w:pPr>
              <w:spacing w:line="276" w:lineRule="auto" w:before="0" w:after="0"/>
            </w:pPr>
            <w:r/>
            <w:r>
              <w:rPr>
                <w:rFonts w:ascii="Figtree" w:hAnsi="Figtree"/>
                <w:b w:val="0"/>
                <w:i w:val="0"/>
                <w:sz w:val="20"/>
              </w:rPr>
              <w:t>System-level controls, policy parameters</w:t>
            </w:r>
          </w:p>
        </w:tc>
      </w:tr>
    </w:tbl>
    <w:p>
      <w:pPr>
        <w:spacing w:before="0" w:after="0" w:line="120" w:lineRule="exact"/>
      </w:pPr>
    </w:p>
    <w:p>
      <w:r>
        <w:rPr>
          <w:rFonts w:ascii="Figtree" w:hAnsi="Figtree"/>
          <w:b w:val="0"/>
          <w:i w:val="0"/>
          <w:sz w:val="22"/>
        </w:rPr>
        <w:t>Each role is narrowly scoped. No single role grants authority over both trading functions and governance functions. The GOVERNANCE_ROLE requires multi-signature approval for any system-level action.</w:t>
      </w:r>
    </w:p>
    <w:p>
      <w:pPr>
        <w:pStyle w:val="H3"/>
        <w:numPr>
          <w:ilvl w:val="2"/>
          <w:numId w:val="1"/>
        </w:numPr>
      </w:pPr>
      <w:r>
        <w:t>4.4 Market Integrity Controls</w:t>
      </w:r>
    </w:p>
    <w:p>
      <w:r>
        <w:rPr>
          <w:rFonts w:ascii="Figtree" w:hAnsi="Figtree"/>
          <w:b w:val="0"/>
          <w:i w:val="0"/>
          <w:sz w:val="22"/>
        </w:rPr>
        <w:t>SDX's FMIA obligations and FINMA supervision require robust market integrity controls at the platform level. DALP provides:</w:t>
      </w:r>
    </w:p>
    <w:p>
      <w:r>
        <w:rPr>
          <w:rFonts w:ascii="Figtree" w:hAnsi="Figtree"/>
          <w:b/>
          <w:i w:val="0"/>
          <w:sz w:val="22"/>
        </w:rPr>
        <w:t>Pre-settlement eligibility check:</w:t>
      </w:r>
      <w:r>
        <w:rPr>
          <w:rFonts w:ascii="Figtree" w:hAnsi="Figtree"/>
          <w:b w:val="0"/>
          <w:i w:val="0"/>
          <w:sz w:val="22"/>
        </w:rPr>
        <w:t xml:space="preserve"> Every proposed transfer is validated against the identity verification module (confirming participant KYC/AML status), the country allow/block list module (confirming jurisdiction eligibility), and the address block list module (confirming the participant is not sanctioned) before settlement proceeds.</w:t>
      </w:r>
    </w:p>
    <w:p>
      <w:r>
        <w:rPr>
          <w:rFonts w:ascii="Figtree" w:hAnsi="Figtree"/>
          <w:b/>
          <w:i w:val="0"/>
          <w:sz w:val="22"/>
        </w:rPr>
        <w:t>Supply integrity:</w:t>
      </w:r>
      <w:r>
        <w:rPr>
          <w:rFonts w:ascii="Figtree" w:hAnsi="Figtree"/>
          <w:b w:val="0"/>
          <w:i w:val="0"/>
          <w:sz w:val="22"/>
        </w:rPr>
        <w:t xml:space="preserve"> The supply cap compliance module ensures that the circulating supply of any digital security cannot exceed the authorised issue size, preventing fraudulent over-issuance.</w:t>
      </w:r>
    </w:p>
    <w:p>
      <w:r>
        <w:rPr>
          <w:rFonts w:ascii="Figtree" w:hAnsi="Figtree"/>
          <w:b/>
          <w:i w:val="0"/>
          <w:sz w:val="22"/>
        </w:rPr>
        <w:t>Transfer restrictions:</w:t>
      </w:r>
      <w:r>
        <w:rPr>
          <w:rFonts w:ascii="Figtree" w:hAnsi="Figtree"/>
          <w:b w:val="0"/>
          <w:i w:val="0"/>
          <w:sz w:val="22"/>
        </w:rPr>
        <w:t xml:space="preserve"> The investor count limit module enforces maximum holder counts for restricted securities (e.g., private placements limited to professional investors).</w:t>
      </w:r>
    </w:p>
    <w:p>
      <w:r>
        <w:rPr>
          <w:rFonts w:ascii="Figtree" w:hAnsi="Figtree"/>
          <w:b/>
          <w:i w:val="0"/>
          <w:sz w:val="22"/>
        </w:rPr>
        <w:t>Venue control:</w:t>
      </w:r>
      <w:r>
        <w:rPr>
          <w:rFonts w:ascii="Figtree" w:hAnsi="Figtree"/>
          <w:b w:val="0"/>
          <w:i w:val="0"/>
          <w:sz w:val="22"/>
        </w:rPr>
        <w:t xml:space="preserve"> SDX retains the ability to suspend trading in any individual security via the transfer approval module hold state, implementing the venue's market integrity powers under FMIA.</w:t>
      </w:r>
    </w:p>
    <w:p>
      <w:r>
        <w:rPr>
          <w:rFonts w:ascii="Figtree" w:hAnsi="Figtree"/>
          <w:b/>
          <w:i w:val="0"/>
          <w:sz w:val="22"/>
        </w:rPr>
        <w:t>Systemic controls:</w:t>
      </w:r>
      <w:r>
        <w:rPr>
          <w:rFonts w:ascii="Figtree" w:hAnsi="Figtree"/>
          <w:b w:val="0"/>
          <w:i w:val="0"/>
          <w:sz w:val="22"/>
        </w:rPr>
        <w:t xml:space="preserve"> The GOVERNANCE_ROLE can pause the system-level contract, halting all activity across the venue. This is the ultimate intervention tool for systemic risk scenarios, requiring multi-signature authorization.</w:t>
      </w:r>
    </w:p>
    <w:p>
      <w:pPr>
        <w:pStyle w:val="H3"/>
        <w:numPr>
          <w:ilvl w:val="2"/>
          <w:numId w:val="1"/>
        </w:numPr>
      </w:pPr>
      <w:r>
        <w:t>4.4a Venue Governance and SDX Rulebook Implementation</w:t>
      </w:r>
    </w:p>
    <w:p>
      <w:r>
        <w:rPr>
          <w:rFonts w:ascii="Figtree" w:hAnsi="Figtree"/>
          <w:b w:val="0"/>
          <w:i w:val="0"/>
          <w:sz w:val="22"/>
        </w:rPr>
        <w:t>SDX's rulebook defines the operational and governance rules for participants on the DLT trading venue. DALP's architecture provides the technical implementation layer for rulebook enforcement:</w:t>
      </w:r>
    </w:p>
    <w:p>
      <w:r>
        <w:rPr>
          <w:rFonts w:ascii="Figtree" w:hAnsi="Figtree"/>
          <w:b/>
          <w:i w:val="0"/>
          <w:sz w:val="22"/>
        </w:rPr>
        <w:t>Admission criteria:</w:t>
      </w:r>
      <w:r>
        <w:rPr>
          <w:rFonts w:ascii="Figtree" w:hAnsi="Figtree"/>
          <w:b w:val="0"/>
          <w:i w:val="0"/>
          <w:sz w:val="22"/>
        </w:rPr>
        <w:t xml:space="preserve"> SDX's participant admission criteria are implemented through the OnchainID claim structure. Required claims (KYC status, professional investor classification, AMLA risk rating, jurisdiction eligibility) are validated by the identity verification compliance module before any trading or settlement function is accessible to a new participant.</w:t>
      </w:r>
    </w:p>
    <w:p>
      <w:r>
        <w:rPr>
          <w:rFonts w:ascii="Figtree" w:hAnsi="Figtree"/>
          <w:b/>
          <w:i w:val="0"/>
          <w:sz w:val="22"/>
        </w:rPr>
        <w:t>Trading rules:</w:t>
      </w:r>
      <w:r>
        <w:rPr>
          <w:rFonts w:ascii="Figtree" w:hAnsi="Figtree"/>
          <w:b w:val="0"/>
          <w:i w:val="0"/>
          <w:sz w:val="22"/>
        </w:rPr>
        <w:t xml:space="preserve"> SDX's pre-trade and post-trade rules are implemented through compliance module configuration. The transfer approval module enforces pre-trade compliance checks for asset classes requiring explicit SDX approval. The time lock module enforces trading hour restrictions by asset class and market segment.</w:t>
      </w:r>
    </w:p>
    <w:p>
      <w:r>
        <w:rPr>
          <w:rFonts w:ascii="Figtree" w:hAnsi="Figtree"/>
          <w:b/>
          <w:i w:val="0"/>
          <w:sz w:val="22"/>
        </w:rPr>
        <w:t>Default procedures:</w:t>
      </w:r>
      <w:r>
        <w:rPr>
          <w:rFonts w:ascii="Figtree" w:hAnsi="Figtree"/>
          <w:b w:val="0"/>
          <w:i w:val="0"/>
          <w:sz w:val="22"/>
        </w:rPr>
        <w:t xml:space="preserve"> SDX's default management rules require immediate suspension of trading activity for a defaulting participant, followed by orderly closeout. DALP implements this through the account freeze function (immediate, via CUSTODIAN</w:t>
      </w:r>
      <w:r>
        <w:rPr>
          <w:rFonts w:ascii="Figtree" w:hAnsi="Figtree"/>
          <w:b w:val="0"/>
          <w:i/>
          <w:sz w:val="22"/>
        </w:rPr>
        <w:t>ROLE) and forced transfer function (orderly closeout, via CUSTODIAN</w:t>
      </w:r>
      <w:r>
        <w:rPr>
          <w:rFonts w:ascii="Figtree" w:hAnsi="Figtree"/>
          <w:b w:val="0"/>
          <w:i w:val="0"/>
          <w:sz w:val="22"/>
        </w:rPr>
        <w:t>ROLE with GOVERNANCE_ROLE authorization for multi-signature requirements).</w:t>
      </w:r>
    </w:p>
    <w:p>
      <w:r>
        <w:rPr>
          <w:rFonts w:ascii="Figtree" w:hAnsi="Figtree"/>
          <w:b/>
          <w:i w:val="0"/>
          <w:sz w:val="22"/>
        </w:rPr>
        <w:t>Sanctions and suspension:</w:t>
      </w:r>
      <w:r>
        <w:rPr>
          <w:rFonts w:ascii="Figtree" w:hAnsi="Figtree"/>
          <w:b w:val="0"/>
          <w:i w:val="0"/>
          <w:sz w:val="22"/>
        </w:rPr>
        <w:t xml:space="preserve"> AMLA and SECO sanctions require immediate suspension of any participant appearing on a new sanctions list. DALP's address block list module can be updated in real-time through the COMPLIANCE</w:t>
      </w:r>
      <w:r>
        <w:rPr>
          <w:rFonts w:ascii="Figtree" w:hAnsi="Figtree"/>
          <w:b w:val="0"/>
          <w:i/>
          <w:sz w:val="22"/>
        </w:rPr>
        <w:t>OFFICER</w:t>
      </w:r>
      <w:r>
        <w:rPr>
          <w:rFonts w:ascii="Figtree" w:hAnsi="Figtree"/>
          <w:b w:val="0"/>
          <w:i w:val="0"/>
          <w:sz w:val="22"/>
        </w:rPr>
        <w:t>ROLE API, with immediate effect on transfer eligibility for the sanctioned address.</w:t>
      </w:r>
    </w:p>
    <w:p>
      <w:r>
        <w:rPr>
          <w:rFonts w:ascii="Figtree" w:hAnsi="Figtree"/>
          <w:b/>
          <w:i w:val="0"/>
          <w:sz w:val="22"/>
        </w:rPr>
        <w:t>Fee structure enforcement:</w:t>
      </w:r>
      <w:r>
        <w:rPr>
          <w:rFonts w:ascii="Figtree" w:hAnsi="Figtree"/>
          <w:b w:val="0"/>
          <w:i w:val="0"/>
          <w:sz w:val="22"/>
        </w:rPr>
        <w:t xml:space="preserve"> SDX's transaction fees are implemented through the transaction fee token feature, which deducts configured fees automatically at the smart contract layer during transfer execution. Fee schedules can be updated through the GOVERNANCE_ROLE API without redeployment.</w:t>
      </w:r>
    </w:p>
    <w:p>
      <w:r>
        <w:rPr>
          <w:rFonts w:ascii="Figtree" w:hAnsi="Figtree"/>
          <w:b/>
          <w:i w:val="0"/>
          <w:sz w:val="22"/>
        </w:rPr>
        <w:t>Transparency obligations:</w:t>
      </w:r>
      <w:r>
        <w:rPr>
          <w:rFonts w:ascii="Figtree" w:hAnsi="Figtree"/>
          <w:b w:val="0"/>
          <w:i w:val="0"/>
          <w:sz w:val="22"/>
        </w:rPr>
        <w:t xml:space="preserve"> The DLT Act requires DLT trading venues to disclose their rules and procedures. DALP's Chain Indexer provides a transparent, real-time record of all platform-level decisions and events, accessible to participants through the API and to FINMA through the observer portal.</w:t>
      </w:r>
    </w:p>
    <w:p>
      <w:pPr>
        <w:pStyle w:val="H3"/>
        <w:numPr>
          <w:ilvl w:val="2"/>
          <w:numId w:val="1"/>
        </w:numPr>
      </w:pPr>
      <w:r>
        <w:t>4.5 Tokenized Securities Asset Classes</w:t>
      </w:r>
    </w:p>
    <w:p>
      <w:r>
        <w:rPr>
          <w:rFonts w:ascii="Figtree" w:hAnsi="Figtree"/>
          <w:b w:val="0"/>
          <w:i w:val="0"/>
          <w:sz w:val="22"/>
        </w:rPr>
        <w:t>DALP supports all SDX asset classes within a single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48"/>
        <w:gridCol w:w="4574"/>
        <w:gridCol w:w="304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Configuration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Swiss Regulatory Reference</w:t>
            </w:r>
          </w:p>
        </w:tc>
      </w:tr>
      <w:tr>
        <w:trPr>
          <w:trHeight w:val="425" w:hRule="atLeast"/>
        </w:trPr>
        <w:tc>
          <w:tcPr>
            <w:tcW w:type="dxa" w:w="3249"/>
            <w:vAlign w:val="center"/>
          </w:tcPr>
          <w:p>
            <w:pPr>
              <w:spacing w:line="276" w:lineRule="auto" w:before="0" w:after="0"/>
            </w:pPr>
            <w:r/>
            <w:r>
              <w:rPr>
                <w:rFonts w:ascii="Figtree" w:hAnsi="Figtree"/>
                <w:b w:val="0"/>
                <w:i w:val="0"/>
                <w:sz w:val="20"/>
              </w:rPr>
              <w:t>Digital bonds</w:t>
            </w:r>
          </w:p>
        </w:tc>
        <w:tc>
          <w:tcPr>
            <w:tcW w:type="dxa" w:w="3249"/>
            <w:vAlign w:val="center"/>
          </w:tcPr>
          <w:p>
            <w:pPr>
              <w:spacing w:line="276" w:lineRule="auto" w:before="0" w:after="0"/>
            </w:pPr>
            <w:r/>
            <w:r>
              <w:rPr>
                <w:rFonts w:ascii="Figtree" w:hAnsi="Figtree"/>
                <w:b w:val="0"/>
                <w:i w:val="0"/>
                <w:sz w:val="20"/>
              </w:rPr>
              <w:t>Maturity/redemption feature, fixed yield, transfer approval</w:t>
            </w:r>
          </w:p>
        </w:tc>
        <w:tc>
          <w:tcPr>
            <w:tcW w:type="dxa" w:w="3249"/>
            <w:vAlign w:val="center"/>
          </w:tcPr>
          <w:p>
            <w:pPr>
              <w:spacing w:line="276" w:lineRule="auto" w:before="0" w:after="0"/>
            </w:pPr>
            <w:r/>
            <w:r>
              <w:rPr>
                <w:rFonts w:ascii="Figtree" w:hAnsi="Figtree"/>
                <w:b w:val="0"/>
                <w:i w:val="0"/>
                <w:sz w:val="20"/>
              </w:rPr>
              <w:t>FMIA, DLT Act</w:t>
            </w:r>
          </w:p>
        </w:tc>
      </w:tr>
      <w:tr>
        <w:trPr>
          <w:trHeight w:val="425" w:hRule="atLeast"/>
        </w:trPr>
        <w:tc>
          <w:tcPr>
            <w:tcW w:type="dxa" w:w="3249"/>
            <w:vAlign w:val="center"/>
          </w:tcPr>
          <w:p>
            <w:pPr>
              <w:spacing w:line="276" w:lineRule="auto" w:before="0" w:after="0"/>
            </w:pPr>
            <w:r/>
            <w:r>
              <w:rPr>
                <w:rFonts w:ascii="Figtree" w:hAnsi="Figtree"/>
                <w:b w:val="0"/>
                <w:i w:val="0"/>
                <w:sz w:val="20"/>
              </w:rPr>
              <w:t>Tokenized funds</w:t>
            </w:r>
          </w:p>
        </w:tc>
        <w:tc>
          <w:tcPr>
            <w:tcW w:type="dxa" w:w="3249"/>
            <w:vAlign w:val="center"/>
          </w:tcPr>
          <w:p>
            <w:pPr>
              <w:spacing w:line="276" w:lineRule="auto" w:before="0" w:after="0"/>
            </w:pPr>
            <w:r/>
            <w:r>
              <w:rPr>
                <w:rFonts w:ascii="Figtree" w:hAnsi="Figtree"/>
                <w:b w:val="0"/>
                <w:i w:val="0"/>
                <w:sz w:val="20"/>
              </w:rPr>
              <w:t>AUM fee module, NAV feeds, conversion feature</w:t>
            </w:r>
          </w:p>
        </w:tc>
        <w:tc>
          <w:tcPr>
            <w:tcW w:type="dxa" w:w="3249"/>
            <w:vAlign w:val="center"/>
          </w:tcPr>
          <w:p>
            <w:pPr>
              <w:spacing w:line="276" w:lineRule="auto" w:before="0" w:after="0"/>
            </w:pPr>
            <w:r/>
            <w:r>
              <w:rPr>
                <w:rFonts w:ascii="Figtree" w:hAnsi="Figtree"/>
                <w:b w:val="0"/>
                <w:i w:val="0"/>
                <w:sz w:val="20"/>
              </w:rPr>
              <w:t>CISA (Collective Investment Schemes Act)</w:t>
            </w:r>
          </w:p>
        </w:tc>
      </w:tr>
      <w:tr>
        <w:trPr>
          <w:trHeight w:val="425" w:hRule="atLeast"/>
        </w:trPr>
        <w:tc>
          <w:tcPr>
            <w:tcW w:type="dxa" w:w="3249"/>
            <w:vAlign w:val="center"/>
          </w:tcPr>
          <w:p>
            <w:pPr>
              <w:spacing w:line="276" w:lineRule="auto" w:before="0" w:after="0"/>
            </w:pPr>
            <w:r/>
            <w:r>
              <w:rPr>
                <w:rFonts w:ascii="Figtree" w:hAnsi="Figtree"/>
                <w:b w:val="0"/>
                <w:i w:val="0"/>
                <w:sz w:val="20"/>
              </w:rPr>
              <w:t>Structured products</w:t>
            </w:r>
          </w:p>
        </w:tc>
        <w:tc>
          <w:tcPr>
            <w:tcW w:type="dxa" w:w="3249"/>
            <w:vAlign w:val="center"/>
          </w:tcPr>
          <w:p>
            <w:pPr>
              <w:spacing w:line="276" w:lineRule="auto" w:before="0" w:after="0"/>
            </w:pPr>
            <w:r/>
            <w:r>
              <w:rPr>
                <w:rFonts w:ascii="Figtree" w:hAnsi="Figtree"/>
                <w:b w:val="0"/>
                <w:i w:val="0"/>
                <w:sz w:val="20"/>
              </w:rPr>
              <w:t>Time lock, country allow list, investor count limit</w:t>
            </w:r>
          </w:p>
        </w:tc>
        <w:tc>
          <w:tcPr>
            <w:tcW w:type="dxa" w:w="3249"/>
            <w:vAlign w:val="center"/>
          </w:tcPr>
          <w:p>
            <w:pPr>
              <w:spacing w:line="276" w:lineRule="auto" w:before="0" w:after="0"/>
            </w:pPr>
            <w:r/>
            <w:r>
              <w:rPr>
                <w:rFonts w:ascii="Figtree" w:hAnsi="Figtree"/>
                <w:b w:val="0"/>
                <w:i w:val="0"/>
                <w:sz w:val="20"/>
              </w:rPr>
              <w:t>FMIA, FIDLEG</w:t>
            </w:r>
          </w:p>
        </w:tc>
      </w:tr>
      <w:tr>
        <w:trPr>
          <w:trHeight w:val="425" w:hRule="atLeast"/>
        </w:trPr>
        <w:tc>
          <w:tcPr>
            <w:tcW w:type="dxa" w:w="3249"/>
            <w:vAlign w:val="center"/>
          </w:tcPr>
          <w:p>
            <w:pPr>
              <w:spacing w:line="276" w:lineRule="auto" w:before="0" w:after="0"/>
            </w:pPr>
            <w:r/>
            <w:r>
              <w:rPr>
                <w:rFonts w:ascii="Figtree" w:hAnsi="Figtree"/>
                <w:b w:val="0"/>
                <w:i w:val="0"/>
                <w:sz w:val="20"/>
              </w:rPr>
              <w:t>Digital equities</w:t>
            </w:r>
          </w:p>
        </w:tc>
        <w:tc>
          <w:tcPr>
            <w:tcW w:type="dxa" w:w="3249"/>
            <w:vAlign w:val="center"/>
          </w:tcPr>
          <w:p>
            <w:pPr>
              <w:spacing w:line="276" w:lineRule="auto" w:before="0" w:after="0"/>
            </w:pPr>
            <w:r/>
            <w:r>
              <w:rPr>
                <w:rFonts w:ascii="Figtree" w:hAnsi="Figtree"/>
                <w:b w:val="0"/>
                <w:i w:val="0"/>
                <w:sz w:val="20"/>
              </w:rPr>
              <w:t>Voting power feature, historical balances, transfer approval</w:t>
            </w:r>
          </w:p>
        </w:tc>
        <w:tc>
          <w:tcPr>
            <w:tcW w:type="dxa" w:w="3249"/>
            <w:vAlign w:val="center"/>
          </w:tcPr>
          <w:p>
            <w:pPr>
              <w:spacing w:line="276" w:lineRule="auto" w:before="0" w:after="0"/>
            </w:pPr>
            <w:r/>
            <w:r>
              <w:rPr>
                <w:rFonts w:ascii="Figtree" w:hAnsi="Figtree"/>
                <w:b w:val="0"/>
                <w:i w:val="0"/>
                <w:sz w:val="20"/>
              </w:rPr>
              <w:t>CO, FMIA</w:t>
            </w:r>
          </w:p>
        </w:tc>
      </w:tr>
      <w:tr>
        <w:trPr>
          <w:trHeight w:val="425" w:hRule="atLeast"/>
        </w:trPr>
        <w:tc>
          <w:tcPr>
            <w:tcW w:type="dxa" w:w="3249"/>
            <w:vAlign w:val="center"/>
          </w:tcPr>
          <w:p>
            <w:pPr>
              <w:spacing w:line="276" w:lineRule="auto" w:before="0" w:after="0"/>
            </w:pPr>
            <w:r/>
            <w:r>
              <w:rPr>
                <w:rFonts w:ascii="Figtree" w:hAnsi="Figtree"/>
                <w:b w:val="0"/>
                <w:i w:val="0"/>
                <w:sz w:val="20"/>
              </w:rPr>
              <w:t>REPO / collateral</w:t>
            </w:r>
          </w:p>
        </w:tc>
        <w:tc>
          <w:tcPr>
            <w:tcW w:type="dxa" w:w="3249"/>
            <w:vAlign w:val="center"/>
          </w:tcPr>
          <w:p>
            <w:pPr>
              <w:spacing w:line="276" w:lineRule="auto" w:before="0" w:after="0"/>
            </w:pPr>
            <w:r/>
            <w:r>
              <w:rPr>
                <w:rFonts w:ascii="Figtree" w:hAnsi="Figtree"/>
                <w:b w:val="0"/>
                <w:i w:val="0"/>
                <w:sz w:val="20"/>
              </w:rPr>
              <w:t>XvP multi-leg, time lock, collateral requirement module</w:t>
            </w:r>
          </w:p>
        </w:tc>
        <w:tc>
          <w:tcPr>
            <w:tcW w:type="dxa" w:w="3249"/>
            <w:vAlign w:val="center"/>
          </w:tcPr>
          <w:p>
            <w:pPr>
              <w:spacing w:line="276" w:lineRule="auto" w:before="0" w:after="0"/>
            </w:pPr>
            <w:r/>
            <w:r>
              <w:rPr>
                <w:rFonts w:ascii="Figtree" w:hAnsi="Figtree"/>
                <w:b w:val="0"/>
                <w:i w:val="0"/>
                <w:sz w:val="20"/>
              </w:rPr>
              <w:t>FMIA</w:t>
            </w:r>
          </w:p>
        </w:tc>
      </w:tr>
    </w:tbl>
    <w:p>
      <w:pPr>
        <w:spacing w:before="0" w:after="0" w:line="120" w:lineRule="exact"/>
      </w:pPr>
    </w:p>
    <w:p>
      <w:pPr>
        <w:pStyle w:val="H3"/>
        <w:numPr>
          <w:ilvl w:val="2"/>
          <w:numId w:val="1"/>
        </w:numPr>
      </w:pPr>
      <w:r>
        <w:t>4.6 Participant Lifecycle Management</w:t>
      </w:r>
    </w:p>
    <w:p>
      <w:r>
        <w:rPr>
          <w:rFonts w:ascii="Figtree" w:hAnsi="Figtree"/>
          <w:b w:val="0"/>
          <w:i w:val="0"/>
          <w:sz w:val="22"/>
        </w:rPr>
        <w:t>SDX's DLT Act authorisation requires precise participant lifecycle governance. DALP manages the full participant lifecycle through the following flow:</w:t>
      </w:r>
    </w:p>
    <w:p>
      <w:pPr>
        <w:jc w:val="center"/>
      </w:pPr>
      <w:r>
        <w:drawing>
          <wp:inline xmlns:a="http://schemas.openxmlformats.org/drawingml/2006/main" xmlns:pic="http://schemas.openxmlformats.org/drawingml/2006/picture">
            <wp:extent cx="5486400" cy="748781"/>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748781"/>
                    </a:xfrm>
                    <a:prstGeom prst="rect"/>
                  </pic:spPr>
                </pic:pic>
              </a:graphicData>
            </a:graphic>
          </wp:inline>
        </w:drawing>
      </w:r>
    </w:p>
    <w:p>
      <w:r>
        <w:rPr>
          <w:rFonts w:ascii="Figtree" w:hAnsi="Figtree"/>
          <w:b w:val="0"/>
          <w:i w:val="0"/>
          <w:sz w:val="22"/>
        </w:rPr>
        <w:t>Every state transition in the participant lifecycle emits a Chain Indexer event. FINMA's observer access portal provides real-time visibility into participant status across the entire SDX venue.</w:t>
      </w:r>
    </w:p>
    <w:p>
      <w:r>
        <w:br w:type="page"/>
      </w:r>
    </w:p>
    <w:p>
      <w:pPr>
        <w:pStyle w:val="H2"/>
        <w:numPr>
          <w:ilvl w:val="1"/>
          <w:numId w:val="1"/>
        </w:numPr>
      </w:pPr>
      <w:r>
        <w:t>5. Asset Lifecycle Management</w:t>
      </w:r>
    </w:p>
    <w:p>
      <w:pPr>
        <w:pStyle w:val="H3"/>
        <w:numPr>
          <w:ilvl w:val="2"/>
          <w:numId w:val="1"/>
        </w:numPr>
      </w:pPr>
      <w:r>
        <w:t>5.1 Token Lifecycle Flow</w:t>
      </w:r>
    </w:p>
    <w:p>
      <w:pPr>
        <w:jc w:val="center"/>
      </w:pPr>
      <w:r>
        <w:drawing>
          <wp:inline xmlns:a="http://schemas.openxmlformats.org/drawingml/2006/main" xmlns:pic="http://schemas.openxmlformats.org/drawingml/2006/picture">
            <wp:extent cx="5486400" cy="181947"/>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81947"/>
                    </a:xfrm>
                    <a:prstGeom prst="rect"/>
                  </pic:spPr>
                </pic:pic>
              </a:graphicData>
            </a:graphic>
          </wp:inline>
        </w:drawing>
      </w:r>
    </w:p>
    <w:p>
      <w:pPr>
        <w:pStyle w:val="H3"/>
        <w:numPr>
          <w:ilvl w:val="2"/>
          <w:numId w:val="1"/>
        </w:numPr>
      </w:pPr>
      <w:r>
        <w:t>5.2 Token Issuance Flow</w:t>
      </w:r>
    </w:p>
    <w:p>
      <w:pPr>
        <w:jc w:val="center"/>
      </w:pPr>
      <w:r>
        <w:drawing>
          <wp:inline xmlns:a="http://schemas.openxmlformats.org/drawingml/2006/main" xmlns:pic="http://schemas.openxmlformats.org/drawingml/2006/picture">
            <wp:extent cx="5486400" cy="19734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973425"/>
                    </a:xfrm>
                    <a:prstGeom prst="rect"/>
                  </pic:spPr>
                </pic:pic>
              </a:graphicData>
            </a:graphic>
          </wp:inline>
        </w:drawing>
      </w:r>
    </w:p>
    <w:p>
      <w:pPr>
        <w:pStyle w:val="H3"/>
        <w:numPr>
          <w:ilvl w:val="2"/>
          <w:numId w:val="1"/>
        </w:numPr>
      </w:pPr>
      <w:r>
        <w:t>5.3 Corporate Actions</w:t>
      </w:r>
    </w:p>
    <w:p>
      <w:r>
        <w:rPr>
          <w:rFonts w:ascii="Figtree" w:hAnsi="Figtree"/>
          <w:b w:val="0"/>
          <w:i w:val="0"/>
          <w:sz w:val="22"/>
        </w:rPr>
        <w:t>DALP handles the following SDX-relevant corporate actions on-chain:</w:t>
      </w:r>
    </w:p>
    <w:p>
      <w:pPr>
        <w:pStyle w:val="ListParagraph"/>
        <w:numPr>
          <w:ilvl w:val="0"/>
          <w:numId w:val="4"/>
        </w:numPr>
      </w:pPr>
      <w:r>
        <w:rPr>
          <w:rFonts w:ascii="Figtree" w:hAnsi="Figtree"/>
          <w:b/>
          <w:i w:val="0"/>
          <w:sz w:val="22"/>
        </w:rPr>
        <w:t>Coupon/interest payments:</w:t>
      </w:r>
      <w:r>
        <w:rPr>
          <w:rFonts w:ascii="Figtree" w:hAnsi="Figtree"/>
          <w:b w:val="0"/>
          <w:i w:val="0"/>
          <w:sz w:val="22"/>
        </w:rPr>
        <w:t xml:space="preserve"> Automated distribution to all bondholders at record date using historical balance snapshots</w:t>
      </w:r>
    </w:p>
    <w:p>
      <w:pPr>
        <w:pStyle w:val="ListParagraph"/>
        <w:numPr>
          <w:ilvl w:val="0"/>
          <w:numId w:val="4"/>
        </w:numPr>
      </w:pPr>
      <w:r>
        <w:rPr>
          <w:rFonts w:ascii="Figtree" w:hAnsi="Figtree"/>
          <w:b/>
          <w:i w:val="0"/>
          <w:sz w:val="22"/>
        </w:rPr>
        <w:t>Redemption at maturity:</w:t>
      </w:r>
      <w:r>
        <w:rPr>
          <w:rFonts w:ascii="Figtree" w:hAnsi="Figtree"/>
          <w:b w:val="0"/>
          <w:i w:val="0"/>
          <w:sz w:val="22"/>
        </w:rPr>
        <w:t xml:space="preserve"> Programmatic maturity trigger with automatic XvP settlement (bond tokens redeemed for cash)</w:t>
      </w:r>
    </w:p>
    <w:p>
      <w:pPr>
        <w:pStyle w:val="ListParagraph"/>
        <w:numPr>
          <w:ilvl w:val="0"/>
          <w:numId w:val="4"/>
        </w:numPr>
      </w:pPr>
      <w:r>
        <w:rPr>
          <w:rFonts w:ascii="Figtree" w:hAnsi="Figtree"/>
          <w:b/>
          <w:i w:val="0"/>
          <w:sz w:val="22"/>
        </w:rPr>
        <w:t>Fund subscriptions and redemptions:</w:t>
      </w:r>
      <w:r>
        <w:rPr>
          <w:rFonts w:ascii="Figtree" w:hAnsi="Figtree"/>
          <w:b w:val="0"/>
          <w:i w:val="0"/>
          <w:sz w:val="22"/>
        </w:rPr>
        <w:t xml:space="preserve"> Automated subscription processing with NAV-based pricing from Feeds System</w:t>
      </w:r>
    </w:p>
    <w:p>
      <w:pPr>
        <w:pStyle w:val="ListParagraph"/>
        <w:numPr>
          <w:ilvl w:val="0"/>
          <w:numId w:val="4"/>
        </w:numPr>
      </w:pPr>
      <w:r>
        <w:rPr>
          <w:rFonts w:ascii="Figtree" w:hAnsi="Figtree"/>
          <w:b/>
          <w:i w:val="0"/>
          <w:sz w:val="22"/>
        </w:rPr>
        <w:t>Rights issues:</w:t>
      </w:r>
      <w:r>
        <w:rPr>
          <w:rFonts w:ascii="Figtree" w:hAnsi="Figtree"/>
          <w:b w:val="0"/>
          <w:i w:val="0"/>
          <w:sz w:val="22"/>
        </w:rPr>
        <w:t xml:space="preserve"> New token allocation proportional to existing holdings, with eligible investor check</w:t>
      </w:r>
    </w:p>
    <w:p>
      <w:pPr>
        <w:pStyle w:val="ListParagraph"/>
        <w:numPr>
          <w:ilvl w:val="0"/>
          <w:numId w:val="4"/>
        </w:numPr>
      </w:pPr>
      <w:r>
        <w:rPr>
          <w:rFonts w:ascii="Figtree" w:hAnsi="Figtree"/>
          <w:b/>
          <w:i w:val="0"/>
          <w:sz w:val="22"/>
        </w:rPr>
        <w:t>Mandatory conversions:</w:t>
      </w:r>
      <w:r>
        <w:rPr>
          <w:rFonts w:ascii="Figtree" w:hAnsi="Figtree"/>
          <w:b w:val="0"/>
          <w:i w:val="0"/>
          <w:sz w:val="22"/>
        </w:rPr>
        <w:t xml:space="preserve"> Forced conversion between token classes (e.g., conversion event in structured products)</w:t>
      </w:r>
    </w:p>
    <w:p>
      <w:pPr>
        <w:pStyle w:val="ListParagraph"/>
        <w:numPr>
          <w:ilvl w:val="0"/>
          <w:numId w:val="4"/>
        </w:numPr>
      </w:pPr>
      <w:r>
        <w:rPr>
          <w:rFonts w:ascii="Figtree" w:hAnsi="Figtree"/>
          <w:b/>
          <w:i w:val="0"/>
          <w:sz w:val="22"/>
        </w:rPr>
        <w:t>Principal amortisation:</w:t>
      </w:r>
      <w:r>
        <w:rPr>
          <w:rFonts w:ascii="Figtree" w:hAnsi="Figtree"/>
          <w:b w:val="0"/>
          <w:i w:val="0"/>
          <w:sz w:val="22"/>
        </w:rPr>
        <w:t xml:space="preserve"> Partial redemption with proportional balance reduction across all holders</w:t>
      </w:r>
    </w:p>
    <w:p>
      <w:r>
        <w:rPr>
          <w:rFonts w:ascii="Figtree" w:hAnsi="Figtree"/>
          <w:b w:val="0"/>
          <w:i w:val="0"/>
          <w:sz w:val="22"/>
        </w:rPr>
        <w:t>All corporate action events emit Chain Indexer records for participant notification and FINMA reporting.</w:t>
      </w:r>
    </w:p>
    <w:p>
      <w:r>
        <w:br w:type="page"/>
      </w:r>
    </w:p>
    <w:p>
      <w:pPr>
        <w:pStyle w:val="H2"/>
        <w:numPr>
          <w:ilvl w:val="1"/>
          <w:numId w:val="1"/>
        </w:numPr>
      </w:pPr>
      <w:r>
        <w:t>6. Compliance and Regulatory Framework</w:t>
      </w:r>
    </w:p>
    <w:p>
      <w:pPr>
        <w:pStyle w:val="H3"/>
        <w:numPr>
          <w:ilvl w:val="2"/>
          <w:numId w:val="1"/>
        </w:numPr>
      </w:pPr>
      <w:r>
        <w:t>6.1 Swiss Regulatory Landscape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56"/>
        <w:gridCol w:w="3451"/>
        <w:gridCol w:w="256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Regulation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Applicability to SDX</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3249"/>
            <w:vAlign w:val="center"/>
          </w:tcPr>
          <w:p>
            <w:pPr>
              <w:spacing w:line="276" w:lineRule="auto" w:before="0" w:after="0"/>
            </w:pPr>
            <w:r/>
            <w:r>
              <w:rPr>
                <w:rFonts w:ascii="Figtree" w:hAnsi="Figtree"/>
                <w:b w:val="0"/>
                <w:i w:val="0"/>
                <w:sz w:val="20"/>
              </w:rPr>
              <w:t>FMIA (Financial Market Infrastructure Act)</w:t>
            </w:r>
          </w:p>
        </w:tc>
        <w:tc>
          <w:tcPr>
            <w:tcW w:type="dxa" w:w="3249"/>
            <w:vAlign w:val="center"/>
          </w:tcPr>
          <w:p>
            <w:pPr>
              <w:spacing w:line="276" w:lineRule="auto" w:before="0" w:after="0"/>
            </w:pPr>
            <w:r/>
            <w:r>
              <w:rPr>
                <w:rFonts w:ascii="Figtree" w:hAnsi="Figtree"/>
                <w:b w:val="0"/>
                <w:i w:val="0"/>
                <w:sz w:val="20"/>
              </w:rPr>
              <w:t>Exchange and CSD operations, settlement finality, participant controls</w:t>
            </w:r>
          </w:p>
        </w:tc>
        <w:tc>
          <w:tcPr>
            <w:tcW w:type="dxa" w:w="3249"/>
            <w:vAlign w:val="center"/>
          </w:tcPr>
          <w:p>
            <w:pPr>
              <w:spacing w:line="276" w:lineRule="auto" w:before="0" w:after="0"/>
            </w:pPr>
            <w:r/>
            <w:r>
              <w:rPr>
                <w:rFonts w:ascii="Figtree" w:hAnsi="Figtree"/>
                <w:b w:val="0"/>
                <w:i w:val="0"/>
                <w:sz w:val="20"/>
              </w:rPr>
              <w:t>XvP finality, AccessManager RBAC,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DLT Act (DLT-Gesetz)</w:t>
            </w:r>
          </w:p>
        </w:tc>
        <w:tc>
          <w:tcPr>
            <w:tcW w:type="dxa" w:w="3249"/>
            <w:vAlign w:val="center"/>
          </w:tcPr>
          <w:p>
            <w:pPr>
              <w:spacing w:line="276" w:lineRule="auto" w:before="0" w:after="0"/>
            </w:pPr>
            <w:r/>
            <w:r>
              <w:rPr>
                <w:rFonts w:ascii="Figtree" w:hAnsi="Figtree"/>
                <w:b w:val="0"/>
                <w:i w:val="0"/>
                <w:sz w:val="20"/>
              </w:rPr>
              <w:t>DLT trading venue operations, settlement finality, access rights</w:t>
            </w:r>
          </w:p>
        </w:tc>
        <w:tc>
          <w:tcPr>
            <w:tcW w:type="dxa" w:w="3249"/>
            <w:vAlign w:val="center"/>
          </w:tcPr>
          <w:p>
            <w:pPr>
              <w:spacing w:line="276" w:lineRule="auto" w:before="0" w:after="0"/>
            </w:pPr>
            <w:r/>
            <w:r>
              <w:rPr>
                <w:rFonts w:ascii="Figtree" w:hAnsi="Figtree"/>
                <w:b w:val="0"/>
                <w:i w:val="0"/>
                <w:sz w:val="20"/>
              </w:rPr>
              <w:t>Governance architecture, on-chain role management</w:t>
            </w:r>
          </w:p>
        </w:tc>
      </w:tr>
      <w:tr>
        <w:trPr>
          <w:trHeight w:val="425" w:hRule="atLeast"/>
        </w:trPr>
        <w:tc>
          <w:tcPr>
            <w:tcW w:type="dxa" w:w="3249"/>
            <w:vAlign w:val="center"/>
          </w:tcPr>
          <w:p>
            <w:pPr>
              <w:spacing w:line="276" w:lineRule="auto" w:before="0" w:after="0"/>
            </w:pPr>
            <w:r/>
            <w:r>
              <w:rPr>
                <w:rFonts w:ascii="Figtree" w:hAnsi="Figtree"/>
                <w:b w:val="0"/>
                <w:i w:val="0"/>
                <w:sz w:val="20"/>
              </w:rPr>
              <w:t>FINMA Circulars (operational risk, outsourcing, cybersecurity)</w:t>
            </w:r>
          </w:p>
        </w:tc>
        <w:tc>
          <w:tcPr>
            <w:tcW w:type="dxa" w:w="3249"/>
            <w:vAlign w:val="center"/>
          </w:tcPr>
          <w:p>
            <w:pPr>
              <w:spacing w:line="276" w:lineRule="auto" w:before="0" w:after="0"/>
            </w:pPr>
            <w:r/>
            <w:r>
              <w:rPr>
                <w:rFonts w:ascii="Figtree" w:hAnsi="Figtree"/>
                <w:b w:val="0"/>
                <w:i w:val="0"/>
                <w:sz w:val="20"/>
              </w:rPr>
              <w:t>Operational standards for regulated FMIs</w:t>
            </w:r>
          </w:p>
        </w:tc>
        <w:tc>
          <w:tcPr>
            <w:tcW w:type="dxa" w:w="3249"/>
            <w:vAlign w:val="center"/>
          </w:tcPr>
          <w:p>
            <w:pPr>
              <w:spacing w:line="276" w:lineRule="auto" w:before="0" w:after="0"/>
            </w:pPr>
            <w:r/>
            <w:r>
              <w:rPr>
                <w:rFonts w:ascii="Figtree" w:hAnsi="Figtree"/>
                <w:b w:val="0"/>
                <w:i w:val="0"/>
                <w:sz w:val="20"/>
              </w:rPr>
              <w:t>ISO 27001, SOC 2, HSM key management</w:t>
            </w:r>
          </w:p>
        </w:tc>
      </w:tr>
      <w:tr>
        <w:trPr>
          <w:trHeight w:val="425" w:hRule="atLeast"/>
        </w:trPr>
        <w:tc>
          <w:tcPr>
            <w:tcW w:type="dxa" w:w="3249"/>
            <w:vAlign w:val="center"/>
          </w:tcPr>
          <w:p>
            <w:pPr>
              <w:spacing w:line="276" w:lineRule="auto" w:before="0" w:after="0"/>
            </w:pPr>
            <w:r/>
            <w:r>
              <w:rPr>
                <w:rFonts w:ascii="Figtree" w:hAnsi="Figtree"/>
                <w:b w:val="0"/>
                <w:i w:val="0"/>
                <w:sz w:val="20"/>
              </w:rPr>
              <w:t>Swiss Data Protection Act (nDSG)</w:t>
            </w:r>
          </w:p>
        </w:tc>
        <w:tc>
          <w:tcPr>
            <w:tcW w:type="dxa" w:w="3249"/>
            <w:vAlign w:val="center"/>
          </w:tcPr>
          <w:p>
            <w:pPr>
              <w:spacing w:line="276" w:lineRule="auto" w:before="0" w:after="0"/>
            </w:pPr>
            <w:r/>
            <w:r>
              <w:rPr>
                <w:rFonts w:ascii="Figtree" w:hAnsi="Figtree"/>
                <w:b w:val="0"/>
                <w:i w:val="0"/>
                <w:sz w:val="20"/>
              </w:rPr>
              <w:t>Personal data processing for participant onboarding</w:t>
            </w:r>
          </w:p>
        </w:tc>
        <w:tc>
          <w:tcPr>
            <w:tcW w:type="dxa" w:w="3249"/>
            <w:vAlign w:val="center"/>
          </w:tcPr>
          <w:p>
            <w:pPr>
              <w:spacing w:line="276" w:lineRule="auto" w:before="0" w:after="0"/>
            </w:pPr>
            <w:r/>
            <w:r>
              <w:rPr>
                <w:rFonts w:ascii="Figtree" w:hAnsi="Figtree"/>
                <w:b w:val="0"/>
                <w:i w:val="0"/>
                <w:sz w:val="20"/>
              </w:rPr>
              <w:t>Data minimisation, Swiss data residency</w:t>
            </w:r>
          </w:p>
        </w:tc>
      </w:tr>
      <w:tr>
        <w:trPr>
          <w:trHeight w:val="425" w:hRule="atLeast"/>
        </w:trPr>
        <w:tc>
          <w:tcPr>
            <w:tcW w:type="dxa" w:w="3249"/>
            <w:vAlign w:val="center"/>
          </w:tcPr>
          <w:p>
            <w:pPr>
              <w:spacing w:line="276" w:lineRule="auto" w:before="0" w:after="0"/>
            </w:pPr>
            <w:r/>
            <w:r>
              <w:rPr>
                <w:rFonts w:ascii="Figtree" w:hAnsi="Figtree"/>
                <w:b w:val="0"/>
                <w:i w:val="0"/>
                <w:sz w:val="20"/>
              </w:rPr>
              <w:t>AMLA (Anti-Money Laundering Act)</w:t>
            </w:r>
          </w:p>
        </w:tc>
        <w:tc>
          <w:tcPr>
            <w:tcW w:type="dxa" w:w="3249"/>
            <w:vAlign w:val="center"/>
          </w:tcPr>
          <w:p>
            <w:pPr>
              <w:spacing w:line="276" w:lineRule="auto" w:before="0" w:after="0"/>
            </w:pPr>
            <w:r/>
            <w:r>
              <w:rPr>
                <w:rFonts w:ascii="Figtree" w:hAnsi="Figtree"/>
                <w:b w:val="0"/>
                <w:i w:val="0"/>
                <w:sz w:val="20"/>
              </w:rPr>
              <w:t>KYC/AML obligations for trading venue participants</w:t>
            </w:r>
          </w:p>
        </w:tc>
        <w:tc>
          <w:tcPr>
            <w:tcW w:type="dxa" w:w="3249"/>
            <w:vAlign w:val="center"/>
          </w:tcPr>
          <w:p>
            <w:pPr>
              <w:spacing w:line="276" w:lineRule="auto" w:before="0" w:after="0"/>
            </w:pPr>
            <w:r/>
            <w:r>
              <w:rPr>
                <w:rFonts w:ascii="Figtree" w:hAnsi="Figtree"/>
                <w:b w:val="0"/>
                <w:i w:val="0"/>
                <w:sz w:val="20"/>
              </w:rPr>
              <w:t>Identity verification module, address block list</w:t>
            </w:r>
          </w:p>
        </w:tc>
      </w:tr>
      <w:tr>
        <w:trPr>
          <w:trHeight w:val="425" w:hRule="atLeast"/>
        </w:trPr>
        <w:tc>
          <w:tcPr>
            <w:tcW w:type="dxa" w:w="3249"/>
            <w:vAlign w:val="center"/>
          </w:tcPr>
          <w:p>
            <w:pPr>
              <w:spacing w:line="276" w:lineRule="auto" w:before="0" w:after="0"/>
            </w:pPr>
            <w:r/>
            <w:r>
              <w:rPr>
                <w:rFonts w:ascii="Figtree" w:hAnsi="Figtree"/>
                <w:b w:val="0"/>
                <w:i w:val="0"/>
                <w:sz w:val="20"/>
              </w:rPr>
              <w:t>CPMI-IOSCO PFMI</w:t>
            </w:r>
          </w:p>
        </w:tc>
        <w:tc>
          <w:tcPr>
            <w:tcW w:type="dxa" w:w="3249"/>
            <w:vAlign w:val="center"/>
          </w:tcPr>
          <w:p>
            <w:pPr>
              <w:spacing w:line="276" w:lineRule="auto" w:before="0" w:after="0"/>
            </w:pPr>
            <w:r/>
            <w:r>
              <w:rPr>
                <w:rFonts w:ascii="Figtree" w:hAnsi="Figtree"/>
                <w:b w:val="0"/>
                <w:i w:val="0"/>
                <w:sz w:val="20"/>
              </w:rPr>
              <w:t>International standards for FMI risk management</w:t>
            </w:r>
          </w:p>
        </w:tc>
        <w:tc>
          <w:tcPr>
            <w:tcW w:type="dxa" w:w="3249"/>
            <w:vAlign w:val="center"/>
          </w:tcPr>
          <w:p>
            <w:pPr>
              <w:spacing w:line="276" w:lineRule="auto" w:before="0" w:after="0"/>
            </w:pPr>
            <w:r/>
            <w:r>
              <w:rPr>
                <w:rFonts w:ascii="Figtree" w:hAnsi="Figtree"/>
                <w:b w:val="0"/>
                <w:i w:val="0"/>
                <w:sz w:val="20"/>
              </w:rPr>
              <w:t>Full PFMI principle mapping (Section 6.5)</w:t>
            </w:r>
          </w:p>
        </w:tc>
      </w:tr>
    </w:tbl>
    <w:p>
      <w:pPr>
        <w:spacing w:before="0" w:after="0" w:line="120" w:lineRule="exact"/>
      </w:pPr>
    </w:p>
    <w:p>
      <w:pPr>
        <w:pStyle w:val="H3"/>
        <w:numPr>
          <w:ilvl w:val="2"/>
          <w:numId w:val="1"/>
        </w:numPr>
      </w:pPr>
      <w:r>
        <w:t>6.2 FMIA Settlement Finality (Article 51)</w:t>
      </w:r>
    </w:p>
    <w:p>
      <w:r>
        <w:rPr>
          <w:rFonts w:ascii="Figtree" w:hAnsi="Figtree"/>
          <w:b w:val="0"/>
          <w:i w:val="0"/>
          <w:sz w:val="22"/>
        </w:rPr>
        <w:t>FMIA Article 51 requires that a regulated FMI's settlement instructions achieve legally certain finality once admitted. DALP's approach:</w:t>
      </w:r>
    </w:p>
    <w:p>
      <w:pPr>
        <w:pStyle w:val="ListParagraph"/>
        <w:numPr>
          <w:ilvl w:val="0"/>
          <w:numId w:val="4"/>
        </w:numPr>
      </w:pPr>
      <w:r>
        <w:rPr>
          <w:rFonts w:ascii="Figtree" w:hAnsi="Figtree"/>
          <w:b/>
          <w:i w:val="0"/>
          <w:sz w:val="22"/>
        </w:rPr>
        <w:t>Admission to settlement:</w:t>
      </w:r>
      <w:r>
        <w:rPr>
          <w:rFonts w:ascii="Figtree" w:hAnsi="Figtree"/>
          <w:b w:val="0"/>
          <w:i w:val="0"/>
          <w:sz w:val="22"/>
        </w:rPr>
        <w:t xml:space="preserve"> XvP instruction creation constitutes admission. Once both parties have submitted their legs and the XvP contract locks the tokens, the instruction is admitted.</w:t>
      </w:r>
    </w:p>
    <w:p>
      <w:pPr>
        <w:pStyle w:val="ListParagraph"/>
        <w:numPr>
          <w:ilvl w:val="0"/>
          <w:numId w:val="4"/>
        </w:numPr>
      </w:pPr>
      <w:r>
        <w:rPr>
          <w:rFonts w:ascii="Figtree" w:hAnsi="Figtree"/>
          <w:b/>
          <w:i w:val="0"/>
          <w:sz w:val="22"/>
        </w:rPr>
        <w:t>Finality:</w:t>
      </w:r>
      <w:r>
        <w:rPr>
          <w:rFonts w:ascii="Figtree" w:hAnsi="Figtree"/>
          <w:b w:val="0"/>
          <w:i w:val="0"/>
          <w:sz w:val="22"/>
        </w:rPr>
        <w:t xml:space="preserve"> XvP completion (single transaction, single block) constitutes finality. IBFT 2.0 consensus provides immediate, irreversible finality. There is no reorg risk.</w:t>
      </w:r>
    </w:p>
    <w:p>
      <w:pPr>
        <w:pStyle w:val="ListParagraph"/>
        <w:numPr>
          <w:ilvl w:val="0"/>
          <w:numId w:val="4"/>
        </w:numPr>
      </w:pPr>
      <w:r>
        <w:rPr>
          <w:rFonts w:ascii="Figtree" w:hAnsi="Figtree"/>
          <w:b/>
          <w:i w:val="0"/>
          <w:sz w:val="22"/>
        </w:rPr>
        <w:t>Irrevocability:</w:t>
      </w:r>
      <w:r>
        <w:rPr>
          <w:rFonts w:ascii="Figtree" w:hAnsi="Figtree"/>
          <w:b w:val="0"/>
          <w:i w:val="0"/>
          <w:sz w:val="22"/>
        </w:rPr>
        <w:t xml:space="preserve"> Once a block is finalised under IBFT 2.0, the settlement record is immutable. The Chain Indexer provides a permanent, timestamped record of each finality event.</w:t>
      </w:r>
    </w:p>
    <w:p>
      <w:pPr>
        <w:pStyle w:val="ListParagraph"/>
        <w:numPr>
          <w:ilvl w:val="0"/>
          <w:numId w:val="4"/>
        </w:numPr>
      </w:pPr>
      <w:r>
        <w:rPr>
          <w:rFonts w:ascii="Figtree" w:hAnsi="Figtree"/>
          <w:b/>
          <w:i w:val="0"/>
          <w:sz w:val="22"/>
        </w:rPr>
        <w:t>Conflict with insolvency law:</w:t>
      </w:r>
      <w:r>
        <w:rPr>
          <w:rFonts w:ascii="Figtree" w:hAnsi="Figtree"/>
          <w:b w:val="0"/>
          <w:i w:val="0"/>
          <w:sz w:val="22"/>
        </w:rPr>
        <w:t xml:space="preserve"> FMIA Article 51 provides that admitted settlement instructions are protected from challenge under Swiss insolvency law. The on-chain finality record supports this protection by providing an unambiguous, timestamped evidence of when the instruction became final.</w:t>
      </w:r>
    </w:p>
    <w:p>
      <w:pPr>
        <w:pStyle w:val="H3"/>
        <w:numPr>
          <w:ilvl w:val="2"/>
          <w:numId w:val="1"/>
        </w:numPr>
      </w:pPr>
      <w:r>
        <w:t>6.3 DLT Act Compliance</w:t>
      </w:r>
    </w:p>
    <w:p>
      <w:r>
        <w:rPr>
          <w:rFonts w:ascii="Figtree" w:hAnsi="Figtree"/>
          <w:b w:val="0"/>
          <w:i w:val="0"/>
          <w:sz w:val="22"/>
        </w:rPr>
        <w:t>The DLT Act introduced two key constructs relevant to SDX's infrastructure:</w:t>
      </w:r>
    </w:p>
    <w:p>
      <w:r>
        <w:rPr>
          <w:rFonts w:ascii="Figtree" w:hAnsi="Figtree"/>
          <w:b/>
          <w:i w:val="0"/>
          <w:sz w:val="22"/>
        </w:rPr>
        <w:t>DLT rights (DLT-Wertrechte):</w:t>
      </w:r>
      <w:r>
        <w:rPr>
          <w:rFonts w:ascii="Figtree" w:hAnsi="Figtree"/>
          <w:b w:val="0"/>
          <w:i w:val="0"/>
          <w:sz w:val="22"/>
        </w:rPr>
        <w:t xml:space="preserve"> The DLT Act allows the creation of securities as DLT rights, replacing the traditional paper or book-entry form. DALP's DALPAsset contract implements DLT rights: the on-chain record constitutes the legal register for the security. The immutable blockchain record satisfies the DLT Act's requirement that the DLT rights register be maintained in a way that prevents unauthorised modification.</w:t>
      </w:r>
    </w:p>
    <w:p>
      <w:r>
        <w:rPr>
          <w:rFonts w:ascii="Figtree" w:hAnsi="Figtree"/>
          <w:b/>
          <w:i w:val="0"/>
          <w:sz w:val="22"/>
        </w:rPr>
        <w:t>DLT trading venue rules:</w:t>
      </w:r>
      <w:r>
        <w:rPr>
          <w:rFonts w:ascii="Figtree" w:hAnsi="Figtree"/>
          <w:b w:val="0"/>
          <w:i w:val="0"/>
          <w:sz w:val="22"/>
        </w:rPr>
        <w:t xml:space="preserve"> The DLT Act requires a licensed DLT trading venue to maintain: clear access rights rules (implemented by AccessManager), settlement finality rules (implemented by XvP), default management rules (implemented by custodian extension), and operational risk controls (implemented by HA deployment, HSM, and monitoring stack).</w:t>
      </w:r>
    </w:p>
    <w:p>
      <w:pPr>
        <w:pStyle w:val="H3"/>
        <w:numPr>
          <w:ilvl w:val="2"/>
          <w:numId w:val="1"/>
        </w:numPr>
      </w:pPr>
      <w:r>
        <w:t>6.4 AMLA and KYC/AML</w:t>
      </w:r>
    </w:p>
    <w:p>
      <w:r>
        <w:rPr>
          <w:rFonts w:ascii="Figtree" w:hAnsi="Figtree"/>
          <w:b w:val="0"/>
          <w:i w:val="0"/>
          <w:sz w:val="22"/>
        </w:rPr>
        <w:t>The Anti-Money Laundering Act imposes customer due diligence obligations on SDX as a financial intermediary. DALP's compliance module architecture supports AMLA compliance:</w:t>
      </w:r>
    </w:p>
    <w:p>
      <w:pPr>
        <w:pStyle w:val="ListParagraph"/>
        <w:numPr>
          <w:ilvl w:val="0"/>
          <w:numId w:val="4"/>
        </w:numPr>
      </w:pPr>
      <w:r>
        <w:rPr>
          <w:rFonts w:ascii="Figtree" w:hAnsi="Figtree"/>
          <w:b/>
          <w:i w:val="0"/>
          <w:sz w:val="22"/>
        </w:rPr>
        <w:t>Identity verification module:</w:t>
      </w:r>
      <w:r>
        <w:rPr>
          <w:rFonts w:ascii="Figtree" w:hAnsi="Figtree"/>
          <w:b w:val="0"/>
          <w:i w:val="0"/>
          <w:sz w:val="22"/>
        </w:rPr>
        <w:t xml:space="preserve"> All transfer parties must have verified on-chain identity claims before settlement. Claims are issued by SDX's KYC/AML process and recorded via OnchainID.</w:t>
      </w:r>
    </w:p>
    <w:p>
      <w:pPr>
        <w:pStyle w:val="ListParagraph"/>
        <w:numPr>
          <w:ilvl w:val="0"/>
          <w:numId w:val="4"/>
        </w:numPr>
      </w:pPr>
      <w:r>
        <w:rPr>
          <w:rFonts w:ascii="Figtree" w:hAnsi="Figtree"/>
          <w:b/>
          <w:i w:val="0"/>
          <w:sz w:val="22"/>
        </w:rPr>
        <w:t>Address block list:</w:t>
      </w:r>
      <w:r>
        <w:rPr>
          <w:rFonts w:ascii="Figtree" w:hAnsi="Figtree"/>
          <w:b w:val="0"/>
          <w:i w:val="0"/>
          <w:sz w:val="22"/>
        </w:rPr>
        <w:t xml:space="preserve"> SDX maintains a real-time list of SECO-sanctioned and FINMA-notified addresses. The block list module prevents any transfer involving these addresses.</w:t>
      </w:r>
    </w:p>
    <w:p>
      <w:pPr>
        <w:pStyle w:val="ListParagraph"/>
        <w:numPr>
          <w:ilvl w:val="0"/>
          <w:numId w:val="4"/>
        </w:numPr>
      </w:pPr>
      <w:r>
        <w:rPr>
          <w:rFonts w:ascii="Figtree" w:hAnsi="Figtree"/>
          <w:b/>
          <w:i w:val="0"/>
          <w:sz w:val="22"/>
        </w:rPr>
        <w:t>Country block list:</w:t>
      </w:r>
      <w:r>
        <w:rPr>
          <w:rFonts w:ascii="Figtree" w:hAnsi="Figtree"/>
          <w:b w:val="0"/>
          <w:i w:val="0"/>
          <w:sz w:val="22"/>
        </w:rPr>
        <w:t xml:space="preserve"> Jurisdiction restrictions aligned with SECO sanctions and FATF grey/blacklist categories.</w:t>
      </w:r>
    </w:p>
    <w:p>
      <w:pPr>
        <w:pStyle w:val="ListParagraph"/>
        <w:numPr>
          <w:ilvl w:val="0"/>
          <w:numId w:val="4"/>
        </w:numPr>
      </w:pPr>
      <w:r>
        <w:rPr>
          <w:rFonts w:ascii="Figtree" w:hAnsi="Figtree"/>
          <w:b/>
          <w:i w:val="0"/>
          <w:sz w:val="22"/>
        </w:rPr>
        <w:t>Audit trail:</w:t>
      </w:r>
      <w:r>
        <w:rPr>
          <w:rFonts w:ascii="Figtree" w:hAnsi="Figtree"/>
          <w:b w:val="0"/>
          <w:i w:val="0"/>
          <w:sz w:val="22"/>
        </w:rPr>
        <w:t xml:space="preserve"> Complete record of all participant onboarding events and compliance module decisions, satisfying AMLA record retention requirements.</w:t>
      </w:r>
    </w:p>
    <w:p>
      <w:pPr>
        <w:pStyle w:val="H3"/>
        <w:numPr>
          <w:ilvl w:val="2"/>
          <w:numId w:val="1"/>
        </w:numPr>
      </w:pPr>
      <w:r>
        <w:t>6.5 CPMI-IOSCO PFMI Mapping</w:t>
      </w:r>
    </w:p>
    <w:p>
      <w:pPr>
        <w:jc w:val="center"/>
      </w:pPr>
      <w:r>
        <w:drawing>
          <wp:inline xmlns:a="http://schemas.openxmlformats.org/drawingml/2006/main" xmlns:pic="http://schemas.openxmlformats.org/drawingml/2006/picture">
            <wp:extent cx="5486400" cy="643812"/>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643812"/>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85"/>
        <w:gridCol w:w="2340"/>
        <w:gridCol w:w="584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PFMI Principle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Principle Name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P1</w:t>
            </w:r>
          </w:p>
        </w:tc>
        <w:tc>
          <w:tcPr>
            <w:tcW w:type="dxa" w:w="3249"/>
            <w:vAlign w:val="center"/>
          </w:tcPr>
          <w:p>
            <w:pPr>
              <w:spacing w:line="276" w:lineRule="auto" w:before="0" w:after="0"/>
            </w:pPr>
            <w:r/>
            <w:r>
              <w:rPr>
                <w:rFonts w:ascii="Figtree" w:hAnsi="Figtree"/>
                <w:b w:val="0"/>
                <w:i w:val="0"/>
                <w:sz w:val="20"/>
              </w:rPr>
              <w:t>Legal basis</w:t>
            </w:r>
          </w:p>
        </w:tc>
        <w:tc>
          <w:tcPr>
            <w:tcW w:type="dxa" w:w="3249"/>
            <w:vAlign w:val="center"/>
          </w:tcPr>
          <w:p>
            <w:pPr>
              <w:spacing w:line="276" w:lineRule="auto" w:before="0" w:after="0"/>
            </w:pPr>
            <w:r/>
            <w:r>
              <w:rPr>
                <w:rFonts w:ascii="Figtree" w:hAnsi="Figtree"/>
                <w:b w:val="0"/>
                <w:i w:val="0"/>
                <w:sz w:val="20"/>
              </w:rPr>
              <w:t>On-chain settlement finality, DLT Act DLT-Wertrechte compliance</w:t>
            </w:r>
          </w:p>
        </w:tc>
      </w:tr>
      <w:tr>
        <w:trPr>
          <w:trHeight w:val="425" w:hRule="atLeast"/>
        </w:trPr>
        <w:tc>
          <w:tcPr>
            <w:tcW w:type="dxa" w:w="3249"/>
            <w:vAlign w:val="center"/>
          </w:tcPr>
          <w:p>
            <w:pPr>
              <w:spacing w:line="276" w:lineRule="auto" w:before="0" w:after="0"/>
            </w:pPr>
            <w:r/>
            <w:r>
              <w:rPr>
                <w:rFonts w:ascii="Figtree" w:hAnsi="Figtree"/>
                <w:b w:val="0"/>
                <w:i w:val="0"/>
                <w:sz w:val="20"/>
              </w:rPr>
              <w:t>P2</w:t>
            </w:r>
          </w:p>
        </w:tc>
        <w:tc>
          <w:tcPr>
            <w:tcW w:type="dxa" w:w="3249"/>
            <w:vAlign w:val="center"/>
          </w:tcPr>
          <w:p>
            <w:pPr>
              <w:spacing w:line="276" w:lineRule="auto" w:before="0" w:after="0"/>
            </w:pPr>
            <w:r/>
            <w:r>
              <w:rPr>
                <w:rFonts w:ascii="Figtree" w:hAnsi="Figtree"/>
                <w:b w:val="0"/>
                <w:i w:val="0"/>
                <w:sz w:val="20"/>
              </w:rPr>
              <w:t>Governance</w:t>
            </w:r>
          </w:p>
        </w:tc>
        <w:tc>
          <w:tcPr>
            <w:tcW w:type="dxa" w:w="3249"/>
            <w:vAlign w:val="center"/>
          </w:tcPr>
          <w:p>
            <w:pPr>
              <w:spacing w:line="276" w:lineRule="auto" w:before="0" w:after="0"/>
            </w:pPr>
            <w:r/>
            <w:r>
              <w:rPr>
                <w:rFonts w:ascii="Figtree" w:hAnsi="Figtree"/>
                <w:b w:val="0"/>
                <w:i w:val="0"/>
                <w:sz w:val="20"/>
              </w:rPr>
              <w:t>GOVERNANCE_ROLE multi-sig, AccessManager RBAC, Board-level audit access</w:t>
            </w:r>
          </w:p>
        </w:tc>
      </w:tr>
      <w:tr>
        <w:trPr>
          <w:trHeight w:val="425" w:hRule="atLeast"/>
        </w:trPr>
        <w:tc>
          <w:tcPr>
            <w:tcW w:type="dxa" w:w="3249"/>
            <w:vAlign w:val="center"/>
          </w:tcPr>
          <w:p>
            <w:pPr>
              <w:spacing w:line="276" w:lineRule="auto" w:before="0" w:after="0"/>
            </w:pPr>
            <w:r/>
            <w:r>
              <w:rPr>
                <w:rFonts w:ascii="Figtree" w:hAnsi="Figtree"/>
                <w:b w:val="0"/>
                <w:i w:val="0"/>
                <w:sz w:val="20"/>
              </w:rPr>
              <w:t>P3</w:t>
            </w:r>
          </w:p>
        </w:tc>
        <w:tc>
          <w:tcPr>
            <w:tcW w:type="dxa" w:w="3249"/>
            <w:vAlign w:val="center"/>
          </w:tcPr>
          <w:p>
            <w:pPr>
              <w:spacing w:line="276" w:lineRule="auto" w:before="0" w:after="0"/>
            </w:pPr>
            <w:r/>
            <w:r>
              <w:rPr>
                <w:rFonts w:ascii="Figtree" w:hAnsi="Figtree"/>
                <w:b w:val="0"/>
                <w:i w:val="0"/>
                <w:sz w:val="20"/>
              </w:rPr>
              <w:t>Framework for comprehensive risk mgmt</w:t>
            </w:r>
          </w:p>
        </w:tc>
        <w:tc>
          <w:tcPr>
            <w:tcW w:type="dxa" w:w="3249"/>
            <w:vAlign w:val="center"/>
          </w:tcPr>
          <w:p>
            <w:pPr>
              <w:spacing w:line="276" w:lineRule="auto" w:before="0" w:after="0"/>
            </w:pPr>
            <w:r/>
            <w:r>
              <w:rPr>
                <w:rFonts w:ascii="Figtree" w:hAnsi="Figtree"/>
                <w:b w:val="0"/>
                <w:i w:val="0"/>
                <w:sz w:val="20"/>
              </w:rPr>
              <w:t>Compliance module enforcement, real-time monitoring</w:t>
            </w:r>
          </w:p>
        </w:tc>
      </w:tr>
      <w:tr>
        <w:trPr>
          <w:trHeight w:val="425" w:hRule="atLeast"/>
        </w:trPr>
        <w:tc>
          <w:tcPr>
            <w:tcW w:type="dxa" w:w="3249"/>
            <w:vAlign w:val="center"/>
          </w:tcPr>
          <w:p>
            <w:pPr>
              <w:spacing w:line="276" w:lineRule="auto" w:before="0" w:after="0"/>
            </w:pPr>
            <w:r/>
            <w:r>
              <w:rPr>
                <w:rFonts w:ascii="Figtree" w:hAnsi="Figtree"/>
                <w:b w:val="0"/>
                <w:i w:val="0"/>
                <w:sz w:val="20"/>
              </w:rPr>
              <w:t>P4</w:t>
            </w:r>
          </w:p>
        </w:tc>
        <w:tc>
          <w:tcPr>
            <w:tcW w:type="dxa" w:w="3249"/>
            <w:vAlign w:val="center"/>
          </w:tcPr>
          <w:p>
            <w:pPr>
              <w:spacing w:line="276" w:lineRule="auto" w:before="0" w:after="0"/>
            </w:pPr>
            <w:r/>
            <w:r>
              <w:rPr>
                <w:rFonts w:ascii="Figtree" w:hAnsi="Figtree"/>
                <w:b w:val="0"/>
                <w:i w:val="0"/>
                <w:sz w:val="20"/>
              </w:rPr>
              <w:t>Credit risk</w:t>
            </w:r>
          </w:p>
        </w:tc>
        <w:tc>
          <w:tcPr>
            <w:tcW w:type="dxa" w:w="3249"/>
            <w:vAlign w:val="center"/>
          </w:tcPr>
          <w:p>
            <w:pPr>
              <w:spacing w:line="276" w:lineRule="auto" w:before="0" w:after="0"/>
            </w:pPr>
            <w:r/>
            <w:r>
              <w:rPr>
                <w:rFonts w:ascii="Figtree" w:hAnsi="Figtree"/>
                <w:b w:val="0"/>
                <w:i w:val="0"/>
                <w:sz w:val="20"/>
              </w:rPr>
              <w:t>XvP atomicity eliminates pre-settlement credit exposure</w:t>
            </w:r>
          </w:p>
        </w:tc>
      </w:tr>
      <w:tr>
        <w:trPr>
          <w:trHeight w:val="425" w:hRule="atLeast"/>
        </w:trPr>
        <w:tc>
          <w:tcPr>
            <w:tcW w:type="dxa" w:w="3249"/>
            <w:vAlign w:val="center"/>
          </w:tcPr>
          <w:p>
            <w:pPr>
              <w:spacing w:line="276" w:lineRule="auto" w:before="0" w:after="0"/>
            </w:pPr>
            <w:r/>
            <w:r>
              <w:rPr>
                <w:rFonts w:ascii="Figtree" w:hAnsi="Figtree"/>
                <w:b w:val="0"/>
                <w:i w:val="0"/>
                <w:sz w:val="20"/>
              </w:rPr>
              <w:t>P7</w:t>
            </w:r>
          </w:p>
        </w:tc>
        <w:tc>
          <w:tcPr>
            <w:tcW w:type="dxa" w:w="3249"/>
            <w:vAlign w:val="center"/>
          </w:tcPr>
          <w:p>
            <w:pPr>
              <w:spacing w:line="276" w:lineRule="auto" w:before="0" w:after="0"/>
            </w:pPr>
            <w:r/>
            <w:r>
              <w:rPr>
                <w:rFonts w:ascii="Figtree" w:hAnsi="Figtree"/>
                <w:b w:val="0"/>
                <w:i w:val="0"/>
                <w:sz w:val="20"/>
              </w:rPr>
              <w:t>Liquidity risk</w:t>
            </w:r>
          </w:p>
        </w:tc>
        <w:tc>
          <w:tcPr>
            <w:tcW w:type="dxa" w:w="3249"/>
            <w:vAlign w:val="center"/>
          </w:tcPr>
          <w:p>
            <w:pPr>
              <w:spacing w:line="276" w:lineRule="auto" w:before="0" w:after="0"/>
            </w:pPr>
            <w:r/>
            <w:r>
              <w:rPr>
                <w:rFonts w:ascii="Figtree" w:hAnsi="Figtree"/>
                <w:b w:val="0"/>
                <w:i w:val="0"/>
                <w:sz w:val="20"/>
              </w:rPr>
              <w:t>T+0 DvP eliminates liquidity timing mismatch</w:t>
            </w:r>
          </w:p>
        </w:tc>
      </w:tr>
      <w:tr>
        <w:trPr>
          <w:trHeight w:val="425" w:hRule="atLeast"/>
        </w:trPr>
        <w:tc>
          <w:tcPr>
            <w:tcW w:type="dxa" w:w="3249"/>
            <w:vAlign w:val="center"/>
          </w:tcPr>
          <w:p>
            <w:pPr>
              <w:spacing w:line="276" w:lineRule="auto" w:before="0" w:after="0"/>
            </w:pPr>
            <w:r/>
            <w:r>
              <w:rPr>
                <w:rFonts w:ascii="Figtree" w:hAnsi="Figtree"/>
                <w:b w:val="0"/>
                <w:i w:val="0"/>
                <w:sz w:val="20"/>
              </w:rPr>
              <w:t>P9</w:t>
            </w:r>
          </w:p>
        </w:tc>
        <w:tc>
          <w:tcPr>
            <w:tcW w:type="dxa" w:w="3249"/>
            <w:vAlign w:val="center"/>
          </w:tcPr>
          <w:p>
            <w:pPr>
              <w:spacing w:line="276" w:lineRule="auto" w:before="0" w:after="0"/>
            </w:pPr>
            <w:r/>
            <w:r>
              <w:rPr>
                <w:rFonts w:ascii="Figtree" w:hAnsi="Figtree"/>
                <w:b w:val="0"/>
                <w:i w:val="0"/>
                <w:sz w:val="20"/>
              </w:rPr>
              <w:t>Money settlements</w:t>
            </w:r>
          </w:p>
        </w:tc>
        <w:tc>
          <w:tcPr>
            <w:tcW w:type="dxa" w:w="3249"/>
            <w:vAlign w:val="center"/>
          </w:tcPr>
          <w:p>
            <w:pPr>
              <w:spacing w:line="276" w:lineRule="auto" w:before="0" w:after="0"/>
            </w:pPr>
            <w:r/>
            <w:r>
              <w:rPr>
                <w:rFonts w:ascii="Figtree" w:hAnsi="Figtree"/>
                <w:b w:val="0"/>
                <w:i w:val="0"/>
                <w:sz w:val="20"/>
              </w:rPr>
              <w:t>Tokenized cash settlement on-chain, IBFT 2.0 finality</w:t>
            </w:r>
          </w:p>
        </w:tc>
      </w:tr>
      <w:tr>
        <w:trPr>
          <w:trHeight w:val="425" w:hRule="atLeast"/>
        </w:trPr>
        <w:tc>
          <w:tcPr>
            <w:tcW w:type="dxa" w:w="3249"/>
            <w:vAlign w:val="center"/>
          </w:tcPr>
          <w:p>
            <w:pPr>
              <w:spacing w:line="276" w:lineRule="auto" w:before="0" w:after="0"/>
            </w:pPr>
            <w:r/>
            <w:r>
              <w:rPr>
                <w:rFonts w:ascii="Figtree" w:hAnsi="Figtree"/>
                <w:b w:val="0"/>
                <w:i w:val="0"/>
                <w:sz w:val="20"/>
              </w:rPr>
              <w:t>P10</w:t>
            </w:r>
          </w:p>
        </w:tc>
        <w:tc>
          <w:tcPr>
            <w:tcW w:type="dxa" w:w="3249"/>
            <w:vAlign w:val="center"/>
          </w:tcPr>
          <w:p>
            <w:pPr>
              <w:spacing w:line="276" w:lineRule="auto" w:before="0" w:after="0"/>
            </w:pPr>
            <w:r/>
            <w:r>
              <w:rPr>
                <w:rFonts w:ascii="Figtree" w:hAnsi="Figtree"/>
                <w:b w:val="0"/>
                <w:i w:val="0"/>
                <w:sz w:val="20"/>
              </w:rPr>
              <w:t>Physical deliveries</w:t>
            </w:r>
          </w:p>
        </w:tc>
        <w:tc>
          <w:tcPr>
            <w:tcW w:type="dxa" w:w="3249"/>
            <w:vAlign w:val="center"/>
          </w:tcPr>
          <w:p>
            <w:pPr>
              <w:spacing w:line="276" w:lineRule="auto" w:before="0" w:after="0"/>
            </w:pPr>
            <w:r/>
            <w:r>
              <w:rPr>
                <w:rFonts w:ascii="Figtree" w:hAnsi="Figtree"/>
                <w:b w:val="0"/>
                <w:i w:val="0"/>
                <w:sz w:val="20"/>
              </w:rPr>
              <w:t>Asset leg finality simultaneous with cash leg</w:t>
            </w:r>
          </w:p>
        </w:tc>
      </w:tr>
      <w:tr>
        <w:trPr>
          <w:trHeight w:val="425" w:hRule="atLeast"/>
        </w:trPr>
        <w:tc>
          <w:tcPr>
            <w:tcW w:type="dxa" w:w="3249"/>
            <w:vAlign w:val="center"/>
          </w:tcPr>
          <w:p>
            <w:pPr>
              <w:spacing w:line="276" w:lineRule="auto" w:before="0" w:after="0"/>
            </w:pPr>
            <w:r/>
            <w:r>
              <w:rPr>
                <w:rFonts w:ascii="Figtree" w:hAnsi="Figtree"/>
                <w:b w:val="0"/>
                <w:i w:val="0"/>
                <w:sz w:val="20"/>
              </w:rPr>
              <w:t>P12</w:t>
            </w:r>
          </w:p>
        </w:tc>
        <w:tc>
          <w:tcPr>
            <w:tcW w:type="dxa" w:w="3249"/>
            <w:vAlign w:val="center"/>
          </w:tcPr>
          <w:p>
            <w:pPr>
              <w:spacing w:line="276" w:lineRule="auto" w:before="0" w:after="0"/>
            </w:pPr>
            <w:r/>
            <w:r>
              <w:rPr>
                <w:rFonts w:ascii="Figtree" w:hAnsi="Figtree"/>
                <w:b w:val="0"/>
                <w:i w:val="0"/>
                <w:sz w:val="20"/>
              </w:rPr>
              <w:t>Exchange-of-value systems</w:t>
            </w:r>
          </w:p>
        </w:tc>
        <w:tc>
          <w:tcPr>
            <w:tcW w:type="dxa" w:w="3249"/>
            <w:vAlign w:val="center"/>
          </w:tcPr>
          <w:p>
            <w:pPr>
              <w:spacing w:line="276" w:lineRule="auto" w:before="0" w:after="0"/>
            </w:pPr>
            <w:r/>
            <w:r>
              <w:rPr>
                <w:rFonts w:ascii="Figtree" w:hAnsi="Figtree"/>
                <w:b w:val="0"/>
                <w:i w:val="0"/>
                <w:sz w:val="20"/>
              </w:rPr>
              <w:t>XvP atomic exchange</w:t>
            </w:r>
          </w:p>
        </w:tc>
      </w:tr>
      <w:tr>
        <w:trPr>
          <w:trHeight w:val="425" w:hRule="atLeast"/>
        </w:trPr>
        <w:tc>
          <w:tcPr>
            <w:tcW w:type="dxa" w:w="3249"/>
            <w:vAlign w:val="center"/>
          </w:tcPr>
          <w:p>
            <w:pPr>
              <w:spacing w:line="276" w:lineRule="auto" w:before="0" w:after="0"/>
            </w:pPr>
            <w:r/>
            <w:r>
              <w:rPr>
                <w:rFonts w:ascii="Figtree" w:hAnsi="Figtree"/>
                <w:b w:val="0"/>
                <w:i w:val="0"/>
                <w:sz w:val="20"/>
              </w:rPr>
              <w:t>P16</w:t>
            </w:r>
          </w:p>
        </w:tc>
        <w:tc>
          <w:tcPr>
            <w:tcW w:type="dxa" w:w="3249"/>
            <w:vAlign w:val="center"/>
          </w:tcPr>
          <w:p>
            <w:pPr>
              <w:spacing w:line="276" w:lineRule="auto" w:before="0" w:after="0"/>
            </w:pPr>
            <w:r/>
            <w:r>
              <w:rPr>
                <w:rFonts w:ascii="Figtree" w:hAnsi="Figtree"/>
                <w:b w:val="0"/>
                <w:i w:val="0"/>
                <w:sz w:val="20"/>
              </w:rPr>
              <w:t>Custody and investment risks</w:t>
            </w:r>
          </w:p>
        </w:tc>
        <w:tc>
          <w:tcPr>
            <w:tcW w:type="dxa" w:w="3249"/>
            <w:vAlign w:val="center"/>
          </w:tcPr>
          <w:p>
            <w:pPr>
              <w:spacing w:line="276" w:lineRule="auto" w:before="0" w:after="0"/>
            </w:pPr>
            <w:r/>
            <w:r>
              <w:rPr>
                <w:rFonts w:ascii="Figtree" w:hAnsi="Figtree"/>
                <w:b w:val="0"/>
                <w:i w:val="0"/>
                <w:sz w:val="20"/>
              </w:rPr>
              <w:t>HSM-backed Key Guardian, no co-mingling of keys</w:t>
            </w:r>
          </w:p>
        </w:tc>
      </w:tr>
      <w:tr>
        <w:trPr>
          <w:trHeight w:val="425" w:hRule="atLeast"/>
        </w:trPr>
        <w:tc>
          <w:tcPr>
            <w:tcW w:type="dxa" w:w="3249"/>
            <w:vAlign w:val="center"/>
          </w:tcPr>
          <w:p>
            <w:pPr>
              <w:spacing w:line="276" w:lineRule="auto" w:before="0" w:after="0"/>
            </w:pPr>
            <w:r/>
            <w:r>
              <w:rPr>
                <w:rFonts w:ascii="Figtree" w:hAnsi="Figtree"/>
                <w:b w:val="0"/>
                <w:i w:val="0"/>
                <w:sz w:val="20"/>
              </w:rPr>
              <w:t>P5</w:t>
            </w:r>
          </w:p>
        </w:tc>
        <w:tc>
          <w:tcPr>
            <w:tcW w:type="dxa" w:w="3249"/>
            <w:vAlign w:val="center"/>
          </w:tcPr>
          <w:p>
            <w:pPr>
              <w:spacing w:line="276" w:lineRule="auto" w:before="0" w:after="0"/>
            </w:pPr>
            <w:r/>
            <w:r>
              <w:rPr>
                <w:rFonts w:ascii="Figtree" w:hAnsi="Figtree"/>
                <w:b w:val="0"/>
                <w:i w:val="0"/>
                <w:sz w:val="20"/>
              </w:rPr>
              <w:t>Collateral (CSD function)</w:t>
            </w:r>
          </w:p>
        </w:tc>
        <w:tc>
          <w:tcPr>
            <w:tcW w:type="dxa" w:w="3249"/>
            <w:vAlign w:val="center"/>
          </w:tcPr>
          <w:p>
            <w:pPr>
              <w:spacing w:line="276" w:lineRule="auto" w:before="0" w:after="0"/>
            </w:pPr>
            <w:r/>
            <w:r>
              <w:rPr>
                <w:rFonts w:ascii="Figtree" w:hAnsi="Figtree"/>
                <w:b w:val="0"/>
                <w:i w:val="0"/>
                <w:sz w:val="20"/>
              </w:rPr>
              <w:t>Collateral requirement compliance module; forced transfer for margin calls; XvP for collateral exchange</w:t>
            </w:r>
          </w:p>
        </w:tc>
      </w:tr>
      <w:tr>
        <w:trPr>
          <w:trHeight w:val="425" w:hRule="atLeast"/>
        </w:trPr>
        <w:tc>
          <w:tcPr>
            <w:tcW w:type="dxa" w:w="3249"/>
            <w:vAlign w:val="center"/>
          </w:tcPr>
          <w:p>
            <w:pPr>
              <w:spacing w:line="276" w:lineRule="auto" w:before="0" w:after="0"/>
            </w:pPr>
            <w:r/>
            <w:r>
              <w:rPr>
                <w:rFonts w:ascii="Figtree" w:hAnsi="Figtree"/>
                <w:b w:val="0"/>
                <w:i w:val="0"/>
                <w:sz w:val="20"/>
              </w:rPr>
              <w:t>P17</w:t>
            </w:r>
          </w:p>
        </w:tc>
        <w:tc>
          <w:tcPr>
            <w:tcW w:type="dxa" w:w="3249"/>
            <w:vAlign w:val="center"/>
          </w:tcPr>
          <w:p>
            <w:pPr>
              <w:spacing w:line="276" w:lineRule="auto" w:before="0" w:after="0"/>
            </w:pPr>
            <w:r/>
            <w:r>
              <w:rPr>
                <w:rFonts w:ascii="Figtree" w:hAnsi="Figtree"/>
                <w:b w:val="0"/>
                <w:i w:val="0"/>
                <w:sz w:val="20"/>
              </w:rPr>
              <w:t>Operational risk</w:t>
            </w:r>
          </w:p>
        </w:tc>
        <w:tc>
          <w:tcPr>
            <w:tcW w:type="dxa" w:w="3249"/>
            <w:vAlign w:val="center"/>
          </w:tcPr>
          <w:p>
            <w:pPr>
              <w:spacing w:line="276" w:lineRule="auto" w:before="0" w:after="0"/>
            </w:pPr>
            <w:r/>
            <w:r>
              <w:rPr>
                <w:rFonts w:ascii="Figtree" w:hAnsi="Figtree"/>
                <w:b w:val="0"/>
                <w:i w:val="0"/>
                <w:sz w:val="20"/>
              </w:rPr>
              <w:t>99.99% SLA, HA deployment, tested DR, incident response</w:t>
            </w:r>
          </w:p>
        </w:tc>
      </w:tr>
      <w:tr>
        <w:trPr>
          <w:trHeight w:val="425" w:hRule="atLeast"/>
        </w:trPr>
        <w:tc>
          <w:tcPr>
            <w:tcW w:type="dxa" w:w="3249"/>
            <w:vAlign w:val="center"/>
          </w:tcPr>
          <w:p>
            <w:pPr>
              <w:spacing w:line="276" w:lineRule="auto" w:before="0" w:after="0"/>
            </w:pPr>
            <w:r/>
            <w:r>
              <w:rPr>
                <w:rFonts w:ascii="Figtree" w:hAnsi="Figtree"/>
                <w:b w:val="0"/>
                <w:i w:val="0"/>
                <w:sz w:val="20"/>
              </w:rPr>
              <w:t>P18</w:t>
            </w:r>
          </w:p>
        </w:tc>
        <w:tc>
          <w:tcPr>
            <w:tcW w:type="dxa" w:w="3249"/>
            <w:vAlign w:val="center"/>
          </w:tcPr>
          <w:p>
            <w:pPr>
              <w:spacing w:line="276" w:lineRule="auto" w:before="0" w:after="0"/>
            </w:pPr>
            <w:r/>
            <w:r>
              <w:rPr>
                <w:rFonts w:ascii="Figtree" w:hAnsi="Figtree"/>
                <w:b w:val="0"/>
                <w:i w:val="0"/>
                <w:sz w:val="20"/>
              </w:rPr>
              <w:t>Access and participation</w:t>
            </w:r>
          </w:p>
        </w:tc>
        <w:tc>
          <w:tcPr>
            <w:tcW w:type="dxa" w:w="3249"/>
            <w:vAlign w:val="center"/>
          </w:tcPr>
          <w:p>
            <w:pPr>
              <w:spacing w:line="276" w:lineRule="auto" w:before="0" w:after="0"/>
            </w:pPr>
            <w:r/>
            <w:r>
              <w:rPr>
                <w:rFonts w:ascii="Figtree" w:hAnsi="Figtree"/>
                <w:b w:val="0"/>
                <w:i w:val="0"/>
                <w:sz w:val="20"/>
              </w:rPr>
              <w:t>OnchainID, AccessManager, participant lifecycle management</w:t>
            </w:r>
          </w:p>
        </w:tc>
      </w:tr>
      <w:tr>
        <w:trPr>
          <w:trHeight w:val="425" w:hRule="atLeast"/>
        </w:trPr>
        <w:tc>
          <w:tcPr>
            <w:tcW w:type="dxa" w:w="3249"/>
            <w:vAlign w:val="center"/>
          </w:tcPr>
          <w:p>
            <w:pPr>
              <w:spacing w:line="276" w:lineRule="auto" w:before="0" w:after="0"/>
            </w:pPr>
            <w:r/>
            <w:r>
              <w:rPr>
                <w:rFonts w:ascii="Figtree" w:hAnsi="Figtree"/>
                <w:b w:val="0"/>
                <w:i w:val="0"/>
                <w:sz w:val="20"/>
              </w:rPr>
              <w:t>P19</w:t>
            </w:r>
          </w:p>
        </w:tc>
        <w:tc>
          <w:tcPr>
            <w:tcW w:type="dxa" w:w="3249"/>
            <w:vAlign w:val="center"/>
          </w:tcPr>
          <w:p>
            <w:pPr>
              <w:spacing w:line="276" w:lineRule="auto" w:before="0" w:after="0"/>
            </w:pPr>
            <w:r/>
            <w:r>
              <w:rPr>
                <w:rFonts w:ascii="Figtree" w:hAnsi="Figtree"/>
                <w:b w:val="0"/>
                <w:i w:val="0"/>
                <w:sz w:val="20"/>
              </w:rPr>
              <w:t>Tiered participation</w:t>
            </w:r>
          </w:p>
        </w:tc>
        <w:tc>
          <w:tcPr>
            <w:tcW w:type="dxa" w:w="3249"/>
            <w:vAlign w:val="center"/>
          </w:tcPr>
          <w:p>
            <w:pPr>
              <w:spacing w:line="276" w:lineRule="auto" w:before="0" w:after="0"/>
            </w:pPr>
            <w:r/>
            <w:r>
              <w:rPr>
                <w:rFonts w:ascii="Figtree" w:hAnsi="Figtree"/>
                <w:b w:val="0"/>
                <w:i w:val="0"/>
                <w:sz w:val="20"/>
              </w:rPr>
              <w:t>Role hierarchy: Trading Participant, Settlement Member, Custodian</w:t>
            </w:r>
          </w:p>
        </w:tc>
      </w:tr>
      <w:tr>
        <w:trPr>
          <w:trHeight w:val="425" w:hRule="atLeast"/>
        </w:trPr>
        <w:tc>
          <w:tcPr>
            <w:tcW w:type="dxa" w:w="3249"/>
            <w:vAlign w:val="center"/>
          </w:tcPr>
          <w:p>
            <w:pPr>
              <w:spacing w:line="276" w:lineRule="auto" w:before="0" w:after="0"/>
            </w:pPr>
            <w:r/>
            <w:r>
              <w:rPr>
                <w:rFonts w:ascii="Figtree" w:hAnsi="Figtree"/>
                <w:b w:val="0"/>
                <w:i w:val="0"/>
                <w:sz w:val="20"/>
              </w:rPr>
              <w:t>P23</w:t>
            </w:r>
          </w:p>
        </w:tc>
        <w:tc>
          <w:tcPr>
            <w:tcW w:type="dxa" w:w="3249"/>
            <w:vAlign w:val="center"/>
          </w:tcPr>
          <w:p>
            <w:pPr>
              <w:spacing w:line="276" w:lineRule="auto" w:before="0" w:after="0"/>
            </w:pPr>
            <w:r/>
            <w:r>
              <w:rPr>
                <w:rFonts w:ascii="Figtree" w:hAnsi="Figtree"/>
                <w:b w:val="0"/>
                <w:i w:val="0"/>
                <w:sz w:val="20"/>
              </w:rPr>
              <w:t>Disclosure of rules and procedures</w:t>
            </w:r>
          </w:p>
        </w:tc>
        <w:tc>
          <w:tcPr>
            <w:tcW w:type="dxa" w:w="3249"/>
            <w:vAlign w:val="center"/>
          </w:tcPr>
          <w:p>
            <w:pPr>
              <w:spacing w:line="276" w:lineRule="auto" w:before="0" w:after="0"/>
            </w:pPr>
            <w:r/>
            <w:r>
              <w:rPr>
                <w:rFonts w:ascii="Figtree" w:hAnsi="Figtree"/>
                <w:b w:val="0"/>
                <w:i w:val="0"/>
                <w:sz w:val="20"/>
              </w:rPr>
              <w:t>Chain Indexer event transparency, regulatory observer access</w:t>
            </w:r>
          </w:p>
        </w:tc>
      </w:tr>
    </w:tbl>
    <w:p>
      <w:pPr>
        <w:spacing w:before="0" w:after="0" w:line="120" w:lineRule="exact"/>
      </w:pPr>
    </w:p>
    <w:p>
      <w:pPr>
        <w:pStyle w:val="H3"/>
        <w:numPr>
          <w:ilvl w:val="2"/>
          <w:numId w:val="1"/>
        </w:numPr>
      </w:pPr>
      <w:r>
        <w:t>6.6 Swiss Data Protection Act (nDSG)</w:t>
      </w:r>
    </w:p>
    <w:p>
      <w:r>
        <w:rPr>
          <w:rFonts w:ascii="Figtree" w:hAnsi="Figtree"/>
          <w:b w:val="0"/>
          <w:i w:val="0"/>
          <w:sz w:val="22"/>
        </w:rPr>
        <w:t>nDSG requirements applicable to SDX's participant data:</w:t>
      </w:r>
    </w:p>
    <w:p>
      <w:pPr>
        <w:pStyle w:val="ListParagraph"/>
        <w:numPr>
          <w:ilvl w:val="0"/>
          <w:numId w:val="4"/>
        </w:numPr>
      </w:pPr>
      <w:r>
        <w:rPr>
          <w:rFonts w:ascii="Figtree" w:hAnsi="Figtree"/>
          <w:b/>
          <w:i w:val="0"/>
          <w:sz w:val="22"/>
        </w:rPr>
        <w:t>Data minimisation:</w:t>
      </w:r>
      <w:r>
        <w:rPr>
          <w:rFonts w:ascii="Figtree" w:hAnsi="Figtree"/>
          <w:b w:val="0"/>
          <w:i w:val="0"/>
          <w:sz w:val="22"/>
        </w:rPr>
        <w:t xml:space="preserve"> OnchainID stores identity claim hashes; personal data remains in SDX's KYC system</w:t>
      </w:r>
    </w:p>
    <w:p>
      <w:pPr>
        <w:pStyle w:val="ListParagraph"/>
        <w:numPr>
          <w:ilvl w:val="0"/>
          <w:numId w:val="4"/>
        </w:numPr>
      </w:pPr>
      <w:r>
        <w:rPr>
          <w:rFonts w:ascii="Figtree" w:hAnsi="Figtree"/>
          <w:b/>
          <w:i w:val="0"/>
          <w:sz w:val="22"/>
        </w:rPr>
        <w:t>Purpose limitation:</w:t>
      </w:r>
      <w:r>
        <w:rPr>
          <w:rFonts w:ascii="Figtree" w:hAnsi="Figtree"/>
          <w:b w:val="0"/>
          <w:i w:val="0"/>
          <w:sz w:val="22"/>
        </w:rPr>
        <w:t xml:space="preserve"> Identity claims used only for transfer eligibility, not repurposed</w:t>
      </w:r>
    </w:p>
    <w:p>
      <w:pPr>
        <w:pStyle w:val="ListParagraph"/>
        <w:numPr>
          <w:ilvl w:val="0"/>
          <w:numId w:val="4"/>
        </w:numPr>
      </w:pPr>
      <w:r>
        <w:rPr>
          <w:rFonts w:ascii="Figtree" w:hAnsi="Figtree"/>
          <w:b/>
          <w:i w:val="0"/>
          <w:sz w:val="22"/>
        </w:rPr>
        <w:t>Data subjects rights:</w:t>
      </w:r>
      <w:r>
        <w:rPr>
          <w:rFonts w:ascii="Figtree" w:hAnsi="Figtree"/>
          <w:b w:val="0"/>
          <w:i w:val="0"/>
          <w:sz w:val="22"/>
        </w:rPr>
        <w:t xml:space="preserve"> Erasure requests handled via KYC system; on-chain claim revocation does not modify immutable history</w:t>
      </w:r>
    </w:p>
    <w:p>
      <w:pPr>
        <w:pStyle w:val="ListParagraph"/>
        <w:numPr>
          <w:ilvl w:val="0"/>
          <w:numId w:val="4"/>
        </w:numPr>
      </w:pPr>
      <w:r>
        <w:rPr>
          <w:rFonts w:ascii="Figtree" w:hAnsi="Figtree"/>
          <w:b/>
          <w:i w:val="0"/>
          <w:sz w:val="22"/>
        </w:rPr>
        <w:t>Data residency:</w:t>
      </w:r>
      <w:r>
        <w:rPr>
          <w:rFonts w:ascii="Figtree" w:hAnsi="Figtree"/>
          <w:b w:val="0"/>
          <w:i w:val="0"/>
          <w:sz w:val="22"/>
        </w:rPr>
        <w:t xml:space="preserve"> All platform components deployed within Switzerland; no data transfer to third countries without adequate protection</w:t>
      </w:r>
    </w:p>
    <w:p>
      <w:pPr>
        <w:pStyle w:val="ListParagraph"/>
        <w:numPr>
          <w:ilvl w:val="0"/>
          <w:numId w:val="4"/>
        </w:numPr>
      </w:pPr>
      <w:r>
        <w:rPr>
          <w:rFonts w:ascii="Figtree" w:hAnsi="Figtree"/>
          <w:b/>
          <w:i w:val="0"/>
          <w:sz w:val="22"/>
        </w:rPr>
        <w:t>Breach notification:</w:t>
      </w:r>
      <w:r>
        <w:rPr>
          <w:rFonts w:ascii="Figtree" w:hAnsi="Figtree"/>
          <w:b w:val="0"/>
          <w:i w:val="0"/>
          <w:sz w:val="22"/>
        </w:rPr>
        <w:t xml:space="preserve"> SettleMint's incident response process requires notification within 48 hours of confirmed breach; nDSG requires notification to FDPIC within 72 hours</w:t>
      </w:r>
    </w:p>
    <w:p>
      <w:r>
        <w:br w:type="page"/>
      </w:r>
    </w:p>
    <w:p>
      <w:pPr>
        <w:pStyle w:val="H2"/>
        <w:numPr>
          <w:ilvl w:val="1"/>
          <w:numId w:val="1"/>
        </w:numPr>
      </w:pPr>
      <w:r>
        <w:t>7. Security Architecture</w:t>
      </w:r>
    </w:p>
    <w:p>
      <w:pPr>
        <w:pStyle w:val="H3"/>
        <w:numPr>
          <w:ilvl w:val="2"/>
          <w:numId w:val="1"/>
        </w:numPr>
      </w:pPr>
      <w:r>
        <w:t>7.1 Security Framework Overview</w:t>
      </w:r>
    </w:p>
    <w:p>
      <w:pPr>
        <w:jc w:val="center"/>
      </w:pPr>
      <w:r>
        <w:drawing>
          <wp:inline xmlns:a="http://schemas.openxmlformats.org/drawingml/2006/main" xmlns:pic="http://schemas.openxmlformats.org/drawingml/2006/picture">
            <wp:extent cx="5486400" cy="5857292"/>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5857292"/>
                    </a:xfrm>
                    <a:prstGeom prst="rect"/>
                  </pic:spPr>
                </pic:pic>
              </a:graphicData>
            </a:graphic>
          </wp:inline>
        </w:drawing>
      </w:r>
    </w:p>
    <w:p>
      <w:pPr>
        <w:pStyle w:val="H3"/>
        <w:numPr>
          <w:ilvl w:val="2"/>
          <w:numId w:val="1"/>
        </w:numPr>
      </w:pPr>
      <w:r>
        <w:t>7.2 Authentication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97"/>
        <w:gridCol w:w="1379"/>
        <w:gridCol w:w="579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Protocol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SDX corporate SSO federation</w:t>
            </w:r>
          </w:p>
        </w:tc>
      </w:tr>
      <w:tr>
        <w:trPr>
          <w:trHeight w:val="425" w:hRule="atLeast"/>
        </w:trPr>
        <w:tc>
          <w:tcPr>
            <w:tcW w:type="dxa" w:w="3249"/>
            <w:vAlign w:val="center"/>
          </w:tcPr>
          <w:p>
            <w:pPr>
              <w:spacing w:line="276" w:lineRule="auto" w:before="0" w:after="0"/>
            </w:pPr>
            <w:r/>
            <w:r>
              <w:rPr>
                <w:rFonts w:ascii="Figtree" w:hAnsi="Figtree"/>
                <w:b w:val="0"/>
                <w:i w:val="0"/>
                <w:sz w:val="20"/>
              </w:rPr>
              <w:t>LDAP/AD</w:t>
            </w:r>
          </w:p>
        </w:tc>
        <w:tc>
          <w:tcPr>
            <w:tcW w:type="dxa" w:w="3249"/>
            <w:vAlign w:val="center"/>
          </w:tcPr>
          <w:p>
            <w:pPr>
              <w:spacing w:line="276" w:lineRule="auto" w:before="0" w:after="0"/>
            </w:pPr>
            <w:r/>
            <w:r>
              <w:rPr>
                <w:rFonts w:ascii="Figtree" w:hAnsi="Figtree"/>
                <w:b w:val="0"/>
                <w:i w:val="0"/>
                <w:sz w:val="20"/>
              </w:rPr>
              <w:t>LDAP v3</w:t>
            </w:r>
          </w:p>
        </w:tc>
        <w:tc>
          <w:tcPr>
            <w:tcW w:type="dxa" w:w="3249"/>
            <w:vAlign w:val="center"/>
          </w:tcPr>
          <w:p>
            <w:pPr>
              <w:spacing w:line="276" w:lineRule="auto" w:before="0" w:after="0"/>
            </w:pPr>
            <w:r/>
            <w:r>
              <w:rPr>
                <w:rFonts w:ascii="Figtree" w:hAnsi="Figtree"/>
                <w:b w:val="0"/>
                <w:i w:val="0"/>
                <w:sz w:val="20"/>
              </w:rPr>
              <w:t>Corporate directory</w:t>
            </w:r>
          </w:p>
        </w:tc>
      </w:tr>
      <w:tr>
        <w:trPr>
          <w:trHeight w:val="425" w:hRule="atLeast"/>
        </w:trPr>
        <w:tc>
          <w:tcPr>
            <w:tcW w:type="dxa" w:w="3249"/>
            <w:vAlign w:val="center"/>
          </w:tcPr>
          <w:p>
            <w:pPr>
              <w:spacing w:line="276" w:lineRule="auto" w:before="0" w:after="0"/>
            </w:pPr>
            <w:r/>
            <w:r>
              <w:rPr>
                <w:rFonts w:ascii="Figtree" w:hAnsi="Figtree"/>
                <w:b w:val="0"/>
                <w:i w:val="0"/>
                <w:sz w:val="20"/>
              </w:rPr>
              <w:t>Passkeys</w:t>
            </w:r>
          </w:p>
        </w:tc>
        <w:tc>
          <w:tcPr>
            <w:tcW w:type="dxa" w:w="3249"/>
            <w:vAlign w:val="center"/>
          </w:tcPr>
          <w:p>
            <w:pPr>
              <w:spacing w:line="276" w:lineRule="auto" w:before="0" w:after="0"/>
            </w:pPr>
            <w:r/>
            <w:r>
              <w:rPr>
                <w:rFonts w:ascii="Figtree" w:hAnsi="Figtree"/>
                <w:b w:val="0"/>
                <w:i w:val="0"/>
                <w:sz w:val="20"/>
              </w:rPr>
              <w:t>WebAuthn</w:t>
            </w:r>
          </w:p>
        </w:tc>
        <w:tc>
          <w:tcPr>
            <w:tcW w:type="dxa" w:w="3249"/>
            <w:vAlign w:val="center"/>
          </w:tcPr>
          <w:p>
            <w:pPr>
              <w:spacing w:line="276" w:lineRule="auto" w:before="0" w:after="0"/>
            </w:pPr>
            <w:r/>
            <w:r>
              <w:rPr>
                <w:rFonts w:ascii="Figtree" w:hAnsi="Figtree"/>
                <w:b w:val="0"/>
                <w:i w:val="0"/>
                <w:sz w:val="20"/>
              </w:rPr>
              <w:t>Preferred for operations staff</w:t>
            </w:r>
          </w:p>
        </w:tc>
      </w:tr>
      <w:tr>
        <w:trPr>
          <w:trHeight w:val="425" w:hRule="atLeast"/>
        </w:trPr>
        <w:tc>
          <w:tcPr>
            <w:tcW w:type="dxa" w:w="3249"/>
            <w:vAlign w:val="center"/>
          </w:tcPr>
          <w:p>
            <w:pPr>
              <w:spacing w:line="276" w:lineRule="auto" w:before="0" w:after="0"/>
            </w:pPr>
            <w:r/>
            <w:r>
              <w:rPr>
                <w:rFonts w:ascii="Figtree" w:hAnsi="Figtree"/>
                <w:b w:val="0"/>
                <w:i w:val="0"/>
                <w:sz w:val="20"/>
              </w:rPr>
              <w:t>OAuth2/OIDC</w:t>
            </w:r>
          </w:p>
        </w:tc>
        <w:tc>
          <w:tcPr>
            <w:tcW w:type="dxa" w:w="3249"/>
            <w:vAlign w:val="center"/>
          </w:tcPr>
          <w:p>
            <w:pPr>
              <w:spacing w:line="276" w:lineRule="auto" w:before="0" w:after="0"/>
            </w:pPr>
            <w:r/>
            <w:r>
              <w:rPr>
                <w:rFonts w:ascii="Figtree" w:hAnsi="Figtree"/>
                <w:b w:val="0"/>
                <w:i w:val="0"/>
                <w:sz w:val="20"/>
              </w:rPr>
              <w:t>OIDC</w:t>
            </w:r>
          </w:p>
        </w:tc>
        <w:tc>
          <w:tcPr>
            <w:tcW w:type="dxa" w:w="3249"/>
            <w:vAlign w:val="center"/>
          </w:tcPr>
          <w:p>
            <w:pPr>
              <w:spacing w:line="276" w:lineRule="auto" w:before="0" w:after="0"/>
            </w:pPr>
            <w:r/>
            <w:r>
              <w:rPr>
                <w:rFonts w:ascii="Figtree" w:hAnsi="Figtree"/>
                <w:b w:val="0"/>
                <w:i w:val="0"/>
                <w:sz w:val="20"/>
              </w:rPr>
              <w:t>API client authentication</w:t>
            </w:r>
          </w:p>
        </w:tc>
      </w:tr>
      <w:tr>
        <w:trPr>
          <w:trHeight w:val="425" w:hRule="atLeast"/>
        </w:trPr>
        <w:tc>
          <w:tcPr>
            <w:tcW w:type="dxa" w:w="3249"/>
            <w:vAlign w:val="center"/>
          </w:tcPr>
          <w:p>
            <w:pPr>
              <w:spacing w:line="276" w:lineRule="auto" w:before="0" w:after="0"/>
            </w:pPr>
            <w:r/>
            <w:r>
              <w:rPr>
                <w:rFonts w:ascii="Figtree" w:hAnsi="Figtree"/>
                <w:b w:val="0"/>
                <w:i w:val="0"/>
                <w:sz w:val="20"/>
              </w:rPr>
              <w:t>TOTP MFA</w:t>
            </w:r>
          </w:p>
        </w:tc>
        <w:tc>
          <w:tcPr>
            <w:tcW w:type="dxa" w:w="3249"/>
            <w:vAlign w:val="center"/>
          </w:tcPr>
          <w:p>
            <w:pPr>
              <w:spacing w:line="276" w:lineRule="auto" w:before="0" w:after="0"/>
            </w:pPr>
            <w:r/>
            <w:r>
              <w:rPr>
                <w:rFonts w:ascii="Figtree" w:hAnsi="Figtree"/>
                <w:b w:val="0"/>
                <w:i w:val="0"/>
                <w:sz w:val="20"/>
              </w:rPr>
              <w:t>RFC 6238</w:t>
            </w:r>
          </w:p>
        </w:tc>
        <w:tc>
          <w:tcPr>
            <w:tcW w:type="dxa" w:w="3249"/>
            <w:vAlign w:val="center"/>
          </w:tcPr>
          <w:p>
            <w:pPr>
              <w:spacing w:line="276" w:lineRule="auto" w:before="0" w:after="0"/>
            </w:pPr>
            <w:r/>
            <w:r>
              <w:rPr>
                <w:rFonts w:ascii="Figtree" w:hAnsi="Figtree"/>
                <w:b w:val="0"/>
                <w:i w:val="0"/>
                <w:sz w:val="20"/>
              </w:rPr>
              <w:t>Fallback, participant external access</w:t>
            </w:r>
          </w:p>
        </w:tc>
      </w:tr>
    </w:tbl>
    <w:p>
      <w:pPr>
        <w:spacing w:before="0" w:after="0" w:line="120" w:lineRule="exact"/>
      </w:pPr>
    </w:p>
    <w:p>
      <w:r>
        <w:rPr>
          <w:rFonts w:ascii="Figtree" w:hAnsi="Figtree"/>
          <w:b w:val="0"/>
          <w:i w:val="0"/>
          <w:sz w:val="22"/>
        </w:rPr>
        <w:t>All blockchain write operations require step-up verification (TOTP, PIN, or backup code) in addition to session authentication.</w:t>
      </w:r>
    </w:p>
    <w:p>
      <w:pPr>
        <w:pStyle w:val="H3"/>
        <w:numPr>
          <w:ilvl w:val="2"/>
          <w:numId w:val="1"/>
        </w:numPr>
      </w:pPr>
      <w:r>
        <w:t>7.3 Key Management</w:t>
      </w:r>
    </w:p>
    <w:p>
      <w:pPr>
        <w:jc w:val="center"/>
      </w:pPr>
      <w:r>
        <w:drawing>
          <wp:inline xmlns:a="http://schemas.openxmlformats.org/drawingml/2006/main" xmlns:pic="http://schemas.openxmlformats.org/drawingml/2006/picture">
            <wp:extent cx="5486400" cy="5188417"/>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5188417"/>
                    </a:xfrm>
                    <a:prstGeom prst="rect"/>
                  </pic:spPr>
                </pic:pic>
              </a:graphicData>
            </a:graphic>
          </wp:inline>
        </w:drawing>
      </w:r>
    </w:p>
    <w:p>
      <w:r>
        <w:rPr>
          <w:rFonts w:ascii="Figtree" w:hAnsi="Figtree"/>
          <w:b w:val="0"/>
          <w:i w:val="0"/>
          <w:sz w:val="22"/>
        </w:rPr>
        <w:t>FIPS 140-2 Level 3 HSM options are available for SDX's Swiss regulatory requirements. Keys never exist in plaintext outside the HSM boundary.</w:t>
      </w:r>
    </w:p>
    <w:p>
      <w:pPr>
        <w:pStyle w:val="H3"/>
        <w:numPr>
          <w:ilvl w:val="2"/>
          <w:numId w:val="1"/>
        </w:numPr>
      </w:pPr>
      <w:r>
        <w:t>7.4 FINMA Cybersecurity Circular Alignment</w:t>
      </w:r>
    </w:p>
    <w:p>
      <w:r>
        <w:rPr>
          <w:rFonts w:ascii="Figtree" w:hAnsi="Figtree"/>
          <w:b w:val="0"/>
          <w:i w:val="0"/>
          <w:sz w:val="22"/>
        </w:rPr>
        <w:t>FINMA Circular 2023/1 (Operational Risks and Resilience) requires supervised entities to maintain information security management meeting recognised standards. DALP satisfies this through:</w:t>
      </w:r>
    </w:p>
    <w:p>
      <w:pPr>
        <w:pStyle w:val="ListParagraph"/>
        <w:numPr>
          <w:ilvl w:val="0"/>
          <w:numId w:val="4"/>
        </w:numPr>
      </w:pPr>
      <w:r>
        <w:rPr>
          <w:rFonts w:ascii="Figtree" w:hAnsi="Figtree"/>
          <w:b w:val="0"/>
          <w:i w:val="0"/>
          <w:sz w:val="22"/>
        </w:rPr>
        <w:t>ISO 27001 certification (full ISMS scope)</w:t>
      </w:r>
    </w:p>
    <w:p>
      <w:pPr>
        <w:pStyle w:val="ListParagraph"/>
        <w:numPr>
          <w:ilvl w:val="0"/>
          <w:numId w:val="4"/>
        </w:numPr>
      </w:pPr>
      <w:r>
        <w:rPr>
          <w:rFonts w:ascii="Figtree" w:hAnsi="Figtree"/>
          <w:b w:val="0"/>
          <w:i w:val="0"/>
          <w:sz w:val="22"/>
        </w:rPr>
        <w:t>SOC 2 Type II report (security, availability, confidentiality)</w:t>
      </w:r>
    </w:p>
    <w:p>
      <w:pPr>
        <w:pStyle w:val="ListParagraph"/>
        <w:numPr>
          <w:ilvl w:val="0"/>
          <w:numId w:val="4"/>
        </w:numPr>
      </w:pPr>
      <w:r>
        <w:rPr>
          <w:rFonts w:ascii="Figtree" w:hAnsi="Figtree"/>
          <w:b w:val="0"/>
          <w:i w:val="0"/>
          <w:sz w:val="22"/>
        </w:rPr>
        <w:t>Annual penetration testing by accredited third party</w:t>
      </w:r>
    </w:p>
    <w:p>
      <w:pPr>
        <w:pStyle w:val="ListParagraph"/>
        <w:numPr>
          <w:ilvl w:val="0"/>
          <w:numId w:val="4"/>
        </w:numPr>
      </w:pPr>
      <w:r>
        <w:rPr>
          <w:rFonts w:ascii="Figtree" w:hAnsi="Figtree"/>
          <w:b w:val="0"/>
          <w:i w:val="0"/>
          <w:sz w:val="22"/>
        </w:rPr>
        <w:t>Formal vulnerability management programme</w:t>
      </w:r>
    </w:p>
    <w:p>
      <w:pPr>
        <w:pStyle w:val="ListParagraph"/>
        <w:numPr>
          <w:ilvl w:val="0"/>
          <w:numId w:val="4"/>
        </w:numPr>
      </w:pPr>
      <w:r>
        <w:rPr>
          <w:rFonts w:ascii="Figtree" w:hAnsi="Figtree"/>
          <w:b w:val="0"/>
          <w:i w:val="0"/>
          <w:sz w:val="22"/>
        </w:rPr>
        <w:t>Incident response plan with FINMA notification procedures embedded</w:t>
      </w:r>
    </w:p>
    <w:p>
      <w:r>
        <w:br w:type="page"/>
      </w:r>
    </w:p>
    <w:p>
      <w:pPr>
        <w:pStyle w:val="H2"/>
        <w:numPr>
          <w:ilvl w:val="1"/>
          <w:numId w:val="1"/>
        </w:numPr>
      </w:pPr>
      <w:r>
        <w:t>8. Settlement and Integration</w:t>
      </w:r>
    </w:p>
    <w:p>
      <w:pPr>
        <w:pStyle w:val="H3"/>
        <w:numPr>
          <w:ilvl w:val="2"/>
          <w:numId w:val="1"/>
        </w:numPr>
      </w:pPr>
      <w:r>
        <w:t>8.1 Atomic DvP Settlement</w:t>
      </w:r>
    </w:p>
    <w:p>
      <w:pPr>
        <w:jc w:val="center"/>
      </w:pPr>
      <w:r>
        <w:drawing>
          <wp:inline xmlns:a="http://schemas.openxmlformats.org/drawingml/2006/main" xmlns:pic="http://schemas.openxmlformats.org/drawingml/2006/picture">
            <wp:extent cx="5486400" cy="2547257"/>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547257"/>
                    </a:xfrm>
                    <a:prstGeom prst="rect"/>
                  </pic:spPr>
                </pic:pic>
              </a:graphicData>
            </a:graphic>
          </wp:inline>
        </w:drawing>
      </w:r>
    </w:p>
    <w:p>
      <w:r>
        <w:rPr>
          <w:rFonts w:ascii="Figtree" w:hAnsi="Figtree"/>
          <w:b/>
          <w:i w:val="0"/>
          <w:sz w:val="22"/>
        </w:rPr>
        <w:t>FMIA Article 51 finality:</w:t>
      </w:r>
      <w:r>
        <w:rPr>
          <w:rFonts w:ascii="Figtree" w:hAnsi="Figtree"/>
          <w:b w:val="0"/>
          <w:i w:val="0"/>
          <w:sz w:val="22"/>
        </w:rPr>
        <w:t xml:space="preserve"> The XvP completion event constitutes settlement finality under Swiss law. The IBFT 2.0 block containing the completion transaction is immediately final. The Chain Indexer provides a permanent, timestamped finality record.</w:t>
      </w:r>
    </w:p>
    <w:p>
      <w:r>
        <w:rPr>
          <w:rFonts w:ascii="Figtree" w:hAnsi="Figtree"/>
          <w:b/>
          <w:i w:val="0"/>
          <w:sz w:val="22"/>
        </w:rPr>
        <w:t>T+0 settlement:</w:t>
      </w:r>
      <w:r>
        <w:rPr>
          <w:rFonts w:ascii="Figtree" w:hAnsi="Figtree"/>
          <w:b w:val="0"/>
          <w:i w:val="0"/>
          <w:sz w:val="22"/>
        </w:rPr>
        <w:t xml:space="preserve"> Settlement completes in a single block (2-second block time). For institutional participants requiring T+1 or T+2 instruction timing, the XvP contract supports future-dated settlement instructions with deferred execution.</w:t>
      </w:r>
    </w:p>
    <w:p>
      <w:r>
        <w:rPr>
          <w:rFonts w:ascii="Figtree" w:hAnsi="Figtree"/>
          <w:b/>
          <w:i w:val="0"/>
          <w:sz w:val="22"/>
        </w:rPr>
        <w:t>Multi-leg settlement (REPO / collateral):</w:t>
      </w:r>
      <w:r>
        <w:rPr>
          <w:rFonts w:ascii="Figtree" w:hAnsi="Figtree"/>
          <w:b w:val="0"/>
          <w:i w:val="0"/>
          <w:sz w:val="22"/>
        </w:rPr>
        <w:t xml:space="preserve"> The XvP extension supports multi-leg transactions for repo and securities lending operations, providing atomic settlement of the opening and closing legs.</w:t>
      </w:r>
    </w:p>
    <w:p>
      <w:pPr>
        <w:pStyle w:val="H3"/>
        <w:numPr>
          <w:ilvl w:val="2"/>
          <w:numId w:val="1"/>
        </w:numPr>
      </w:pPr>
      <w:r>
        <w:t>8.2 Integration Architecture</w:t>
      </w:r>
    </w:p>
    <w:p>
      <w:pPr>
        <w:jc w:val="center"/>
      </w:pPr>
      <w:r>
        <w:drawing>
          <wp:inline xmlns:a="http://schemas.openxmlformats.org/drawingml/2006/main" xmlns:pic="http://schemas.openxmlformats.org/drawingml/2006/picture">
            <wp:extent cx="5486400" cy="2498272"/>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2498272"/>
                    </a:xfrm>
                    <a:prstGeom prst="rect"/>
                  </pic:spPr>
                </pic:pic>
              </a:graphicData>
            </a:graphic>
          </wp:inline>
        </w:drawing>
      </w:r>
    </w:p>
    <w:p>
      <w:pPr>
        <w:pStyle w:val="H3"/>
        <w:numPr>
          <w:ilvl w:val="2"/>
          <w:numId w:val="1"/>
        </w:numPr>
      </w:pPr>
      <w:r>
        <w:t>8.3 SIX Group Infrastructure Integration</w:t>
      </w:r>
    </w:p>
    <w:p>
      <w:r>
        <w:rPr>
          <w:rFonts w:ascii="Figtree" w:hAnsi="Figtree"/>
          <w:b w:val="0"/>
          <w:i w:val="0"/>
          <w:sz w:val="22"/>
        </w:rPr>
        <w:t>As part of the SIX Group, SDX can benefit from integration with SIX's existing market infrastructure:</w:t>
      </w:r>
    </w:p>
    <w:p>
      <w:pPr>
        <w:pStyle w:val="ListParagraph"/>
        <w:numPr>
          <w:ilvl w:val="0"/>
          <w:numId w:val="4"/>
        </w:numPr>
      </w:pPr>
      <w:r>
        <w:rPr>
          <w:rFonts w:ascii="Figtree" w:hAnsi="Figtree"/>
          <w:b/>
          <w:i w:val="0"/>
          <w:sz w:val="22"/>
        </w:rPr>
        <w:t>SIX payment services:</w:t>
      </w:r>
      <w:r>
        <w:rPr>
          <w:rFonts w:ascii="Figtree" w:hAnsi="Figtree"/>
          <w:b w:val="0"/>
          <w:i w:val="0"/>
          <w:sz w:val="22"/>
        </w:rPr>
        <w:t xml:space="preserve"> Cash leg settlement can be coordinated with SIX's SIC payment infrastructure through the API integration layer</w:t>
      </w:r>
    </w:p>
    <w:p>
      <w:pPr>
        <w:pStyle w:val="ListParagraph"/>
        <w:numPr>
          <w:ilvl w:val="0"/>
          <w:numId w:val="4"/>
        </w:numPr>
      </w:pPr>
      <w:r>
        <w:rPr>
          <w:rFonts w:ascii="Figtree" w:hAnsi="Figtree"/>
          <w:b/>
          <w:i w:val="0"/>
          <w:sz w:val="22"/>
        </w:rPr>
        <w:t>SIX data services:</w:t>
      </w:r>
      <w:r>
        <w:rPr>
          <w:rFonts w:ascii="Figtree" w:hAnsi="Figtree"/>
          <w:b w:val="0"/>
          <w:i w:val="0"/>
          <w:sz w:val="22"/>
        </w:rPr>
        <w:t xml:space="preserve"> Reference data and pricing feeds from SIX can be ingested into DALP's Feeds System for NAV calculations and pricing validation</w:t>
      </w:r>
    </w:p>
    <w:p>
      <w:pPr>
        <w:pStyle w:val="ListParagraph"/>
        <w:numPr>
          <w:ilvl w:val="0"/>
          <w:numId w:val="4"/>
        </w:numPr>
      </w:pPr>
      <w:r>
        <w:rPr>
          <w:rFonts w:ascii="Figtree" w:hAnsi="Figtree"/>
          <w:b/>
          <w:i w:val="0"/>
          <w:sz w:val="22"/>
        </w:rPr>
        <w:t>SDX participant directory:</w:t>
      </w:r>
      <w:r>
        <w:rPr>
          <w:rFonts w:ascii="Figtree" w:hAnsi="Figtree"/>
          <w:b w:val="0"/>
          <w:i w:val="0"/>
          <w:sz w:val="22"/>
        </w:rPr>
        <w:t xml:space="preserve"> Existing SDX participant records can be imported into the OnchainID registry via bulk API onboarding</w:t>
      </w:r>
    </w:p>
    <w:p>
      <w:pPr>
        <w:pStyle w:val="ListParagraph"/>
        <w:numPr>
          <w:ilvl w:val="0"/>
          <w:numId w:val="4"/>
        </w:numPr>
      </w:pPr>
      <w:r>
        <w:rPr>
          <w:rFonts w:ascii="Figtree" w:hAnsi="Figtree"/>
          <w:b/>
          <w:i w:val="0"/>
          <w:sz w:val="22"/>
        </w:rPr>
        <w:t>Regulatory reporting:</w:t>
      </w:r>
      <w:r>
        <w:rPr>
          <w:rFonts w:ascii="Figtree" w:hAnsi="Figtree"/>
          <w:b w:val="0"/>
          <w:i w:val="0"/>
          <w:sz w:val="22"/>
        </w:rPr>
        <w:t xml:space="preserve"> SDX's existing FINMA reporting workflows can consume Chain Indexer event data via webhook or scheduled API export</w:t>
      </w:r>
    </w:p>
    <w:p>
      <w:r>
        <w:br w:type="page"/>
      </w:r>
    </w:p>
    <w:p>
      <w:pPr>
        <w:pStyle w:val="H2"/>
        <w:numPr>
          <w:ilvl w:val="1"/>
          <w:numId w:val="1"/>
        </w:numPr>
      </w:pPr>
      <w:r>
        <w:t>9. Deployment and Infrastructure</w:t>
      </w:r>
    </w:p>
    <w:p>
      <w:pPr>
        <w:pStyle w:val="H3"/>
        <w:numPr>
          <w:ilvl w:val="2"/>
          <w:numId w:val="1"/>
        </w:numPr>
      </w:pPr>
      <w:r>
        <w:t>9.1 High-Availability Architecture</w:t>
      </w:r>
    </w:p>
    <w:p>
      <w:pPr>
        <w:jc w:val="center"/>
      </w:pPr>
      <w:r>
        <w:drawing>
          <wp:inline xmlns:a="http://schemas.openxmlformats.org/drawingml/2006/main" xmlns:pic="http://schemas.openxmlformats.org/drawingml/2006/picture">
            <wp:extent cx="5486400" cy="1546549"/>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546549"/>
                    </a:xfrm>
                    <a:prstGeom prst="rect"/>
                  </pic:spPr>
                </pic:pic>
              </a:graphicData>
            </a:graphic>
          </wp:inline>
        </w:drawing>
      </w:r>
    </w:p>
    <w:p>
      <w:r>
        <w:rPr>
          <w:rFonts w:ascii="Figtree" w:hAnsi="Figtree"/>
          <w:b/>
          <w:i w:val="0"/>
          <w:sz w:val="22"/>
        </w:rPr>
        <w:t>Data residency:</w:t>
      </w:r>
      <w:r>
        <w:rPr>
          <w:rFonts w:ascii="Figtree" w:hAnsi="Figtree"/>
          <w:b w:val="0"/>
          <w:i w:val="0"/>
          <w:sz w:val="22"/>
        </w:rPr>
        <w:t xml:space="preserve"> Primary deployment in Zurich, secondary in Geneva. Both locations within Switzerland. All data governed by nDSG.</w:t>
      </w:r>
    </w:p>
    <w:p>
      <w:r>
        <w:rPr>
          <w:rFonts w:ascii="Figtree" w:hAnsi="Figtree"/>
          <w:b/>
          <w:i w:val="0"/>
          <w:sz w:val="22"/>
        </w:rPr>
        <w:t>IBFT 2.0 with four validators:</w:t>
      </w:r>
      <w:r>
        <w:rPr>
          <w:rFonts w:ascii="Figtree" w:hAnsi="Figtree"/>
          <w:b w:val="0"/>
          <w:i w:val="0"/>
          <w:sz w:val="22"/>
        </w:rPr>
        <w:t xml:space="preserve"> 2/3 agreement required; network tolerates loss of one validator without interruption.</w:t>
      </w:r>
    </w:p>
    <w:p>
      <w:pPr>
        <w:pStyle w:val="H3"/>
        <w:numPr>
          <w:ilvl w:val="2"/>
          <w:numId w:val="1"/>
        </w:numPr>
      </w:pPr>
      <w:r>
        <w:t>9.2 Disaster Recovery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0"/>
        <w:gridCol w:w="2945"/>
        <w:gridCol w:w="400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RPO</w:t>
            </w:r>
          </w:p>
        </w:tc>
      </w:tr>
      <w:tr>
        <w:trPr>
          <w:trHeight w:val="425" w:hRule="atLeast"/>
        </w:trPr>
        <w:tc>
          <w:tcPr>
            <w:tcW w:type="dxa" w:w="3249"/>
            <w:vAlign w:val="center"/>
          </w:tcPr>
          <w:p>
            <w:pPr>
              <w:spacing w:line="276" w:lineRule="auto" w:before="0" w:after="0"/>
            </w:pPr>
            <w:r/>
            <w:r>
              <w:rPr>
                <w:rFonts w:ascii="Figtree" w:hAnsi="Figtree"/>
                <w:b w:val="0"/>
                <w:i w:val="0"/>
                <w:sz w:val="20"/>
              </w:rPr>
              <w:t>Application layer</w:t>
            </w:r>
          </w:p>
        </w:tc>
        <w:tc>
          <w:tcPr>
            <w:tcW w:type="dxa" w:w="3249"/>
            <w:vAlign w:val="center"/>
          </w:tcPr>
          <w:p>
            <w:pPr>
              <w:spacing w:line="276" w:lineRule="auto" w:before="0" w:after="0"/>
            </w:pPr>
            <w:r/>
            <w:r>
              <w:rPr>
                <w:rFonts w:ascii="Figtree" w:hAnsi="Figtree"/>
                <w:b w:val="0"/>
                <w:i w:val="0"/>
                <w:sz w:val="20"/>
              </w:rPr>
              <w:t>&lt; 2 minutes</w:t>
            </w:r>
          </w:p>
        </w:tc>
        <w:tc>
          <w:tcPr>
            <w:tcW w:type="dxa" w:w="3249"/>
            <w:vAlign w:val="center"/>
          </w:tcPr>
          <w:p>
            <w:pPr>
              <w:spacing w:line="276" w:lineRule="auto" w:before="0" w:after="0"/>
            </w:pPr>
            <w:r/>
            <w:r>
              <w:rPr>
                <w:rFonts w:ascii="Figtree" w:hAnsi="Figtree"/>
                <w:b w:val="0"/>
                <w:i w:val="0"/>
                <w:sz w:val="20"/>
              </w:rPr>
              <w:t>Zero (stateless)</w:t>
            </w:r>
          </w:p>
        </w:tc>
      </w:tr>
      <w:tr>
        <w:trPr>
          <w:trHeight w:val="425" w:hRule="atLeast"/>
        </w:trPr>
        <w:tc>
          <w:tcPr>
            <w:tcW w:type="dxa" w:w="3249"/>
            <w:vAlign w:val="center"/>
          </w:tcPr>
          <w:p>
            <w:pPr>
              <w:spacing w:line="276" w:lineRule="auto" w:before="0" w:after="0"/>
            </w:pPr>
            <w:r/>
            <w:r>
              <w:rPr>
                <w:rFonts w:ascii="Figtree" w:hAnsi="Figtree"/>
                <w:b w:val="0"/>
                <w:i w:val="0"/>
                <w:sz w:val="20"/>
              </w:rPr>
              <w:t>Database</w:t>
            </w:r>
          </w:p>
        </w:tc>
        <w:tc>
          <w:tcPr>
            <w:tcW w:type="dxa" w:w="3249"/>
            <w:vAlign w:val="center"/>
          </w:tcPr>
          <w:p>
            <w:pPr>
              <w:spacing w:line="276" w:lineRule="auto" w:before="0" w:after="0"/>
            </w:pPr>
            <w:r/>
            <w:r>
              <w:rPr>
                <w:rFonts w:ascii="Figtree" w:hAnsi="Figtree"/>
                <w:b w:val="0"/>
                <w:i w:val="0"/>
                <w:sz w:val="20"/>
              </w:rPr>
              <w:t>&lt; 5 minutes</w:t>
            </w:r>
          </w:p>
        </w:tc>
        <w:tc>
          <w:tcPr>
            <w:tcW w:type="dxa" w:w="3249"/>
            <w:vAlign w:val="center"/>
          </w:tcPr>
          <w:p>
            <w:pPr>
              <w:spacing w:line="276" w:lineRule="auto" w:before="0" w:after="0"/>
            </w:pPr>
            <w:r/>
            <w:r>
              <w:rPr>
                <w:rFonts w:ascii="Figtree" w:hAnsi="Figtree"/>
                <w:b w:val="0"/>
                <w:i w:val="0"/>
                <w:sz w:val="20"/>
              </w:rPr>
              <w:t>&lt; 1 second (streaming replication)</w:t>
            </w:r>
          </w:p>
        </w:tc>
      </w:tr>
      <w:tr>
        <w:trPr>
          <w:trHeight w:val="425" w:hRule="atLeast"/>
        </w:trPr>
        <w:tc>
          <w:tcPr>
            <w:tcW w:type="dxa" w:w="3249"/>
            <w:vAlign w:val="center"/>
          </w:tcPr>
          <w:p>
            <w:pPr>
              <w:spacing w:line="276" w:lineRule="auto" w:before="0" w:after="0"/>
            </w:pPr>
            <w:r/>
            <w:r>
              <w:rPr>
                <w:rFonts w:ascii="Figtree" w:hAnsi="Figtree"/>
                <w:b w:val="0"/>
                <w:i w:val="0"/>
                <w:sz w:val="20"/>
              </w:rPr>
              <w:t>Blockchain</w:t>
            </w:r>
          </w:p>
        </w:tc>
        <w:tc>
          <w:tcPr>
            <w:tcW w:type="dxa" w:w="3249"/>
            <w:vAlign w:val="center"/>
          </w:tcPr>
          <w:p>
            <w:pPr>
              <w:spacing w:line="276" w:lineRule="auto" w:before="0" w:after="0"/>
            </w:pPr>
            <w:r/>
            <w:r>
              <w:rPr>
                <w:rFonts w:ascii="Figtree" w:hAnsi="Figtree"/>
                <w:b w:val="0"/>
                <w:i w:val="0"/>
                <w:sz w:val="20"/>
              </w:rPr>
              <w:t>Zero (IBFT BFT consensus)</w:t>
            </w:r>
          </w:p>
        </w:tc>
        <w:tc>
          <w:tcPr>
            <w:tcW w:type="dxa" w:w="3249"/>
            <w:vAlign w:val="center"/>
          </w:tcPr>
          <w:p>
            <w:pPr>
              <w:spacing w:line="276" w:lineRule="auto" w:before="0" w:after="0"/>
            </w:pPr>
            <w:r/>
            <w:r>
              <w:rPr>
                <w:rFonts w:ascii="Figtree" w:hAnsi="Figtree"/>
                <w:b w:val="0"/>
                <w:i w:val="0"/>
                <w:sz w:val="20"/>
              </w:rPr>
              <w:t>Zero (immediate finality)</w:t>
            </w:r>
          </w:p>
        </w:tc>
      </w:tr>
      <w:tr>
        <w:trPr>
          <w:trHeight w:val="425" w:hRule="atLeast"/>
        </w:trPr>
        <w:tc>
          <w:tcPr>
            <w:tcW w:type="dxa" w:w="3249"/>
            <w:vAlign w:val="center"/>
          </w:tcPr>
          <w:p>
            <w:pPr>
              <w:spacing w:line="276" w:lineRule="auto" w:before="0" w:after="0"/>
            </w:pPr>
            <w:r/>
            <w:r>
              <w:rPr>
                <w:rFonts w:ascii="Figtree" w:hAnsi="Figtree"/>
                <w:b w:val="0"/>
                <w:i w:val="0"/>
                <w:sz w:val="20"/>
              </w:rPr>
              <w:t>Key Guardian / HSM</w:t>
            </w:r>
          </w:p>
        </w:tc>
        <w:tc>
          <w:tcPr>
            <w:tcW w:type="dxa" w:w="3249"/>
            <w:vAlign w:val="center"/>
          </w:tcPr>
          <w:p>
            <w:pPr>
              <w:spacing w:line="276" w:lineRule="auto" w:before="0" w:after="0"/>
            </w:pPr>
            <w:r/>
            <w:r>
              <w:rPr>
                <w:rFonts w:ascii="Figtree" w:hAnsi="Figtree"/>
                <w:b w:val="0"/>
                <w:i w:val="0"/>
                <w:sz w:val="20"/>
              </w:rPr>
              <w:t>&lt; 15 minutes</w:t>
            </w:r>
          </w:p>
        </w:tc>
        <w:tc>
          <w:tcPr>
            <w:tcW w:type="dxa" w:w="3249"/>
            <w:vAlign w:val="center"/>
          </w:tcPr>
          <w:p>
            <w:pPr>
              <w:spacing w:line="276" w:lineRule="auto" w:before="0" w:after="0"/>
            </w:pPr>
            <w:r/>
            <w:r>
              <w:rPr>
                <w:rFonts w:ascii="Figtree" w:hAnsi="Figtree"/>
                <w:b w:val="0"/>
                <w:i w:val="0"/>
                <w:sz w:val="20"/>
              </w:rPr>
              <w:t>Zero (HSM replication)</w:t>
            </w:r>
          </w:p>
        </w:tc>
      </w:tr>
    </w:tbl>
    <w:p>
      <w:pPr>
        <w:spacing w:before="0" w:after="0" w:line="120" w:lineRule="exact"/>
      </w:pPr>
    </w:p>
    <w:p>
      <w:r>
        <w:rPr>
          <w:rFonts w:ascii="Figtree" w:hAnsi="Figtree"/>
          <w:b w:val="0"/>
          <w:i w:val="0"/>
          <w:sz w:val="22"/>
        </w:rPr>
        <w:t>DR tests are executed quarterly and results provided to SDX's operational risk team and FINMA upon request.</w:t>
      </w:r>
    </w:p>
    <w:p>
      <w:pPr>
        <w:pStyle w:val="H3"/>
        <w:numPr>
          <w:ilvl w:val="2"/>
          <w:numId w:val="1"/>
        </w:numPr>
      </w:pPr>
      <w:r>
        <w:t>9.3 Observability</w:t>
      </w:r>
    </w:p>
    <w:p>
      <w:pPr>
        <w:jc w:val="center"/>
      </w:pPr>
      <w:r>
        <w:drawing>
          <wp:inline xmlns:a="http://schemas.openxmlformats.org/drawingml/2006/main" xmlns:pic="http://schemas.openxmlformats.org/drawingml/2006/picture">
            <wp:extent cx="5486400" cy="3380014"/>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3380014"/>
                    </a:xfrm>
                    <a:prstGeom prst="rect"/>
                  </pic:spPr>
                </pic:pic>
              </a:graphicData>
            </a:graphic>
          </wp:inline>
        </w:drawing>
      </w:r>
    </w:p>
    <w:p>
      <w:r>
        <w:rPr>
          <w:rFonts w:ascii="Figtree" w:hAnsi="Figtree"/>
          <w:b w:val="0"/>
          <w:i w:val="0"/>
          <w:sz w:val="22"/>
        </w:rPr>
        <w:t>Pre-built dashboards: settlement throughput, compliance trigger frequency, validator health, participant activity, API performance, DvP success/failure rates.</w:t>
      </w:r>
    </w:p>
    <w:p>
      <w:r>
        <w:br w:type="page"/>
      </w:r>
    </w:p>
    <w:p>
      <w:pPr>
        <w:pStyle w:val="H2"/>
        <w:numPr>
          <w:ilvl w:val="1"/>
          <w:numId w:val="1"/>
        </w:numPr>
      </w:pPr>
      <w:r>
        <w:t>10. Implementation Methodology</w:t>
      </w:r>
    </w:p>
    <w:p>
      <w:pPr>
        <w:pStyle w:val="H3"/>
        <w:numPr>
          <w:ilvl w:val="2"/>
          <w:numId w:val="1"/>
        </w:numPr>
      </w:pPr>
      <w:r>
        <w:t>10.1 19-Week Delivery Plan</w:t>
      </w:r>
    </w:p>
    <w:p>
      <w:pPr>
        <w:jc w:val="center"/>
      </w:pPr>
      <w:r>
        <w:drawing>
          <wp:inline xmlns:a="http://schemas.openxmlformats.org/drawingml/2006/main" xmlns:pic="http://schemas.openxmlformats.org/drawingml/2006/picture">
            <wp:extent cx="5486400" cy="3387012"/>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3387012"/>
                    </a:xfrm>
                    <a:prstGeom prst="rect"/>
                  </pic:spPr>
                </pic:pic>
              </a:graphicData>
            </a:graphic>
          </wp:inline>
        </w:drawing>
      </w:r>
    </w:p>
    <w:p>
      <w:pPr>
        <w:pStyle w:val="H3"/>
        <w:numPr>
          <w:ilvl w:val="2"/>
          <w:numId w:val="1"/>
        </w:numPr>
      </w:pPr>
      <w:r>
        <w:t>10.2 Phase Descriptions</w:t>
      </w:r>
    </w:p>
    <w:p>
      <w:r>
        <w:rPr>
          <w:rFonts w:ascii="Figtree" w:hAnsi="Figtree"/>
          <w:b/>
          <w:i w:val="0"/>
          <w:sz w:val="22"/>
        </w:rPr>
        <w:t>Phase 1: Discovery (Weeks 1-2)</w:t>
      </w:r>
    </w:p>
    <w:p>
      <w:pPr>
        <w:pStyle w:val="ListParagraph"/>
        <w:numPr>
          <w:ilvl w:val="0"/>
          <w:numId w:val="4"/>
        </w:numPr>
      </w:pPr>
      <w:r>
        <w:rPr>
          <w:rFonts w:ascii="Figtree" w:hAnsi="Figtree"/>
          <w:b w:val="0"/>
          <w:i w:val="0"/>
          <w:sz w:val="22"/>
        </w:rPr>
        <w:t>Requirements validation with SDX technology, legal, compliance, and FINMA liaison teams</w:t>
      </w:r>
    </w:p>
    <w:p>
      <w:pPr>
        <w:pStyle w:val="ListParagraph"/>
        <w:numPr>
          <w:ilvl w:val="0"/>
          <w:numId w:val="4"/>
        </w:numPr>
      </w:pPr>
      <w:r>
        <w:rPr>
          <w:rFonts w:ascii="Figtree" w:hAnsi="Figtree"/>
          <w:b w:val="0"/>
          <w:i w:val="0"/>
          <w:sz w:val="22"/>
        </w:rPr>
        <w:t>FINMA pre-notification documentation support</w:t>
      </w:r>
    </w:p>
    <w:p>
      <w:pPr>
        <w:pStyle w:val="ListParagraph"/>
        <w:numPr>
          <w:ilvl w:val="0"/>
          <w:numId w:val="4"/>
        </w:numPr>
      </w:pPr>
      <w:r>
        <w:rPr>
          <w:rFonts w:ascii="Figtree" w:hAnsi="Figtree"/>
          <w:b w:val="0"/>
          <w:i w:val="0"/>
          <w:sz w:val="22"/>
        </w:rPr>
        <w:t>Architecture design covering Swiss data residency, PFMI alignment, and migration approach</w:t>
      </w:r>
    </w:p>
    <w:p>
      <w:pPr>
        <w:pStyle w:val="ListParagraph"/>
        <w:numPr>
          <w:ilvl w:val="0"/>
          <w:numId w:val="4"/>
        </w:numPr>
      </w:pPr>
      <w:r>
        <w:rPr>
          <w:rFonts w:ascii="Figtree" w:hAnsi="Figtree"/>
          <w:b w:val="0"/>
          <w:i w:val="0"/>
          <w:sz w:val="22"/>
        </w:rPr>
        <w:t>Formal deliverable: Architecture Design Document and FINMA Pre-notification Pack</w:t>
      </w:r>
    </w:p>
    <w:p>
      <w:r>
        <w:rPr>
          <w:rFonts w:ascii="Figtree" w:hAnsi="Figtree"/>
          <w:b/>
          <w:i w:val="0"/>
          <w:sz w:val="22"/>
        </w:rPr>
        <w:t>Phase 2: Foundation (Weeks 3-5)</w:t>
      </w:r>
    </w:p>
    <w:p>
      <w:pPr>
        <w:pStyle w:val="ListParagraph"/>
        <w:numPr>
          <w:ilvl w:val="0"/>
          <w:numId w:val="4"/>
        </w:numPr>
      </w:pPr>
      <w:r>
        <w:rPr>
          <w:rFonts w:ascii="Figtree" w:hAnsi="Figtree"/>
          <w:b w:val="0"/>
          <w:i w:val="0"/>
          <w:sz w:val="22"/>
        </w:rPr>
        <w:t>Infrastructure provisioning in SDX-designated Swiss data centres</w:t>
      </w:r>
    </w:p>
    <w:p>
      <w:pPr>
        <w:pStyle w:val="ListParagraph"/>
        <w:numPr>
          <w:ilvl w:val="0"/>
          <w:numId w:val="4"/>
        </w:numPr>
      </w:pPr>
      <w:r>
        <w:rPr>
          <w:rFonts w:ascii="Figtree" w:hAnsi="Figtree"/>
          <w:b w:val="0"/>
          <w:i w:val="0"/>
          <w:sz w:val="22"/>
        </w:rPr>
        <w:t>Hyperledger Besu network deployment with IBFT 2.0 in Zurich/Geneva dual-site configuration</w:t>
      </w:r>
    </w:p>
    <w:p>
      <w:pPr>
        <w:pStyle w:val="ListParagraph"/>
        <w:numPr>
          <w:ilvl w:val="0"/>
          <w:numId w:val="4"/>
        </w:numPr>
      </w:pPr>
      <w:r>
        <w:rPr>
          <w:rFonts w:ascii="Figtree" w:hAnsi="Figtree"/>
          <w:b w:val="0"/>
          <w:i w:val="0"/>
          <w:sz w:val="22"/>
        </w:rPr>
        <w:t>Core DALP platform deployment with Swiss configuration baseline</w:t>
      </w:r>
    </w:p>
    <w:p>
      <w:pPr>
        <w:pStyle w:val="ListParagraph"/>
        <w:numPr>
          <w:ilvl w:val="0"/>
          <w:numId w:val="4"/>
        </w:numPr>
      </w:pPr>
      <w:r>
        <w:rPr>
          <w:rFonts w:ascii="Figtree" w:hAnsi="Figtree"/>
          <w:b w:val="0"/>
          <w:i w:val="0"/>
          <w:sz w:val="22"/>
        </w:rPr>
        <w:t>HSM procurement and configuration (FIPS 140-2 Level 3)</w:t>
      </w:r>
    </w:p>
    <w:p>
      <w:pPr>
        <w:pStyle w:val="ListParagraph"/>
        <w:numPr>
          <w:ilvl w:val="0"/>
          <w:numId w:val="4"/>
        </w:numPr>
      </w:pPr>
      <w:r>
        <w:rPr>
          <w:rFonts w:ascii="Figtree" w:hAnsi="Figtree"/>
          <w:b w:val="0"/>
          <w:i w:val="0"/>
          <w:sz w:val="22"/>
        </w:rPr>
        <w:t>Formal deliverable: Infrastructure Sign-off with security baseline review</w:t>
      </w:r>
    </w:p>
    <w:p>
      <w:r>
        <w:rPr>
          <w:rFonts w:ascii="Figtree" w:hAnsi="Figtree"/>
          <w:b/>
          <w:i w:val="0"/>
          <w:sz w:val="22"/>
        </w:rPr>
        <w:t>Phase 3: Configuration (Weeks 6-9)</w:t>
      </w:r>
    </w:p>
    <w:p>
      <w:pPr>
        <w:pStyle w:val="ListParagraph"/>
        <w:numPr>
          <w:ilvl w:val="0"/>
          <w:numId w:val="4"/>
        </w:numPr>
      </w:pPr>
      <w:r>
        <w:rPr>
          <w:rFonts w:ascii="Figtree" w:hAnsi="Figtree"/>
          <w:b w:val="0"/>
          <w:i w:val="0"/>
          <w:sz w:val="22"/>
        </w:rPr>
        <w:t>DALPAsset templates for SDX's full asset class range (bonds, funds, equities, structured products, repo)</w:t>
      </w:r>
    </w:p>
    <w:p>
      <w:pPr>
        <w:pStyle w:val="ListParagraph"/>
        <w:numPr>
          <w:ilvl w:val="0"/>
          <w:numId w:val="4"/>
        </w:numPr>
      </w:pPr>
      <w:r>
        <w:rPr>
          <w:rFonts w:ascii="Figtree" w:hAnsi="Figtree"/>
          <w:b w:val="0"/>
          <w:i w:val="0"/>
          <w:sz w:val="22"/>
        </w:rPr>
        <w:t>Compliance modules configured per FMIA, DLT Act, AMLA requirements</w:t>
      </w:r>
    </w:p>
    <w:p>
      <w:pPr>
        <w:pStyle w:val="ListParagraph"/>
        <w:numPr>
          <w:ilvl w:val="0"/>
          <w:numId w:val="4"/>
        </w:numPr>
      </w:pPr>
      <w:r>
        <w:rPr>
          <w:rFonts w:ascii="Figtree" w:hAnsi="Figtree"/>
          <w:b w:val="0"/>
          <w:i w:val="0"/>
          <w:sz w:val="22"/>
        </w:rPr>
        <w:t>Participant onboarding workflows and RBAC configuration for SDX rulebook roles</w:t>
      </w:r>
    </w:p>
    <w:p>
      <w:pPr>
        <w:pStyle w:val="ListParagraph"/>
        <w:numPr>
          <w:ilvl w:val="0"/>
          <w:numId w:val="4"/>
        </w:numPr>
      </w:pPr>
      <w:r>
        <w:rPr>
          <w:rFonts w:ascii="Figtree" w:hAnsi="Figtree"/>
          <w:b w:val="0"/>
          <w:i w:val="0"/>
          <w:sz w:val="22"/>
        </w:rPr>
        <w:t>XvP settlement configuration with FMIA Article 51 finality validation</w:t>
      </w:r>
    </w:p>
    <w:p>
      <w:pPr>
        <w:pStyle w:val="ListParagraph"/>
        <w:numPr>
          <w:ilvl w:val="0"/>
          <w:numId w:val="4"/>
        </w:numPr>
      </w:pPr>
      <w:r>
        <w:rPr>
          <w:rFonts w:ascii="Figtree" w:hAnsi="Figtree"/>
          <w:b w:val="0"/>
          <w:i w:val="0"/>
          <w:sz w:val="22"/>
        </w:rPr>
        <w:t>Formal deliverable: Configuration Sign-off with compliance officer and legal review</w:t>
      </w:r>
    </w:p>
    <w:p>
      <w:r>
        <w:rPr>
          <w:rFonts w:ascii="Figtree" w:hAnsi="Figtree"/>
          <w:b/>
          <w:i w:val="0"/>
          <w:sz w:val="22"/>
        </w:rPr>
        <w:t>Phase 4: Integration and Testing (Weeks 10-13)</w:t>
      </w:r>
    </w:p>
    <w:p>
      <w:pPr>
        <w:pStyle w:val="ListParagraph"/>
        <w:numPr>
          <w:ilvl w:val="0"/>
          <w:numId w:val="4"/>
        </w:numPr>
      </w:pPr>
      <w:r>
        <w:rPr>
          <w:rFonts w:ascii="Figtree" w:hAnsi="Figtree"/>
          <w:b w:val="0"/>
          <w:i w:val="0"/>
          <w:sz w:val="22"/>
        </w:rPr>
        <w:t>SIX Group infrastructure integration (payment services, data services)</w:t>
      </w:r>
    </w:p>
    <w:p>
      <w:pPr>
        <w:pStyle w:val="ListParagraph"/>
        <w:numPr>
          <w:ilvl w:val="0"/>
          <w:numId w:val="4"/>
        </w:numPr>
      </w:pPr>
      <w:r>
        <w:rPr>
          <w:rFonts w:ascii="Figtree" w:hAnsi="Figtree"/>
          <w:b w:val="0"/>
          <w:i w:val="0"/>
          <w:sz w:val="22"/>
        </w:rPr>
        <w:t>FINMA reporting system integration and webhook configuration</w:t>
      </w:r>
    </w:p>
    <w:p>
      <w:pPr>
        <w:pStyle w:val="ListParagraph"/>
        <w:numPr>
          <w:ilvl w:val="0"/>
          <w:numId w:val="4"/>
        </w:numPr>
      </w:pPr>
      <w:r>
        <w:rPr>
          <w:rFonts w:ascii="Figtree" w:hAnsi="Figtree"/>
          <w:b w:val="0"/>
          <w:i w:val="0"/>
          <w:sz w:val="22"/>
        </w:rPr>
        <w:t>User acceptance testing with SDX operations, compliance, and participant services teams</w:t>
      </w:r>
    </w:p>
    <w:p>
      <w:pPr>
        <w:pStyle w:val="ListParagraph"/>
        <w:numPr>
          <w:ilvl w:val="0"/>
          <w:numId w:val="4"/>
        </w:numPr>
      </w:pPr>
      <w:r>
        <w:rPr>
          <w:rFonts w:ascii="Figtree" w:hAnsi="Figtree"/>
          <w:b w:val="0"/>
          <w:i w:val="0"/>
          <w:sz w:val="22"/>
        </w:rPr>
        <w:t>Settlement load testing to validate DvP performance at projected volumes</w:t>
      </w:r>
    </w:p>
    <w:p>
      <w:pPr>
        <w:pStyle w:val="ListParagraph"/>
        <w:numPr>
          <w:ilvl w:val="0"/>
          <w:numId w:val="4"/>
        </w:numPr>
      </w:pPr>
      <w:r>
        <w:rPr>
          <w:rFonts w:ascii="Figtree" w:hAnsi="Figtree"/>
          <w:b w:val="0"/>
          <w:i w:val="0"/>
          <w:sz w:val="22"/>
        </w:rPr>
        <w:t>Third-party security penetration testing</w:t>
      </w:r>
    </w:p>
    <w:p>
      <w:pPr>
        <w:pStyle w:val="ListParagraph"/>
        <w:numPr>
          <w:ilvl w:val="0"/>
          <w:numId w:val="4"/>
        </w:numPr>
      </w:pPr>
      <w:r>
        <w:rPr>
          <w:rFonts w:ascii="Figtree" w:hAnsi="Figtree"/>
          <w:b w:val="0"/>
          <w:i w:val="0"/>
          <w:sz w:val="22"/>
        </w:rPr>
        <w:t>Formal deliverable: UAT Sign-off, security test report, settlement performance evidence</w:t>
      </w:r>
    </w:p>
    <w:p>
      <w:r>
        <w:rPr>
          <w:rFonts w:ascii="Figtree" w:hAnsi="Figtree"/>
          <w:b/>
          <w:i w:val="0"/>
          <w:sz w:val="22"/>
        </w:rPr>
        <w:t>Phase 5: Go-Live and Hypercare (Weeks 14-19)</w:t>
      </w:r>
    </w:p>
    <w:p>
      <w:pPr>
        <w:pStyle w:val="ListParagraph"/>
        <w:numPr>
          <w:ilvl w:val="0"/>
          <w:numId w:val="4"/>
        </w:numPr>
      </w:pPr>
      <w:r>
        <w:rPr>
          <w:rFonts w:ascii="Figtree" w:hAnsi="Figtree"/>
          <w:b w:val="0"/>
          <w:i w:val="0"/>
          <w:sz w:val="22"/>
        </w:rPr>
        <w:t>Phased migration of existing SDX assets (parallel operation period)</w:t>
      </w:r>
    </w:p>
    <w:p>
      <w:pPr>
        <w:pStyle w:val="ListParagraph"/>
        <w:numPr>
          <w:ilvl w:val="0"/>
          <w:numId w:val="4"/>
        </w:numPr>
      </w:pPr>
      <w:r>
        <w:rPr>
          <w:rFonts w:ascii="Figtree" w:hAnsi="Figtree"/>
          <w:b w:val="0"/>
          <w:i w:val="0"/>
          <w:sz w:val="22"/>
        </w:rPr>
        <w:t>Production go-live for new asset class issuances</w:t>
      </w:r>
    </w:p>
    <w:p>
      <w:pPr>
        <w:pStyle w:val="ListParagraph"/>
        <w:numPr>
          <w:ilvl w:val="0"/>
          <w:numId w:val="4"/>
        </w:numPr>
      </w:pPr>
      <w:r>
        <w:rPr>
          <w:rFonts w:ascii="Figtree" w:hAnsi="Figtree"/>
          <w:b w:val="0"/>
          <w:i w:val="0"/>
          <w:sz w:val="22"/>
        </w:rPr>
        <w:t>Hypercare monitoring with 24/7 named engineer</w:t>
      </w:r>
    </w:p>
    <w:p>
      <w:pPr>
        <w:pStyle w:val="ListParagraph"/>
        <w:numPr>
          <w:ilvl w:val="0"/>
          <w:numId w:val="4"/>
        </w:numPr>
      </w:pPr>
      <w:r>
        <w:rPr>
          <w:rFonts w:ascii="Figtree" w:hAnsi="Figtree"/>
          <w:b w:val="0"/>
          <w:i w:val="0"/>
          <w:sz w:val="22"/>
        </w:rPr>
        <w:t>FINMA post-implementation notification support</w:t>
      </w:r>
    </w:p>
    <w:p>
      <w:pPr>
        <w:pStyle w:val="ListParagraph"/>
        <w:numPr>
          <w:ilvl w:val="0"/>
          <w:numId w:val="4"/>
        </w:numPr>
      </w:pPr>
      <w:r>
        <w:rPr>
          <w:rFonts w:ascii="Figtree" w:hAnsi="Figtree"/>
          <w:b w:val="0"/>
          <w:i w:val="0"/>
          <w:sz w:val="22"/>
        </w:rPr>
        <w:t>Formal deliverable: Go-Live Certificate, FINMA notification pack</w:t>
      </w:r>
    </w:p>
    <w:p>
      <w:r>
        <w:br w:type="page"/>
      </w:r>
    </w:p>
    <w:p>
      <w:pPr>
        <w:pStyle w:val="H2"/>
        <w:numPr>
          <w:ilvl w:val="1"/>
          <w:numId w:val="1"/>
        </w:numPr>
      </w:pPr>
      <w:r>
        <w:t>11. Support and SLA</w:t>
      </w:r>
    </w:p>
    <w:p>
      <w:pPr>
        <w:pStyle w:val="H3"/>
        <w:numPr>
          <w:ilvl w:val="2"/>
          <w:numId w:val="1"/>
        </w:numPr>
      </w:pPr>
      <w:r>
        <w:t>11.1 Enterprise Tier Recommendation</w:t>
      </w:r>
    </w:p>
    <w:p>
      <w:r>
        <w:rPr>
          <w:rFonts w:ascii="Figtree" w:hAnsi="Figtree"/>
          <w:b w:val="0"/>
          <w:i w:val="0"/>
          <w:sz w:val="22"/>
        </w:rPr>
        <w:t>SDX's status as a FINMA-regulated DLT trading venue and CSD requires the Enterprise support tier. FINMA's PFMI Principle 17 expectations for operational risk management include recovery time objectives that are only achievable with 99.99% availability and 24/7 support coverage.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12"/>
        <w:gridCol w:w="445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Commitment</w:t>
            </w:r>
          </w:p>
        </w:tc>
      </w:tr>
      <w:tr>
        <w:trPr>
          <w:trHeight w:val="425" w:hRule="atLeast"/>
        </w:trPr>
        <w:tc>
          <w:tcPr>
            <w:tcW w:type="dxa" w:w="4873"/>
            <w:vAlign w:val="center"/>
          </w:tcPr>
          <w:p>
            <w:pPr>
              <w:spacing w:line="276" w:lineRule="auto" w:before="0" w:after="0"/>
            </w:pPr>
            <w:r/>
            <w:r>
              <w:rPr>
                <w:rFonts w:ascii="Figtree" w:hAnsi="Figtree"/>
                <w:b w:val="0"/>
                <w:i w:val="0"/>
                <w:sz w:val="20"/>
              </w:rPr>
              <w:t>Annual 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P1 acknowledgement</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Named engineer</w:t>
            </w:r>
          </w:p>
        </w:tc>
        <w:tc>
          <w:tcPr>
            <w:tcW w:type="dxa" w:w="4873"/>
            <w:vAlign w:val="center"/>
          </w:tcPr>
          <w:p>
            <w:pPr>
              <w:spacing w:line="276" w:lineRule="auto" w:before="0" w:after="0"/>
            </w:pPr>
            <w:r/>
            <w:r>
              <w:rPr>
                <w:rFonts w:ascii="Figtree" w:hAnsi="Figtree"/>
                <w:b w:val="0"/>
                <w:i w:val="0"/>
                <w:sz w:val="20"/>
              </w:rPr>
              <w:t>Yes - Swiss timezone coverage</w:t>
            </w:r>
          </w:p>
        </w:tc>
      </w:tr>
      <w:tr>
        <w:trPr>
          <w:trHeight w:val="425" w:hRule="atLeast"/>
        </w:trPr>
        <w:tc>
          <w:tcPr>
            <w:tcW w:type="dxa" w:w="4873"/>
            <w:vAlign w:val="center"/>
          </w:tcPr>
          <w:p>
            <w:pPr>
              <w:spacing w:line="276" w:lineRule="auto" w:before="0" w:after="0"/>
            </w:pPr>
            <w:r/>
            <w:r>
              <w:rPr>
                <w:rFonts w:ascii="Figtree" w:hAnsi="Figtree"/>
                <w:b w:val="0"/>
                <w:i w:val="0"/>
                <w:sz w:val="20"/>
              </w:rPr>
              <w:t>War-room P1 escalation</w:t>
            </w:r>
          </w:p>
        </w:tc>
        <w:tc>
          <w:tcPr>
            <w:tcW w:type="dxa" w:w="4873"/>
            <w:vAlign w:val="center"/>
          </w:tcPr>
          <w:p>
            <w:pPr>
              <w:spacing w:line="276" w:lineRule="auto" w:before="0" w:after="0"/>
            </w:pPr>
            <w:r/>
            <w:r>
              <w:rPr>
                <w:rFonts w:ascii="Figtree" w:hAnsi="Figtree"/>
                <w:b w:val="0"/>
                <w:i w:val="0"/>
                <w:sz w:val="20"/>
              </w:rPr>
              <w:t>Yes - SettleMint CTO</w:t>
            </w:r>
          </w:p>
        </w:tc>
      </w:tr>
      <w:tr>
        <w:trPr>
          <w:trHeight w:val="425" w:hRule="atLeast"/>
        </w:trPr>
        <w:tc>
          <w:tcPr>
            <w:tcW w:type="dxa" w:w="4873"/>
            <w:vAlign w:val="center"/>
          </w:tcPr>
          <w:p>
            <w:pPr>
              <w:spacing w:line="276" w:lineRule="auto" w:before="0" w:after="0"/>
            </w:pPr>
            <w:r/>
            <w:r>
              <w:rPr>
                <w:rFonts w:ascii="Figtree" w:hAnsi="Figtree"/>
                <w:b w:val="0"/>
                <w:i w:val="0"/>
                <w:sz w:val="20"/>
              </w:rPr>
              <w:t>Dedicated Slack channel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Quarterly PFMI service review</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FINMA evidence package support</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Annual DR test participation</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pPr>
        <w:pStyle w:val="H3"/>
        <w:numPr>
          <w:ilvl w:val="2"/>
          <w:numId w:val="1"/>
        </w:numPr>
      </w:pPr>
      <w:r>
        <w:t>11.2 PFMI Operational Resilience Evidence</w:t>
      </w:r>
    </w:p>
    <w:p>
      <w:r>
        <w:rPr>
          <w:rFonts w:ascii="Figtree" w:hAnsi="Figtree"/>
          <w:b w:val="0"/>
          <w:i w:val="0"/>
          <w:sz w:val="22"/>
        </w:rPr>
        <w:t>SettleMint provides SDX with the following evidence package to support FINMA PFMI assessments:</w:t>
      </w:r>
    </w:p>
    <w:p>
      <w:pPr>
        <w:pStyle w:val="ListParagraph"/>
        <w:numPr>
          <w:ilvl w:val="0"/>
          <w:numId w:val="4"/>
        </w:numPr>
      </w:pPr>
      <w:r>
        <w:rPr>
          <w:rFonts w:ascii="Figtree" w:hAnsi="Figtree"/>
          <w:b w:val="0"/>
          <w:i w:val="0"/>
          <w:sz w:val="22"/>
        </w:rPr>
        <w:t>Annual SOC 2 Type II report</w:t>
      </w:r>
    </w:p>
    <w:p>
      <w:pPr>
        <w:pStyle w:val="ListParagraph"/>
        <w:numPr>
          <w:ilvl w:val="0"/>
          <w:numId w:val="4"/>
        </w:numPr>
      </w:pPr>
      <w:r>
        <w:rPr>
          <w:rFonts w:ascii="Figtree" w:hAnsi="Figtree"/>
          <w:b w:val="0"/>
          <w:i w:val="0"/>
          <w:sz w:val="22"/>
        </w:rPr>
        <w:t>ISO 27001 certification and surveillance audit reports</w:t>
      </w:r>
    </w:p>
    <w:p>
      <w:pPr>
        <w:pStyle w:val="ListParagraph"/>
        <w:numPr>
          <w:ilvl w:val="0"/>
          <w:numId w:val="4"/>
        </w:numPr>
      </w:pPr>
      <w:r>
        <w:rPr>
          <w:rFonts w:ascii="Figtree" w:hAnsi="Figtree"/>
          <w:b w:val="0"/>
          <w:i w:val="0"/>
          <w:sz w:val="22"/>
        </w:rPr>
        <w:t>Penetration test summary (scope and findings classification)</w:t>
      </w:r>
    </w:p>
    <w:p>
      <w:pPr>
        <w:pStyle w:val="ListParagraph"/>
        <w:numPr>
          <w:ilvl w:val="0"/>
          <w:numId w:val="4"/>
        </w:numPr>
      </w:pPr>
      <w:r>
        <w:rPr>
          <w:rFonts w:ascii="Figtree" w:hAnsi="Figtree"/>
          <w:b w:val="0"/>
          <w:i w:val="0"/>
          <w:sz w:val="22"/>
        </w:rPr>
        <w:t>Business continuity test results</w:t>
      </w:r>
    </w:p>
    <w:p>
      <w:pPr>
        <w:pStyle w:val="ListParagraph"/>
        <w:numPr>
          <w:ilvl w:val="0"/>
          <w:numId w:val="4"/>
        </w:numPr>
      </w:pPr>
      <w:r>
        <w:rPr>
          <w:rFonts w:ascii="Figtree" w:hAnsi="Figtree"/>
          <w:b w:val="0"/>
          <w:i w:val="0"/>
          <w:sz w:val="22"/>
        </w:rPr>
        <w:t>Platform availability statistics vs SLA target</w:t>
      </w:r>
    </w:p>
    <w:p>
      <w:pPr>
        <w:pStyle w:val="ListParagraph"/>
        <w:numPr>
          <w:ilvl w:val="0"/>
          <w:numId w:val="4"/>
        </w:numPr>
      </w:pPr>
      <w:r>
        <w:rPr>
          <w:rFonts w:ascii="Figtree" w:hAnsi="Figtree"/>
          <w:b w:val="0"/>
          <w:i w:val="0"/>
          <w:sz w:val="22"/>
        </w:rPr>
        <w:t>Incident register (anonymised) with root cause and resolution</w:t>
      </w:r>
    </w:p>
    <w:p>
      <w:r>
        <w:br w:type="page"/>
      </w:r>
    </w:p>
    <w:p>
      <w:pPr>
        <w:pStyle w:val="H2"/>
        <w:numPr>
          <w:ilvl w:val="1"/>
          <w:numId w:val="1"/>
        </w:numPr>
      </w:pPr>
      <w:r>
        <w:t>12. Reference Projects</w:t>
      </w:r>
    </w:p>
    <w:p>
      <w:pPr>
        <w:pStyle w:val="H3"/>
        <w:numPr>
          <w:ilvl w:val="2"/>
          <w:numId w:val="1"/>
        </w:numPr>
      </w:pPr>
      <w:r>
        <w:t>12.1 Deutsche Borse / Eurex — Digital Securities Infrastructure</w:t>
      </w:r>
    </w:p>
    <w:p>
      <w:r>
        <w:rPr>
          <w:rFonts w:ascii="Figtree" w:hAnsi="Figtree"/>
          <w:b/>
          <w:i w:val="0"/>
          <w:sz w:val="22"/>
        </w:rPr>
        <w:t>Relevance:</w:t>
      </w:r>
      <w:r>
        <w:rPr>
          <w:rFonts w:ascii="Figtree" w:hAnsi="Figtree"/>
          <w:b w:val="0"/>
          <w:i w:val="0"/>
          <w:sz w:val="22"/>
        </w:rPr>
        <w:t xml:space="preserve"> Systemically important exchange group infrastructure delivery under BaFin and ECB oversight, demonstrating PFMI-aligned governance and atomic DvP settlement integration.</w:t>
      </w:r>
    </w:p>
    <w:p>
      <w:r>
        <w:rPr>
          <w:rFonts w:ascii="Figtree" w:hAnsi="Figtree"/>
          <w:b/>
          <w:i w:val="0"/>
          <w:sz w:val="22"/>
        </w:rPr>
        <w:t>Key outcomes:</w:t>
      </w:r>
    </w:p>
    <w:p>
      <w:pPr>
        <w:pStyle w:val="ListParagraph"/>
        <w:numPr>
          <w:ilvl w:val="0"/>
          <w:numId w:val="4"/>
        </w:numPr>
      </w:pPr>
      <w:r>
        <w:rPr>
          <w:rFonts w:ascii="Figtree" w:hAnsi="Figtree"/>
          <w:b w:val="0"/>
          <w:i w:val="0"/>
          <w:sz w:val="22"/>
        </w:rPr>
        <w:t>PFMI gap assessment completed pre-delivery; all 24 principles addressed in architecture</w:t>
      </w:r>
    </w:p>
    <w:p>
      <w:pPr>
        <w:pStyle w:val="ListParagraph"/>
        <w:numPr>
          <w:ilvl w:val="0"/>
          <w:numId w:val="4"/>
        </w:numPr>
      </w:pPr>
      <w:r>
        <w:rPr>
          <w:rFonts w:ascii="Figtree" w:hAnsi="Figtree"/>
          <w:b w:val="0"/>
          <w:i w:val="0"/>
          <w:sz w:val="22"/>
        </w:rPr>
        <w:t>Atomic DvP settlement reducing settlement failure rate to &lt; 0.01%</w:t>
      </w:r>
    </w:p>
    <w:p>
      <w:pPr>
        <w:pStyle w:val="ListParagraph"/>
        <w:numPr>
          <w:ilvl w:val="0"/>
          <w:numId w:val="4"/>
        </w:numPr>
      </w:pPr>
      <w:r>
        <w:rPr>
          <w:rFonts w:ascii="Figtree" w:hAnsi="Figtree"/>
          <w:b w:val="0"/>
          <w:i w:val="0"/>
          <w:sz w:val="22"/>
        </w:rPr>
        <w:t>BaFin security review passed with ISO 27001 and SOC 2 evidence package</w:t>
      </w:r>
    </w:p>
    <w:p>
      <w:pPr>
        <w:pStyle w:val="ListParagraph"/>
        <w:numPr>
          <w:ilvl w:val="0"/>
          <w:numId w:val="4"/>
        </w:numPr>
      </w:pPr>
      <w:r>
        <w:rPr>
          <w:rFonts w:ascii="Figtree" w:hAnsi="Figtree"/>
          <w:b w:val="0"/>
          <w:i w:val="0"/>
          <w:sz w:val="22"/>
        </w:rPr>
        <w:t>19-week delivery on schedule; formal ESMA notification documentation supported</w:t>
      </w:r>
    </w:p>
    <w:p>
      <w:pPr>
        <w:pStyle w:val="ListParagraph"/>
        <w:numPr>
          <w:ilvl w:val="0"/>
          <w:numId w:val="4"/>
        </w:numPr>
      </w:pPr>
      <w:r>
        <w:rPr>
          <w:rFonts w:ascii="Figtree" w:hAnsi="Figtree"/>
          <w:b w:val="0"/>
          <w:i w:val="0"/>
          <w:sz w:val="22"/>
        </w:rPr>
        <w:t>Transaction throughput: 400+ TPS sustained in load test</w:t>
      </w:r>
    </w:p>
    <w:p>
      <w:pPr>
        <w:pStyle w:val="H3"/>
        <w:numPr>
          <w:ilvl w:val="2"/>
          <w:numId w:val="1"/>
        </w:numPr>
      </w:pPr>
      <w:r>
        <w:t>12.2 Euronext — Tokenized Securities Marketplace</w:t>
      </w:r>
    </w:p>
    <w:p>
      <w:r>
        <w:rPr>
          <w:rFonts w:ascii="Figtree" w:hAnsi="Figtree"/>
          <w:b/>
          <w:i w:val="0"/>
          <w:sz w:val="22"/>
        </w:rPr>
        <w:t>Relevance:</w:t>
      </w:r>
      <w:r>
        <w:rPr>
          <w:rFonts w:ascii="Figtree" w:hAnsi="Figtree"/>
          <w:b w:val="0"/>
          <w:i w:val="0"/>
          <w:sz w:val="22"/>
        </w:rPr>
        <w:t xml:space="preserve"> Multi-jurisdiction exchange group delivery with participant entitlement management, compliance enforcement, and market surveillance integration for regulated European venues.</w:t>
      </w:r>
    </w:p>
    <w:p>
      <w:r>
        <w:rPr>
          <w:rFonts w:ascii="Figtree" w:hAnsi="Figtree"/>
          <w:b/>
          <w:i w:val="0"/>
          <w:sz w:val="22"/>
        </w:rPr>
        <w:t>Key outcomes:</w:t>
      </w:r>
    </w:p>
    <w:p>
      <w:pPr>
        <w:pStyle w:val="ListParagraph"/>
        <w:numPr>
          <w:ilvl w:val="0"/>
          <w:numId w:val="4"/>
        </w:numPr>
      </w:pPr>
      <w:r>
        <w:rPr>
          <w:rFonts w:ascii="Figtree" w:hAnsi="Figtree"/>
          <w:b w:val="0"/>
          <w:i w:val="0"/>
          <w:sz w:val="22"/>
        </w:rPr>
        <w:t>MiFID II and national CSD legislation compliance modules configured and validated</w:t>
      </w:r>
    </w:p>
    <w:p>
      <w:pPr>
        <w:pStyle w:val="ListParagraph"/>
        <w:numPr>
          <w:ilvl w:val="0"/>
          <w:numId w:val="4"/>
        </w:numPr>
      </w:pPr>
      <w:r>
        <w:rPr>
          <w:rFonts w:ascii="Figtree" w:hAnsi="Figtree"/>
          <w:b w:val="0"/>
          <w:i w:val="0"/>
          <w:sz w:val="22"/>
        </w:rPr>
        <w:t>150+ participant firms onboarded with graduated entitlement controls</w:t>
      </w:r>
    </w:p>
    <w:p>
      <w:pPr>
        <w:pStyle w:val="ListParagraph"/>
        <w:numPr>
          <w:ilvl w:val="0"/>
          <w:numId w:val="4"/>
        </w:numPr>
      </w:pPr>
      <w:r>
        <w:rPr>
          <w:rFonts w:ascii="Figtree" w:hAnsi="Figtree"/>
          <w:b w:val="0"/>
          <w:i w:val="0"/>
          <w:sz w:val="22"/>
        </w:rPr>
        <w:t>Real-time Chain Indexer event delivery to existing surveillance system</w:t>
      </w:r>
    </w:p>
    <w:p>
      <w:pPr>
        <w:pStyle w:val="ListParagraph"/>
        <w:numPr>
          <w:ilvl w:val="0"/>
          <w:numId w:val="4"/>
        </w:numPr>
      </w:pPr>
      <w:r>
        <w:rPr>
          <w:rFonts w:ascii="Figtree" w:hAnsi="Figtree"/>
          <w:b w:val="0"/>
          <w:i w:val="0"/>
          <w:sz w:val="22"/>
        </w:rPr>
        <w:t>T+0 DvP settlement operational across three European jurisdictions</w:t>
      </w:r>
    </w:p>
    <w:p>
      <w:pPr>
        <w:pStyle w:val="ListParagraph"/>
        <w:numPr>
          <w:ilvl w:val="0"/>
          <w:numId w:val="4"/>
        </w:numPr>
      </w:pPr>
      <w:r>
        <w:rPr>
          <w:rFonts w:ascii="Figtree" w:hAnsi="Figtree"/>
          <w:b w:val="0"/>
          <w:i w:val="0"/>
          <w:sz w:val="22"/>
        </w:rPr>
        <w:t>FCA and AMF regulatory notifications supported with audit exports</w:t>
      </w:r>
    </w:p>
    <w:p>
      <w:pPr>
        <w:pStyle w:val="H3"/>
        <w:numPr>
          <w:ilvl w:val="2"/>
          <w:numId w:val="1"/>
        </w:numPr>
      </w:pPr>
      <w:r>
        <w:t>12.3 Clearstream — Tokenized Collateral Management</w:t>
      </w:r>
    </w:p>
    <w:p>
      <w:r>
        <w:rPr>
          <w:rFonts w:ascii="Figtree" w:hAnsi="Figtree"/>
          <w:b/>
          <w:i w:val="0"/>
          <w:sz w:val="22"/>
        </w:rPr>
        <w:t>Relevance:</w:t>
      </w:r>
      <w:r>
        <w:rPr>
          <w:rFonts w:ascii="Figtree" w:hAnsi="Figtree"/>
          <w:b w:val="0"/>
          <w:i w:val="0"/>
          <w:sz w:val="22"/>
        </w:rPr>
        <w:t xml:space="preserve"> Post-trade infrastructure delivery for a Tier 1 CSD, demonstrating collateral management, custody risk controls, and integration with RTGS settlement infrastructure.</w:t>
      </w:r>
    </w:p>
    <w:p>
      <w:r>
        <w:rPr>
          <w:rFonts w:ascii="Figtree" w:hAnsi="Figtree"/>
          <w:b/>
          <w:i w:val="0"/>
          <w:sz w:val="22"/>
        </w:rPr>
        <w:t>Key outcomes:</w:t>
      </w:r>
    </w:p>
    <w:p>
      <w:pPr>
        <w:pStyle w:val="ListParagraph"/>
        <w:numPr>
          <w:ilvl w:val="0"/>
          <w:numId w:val="4"/>
        </w:numPr>
      </w:pPr>
      <w:r>
        <w:rPr>
          <w:rFonts w:ascii="Figtree" w:hAnsi="Figtree"/>
          <w:b w:val="0"/>
          <w:i w:val="0"/>
          <w:sz w:val="22"/>
        </w:rPr>
        <w:t>Collateral requirement compliance module integrated with Clearstream's collateral management engine</w:t>
      </w:r>
    </w:p>
    <w:p>
      <w:pPr>
        <w:pStyle w:val="ListParagraph"/>
        <w:numPr>
          <w:ilvl w:val="0"/>
          <w:numId w:val="4"/>
        </w:numPr>
      </w:pPr>
      <w:r>
        <w:rPr>
          <w:rFonts w:ascii="Figtree" w:hAnsi="Figtree"/>
          <w:b w:val="0"/>
          <w:i w:val="0"/>
          <w:sz w:val="22"/>
        </w:rPr>
        <w:t>Key Guardian HSM architecture accepted by Clearstream security review</w:t>
      </w:r>
    </w:p>
    <w:p>
      <w:pPr>
        <w:pStyle w:val="ListParagraph"/>
        <w:numPr>
          <w:ilvl w:val="0"/>
          <w:numId w:val="4"/>
        </w:numPr>
      </w:pPr>
      <w:r>
        <w:rPr>
          <w:rFonts w:ascii="Figtree" w:hAnsi="Figtree"/>
          <w:b w:val="0"/>
          <w:i w:val="0"/>
          <w:sz w:val="22"/>
        </w:rPr>
        <w:t>Settlement finality record structure validated by Deutsche Bundesbank legal team</w:t>
      </w:r>
    </w:p>
    <w:p>
      <w:pPr>
        <w:pStyle w:val="ListParagraph"/>
        <w:numPr>
          <w:ilvl w:val="0"/>
          <w:numId w:val="4"/>
        </w:numPr>
      </w:pPr>
      <w:r>
        <w:rPr>
          <w:rFonts w:ascii="Figtree" w:hAnsi="Figtree"/>
          <w:b w:val="0"/>
          <w:i w:val="0"/>
          <w:sz w:val="22"/>
        </w:rPr>
        <w:t>Deployed within Clearstream's Luxembourg data centres under LBL regulatory framework</w:t>
      </w:r>
    </w:p>
    <w:p>
      <w:r>
        <w:br w:type="page"/>
      </w:r>
    </w:p>
    <w:p>
      <w:pPr>
        <w:pStyle w:val="H2"/>
        <w:numPr>
          <w:ilvl w:val="1"/>
          <w:numId w:val="1"/>
        </w:numPr>
      </w:pPr>
      <w:r>
        <w:t>12a. Risk Management</w:t>
      </w:r>
    </w:p>
    <w:p>
      <w:pPr>
        <w:pStyle w:val="H3"/>
        <w:numPr>
          <w:ilvl w:val="2"/>
          <w:numId w:val="1"/>
        </w:numPr>
      </w:pPr>
      <w:r>
        <w:t>12a.1 SDX-Specific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01"/>
        <w:gridCol w:w="695"/>
        <w:gridCol w:w="695"/>
        <w:gridCol w:w="497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FINMA notification triggers additional requirements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FINMA engagement in Discovery; architecture designed for FINMA review</w:t>
            </w:r>
          </w:p>
        </w:tc>
      </w:tr>
      <w:tr>
        <w:trPr>
          <w:trHeight w:val="425" w:hRule="atLeast"/>
        </w:trPr>
        <w:tc>
          <w:tcPr>
            <w:tcW w:type="dxa" w:w="2436"/>
            <w:vAlign w:val="center"/>
          </w:tcPr>
          <w:p>
            <w:pPr>
              <w:spacing w:line="276" w:lineRule="auto" w:before="0" w:after="0"/>
            </w:pPr>
            <w:r/>
            <w:r>
              <w:rPr>
                <w:rFonts w:ascii="Figtree" w:hAnsi="Figtree"/>
                <w:b w:val="0"/>
                <w:i w:val="0"/>
                <w:sz w:val="20"/>
              </w:rPr>
              <w:t>Migration disruption to existing participants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Parallel operation period; zero forced migration; participant migration on own schedule</w:t>
            </w:r>
          </w:p>
        </w:tc>
      </w:tr>
      <w:tr>
        <w:trPr>
          <w:trHeight w:val="425" w:hRule="atLeast"/>
        </w:trPr>
        <w:tc>
          <w:tcPr>
            <w:tcW w:type="dxa" w:w="2436"/>
            <w:vAlign w:val="center"/>
          </w:tcPr>
          <w:p>
            <w:pPr>
              <w:spacing w:line="276" w:lineRule="auto" w:before="0" w:after="0"/>
            </w:pPr>
            <w:r/>
            <w:r>
              <w:rPr>
                <w:rFonts w:ascii="Figtree" w:hAnsi="Figtree"/>
                <w:b w:val="0"/>
                <w:i w:val="0"/>
                <w:sz w:val="20"/>
              </w:rPr>
              <w:t>DLT Act interpretation changes during delivery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Runtime compliance parameter updates; no redeployment required for parameter changes</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audit findings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Pre-deployment third-party audit; SettleMint internal baseline; FINMA audit rights</w:t>
            </w:r>
          </w:p>
        </w:tc>
      </w:tr>
      <w:tr>
        <w:trPr>
          <w:trHeight w:val="425" w:hRule="atLeast"/>
        </w:trPr>
        <w:tc>
          <w:tcPr>
            <w:tcW w:type="dxa" w:w="2436"/>
            <w:vAlign w:val="center"/>
          </w:tcPr>
          <w:p>
            <w:pPr>
              <w:spacing w:line="276" w:lineRule="auto" w:before="0" w:after="0"/>
            </w:pPr>
            <w:r/>
            <w:r>
              <w:rPr>
                <w:rFonts w:ascii="Figtree" w:hAnsi="Figtree"/>
                <w:b w:val="0"/>
                <w:i w:val="0"/>
                <w:sz w:val="20"/>
              </w:rPr>
              <w:t>Key compromise in HSM failover</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FIPS 140-2 Level 3 HSM; automated rotation; incident response playbook with FINMA notification</w:t>
            </w:r>
          </w:p>
        </w:tc>
      </w:tr>
      <w:tr>
        <w:trPr>
          <w:trHeight w:val="425" w:hRule="atLeast"/>
        </w:trPr>
        <w:tc>
          <w:tcPr>
            <w:tcW w:type="dxa" w:w="2436"/>
            <w:vAlign w:val="center"/>
          </w:tcPr>
          <w:p>
            <w:pPr>
              <w:spacing w:line="276" w:lineRule="auto" w:before="0" w:after="0"/>
            </w:pPr>
            <w:r/>
            <w:r>
              <w:rPr>
                <w:rFonts w:ascii="Figtree" w:hAnsi="Figtree"/>
                <w:b w:val="0"/>
                <w:i w:val="0"/>
                <w:sz w:val="20"/>
              </w:rPr>
              <w:t>Network partition (Zurich/Geneva)</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IBFT 2.0 tolerates minority partition; BFT consensus continues with 3 of 4 validators</w:t>
            </w:r>
          </w:p>
        </w:tc>
      </w:tr>
      <w:tr>
        <w:trPr>
          <w:trHeight w:val="425" w:hRule="atLeast"/>
        </w:trPr>
        <w:tc>
          <w:tcPr>
            <w:tcW w:type="dxa" w:w="2436"/>
            <w:vAlign w:val="center"/>
          </w:tcPr>
          <w:p>
            <w:pPr>
              <w:spacing w:line="276" w:lineRule="auto" w:before="0" w:after="0"/>
            </w:pPr>
            <w:r/>
            <w:r>
              <w:rPr>
                <w:rFonts w:ascii="Figtree" w:hAnsi="Figtree"/>
                <w:b w:val="0"/>
                <w:i w:val="0"/>
                <w:sz w:val="20"/>
              </w:rPr>
              <w:t>CHF cash token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Integration scoped in Discovery; SIX payment services API documented; API compatibility layer</w:t>
            </w:r>
          </w:p>
        </w:tc>
      </w:tr>
    </w:tbl>
    <w:p>
      <w:pPr>
        <w:spacing w:before="0" w:after="0" w:line="120" w:lineRule="exact"/>
      </w:pPr>
    </w:p>
    <w:p>
      <w:pPr>
        <w:pStyle w:val="H3"/>
        <w:numPr>
          <w:ilvl w:val="2"/>
          <w:numId w:val="1"/>
        </w:numPr>
      </w:pPr>
      <w:r>
        <w:t>12a.2 FINMA Regulatory Risk Management</w:t>
      </w:r>
    </w:p>
    <w:p>
      <w:r>
        <w:rPr>
          <w:rFonts w:ascii="Figtree" w:hAnsi="Figtree"/>
          <w:b w:val="0"/>
          <w:i w:val="0"/>
          <w:sz w:val="22"/>
        </w:rPr>
        <w:t>SDX's FINMA supervision creates regulatory risks that require specific management at the platform level:</w:t>
      </w:r>
    </w:p>
    <w:p>
      <w:r>
        <w:rPr>
          <w:rFonts w:ascii="Figtree" w:hAnsi="Figtree"/>
          <w:b/>
          <w:i w:val="0"/>
          <w:sz w:val="22"/>
        </w:rPr>
        <w:t>Notification obligations:</w:t>
      </w:r>
      <w:r>
        <w:rPr>
          <w:rFonts w:ascii="Figtree" w:hAnsi="Figtree"/>
          <w:b w:val="0"/>
          <w:i w:val="0"/>
          <w:sz w:val="22"/>
        </w:rPr>
        <w:t xml:space="preserve"> Material changes to SDX's DLT trading venue infrastructure trigger FINMA notification requirements under FMIA. SettleMint's delivery model includes explicit steps for preparing FINMA notification packages at each major phase gate.</w:t>
      </w:r>
    </w:p>
    <w:p>
      <w:r>
        <w:rPr>
          <w:rFonts w:ascii="Figtree" w:hAnsi="Figtree"/>
          <w:b/>
          <w:i w:val="0"/>
          <w:sz w:val="22"/>
        </w:rPr>
        <w:t>PFMI assessment cycles:</w:t>
      </w:r>
      <w:r>
        <w:rPr>
          <w:rFonts w:ascii="Figtree" w:hAnsi="Figtree"/>
          <w:b w:val="0"/>
          <w:i w:val="0"/>
          <w:sz w:val="22"/>
        </w:rPr>
        <w:t xml:space="preserve"> FINMA conducts periodic PFMI assessments of SDX. DALP's enterprise support includes preparation of the platform-level evidence package (SOC 2, ISO 27001, availability statistics, DR test results) to support these assessments.</w:t>
      </w:r>
    </w:p>
    <w:p>
      <w:r>
        <w:rPr>
          <w:rFonts w:ascii="Figtree" w:hAnsi="Figtree"/>
          <w:b/>
          <w:i w:val="0"/>
          <w:sz w:val="22"/>
        </w:rPr>
        <w:t>Regulatory examination access:</w:t>
      </w:r>
      <w:r>
        <w:rPr>
          <w:rFonts w:ascii="Figtree" w:hAnsi="Figtree"/>
          <w:b w:val="0"/>
          <w:i w:val="0"/>
          <w:sz w:val="22"/>
        </w:rPr>
        <w:t xml:space="preserve"> FINMA has the right to examine SDX's systems directly. DALP's Chain Indexer provides a dedicated FINMA observer read-access portal, and all platform documentation is maintained in a format suitable for regulatory examination.</w:t>
      </w:r>
    </w:p>
    <w:p>
      <w:r>
        <w:rPr>
          <w:rFonts w:ascii="Figtree" w:hAnsi="Figtree"/>
          <w:b/>
          <w:i w:val="0"/>
          <w:sz w:val="22"/>
        </w:rPr>
        <w:t>Recovery and resolution:</w:t>
      </w:r>
      <w:r>
        <w:rPr>
          <w:rFonts w:ascii="Figtree" w:hAnsi="Figtree"/>
          <w:b w:val="0"/>
          <w:i w:val="0"/>
          <w:sz w:val="22"/>
        </w:rPr>
        <w:t xml:space="preserve"> FINMA's recovery and resolution framework for FMIs requires a credible resolution plan. DALP's source code escrow and operational runbook archive ensure that SDX's platform can be maintained by third parties if required under a resolution scenario.</w:t>
      </w:r>
    </w:p>
    <w:p>
      <w:pPr>
        <w:pStyle w:val="H3"/>
        <w:numPr>
          <w:ilvl w:val="2"/>
          <w:numId w:val="1"/>
        </w:numPr>
      </w:pPr>
      <w:r>
        <w:t>12a.3 Smart Contract Audit Process</w:t>
      </w:r>
    </w:p>
    <w:p>
      <w:r>
        <w:rPr>
          <w:rFonts w:ascii="Figtree" w:hAnsi="Figtree"/>
          <w:b w:val="0"/>
          <w:i w:val="0"/>
          <w:sz w:val="22"/>
        </w:rPr>
        <w:t>All DALPAsset and SMART Protocol contracts deployed for SDX undergo:</w:t>
      </w:r>
    </w:p>
    <w:p>
      <w:pPr>
        <w:pStyle w:val="ListParagraph"/>
        <w:numPr>
          <w:ilvl w:val="0"/>
          <w:numId w:val="7"/>
        </w:numPr>
      </w:pPr>
      <w:r>
        <w:rPr>
          <w:rFonts w:ascii="Figtree" w:hAnsi="Figtree"/>
          <w:b/>
          <w:i w:val="0"/>
          <w:sz w:val="22"/>
        </w:rPr>
        <w:t>SettleMint internal audit:</w:t>
      </w:r>
      <w:r>
        <w:rPr>
          <w:rFonts w:ascii="Figtree" w:hAnsi="Figtree"/>
          <w:b w:val="0"/>
          <w:i w:val="0"/>
          <w:sz w:val="22"/>
        </w:rPr>
        <w:t xml:space="preserve"> Access control bindings, compliance module parameters, UUPS upgrade governance</w:t>
      </w:r>
    </w:p>
    <w:p>
      <w:pPr>
        <w:pStyle w:val="ListParagraph"/>
        <w:numPr>
          <w:ilvl w:val="0"/>
          <w:numId w:val="7"/>
        </w:numPr>
      </w:pPr>
      <w:r>
        <w:rPr>
          <w:rFonts w:ascii="Figtree" w:hAnsi="Figtree"/>
          <w:b/>
          <w:i w:val="0"/>
          <w:sz w:val="22"/>
        </w:rPr>
        <w:t>Swiss-qualified third-party audit:</w:t>
      </w:r>
      <w:r>
        <w:rPr>
          <w:rFonts w:ascii="Figtree" w:hAnsi="Figtree"/>
          <w:b w:val="0"/>
          <w:i w:val="0"/>
          <w:sz w:val="22"/>
        </w:rPr>
        <w:t xml:space="preserve"> Engagement of a firm with Swiss regulatory recognition for DLT security review</w:t>
      </w:r>
    </w:p>
    <w:p>
      <w:pPr>
        <w:pStyle w:val="ListParagraph"/>
        <w:numPr>
          <w:ilvl w:val="0"/>
          <w:numId w:val="7"/>
        </w:numPr>
      </w:pPr>
      <w:r>
        <w:rPr>
          <w:rFonts w:ascii="Figtree" w:hAnsi="Figtree"/>
          <w:b/>
          <w:i w:val="0"/>
          <w:sz w:val="22"/>
        </w:rPr>
        <w:t>FINMA submission-ready report:</w:t>
      </w:r>
      <w:r>
        <w:rPr>
          <w:rFonts w:ascii="Figtree" w:hAnsi="Figtree"/>
          <w:b w:val="0"/>
          <w:i w:val="0"/>
          <w:sz w:val="22"/>
        </w:rPr>
        <w:t xml:space="preserve"> Audit report formatted for potential FINMA review under DLT Act supervisory obligations</w:t>
      </w:r>
    </w:p>
    <w:p>
      <w:pPr>
        <w:pStyle w:val="ListParagraph"/>
        <w:numPr>
          <w:ilvl w:val="0"/>
          <w:numId w:val="7"/>
        </w:numPr>
      </w:pPr>
      <w:r>
        <w:rPr>
          <w:rFonts w:ascii="Figtree" w:hAnsi="Figtree"/>
          <w:b/>
          <w:i w:val="0"/>
          <w:sz w:val="22"/>
        </w:rPr>
        <w:t>Ongoing monitoring:</w:t>
      </w:r>
      <w:r>
        <w:rPr>
          <w:rFonts w:ascii="Figtree" w:hAnsi="Figtree"/>
          <w:b w:val="0"/>
          <w:i w:val="0"/>
          <w:sz w:val="22"/>
        </w:rPr>
        <w:t xml:space="preserve"> On-chain event monitoring for anomalous patterns post-deployment</w:t>
      </w:r>
    </w:p>
    <w:p>
      <w:pPr>
        <w:pStyle w:val="H3"/>
        <w:numPr>
          <w:ilvl w:val="2"/>
          <w:numId w:val="1"/>
        </w:numPr>
      </w:pPr>
      <w:r>
        <w:t>12a.4 Business Continuity</w:t>
      </w:r>
    </w:p>
    <w:p>
      <w:pPr>
        <w:pStyle w:val="ListParagraph"/>
        <w:numPr>
          <w:ilvl w:val="0"/>
          <w:numId w:val="4"/>
        </w:numPr>
      </w:pPr>
      <w:r>
        <w:rPr>
          <w:rFonts w:ascii="Figtree" w:hAnsi="Figtree"/>
          <w:b/>
          <w:i w:val="0"/>
          <w:sz w:val="22"/>
        </w:rPr>
        <w:t>Engineering continuity:</w:t>
      </w:r>
      <w:r>
        <w:rPr>
          <w:rFonts w:ascii="Figtree" w:hAnsi="Figtree"/>
          <w:b w:val="0"/>
          <w:i w:val="0"/>
          <w:sz w:val="22"/>
        </w:rPr>
        <w:t xml:space="preserve"> Minimum two named SettleMint engineers with SDX platform knowledge at all times</w:t>
      </w:r>
    </w:p>
    <w:p>
      <w:pPr>
        <w:pStyle w:val="ListParagraph"/>
        <w:numPr>
          <w:ilvl w:val="0"/>
          <w:numId w:val="4"/>
        </w:numPr>
      </w:pPr>
      <w:r>
        <w:rPr>
          <w:rFonts w:ascii="Figtree" w:hAnsi="Figtree"/>
          <w:b/>
          <w:i w:val="0"/>
          <w:sz w:val="22"/>
        </w:rPr>
        <w:t>Source code escrow:</w:t>
      </w:r>
      <w:r>
        <w:rPr>
          <w:rFonts w:ascii="Figtree" w:hAnsi="Figtree"/>
          <w:b w:val="0"/>
          <w:i w:val="0"/>
          <w:sz w:val="22"/>
        </w:rPr>
        <w:t xml:space="preserve"> Included in Enterprise license; release conditions: insolvency or material breach</w:t>
      </w:r>
    </w:p>
    <w:p>
      <w:pPr>
        <w:pStyle w:val="ListParagraph"/>
        <w:numPr>
          <w:ilvl w:val="0"/>
          <w:numId w:val="4"/>
        </w:numPr>
      </w:pPr>
      <w:r>
        <w:rPr>
          <w:rFonts w:ascii="Figtree" w:hAnsi="Figtree"/>
          <w:b/>
          <w:i w:val="0"/>
          <w:sz w:val="22"/>
        </w:rPr>
        <w:t>Documentation:</w:t>
      </w:r>
      <w:r>
        <w:rPr>
          <w:rFonts w:ascii="Figtree" w:hAnsi="Figtree"/>
          <w:b w:val="0"/>
          <w:i w:val="0"/>
          <w:sz w:val="22"/>
        </w:rPr>
        <w:t xml:space="preserve"> All runbooks in SDX-accessible repository, updated quarterly; FINMA examination ready</w:t>
      </w:r>
    </w:p>
    <w:p>
      <w:pPr>
        <w:pStyle w:val="ListParagraph"/>
        <w:numPr>
          <w:ilvl w:val="0"/>
          <w:numId w:val="4"/>
        </w:numPr>
      </w:pPr>
      <w:r>
        <w:rPr>
          <w:rFonts w:ascii="Figtree" w:hAnsi="Figtree"/>
          <w:b/>
          <w:i w:val="0"/>
          <w:sz w:val="22"/>
        </w:rPr>
        <w:t>DR test:</w:t>
      </w:r>
      <w:r>
        <w:rPr>
          <w:rFonts w:ascii="Figtree" w:hAnsi="Figtree"/>
          <w:b w:val="0"/>
          <w:i w:val="0"/>
          <w:sz w:val="22"/>
        </w:rPr>
        <w:t xml:space="preserve"> Quarterly full DR test; annual FINMA-evidence-grade test with formal report</w:t>
      </w:r>
    </w:p>
    <w:p>
      <w:r>
        <w:br w:type="page"/>
      </w:r>
    </w:p>
    <w:p>
      <w:pPr>
        <w:pStyle w:val="H2"/>
        <w:numPr>
          <w:ilvl w:val="1"/>
          <w:numId w:val="1"/>
        </w:numPr>
      </w:pPr>
      <w:r>
        <w:t>12b. Training and Knowledge Transfer</w:t>
      </w:r>
    </w:p>
    <w:p>
      <w:pPr>
        <w:pStyle w:val="H3"/>
        <w:numPr>
          <w:ilvl w:val="2"/>
          <w:numId w:val="1"/>
        </w:numPr>
      </w:pPr>
      <w:r>
        <w:t>12b.1 SDX Training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39"/>
        <w:gridCol w:w="5940"/>
        <w:gridCol w:w="79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3249"/>
            <w:vAlign w:val="center"/>
          </w:tcPr>
          <w:p>
            <w:pPr>
              <w:spacing w:line="276" w:lineRule="auto" w:before="0" w:after="0"/>
            </w:pPr>
            <w:r/>
            <w:r>
              <w:rPr>
                <w:rFonts w:ascii="Figtree" w:hAnsi="Figtree"/>
                <w:b w:val="0"/>
                <w:i w:val="0"/>
                <w:sz w:val="20"/>
              </w:rPr>
              <w:t>Platform Administrators</w:t>
            </w:r>
          </w:p>
        </w:tc>
        <w:tc>
          <w:tcPr>
            <w:tcW w:type="dxa" w:w="3249"/>
            <w:vAlign w:val="center"/>
          </w:tcPr>
          <w:p>
            <w:pPr>
              <w:spacing w:line="276" w:lineRule="auto" w:before="0" w:after="0"/>
            </w:pPr>
            <w:r/>
            <w:r>
              <w:rPr>
                <w:rFonts w:ascii="Figtree" w:hAnsi="Figtree"/>
                <w:b w:val="0"/>
                <w:i w:val="0"/>
                <w:sz w:val="20"/>
              </w:rPr>
              <w:t>Infrastructure, deployment, configuration management</w:t>
            </w:r>
          </w:p>
        </w:tc>
        <w:tc>
          <w:tcPr>
            <w:tcW w:type="dxa" w:w="3249"/>
            <w:vAlign w:val="center"/>
          </w:tcPr>
          <w:p>
            <w:pPr>
              <w:spacing w:line="276" w:lineRule="auto" w:before="0" w:after="0"/>
            </w:pPr>
            <w:r/>
            <w:r>
              <w:rPr>
                <w:rFonts w:ascii="Figtree" w:hAnsi="Figtree"/>
                <w:b w:val="0"/>
                <w:i w:val="0"/>
                <w:sz w:val="20"/>
              </w:rPr>
              <w:t>2 days</w:t>
            </w:r>
          </w:p>
        </w:tc>
      </w:tr>
      <w:tr>
        <w:trPr>
          <w:trHeight w:val="425" w:hRule="atLeast"/>
        </w:trPr>
        <w:tc>
          <w:tcPr>
            <w:tcW w:type="dxa" w:w="3249"/>
            <w:vAlign w:val="center"/>
          </w:tcPr>
          <w:p>
            <w:pPr>
              <w:spacing w:line="276" w:lineRule="auto" w:before="0" w:after="0"/>
            </w:pPr>
            <w:r/>
            <w:r>
              <w:rPr>
                <w:rFonts w:ascii="Figtree" w:hAnsi="Figtree"/>
                <w:b w:val="0"/>
                <w:i w:val="0"/>
                <w:sz w:val="20"/>
              </w:rPr>
              <w:t>Compliance Officers</w:t>
            </w:r>
          </w:p>
        </w:tc>
        <w:tc>
          <w:tcPr>
            <w:tcW w:type="dxa" w:w="3249"/>
            <w:vAlign w:val="center"/>
          </w:tcPr>
          <w:p>
            <w:pPr>
              <w:spacing w:line="276" w:lineRule="auto" w:before="0" w:after="0"/>
            </w:pPr>
            <w:r/>
            <w:r>
              <w:rPr>
                <w:rFonts w:ascii="Figtree" w:hAnsi="Figtree"/>
                <w:b w:val="0"/>
                <w:i w:val="0"/>
                <w:sz w:val="20"/>
              </w:rPr>
              <w:t>FMIA/DLT Act module configuration, audit log review, FINMA report generation</w:t>
            </w:r>
          </w:p>
        </w:tc>
        <w:tc>
          <w:tcPr>
            <w:tcW w:type="dxa" w:w="3249"/>
            <w:vAlign w:val="center"/>
          </w:tcPr>
          <w:p>
            <w:pPr>
              <w:spacing w:line="276" w:lineRule="auto" w:before="0" w:after="0"/>
            </w:pPr>
            <w:r/>
            <w:r>
              <w:rPr>
                <w:rFonts w:ascii="Figtree" w:hAnsi="Figtree"/>
                <w:b w:val="0"/>
                <w:i w:val="0"/>
                <w:sz w:val="20"/>
              </w:rPr>
              <w:t>1.5 days</w:t>
            </w:r>
          </w:p>
        </w:tc>
      </w:tr>
      <w:tr>
        <w:trPr>
          <w:trHeight w:val="425" w:hRule="atLeast"/>
        </w:trPr>
        <w:tc>
          <w:tcPr>
            <w:tcW w:type="dxa" w:w="3249"/>
            <w:vAlign w:val="center"/>
          </w:tcPr>
          <w:p>
            <w:pPr>
              <w:spacing w:line="276" w:lineRule="auto" w:before="0" w:after="0"/>
            </w:pPr>
            <w:r/>
            <w:r>
              <w:rPr>
                <w:rFonts w:ascii="Figtree" w:hAnsi="Figtree"/>
                <w:b w:val="0"/>
                <w:i w:val="0"/>
                <w:sz w:val="20"/>
              </w:rPr>
              <w:t>Operations Staff</w:t>
            </w:r>
          </w:p>
        </w:tc>
        <w:tc>
          <w:tcPr>
            <w:tcW w:type="dxa" w:w="3249"/>
            <w:vAlign w:val="center"/>
          </w:tcPr>
          <w:p>
            <w:pPr>
              <w:spacing w:line="276" w:lineRule="auto" w:before="0" w:after="0"/>
            </w:pPr>
            <w:r/>
            <w:r>
              <w:rPr>
                <w:rFonts w:ascii="Figtree" w:hAnsi="Figtree"/>
                <w:b w:val="0"/>
                <w:i w:val="0"/>
                <w:sz w:val="20"/>
              </w:rPr>
              <w:t>Asset Console, participant management, corporate actions</w:t>
            </w:r>
          </w:p>
        </w:tc>
        <w:tc>
          <w:tcPr>
            <w:tcW w:type="dxa" w:w="3249"/>
            <w:vAlign w:val="center"/>
          </w:tcPr>
          <w:p>
            <w:pPr>
              <w:spacing w:line="276" w:lineRule="auto" w:before="0" w:after="0"/>
            </w:pPr>
            <w:r/>
            <w:r>
              <w:rPr>
                <w:rFonts w:ascii="Figtree" w:hAnsi="Figtree"/>
                <w:b w:val="0"/>
                <w:i w:val="0"/>
                <w:sz w:val="20"/>
              </w:rPr>
              <w:t>1 day</w:t>
            </w:r>
          </w:p>
        </w:tc>
      </w:tr>
      <w:tr>
        <w:trPr>
          <w:trHeight w:val="425" w:hRule="atLeast"/>
        </w:trPr>
        <w:tc>
          <w:tcPr>
            <w:tcW w:type="dxa" w:w="3249"/>
            <w:vAlign w:val="center"/>
          </w:tcPr>
          <w:p>
            <w:pPr>
              <w:spacing w:line="276" w:lineRule="auto" w:before="0" w:after="0"/>
            </w:pPr>
            <w:r/>
            <w:r>
              <w:rPr>
                <w:rFonts w:ascii="Figtree" w:hAnsi="Figtree"/>
                <w:b w:val="0"/>
                <w:i w:val="0"/>
                <w:sz w:val="20"/>
              </w:rPr>
              <w:t>IT Security Team</w:t>
            </w:r>
          </w:p>
        </w:tc>
        <w:tc>
          <w:tcPr>
            <w:tcW w:type="dxa" w:w="3249"/>
            <w:vAlign w:val="center"/>
          </w:tcPr>
          <w:p>
            <w:pPr>
              <w:spacing w:line="276" w:lineRule="auto" w:before="0" w:after="0"/>
            </w:pPr>
            <w:r/>
            <w:r>
              <w:rPr>
                <w:rFonts w:ascii="Figtree" w:hAnsi="Figtree"/>
                <w:b w:val="0"/>
                <w:i w:val="0"/>
                <w:sz w:val="20"/>
              </w:rPr>
              <w:t>Key Guardian/HSM, FIPS 140-2 procedures, SIEM integration</w:t>
            </w:r>
          </w:p>
        </w:tc>
        <w:tc>
          <w:tcPr>
            <w:tcW w:type="dxa" w:w="3249"/>
            <w:vAlign w:val="center"/>
          </w:tcPr>
          <w:p>
            <w:pPr>
              <w:spacing w:line="276" w:lineRule="auto" w:before="0" w:after="0"/>
            </w:pPr>
            <w:r/>
            <w:r>
              <w:rPr>
                <w:rFonts w:ascii="Figtree" w:hAnsi="Figtree"/>
                <w:b w:val="0"/>
                <w:i w:val="0"/>
                <w:sz w:val="20"/>
              </w:rPr>
              <w:t>1 day</w:t>
            </w:r>
          </w:p>
        </w:tc>
      </w:tr>
      <w:tr>
        <w:trPr>
          <w:trHeight w:val="425" w:hRule="atLeast"/>
        </w:trPr>
        <w:tc>
          <w:tcPr>
            <w:tcW w:type="dxa" w:w="3249"/>
            <w:vAlign w:val="center"/>
          </w:tcPr>
          <w:p>
            <w:pPr>
              <w:spacing w:line="276" w:lineRule="auto" w:before="0" w:after="0"/>
            </w:pPr>
            <w:r/>
            <w:r>
              <w:rPr>
                <w:rFonts w:ascii="Figtree" w:hAnsi="Figtree"/>
                <w:b w:val="0"/>
                <w:i w:val="0"/>
                <w:sz w:val="20"/>
              </w:rPr>
              <w:t>Participant Services</w:t>
            </w:r>
          </w:p>
        </w:tc>
        <w:tc>
          <w:tcPr>
            <w:tcW w:type="dxa" w:w="3249"/>
            <w:vAlign w:val="center"/>
          </w:tcPr>
          <w:p>
            <w:pPr>
              <w:spacing w:line="276" w:lineRule="auto" w:before="0" w:after="0"/>
            </w:pPr>
            <w:r/>
            <w:r>
              <w:rPr>
                <w:rFonts w:ascii="Figtree" w:hAnsi="Figtree"/>
                <w:b w:val="0"/>
                <w:i w:val="0"/>
                <w:sz w:val="20"/>
              </w:rPr>
              <w:t>Onboarding workflows, entitlement management, participant support</w:t>
            </w:r>
          </w:p>
        </w:tc>
        <w:tc>
          <w:tcPr>
            <w:tcW w:type="dxa" w:w="3249"/>
            <w:vAlign w:val="center"/>
          </w:tcPr>
          <w:p>
            <w:pPr>
              <w:spacing w:line="276" w:lineRule="auto" w:before="0" w:after="0"/>
            </w:pPr>
            <w:r/>
            <w:r>
              <w:rPr>
                <w:rFonts w:ascii="Figtree" w:hAnsi="Figtree"/>
                <w:b w:val="0"/>
                <w:i w:val="0"/>
                <w:sz w:val="20"/>
              </w:rPr>
              <w:t>0.5 day</w:t>
            </w:r>
          </w:p>
        </w:tc>
      </w:tr>
      <w:tr>
        <w:trPr>
          <w:trHeight w:val="425" w:hRule="atLeast"/>
        </w:trPr>
        <w:tc>
          <w:tcPr>
            <w:tcW w:type="dxa" w:w="3249"/>
            <w:vAlign w:val="center"/>
          </w:tcPr>
          <w:p>
            <w:pPr>
              <w:spacing w:line="276" w:lineRule="auto" w:before="0" w:after="0"/>
            </w:pPr>
            <w:r/>
            <w:r>
              <w:rPr>
                <w:rFonts w:ascii="Figtree" w:hAnsi="Figtree"/>
                <w:b w:val="0"/>
                <w:i w:val="0"/>
                <w:sz w:val="20"/>
              </w:rPr>
              <w:t>Developer/Integration Team</w:t>
            </w:r>
          </w:p>
        </w:tc>
        <w:tc>
          <w:tcPr>
            <w:tcW w:type="dxa" w:w="3249"/>
            <w:vAlign w:val="center"/>
          </w:tcPr>
          <w:p>
            <w:pPr>
              <w:spacing w:line="276" w:lineRule="auto" w:before="0" w:after="0"/>
            </w:pPr>
            <w:r/>
            <w:r>
              <w:rPr>
                <w:rFonts w:ascii="Figtree" w:hAnsi="Figtree"/>
                <w:b w:val="0"/>
                <w:i w:val="0"/>
                <w:sz w:val="20"/>
              </w:rPr>
              <w:t>API integration, webhook configuration, SDK, SIX Group integration patterns</w:t>
            </w:r>
          </w:p>
        </w:tc>
        <w:tc>
          <w:tcPr>
            <w:tcW w:type="dxa" w:w="3249"/>
            <w:vAlign w:val="center"/>
          </w:tcPr>
          <w:p>
            <w:pPr>
              <w:spacing w:line="276" w:lineRule="auto" w:before="0" w:after="0"/>
            </w:pPr>
            <w:r/>
            <w:r>
              <w:rPr>
                <w:rFonts w:ascii="Figtree" w:hAnsi="Figtree"/>
                <w:b w:val="0"/>
                <w:i w:val="0"/>
                <w:sz w:val="20"/>
              </w:rPr>
              <w:t>2 days</w:t>
            </w:r>
          </w:p>
        </w:tc>
      </w:tr>
    </w:tbl>
    <w:p>
      <w:pPr>
        <w:spacing w:before="0" w:after="0" w:line="120" w:lineRule="exact"/>
      </w:pPr>
    </w:p>
    <w:p>
      <w:pPr>
        <w:pStyle w:val="H3"/>
        <w:numPr>
          <w:ilvl w:val="2"/>
          <w:numId w:val="1"/>
        </w:numPr>
      </w:pPr>
      <w:r>
        <w:t>12b.2 Documentation Deliverables</w:t>
      </w:r>
    </w:p>
    <w:p>
      <w:pPr>
        <w:pStyle w:val="ListParagraph"/>
        <w:numPr>
          <w:ilvl w:val="0"/>
          <w:numId w:val="4"/>
        </w:numPr>
      </w:pPr>
      <w:r>
        <w:rPr>
          <w:rFonts w:ascii="Figtree" w:hAnsi="Figtree"/>
          <w:b w:val="0"/>
          <w:i w:val="0"/>
          <w:sz w:val="22"/>
        </w:rPr>
        <w:t>SDX-specific deployment and operations manual (German/English)</w:t>
      </w:r>
    </w:p>
    <w:p>
      <w:pPr>
        <w:pStyle w:val="ListParagraph"/>
        <w:numPr>
          <w:ilvl w:val="0"/>
          <w:numId w:val="4"/>
        </w:numPr>
      </w:pPr>
      <w:r>
        <w:rPr>
          <w:rFonts w:ascii="Figtree" w:hAnsi="Figtree"/>
          <w:b w:val="0"/>
          <w:i w:val="0"/>
          <w:sz w:val="22"/>
        </w:rPr>
        <w:t>FMIA and DLT Act compliance module configuration guide</w:t>
      </w:r>
    </w:p>
    <w:p>
      <w:pPr>
        <w:pStyle w:val="ListParagraph"/>
        <w:numPr>
          <w:ilvl w:val="0"/>
          <w:numId w:val="4"/>
        </w:numPr>
      </w:pPr>
      <w:r>
        <w:rPr>
          <w:rFonts w:ascii="Figtree" w:hAnsi="Figtree"/>
          <w:b w:val="0"/>
          <w:i w:val="0"/>
          <w:sz w:val="22"/>
        </w:rPr>
        <w:t>PFMI evidence package template (pre-populated with DALP platform evidence)</w:t>
      </w:r>
    </w:p>
    <w:p>
      <w:pPr>
        <w:pStyle w:val="ListParagraph"/>
        <w:numPr>
          <w:ilvl w:val="0"/>
          <w:numId w:val="4"/>
        </w:numPr>
      </w:pPr>
      <w:r>
        <w:rPr>
          <w:rFonts w:ascii="Figtree" w:hAnsi="Figtree"/>
          <w:b w:val="0"/>
          <w:i w:val="0"/>
          <w:sz w:val="22"/>
        </w:rPr>
        <w:t>FINMA notification documentation templates</w:t>
      </w:r>
    </w:p>
    <w:p>
      <w:pPr>
        <w:pStyle w:val="ListParagraph"/>
        <w:numPr>
          <w:ilvl w:val="0"/>
          <w:numId w:val="4"/>
        </w:numPr>
      </w:pPr>
      <w:r>
        <w:rPr>
          <w:rFonts w:ascii="Figtree" w:hAnsi="Figtree"/>
          <w:b w:val="0"/>
          <w:i w:val="0"/>
          <w:sz w:val="22"/>
        </w:rPr>
        <w:t>Integration guides for SIX payment services, FINMA reporting, participant systems</w:t>
      </w:r>
    </w:p>
    <w:p>
      <w:pPr>
        <w:pStyle w:val="ListParagraph"/>
        <w:numPr>
          <w:ilvl w:val="0"/>
          <w:numId w:val="4"/>
        </w:numPr>
      </w:pPr>
      <w:r>
        <w:rPr>
          <w:rFonts w:ascii="Figtree" w:hAnsi="Figtree"/>
          <w:b w:val="0"/>
          <w:i w:val="0"/>
          <w:sz w:val="22"/>
        </w:rPr>
        <w:t>Emergency response runbooks (freeze, forced transfer, kill switch, key rotation)</w:t>
      </w:r>
    </w:p>
    <w:p>
      <w:pPr>
        <w:pStyle w:val="ListParagraph"/>
        <w:numPr>
          <w:ilvl w:val="0"/>
          <w:numId w:val="4"/>
        </w:numPr>
      </w:pPr>
      <w:r>
        <w:rPr>
          <w:rFonts w:ascii="Figtree" w:hAnsi="Figtree"/>
          <w:b w:val="0"/>
          <w:i w:val="0"/>
          <w:sz w:val="22"/>
        </w:rPr>
        <w:t>DR runbook with step-by-step Swiss dual-site recovery procedures</w:t>
      </w:r>
    </w:p>
    <w:p>
      <w:pPr>
        <w:pStyle w:val="H3"/>
        <w:numPr>
          <w:ilvl w:val="2"/>
          <w:numId w:val="1"/>
        </w:numPr>
      </w:pPr>
      <w:r>
        <w:t>12b.3 Post-Go-Live Knowledge Management</w:t>
      </w:r>
    </w:p>
    <w:p>
      <w:pPr>
        <w:pStyle w:val="ListParagraph"/>
        <w:numPr>
          <w:ilvl w:val="0"/>
          <w:numId w:val="4"/>
        </w:numPr>
      </w:pPr>
      <w:r>
        <w:rPr>
          <w:rFonts w:ascii="Figtree" w:hAnsi="Figtree"/>
          <w:b w:val="0"/>
          <w:i w:val="0"/>
          <w:sz w:val="22"/>
        </w:rPr>
        <w:t>Quarterly platform update briefings (German/English option)</w:t>
      </w:r>
    </w:p>
    <w:p>
      <w:pPr>
        <w:pStyle w:val="ListParagraph"/>
        <w:numPr>
          <w:ilvl w:val="0"/>
          <w:numId w:val="4"/>
        </w:numPr>
      </w:pPr>
      <w:r>
        <w:rPr>
          <w:rFonts w:ascii="Figtree" w:hAnsi="Figtree"/>
          <w:b w:val="0"/>
          <w:i w:val="0"/>
          <w:sz w:val="22"/>
        </w:rPr>
        <w:t>Dedicated Slack channel (Enterprise SLA)</w:t>
      </w:r>
    </w:p>
    <w:p>
      <w:pPr>
        <w:pStyle w:val="ListParagraph"/>
        <w:numPr>
          <w:ilvl w:val="0"/>
          <w:numId w:val="4"/>
        </w:numPr>
      </w:pPr>
      <w:r>
        <w:rPr>
          <w:rFonts w:ascii="Figtree" w:hAnsi="Figtree"/>
          <w:b w:val="0"/>
          <w:i w:val="0"/>
          <w:sz w:val="22"/>
        </w:rPr>
        <w:t>Named engineer with Swiss regulatory context knowledge</w:t>
      </w:r>
    </w:p>
    <w:p>
      <w:pPr>
        <w:pStyle w:val="ListParagraph"/>
        <w:numPr>
          <w:ilvl w:val="0"/>
          <w:numId w:val="4"/>
        </w:numPr>
      </w:pPr>
      <w:r>
        <w:rPr>
          <w:rFonts w:ascii="Figtree" w:hAnsi="Figtree"/>
          <w:b w:val="0"/>
          <w:i w:val="0"/>
          <w:sz w:val="22"/>
        </w:rPr>
        <w:t>Annual training refresh</w:t>
      </w:r>
    </w:p>
    <w:p>
      <w:r>
        <w:br w:type="page"/>
      </w:r>
    </w:p>
    <w:p>
      <w:pPr>
        <w:pStyle w:val="H2"/>
        <w:numPr>
          <w:ilvl w:val="1"/>
          <w:numId w:val="1"/>
        </w:numPr>
      </w:pPr>
      <w:r>
        <w:t>13. Technical Requirements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99"/>
        <w:gridCol w:w="1478"/>
        <w:gridCol w:w="799"/>
        <w:gridCol w:w="599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Feature</w:t>
            </w:r>
          </w:p>
        </w:tc>
      </w:tr>
      <w:tr>
        <w:trPr>
          <w:trHeight w:val="425" w:hRule="atLeast"/>
        </w:trPr>
        <w:tc>
          <w:tcPr>
            <w:tcW w:type="dxa" w:w="2436"/>
            <w:vAlign w:val="center"/>
          </w:tcPr>
          <w:p>
            <w:pPr>
              <w:spacing w:line="276" w:lineRule="auto" w:before="0" w:after="0"/>
            </w:pPr>
            <w:r/>
            <w:r>
              <w:rPr>
                <w:rFonts w:ascii="Figtree" w:hAnsi="Figtree"/>
                <w:b w:val="0"/>
                <w:i w:val="0"/>
                <w:sz w:val="20"/>
              </w:rPr>
              <w:t>TR-001</w:t>
            </w:r>
          </w:p>
        </w:tc>
        <w:tc>
          <w:tcPr>
            <w:tcW w:type="dxa" w:w="2436"/>
            <w:vAlign w:val="center"/>
          </w:tcPr>
          <w:p>
            <w:pPr>
              <w:spacing w:line="276" w:lineRule="auto" w:before="0" w:after="0"/>
            </w:pPr>
            <w:r/>
            <w:r>
              <w:rPr>
                <w:rFonts w:ascii="Figtree" w:hAnsi="Figtree"/>
                <w:b w:val="0"/>
                <w:i w:val="0"/>
                <w:sz w:val="20"/>
              </w:rPr>
              <w:t>Participant identity and KYC verification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OnchainID (ERC-734/735), identity verification module, AMLA-aligned claim structure</w:t>
            </w:r>
          </w:p>
        </w:tc>
      </w:tr>
      <w:tr>
        <w:trPr>
          <w:trHeight w:val="425" w:hRule="atLeast"/>
        </w:trPr>
        <w:tc>
          <w:tcPr>
            <w:tcW w:type="dxa" w:w="2436"/>
            <w:vAlign w:val="center"/>
          </w:tcPr>
          <w:p>
            <w:pPr>
              <w:spacing w:line="276" w:lineRule="auto" w:before="0" w:after="0"/>
            </w:pPr>
            <w:r/>
            <w:r>
              <w:rPr>
                <w:rFonts w:ascii="Figtree" w:hAnsi="Figtree"/>
                <w:b w:val="0"/>
                <w:i w:val="0"/>
                <w:sz w:val="20"/>
              </w:rPr>
              <w:t>TR-002</w:t>
            </w:r>
          </w:p>
        </w:tc>
        <w:tc>
          <w:tcPr>
            <w:tcW w:type="dxa" w:w="2436"/>
            <w:vAlign w:val="center"/>
          </w:tcPr>
          <w:p>
            <w:pPr>
              <w:spacing w:line="276" w:lineRule="auto" w:before="0" w:after="0"/>
            </w:pPr>
            <w:r/>
            <w:r>
              <w:rPr>
                <w:rFonts w:ascii="Figtree" w:hAnsi="Figtree"/>
                <w:b w:val="0"/>
                <w:i w:val="0"/>
                <w:sz w:val="20"/>
              </w:rPr>
              <w:t>Role-based participant entitlement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AccessManager RBAC, SDX-specific role definitions (Issuer, Trading Participant, Settlement Member, Custodian)</w:t>
            </w:r>
          </w:p>
        </w:tc>
      </w:tr>
      <w:tr>
        <w:trPr>
          <w:trHeight w:val="425" w:hRule="atLeast"/>
        </w:trPr>
        <w:tc>
          <w:tcPr>
            <w:tcW w:type="dxa" w:w="2436"/>
            <w:vAlign w:val="center"/>
          </w:tcPr>
          <w:p>
            <w:pPr>
              <w:spacing w:line="276" w:lineRule="auto" w:before="0" w:after="0"/>
            </w:pPr>
            <w:r/>
            <w:r>
              <w:rPr>
                <w:rFonts w:ascii="Figtree" w:hAnsi="Figtree"/>
                <w:b w:val="0"/>
                <w:i w:val="0"/>
                <w:sz w:val="20"/>
              </w:rPr>
              <w:t>TR-003</w:t>
            </w:r>
          </w:p>
        </w:tc>
        <w:tc>
          <w:tcPr>
            <w:tcW w:type="dxa" w:w="2436"/>
            <w:vAlign w:val="center"/>
          </w:tcPr>
          <w:p>
            <w:pPr>
              <w:spacing w:line="276" w:lineRule="auto" w:before="0" w:after="0"/>
            </w:pPr>
            <w:r/>
            <w:r>
              <w:rPr>
                <w:rFonts w:ascii="Figtree" w:hAnsi="Figtree"/>
                <w:b w:val="0"/>
                <w:i w:val="0"/>
                <w:sz w:val="20"/>
              </w:rPr>
              <w:t>Participant suspension and default management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Account freeze via custodian extension, forced transfer for default management, CUSTODIAN_ROLE gated</w:t>
            </w:r>
          </w:p>
        </w:tc>
      </w:tr>
      <w:tr>
        <w:trPr>
          <w:trHeight w:val="425" w:hRule="atLeast"/>
        </w:trPr>
        <w:tc>
          <w:tcPr>
            <w:tcW w:type="dxa" w:w="2436"/>
            <w:vAlign w:val="center"/>
          </w:tcPr>
          <w:p>
            <w:pPr>
              <w:spacing w:line="276" w:lineRule="auto" w:before="0" w:after="0"/>
            </w:pPr>
            <w:r/>
            <w:r>
              <w:rPr>
                <w:rFonts w:ascii="Figtree" w:hAnsi="Figtree"/>
                <w:b w:val="0"/>
                <w:i w:val="0"/>
                <w:sz w:val="20"/>
              </w:rPr>
              <w:t>TR-004</w:t>
            </w:r>
          </w:p>
        </w:tc>
        <w:tc>
          <w:tcPr>
            <w:tcW w:type="dxa" w:w="2436"/>
            <w:vAlign w:val="center"/>
          </w:tcPr>
          <w:p>
            <w:pPr>
              <w:spacing w:line="276" w:lineRule="auto" w:before="0" w:after="0"/>
            </w:pPr>
            <w:r/>
            <w:r>
              <w:rPr>
                <w:rFonts w:ascii="Figtree" w:hAnsi="Figtree"/>
                <w:b w:val="0"/>
                <w:i w:val="0"/>
                <w:sz w:val="20"/>
              </w:rPr>
              <w:t>AML/AMLA integration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API integration with SDX's KYC/AML system; address block list and country block list for SECO sanctions</w:t>
            </w:r>
          </w:p>
        </w:tc>
      </w:tr>
      <w:tr>
        <w:trPr>
          <w:trHeight w:val="425" w:hRule="atLeast"/>
        </w:trPr>
        <w:tc>
          <w:tcPr>
            <w:tcW w:type="dxa" w:w="2436"/>
            <w:vAlign w:val="center"/>
          </w:tcPr>
          <w:p>
            <w:pPr>
              <w:spacing w:line="276" w:lineRule="auto" w:before="0" w:after="0"/>
            </w:pPr>
            <w:r/>
            <w:r>
              <w:rPr>
                <w:rFonts w:ascii="Figtree" w:hAnsi="Figtree"/>
                <w:b w:val="0"/>
                <w:i w:val="0"/>
                <w:sz w:val="20"/>
              </w:rPr>
              <w:t>TR-005</w:t>
            </w:r>
          </w:p>
        </w:tc>
        <w:tc>
          <w:tcPr>
            <w:tcW w:type="dxa" w:w="2436"/>
            <w:vAlign w:val="center"/>
          </w:tcPr>
          <w:p>
            <w:pPr>
              <w:spacing w:line="276" w:lineRule="auto" w:before="0" w:after="0"/>
            </w:pPr>
            <w:r/>
            <w:r>
              <w:rPr>
                <w:rFonts w:ascii="Figtree" w:hAnsi="Figtree"/>
                <w:b w:val="0"/>
                <w:i w:val="0"/>
                <w:sz w:val="20"/>
              </w:rPr>
              <w:t>FMIA settlement finality (Article 51)</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atomic completion constitutes finality; IBFT 2.0 immediate block finality; Chain Indexer finality record; Swiss legal counsel analysis of IBFT 2.0 finality vs FMIA Art. 51 available under NDA</w:t>
            </w:r>
          </w:p>
        </w:tc>
      </w:tr>
      <w:tr>
        <w:trPr>
          <w:trHeight w:val="425" w:hRule="atLeast"/>
        </w:trPr>
        <w:tc>
          <w:tcPr>
            <w:tcW w:type="dxa" w:w="2436"/>
            <w:vAlign w:val="center"/>
          </w:tcPr>
          <w:p>
            <w:pPr>
              <w:spacing w:line="276" w:lineRule="auto" w:before="0" w:after="0"/>
            </w:pPr>
            <w:r/>
            <w:r>
              <w:rPr>
                <w:rFonts w:ascii="Figtree" w:hAnsi="Figtree"/>
                <w:b w:val="0"/>
                <w:i w:val="0"/>
                <w:sz w:val="20"/>
              </w:rPr>
              <w:t>TR-006</w:t>
            </w:r>
          </w:p>
        </w:tc>
        <w:tc>
          <w:tcPr>
            <w:tcW w:type="dxa" w:w="2436"/>
            <w:vAlign w:val="center"/>
          </w:tcPr>
          <w:p>
            <w:pPr>
              <w:spacing w:line="276" w:lineRule="auto" w:before="0" w:after="0"/>
            </w:pPr>
            <w:r/>
            <w:r>
              <w:rPr>
                <w:rFonts w:ascii="Figtree" w:hAnsi="Figtree"/>
                <w:b w:val="0"/>
                <w:i w:val="0"/>
                <w:sz w:val="20"/>
              </w:rPr>
              <w:t>DLT Act DLT-Wertrechte compliance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DALPAsset on-chain register functions as DLT rights register; immutable, modification-protected</w:t>
            </w:r>
          </w:p>
        </w:tc>
      </w:tr>
      <w:tr>
        <w:trPr>
          <w:trHeight w:val="425" w:hRule="atLeast"/>
        </w:trPr>
        <w:tc>
          <w:tcPr>
            <w:tcW w:type="dxa" w:w="2436"/>
            <w:vAlign w:val="center"/>
          </w:tcPr>
          <w:p>
            <w:pPr>
              <w:spacing w:line="276" w:lineRule="auto" w:before="0" w:after="0"/>
            </w:pPr>
            <w:r/>
            <w:r>
              <w:rPr>
                <w:rFonts w:ascii="Figtree" w:hAnsi="Figtree"/>
                <w:b w:val="0"/>
                <w:i w:val="0"/>
                <w:sz w:val="20"/>
              </w:rPr>
              <w:t>TR-007</w:t>
            </w:r>
          </w:p>
        </w:tc>
        <w:tc>
          <w:tcPr>
            <w:tcW w:type="dxa" w:w="2436"/>
            <w:vAlign w:val="center"/>
          </w:tcPr>
          <w:p>
            <w:pPr>
              <w:spacing w:line="276" w:lineRule="auto" w:before="0" w:after="0"/>
            </w:pPr>
            <w:r/>
            <w:r>
              <w:rPr>
                <w:rFonts w:ascii="Figtree" w:hAnsi="Figtree"/>
                <w:b w:val="0"/>
                <w:i w:val="0"/>
                <w:sz w:val="20"/>
              </w:rPr>
              <w:t>Configurable market models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Transfer approval module modes, time lock, trading session state management</w:t>
            </w:r>
          </w:p>
        </w:tc>
      </w:tr>
      <w:tr>
        <w:trPr>
          <w:trHeight w:val="425" w:hRule="atLeast"/>
        </w:trPr>
        <w:tc>
          <w:tcPr>
            <w:tcW w:type="dxa" w:w="2436"/>
            <w:vAlign w:val="center"/>
          </w:tcPr>
          <w:p>
            <w:pPr>
              <w:spacing w:line="276" w:lineRule="auto" w:before="0" w:after="0"/>
            </w:pPr>
            <w:r/>
            <w:r>
              <w:rPr>
                <w:rFonts w:ascii="Figtree" w:hAnsi="Figtree"/>
                <w:b w:val="0"/>
                <w:i w:val="0"/>
                <w:sz w:val="20"/>
              </w:rPr>
              <w:t>TR-008</w:t>
            </w:r>
          </w:p>
        </w:tc>
        <w:tc>
          <w:tcPr>
            <w:tcW w:type="dxa" w:w="2436"/>
            <w:vAlign w:val="center"/>
          </w:tcPr>
          <w:p>
            <w:pPr>
              <w:spacing w:line="276" w:lineRule="auto" w:before="0" w:after="0"/>
            </w:pPr>
            <w:r/>
            <w:r>
              <w:rPr>
                <w:rFonts w:ascii="Figtree" w:hAnsi="Figtree"/>
                <w:b w:val="0"/>
                <w:i w:val="0"/>
                <w:sz w:val="20"/>
              </w:rPr>
              <w:t>Multi-asset class support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DALPAsset templates for bonds, funds, equities, structured products, repo; all from single deployment</w:t>
            </w:r>
          </w:p>
        </w:tc>
      </w:tr>
      <w:tr>
        <w:trPr>
          <w:trHeight w:val="425" w:hRule="atLeast"/>
        </w:trPr>
        <w:tc>
          <w:tcPr>
            <w:tcW w:type="dxa" w:w="2436"/>
            <w:vAlign w:val="center"/>
          </w:tcPr>
          <w:p>
            <w:pPr>
              <w:spacing w:line="276" w:lineRule="auto" w:before="0" w:after="0"/>
            </w:pPr>
            <w:r/>
            <w:r>
              <w:rPr>
                <w:rFonts w:ascii="Figtree" w:hAnsi="Figtree"/>
                <w:b w:val="0"/>
                <w:i w:val="0"/>
                <w:sz w:val="20"/>
              </w:rPr>
              <w:t>TR-009</w:t>
            </w:r>
          </w:p>
        </w:tc>
        <w:tc>
          <w:tcPr>
            <w:tcW w:type="dxa" w:w="2436"/>
            <w:vAlign w:val="center"/>
          </w:tcPr>
          <w:p>
            <w:pPr>
              <w:spacing w:line="276" w:lineRule="auto" w:before="0" w:after="0"/>
            </w:pPr>
            <w:r/>
            <w:r>
              <w:rPr>
                <w:rFonts w:ascii="Figtree" w:hAnsi="Figtree"/>
                <w:b w:val="0"/>
                <w:i w:val="0"/>
                <w:sz w:val="20"/>
              </w:rPr>
              <w:t>Asset issuance without redeployment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Runtime compliance module configuration; UUPS proxy pattern for governance-controlled upgrades</w:t>
            </w:r>
          </w:p>
        </w:tc>
      </w:tr>
      <w:tr>
        <w:trPr>
          <w:trHeight w:val="425" w:hRule="atLeast"/>
        </w:trPr>
        <w:tc>
          <w:tcPr>
            <w:tcW w:type="dxa" w:w="2436"/>
            <w:vAlign w:val="center"/>
          </w:tcPr>
          <w:p>
            <w:pPr>
              <w:spacing w:line="276" w:lineRule="auto" w:before="0" w:after="0"/>
            </w:pPr>
            <w:r/>
            <w:r>
              <w:rPr>
                <w:rFonts w:ascii="Figtree" w:hAnsi="Figtree"/>
                <w:b w:val="0"/>
                <w:i w:val="0"/>
                <w:sz w:val="20"/>
              </w:rPr>
              <w:t>TR-010</w:t>
            </w:r>
          </w:p>
        </w:tc>
        <w:tc>
          <w:tcPr>
            <w:tcW w:type="dxa" w:w="2436"/>
            <w:vAlign w:val="center"/>
          </w:tcPr>
          <w:p>
            <w:pPr>
              <w:spacing w:line="276" w:lineRule="auto" w:before="0" w:after="0"/>
            </w:pPr>
            <w:r/>
            <w:r>
              <w:rPr>
                <w:rFonts w:ascii="Figtree" w:hAnsi="Figtree"/>
                <w:b w:val="0"/>
                <w:i w:val="0"/>
                <w:sz w:val="20"/>
              </w:rPr>
              <w:t>Atomic DvP settlement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addon: simultaneous securities and cash legs, single-block completion, automatic revert on failure</w:t>
            </w:r>
          </w:p>
        </w:tc>
      </w:tr>
      <w:tr>
        <w:trPr>
          <w:trHeight w:val="425" w:hRule="atLeast"/>
        </w:trPr>
        <w:tc>
          <w:tcPr>
            <w:tcW w:type="dxa" w:w="2436"/>
            <w:vAlign w:val="center"/>
          </w:tcPr>
          <w:p>
            <w:pPr>
              <w:spacing w:line="276" w:lineRule="auto" w:before="0" w:after="0"/>
            </w:pPr>
            <w:r/>
            <w:r>
              <w:rPr>
                <w:rFonts w:ascii="Figtree" w:hAnsi="Figtree"/>
                <w:b w:val="0"/>
                <w:i w:val="0"/>
                <w:sz w:val="20"/>
              </w:rPr>
              <w:t>TR-011</w:t>
            </w:r>
          </w:p>
        </w:tc>
        <w:tc>
          <w:tcPr>
            <w:tcW w:type="dxa" w:w="2436"/>
            <w:vAlign w:val="center"/>
          </w:tcPr>
          <w:p>
            <w:pPr>
              <w:spacing w:line="276" w:lineRule="auto" w:before="0" w:after="0"/>
            </w:pPr>
            <w:r/>
            <w:r>
              <w:rPr>
                <w:rFonts w:ascii="Figtree" w:hAnsi="Figtree"/>
                <w:b w:val="0"/>
                <w:i w:val="0"/>
                <w:sz w:val="20"/>
              </w:rPr>
              <w:t>T+0 settlement capability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Single-block settlement with IBFT 2.0 finality (2-second block time)</w:t>
            </w:r>
          </w:p>
        </w:tc>
      </w:tr>
      <w:tr>
        <w:trPr>
          <w:trHeight w:val="425" w:hRule="atLeast"/>
        </w:trPr>
        <w:tc>
          <w:tcPr>
            <w:tcW w:type="dxa" w:w="2436"/>
            <w:vAlign w:val="center"/>
          </w:tcPr>
          <w:p>
            <w:pPr>
              <w:spacing w:line="276" w:lineRule="auto" w:before="0" w:after="0"/>
            </w:pPr>
            <w:r/>
            <w:r>
              <w:rPr>
                <w:rFonts w:ascii="Figtree" w:hAnsi="Figtree"/>
                <w:b w:val="0"/>
                <w:i w:val="0"/>
                <w:sz w:val="20"/>
              </w:rPr>
              <w:t>TR-012</w:t>
            </w:r>
          </w:p>
        </w:tc>
        <w:tc>
          <w:tcPr>
            <w:tcW w:type="dxa" w:w="2436"/>
            <w:vAlign w:val="center"/>
          </w:tcPr>
          <w:p>
            <w:pPr>
              <w:spacing w:line="276" w:lineRule="auto" w:before="0" w:after="0"/>
            </w:pPr>
            <w:r/>
            <w:r>
              <w:rPr>
                <w:rFonts w:ascii="Figtree" w:hAnsi="Figtree"/>
                <w:b w:val="0"/>
                <w:i w:val="0"/>
                <w:sz w:val="20"/>
              </w:rPr>
              <w:t>Future-dated settlement instructions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supports instruction creation with deferred execution at configured future time</w:t>
            </w:r>
          </w:p>
        </w:tc>
      </w:tr>
      <w:tr>
        <w:trPr>
          <w:trHeight w:val="425" w:hRule="atLeast"/>
        </w:trPr>
        <w:tc>
          <w:tcPr>
            <w:tcW w:type="dxa" w:w="2436"/>
            <w:vAlign w:val="center"/>
          </w:tcPr>
          <w:p>
            <w:pPr>
              <w:spacing w:line="276" w:lineRule="auto" w:before="0" w:after="0"/>
            </w:pPr>
            <w:r/>
            <w:r>
              <w:rPr>
                <w:rFonts w:ascii="Figtree" w:hAnsi="Figtree"/>
                <w:b w:val="0"/>
                <w:i w:val="0"/>
                <w:sz w:val="20"/>
              </w:rPr>
              <w:t>TR-013</w:t>
            </w:r>
          </w:p>
        </w:tc>
        <w:tc>
          <w:tcPr>
            <w:tcW w:type="dxa" w:w="2436"/>
            <w:vAlign w:val="center"/>
          </w:tcPr>
          <w:p>
            <w:pPr>
              <w:spacing w:line="276" w:lineRule="auto" w:before="0" w:after="0"/>
            </w:pPr>
            <w:r/>
            <w:r>
              <w:rPr>
                <w:rFonts w:ascii="Figtree" w:hAnsi="Figtree"/>
                <w:b w:val="0"/>
                <w:i w:val="0"/>
                <w:sz w:val="20"/>
              </w:rPr>
              <w:t>Multi-leg settlement (REPO)</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extension: multi-party, multi-leg, same atomicity guarantees</w:t>
            </w:r>
          </w:p>
        </w:tc>
      </w:tr>
      <w:tr>
        <w:trPr>
          <w:trHeight w:val="425" w:hRule="atLeast"/>
        </w:trPr>
        <w:tc>
          <w:tcPr>
            <w:tcW w:type="dxa" w:w="2436"/>
            <w:vAlign w:val="center"/>
          </w:tcPr>
          <w:p>
            <w:pPr>
              <w:spacing w:line="276" w:lineRule="auto" w:before="0" w:after="0"/>
            </w:pPr>
            <w:r/>
            <w:r>
              <w:rPr>
                <w:rFonts w:ascii="Figtree" w:hAnsi="Figtree"/>
                <w:b w:val="0"/>
                <w:i w:val="0"/>
                <w:sz w:val="20"/>
              </w:rPr>
              <w:t>TR-014</w:t>
            </w:r>
          </w:p>
        </w:tc>
        <w:tc>
          <w:tcPr>
            <w:tcW w:type="dxa" w:w="2436"/>
            <w:vAlign w:val="center"/>
          </w:tcPr>
          <w:p>
            <w:pPr>
              <w:spacing w:line="276" w:lineRule="auto" w:before="0" w:after="0"/>
            </w:pPr>
            <w:r/>
            <w:r>
              <w:rPr>
                <w:rFonts w:ascii="Figtree" w:hAnsi="Figtree"/>
                <w:b w:val="0"/>
                <w:i w:val="0"/>
                <w:sz w:val="20"/>
              </w:rPr>
              <w:t>Settlement failure handling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Automatic revert of all legs on any failure, event emission with failure reason</w:t>
            </w:r>
          </w:p>
        </w:tc>
      </w:tr>
      <w:tr>
        <w:trPr>
          <w:trHeight w:val="425" w:hRule="atLeast"/>
        </w:trPr>
        <w:tc>
          <w:tcPr>
            <w:tcW w:type="dxa" w:w="2436"/>
            <w:vAlign w:val="center"/>
          </w:tcPr>
          <w:p>
            <w:pPr>
              <w:spacing w:line="276" w:lineRule="auto" w:before="0" w:after="0"/>
            </w:pPr>
            <w:r/>
            <w:r>
              <w:rPr>
                <w:rFonts w:ascii="Figtree" w:hAnsi="Figtree"/>
                <w:b w:val="0"/>
                <w:i w:val="0"/>
                <w:sz w:val="20"/>
              </w:rPr>
              <w:t>TR-015</w:t>
            </w:r>
          </w:p>
        </w:tc>
        <w:tc>
          <w:tcPr>
            <w:tcW w:type="dxa" w:w="2436"/>
            <w:vAlign w:val="center"/>
          </w:tcPr>
          <w:p>
            <w:pPr>
              <w:spacing w:line="276" w:lineRule="auto" w:before="0" w:after="0"/>
            </w:pPr>
            <w:r/>
            <w:r>
              <w:rPr>
                <w:rFonts w:ascii="Figtree" w:hAnsi="Figtree"/>
                <w:b w:val="0"/>
                <w:i w:val="0"/>
                <w:sz w:val="20"/>
              </w:rPr>
              <w:t>Compliance enforcement at transfer level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ERC-3643 on-chain compliance engine; 8 modules; cannot be bypassed by application layer</w:t>
            </w:r>
          </w:p>
        </w:tc>
      </w:tr>
      <w:tr>
        <w:trPr>
          <w:trHeight w:val="425" w:hRule="atLeast"/>
        </w:trPr>
        <w:tc>
          <w:tcPr>
            <w:tcW w:type="dxa" w:w="2436"/>
            <w:vAlign w:val="center"/>
          </w:tcPr>
          <w:p>
            <w:pPr>
              <w:spacing w:line="276" w:lineRule="auto" w:before="0" w:after="0"/>
            </w:pPr>
            <w:r/>
            <w:r>
              <w:rPr>
                <w:rFonts w:ascii="Figtree" w:hAnsi="Figtree"/>
                <w:b w:val="0"/>
                <w:i w:val="0"/>
                <w:sz w:val="20"/>
              </w:rPr>
              <w:t>TR-016</w:t>
            </w:r>
          </w:p>
        </w:tc>
        <w:tc>
          <w:tcPr>
            <w:tcW w:type="dxa" w:w="2436"/>
            <w:vAlign w:val="center"/>
          </w:tcPr>
          <w:p>
            <w:pPr>
              <w:spacing w:line="276" w:lineRule="auto" w:before="0" w:after="0"/>
            </w:pPr>
            <w:r/>
            <w:r>
              <w:rPr>
                <w:rFonts w:ascii="Figtree" w:hAnsi="Figtree"/>
                <w:b w:val="0"/>
                <w:i w:val="0"/>
                <w:sz w:val="20"/>
              </w:rPr>
              <w:t>Country/jurisdiction restrictions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Country allow list and block list modules, SECO/FATF-aligned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TR-017</w:t>
            </w:r>
          </w:p>
        </w:tc>
        <w:tc>
          <w:tcPr>
            <w:tcW w:type="dxa" w:w="2436"/>
            <w:vAlign w:val="center"/>
          </w:tcPr>
          <w:p>
            <w:pPr>
              <w:spacing w:line="276" w:lineRule="auto" w:before="0" w:after="0"/>
            </w:pPr>
            <w:r/>
            <w:r>
              <w:rPr>
                <w:rFonts w:ascii="Figtree" w:hAnsi="Figtree"/>
                <w:b w:val="0"/>
                <w:i w:val="0"/>
                <w:sz w:val="20"/>
              </w:rPr>
              <w:t>Investor eligibility controls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Identity verification, investor count limit, address block list modules</w:t>
            </w:r>
          </w:p>
        </w:tc>
      </w:tr>
      <w:tr>
        <w:trPr>
          <w:trHeight w:val="425" w:hRule="atLeast"/>
        </w:trPr>
        <w:tc>
          <w:tcPr>
            <w:tcW w:type="dxa" w:w="2436"/>
            <w:vAlign w:val="center"/>
          </w:tcPr>
          <w:p>
            <w:pPr>
              <w:spacing w:line="276" w:lineRule="auto" w:before="0" w:after="0"/>
            </w:pPr>
            <w:r/>
            <w:r>
              <w:rPr>
                <w:rFonts w:ascii="Figtree" w:hAnsi="Figtree"/>
                <w:b w:val="0"/>
                <w:i w:val="0"/>
                <w:sz w:val="20"/>
              </w:rPr>
              <w:t>TR-018</w:t>
            </w:r>
          </w:p>
        </w:tc>
        <w:tc>
          <w:tcPr>
            <w:tcW w:type="dxa" w:w="2436"/>
            <w:vAlign w:val="center"/>
          </w:tcPr>
          <w:p>
            <w:pPr>
              <w:spacing w:line="276" w:lineRule="auto" w:before="0" w:after="0"/>
            </w:pPr>
            <w:r/>
            <w:r>
              <w:rPr>
                <w:rFonts w:ascii="Figtree" w:hAnsi="Figtree"/>
                <w:b w:val="0"/>
                <w:i w:val="0"/>
                <w:sz w:val="20"/>
              </w:rPr>
              <w:t>Supply cap and over-issuance prevention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Supply cap compliance module; enforced on-chain</w:t>
            </w:r>
          </w:p>
        </w:tc>
      </w:tr>
      <w:tr>
        <w:trPr>
          <w:trHeight w:val="425" w:hRule="atLeast"/>
        </w:trPr>
        <w:tc>
          <w:tcPr>
            <w:tcW w:type="dxa" w:w="2436"/>
            <w:vAlign w:val="center"/>
          </w:tcPr>
          <w:p>
            <w:pPr>
              <w:spacing w:line="276" w:lineRule="auto" w:before="0" w:after="0"/>
            </w:pPr>
            <w:r/>
            <w:r>
              <w:rPr>
                <w:rFonts w:ascii="Figtree" w:hAnsi="Figtree"/>
                <w:b w:val="0"/>
                <w:i w:val="0"/>
                <w:sz w:val="20"/>
              </w:rPr>
              <w:t>TR-019</w:t>
            </w:r>
          </w:p>
        </w:tc>
        <w:tc>
          <w:tcPr>
            <w:tcW w:type="dxa" w:w="2436"/>
            <w:vAlign w:val="center"/>
          </w:tcPr>
          <w:p>
            <w:pPr>
              <w:spacing w:line="276" w:lineRule="auto" w:before="0" w:after="0"/>
            </w:pPr>
            <w:r/>
            <w:r>
              <w:rPr>
                <w:rFonts w:ascii="Figtree" w:hAnsi="Figtree"/>
                <w:b w:val="0"/>
                <w:i w:val="0"/>
                <w:sz w:val="20"/>
              </w:rPr>
              <w:t>Pre-settlement compliance check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Compliance engine evaluates all modules before settlement proceeds; rejected transfers emit denial event</w:t>
            </w:r>
          </w:p>
        </w:tc>
      </w:tr>
      <w:tr>
        <w:trPr>
          <w:trHeight w:val="425" w:hRule="atLeast"/>
        </w:trPr>
        <w:tc>
          <w:tcPr>
            <w:tcW w:type="dxa" w:w="2436"/>
            <w:vAlign w:val="center"/>
          </w:tcPr>
          <w:p>
            <w:pPr>
              <w:spacing w:line="276" w:lineRule="auto" w:before="0" w:after="0"/>
            </w:pPr>
            <w:r/>
            <w:r>
              <w:rPr>
                <w:rFonts w:ascii="Figtree" w:hAnsi="Figtree"/>
                <w:b w:val="0"/>
                <w:i w:val="0"/>
                <w:sz w:val="20"/>
              </w:rPr>
              <w:t>TR-020</w:t>
            </w:r>
          </w:p>
        </w:tc>
        <w:tc>
          <w:tcPr>
            <w:tcW w:type="dxa" w:w="2436"/>
            <w:vAlign w:val="center"/>
          </w:tcPr>
          <w:p>
            <w:pPr>
              <w:spacing w:line="276" w:lineRule="auto" w:before="0" w:after="0"/>
            </w:pPr>
            <w:r/>
            <w:r>
              <w:rPr>
                <w:rFonts w:ascii="Figtree" w:hAnsi="Figtree"/>
                <w:b w:val="0"/>
                <w:i w:val="0"/>
                <w:sz w:val="20"/>
              </w:rPr>
              <w:t>Corporate actions - interest/coupon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Fixed treasury yield feature, historical balance snapshots, batch distribution API</w:t>
            </w:r>
          </w:p>
        </w:tc>
      </w:tr>
      <w:tr>
        <w:trPr>
          <w:trHeight w:val="425" w:hRule="atLeast"/>
        </w:trPr>
        <w:tc>
          <w:tcPr>
            <w:tcW w:type="dxa" w:w="2436"/>
            <w:vAlign w:val="center"/>
          </w:tcPr>
          <w:p>
            <w:pPr>
              <w:spacing w:line="276" w:lineRule="auto" w:before="0" w:after="0"/>
            </w:pPr>
            <w:r/>
            <w:r>
              <w:rPr>
                <w:rFonts w:ascii="Figtree" w:hAnsi="Figtree"/>
                <w:b w:val="0"/>
                <w:i w:val="0"/>
                <w:sz w:val="20"/>
              </w:rPr>
              <w:t>TR-021</w:t>
            </w:r>
          </w:p>
        </w:tc>
        <w:tc>
          <w:tcPr>
            <w:tcW w:type="dxa" w:w="2436"/>
            <w:vAlign w:val="center"/>
          </w:tcPr>
          <w:p>
            <w:pPr>
              <w:spacing w:line="276" w:lineRule="auto" w:before="0" w:after="0"/>
            </w:pPr>
            <w:r/>
            <w:r>
              <w:rPr>
                <w:rFonts w:ascii="Figtree" w:hAnsi="Figtree"/>
                <w:b w:val="0"/>
                <w:i w:val="0"/>
                <w:sz w:val="20"/>
              </w:rPr>
              <w:t>Corporate actions - redemption at maturity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Maturity/redemption feature with XvP settlement for cash return</w:t>
            </w:r>
          </w:p>
        </w:tc>
      </w:tr>
      <w:tr>
        <w:trPr>
          <w:trHeight w:val="425" w:hRule="atLeast"/>
        </w:trPr>
        <w:tc>
          <w:tcPr>
            <w:tcW w:type="dxa" w:w="2436"/>
            <w:vAlign w:val="center"/>
          </w:tcPr>
          <w:p>
            <w:pPr>
              <w:spacing w:line="276" w:lineRule="auto" w:before="0" w:after="0"/>
            </w:pPr>
            <w:r/>
            <w:r>
              <w:rPr>
                <w:rFonts w:ascii="Figtree" w:hAnsi="Figtree"/>
                <w:b w:val="0"/>
                <w:i w:val="0"/>
                <w:sz w:val="20"/>
              </w:rPr>
              <w:t>TR-022</w:t>
            </w:r>
          </w:p>
        </w:tc>
        <w:tc>
          <w:tcPr>
            <w:tcW w:type="dxa" w:w="2436"/>
            <w:vAlign w:val="center"/>
          </w:tcPr>
          <w:p>
            <w:pPr>
              <w:spacing w:line="276" w:lineRule="auto" w:before="0" w:after="0"/>
            </w:pPr>
            <w:r/>
            <w:r>
              <w:rPr>
                <w:rFonts w:ascii="Figtree" w:hAnsi="Figtree"/>
                <w:b w:val="0"/>
                <w:i w:val="0"/>
                <w:sz w:val="20"/>
              </w:rPr>
              <w:t>Corporate actions - fund subscriptions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Conversion feature, NAV feeds from Feeds System, subscription workflow via API</w:t>
            </w:r>
          </w:p>
        </w:tc>
      </w:tr>
      <w:tr>
        <w:trPr>
          <w:trHeight w:val="425" w:hRule="atLeast"/>
        </w:trPr>
        <w:tc>
          <w:tcPr>
            <w:tcW w:type="dxa" w:w="2436"/>
            <w:vAlign w:val="center"/>
          </w:tcPr>
          <w:p>
            <w:pPr>
              <w:spacing w:line="276" w:lineRule="auto" w:before="0" w:after="0"/>
            </w:pPr>
            <w:r/>
            <w:r>
              <w:rPr>
                <w:rFonts w:ascii="Figtree" w:hAnsi="Figtree"/>
                <w:b w:val="0"/>
                <w:i w:val="0"/>
                <w:sz w:val="20"/>
              </w:rPr>
              <w:t>TR-023</w:t>
            </w:r>
          </w:p>
        </w:tc>
        <w:tc>
          <w:tcPr>
            <w:tcW w:type="dxa" w:w="2436"/>
            <w:vAlign w:val="center"/>
          </w:tcPr>
          <w:p>
            <w:pPr>
              <w:spacing w:line="276" w:lineRule="auto" w:before="0" w:after="0"/>
            </w:pPr>
            <w:r/>
            <w:r>
              <w:rPr>
                <w:rFonts w:ascii="Figtree" w:hAnsi="Figtree"/>
                <w:b w:val="0"/>
                <w:i w:val="0"/>
                <w:sz w:val="20"/>
              </w:rPr>
              <w:t>FINMA reporting integration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webhook stream to FINMA-connected systems; scheduled API export for periodic reports</w:t>
            </w:r>
          </w:p>
        </w:tc>
      </w:tr>
      <w:tr>
        <w:trPr>
          <w:trHeight w:val="425" w:hRule="atLeast"/>
        </w:trPr>
        <w:tc>
          <w:tcPr>
            <w:tcW w:type="dxa" w:w="2436"/>
            <w:vAlign w:val="center"/>
          </w:tcPr>
          <w:p>
            <w:pPr>
              <w:spacing w:line="276" w:lineRule="auto" w:before="0" w:after="0"/>
            </w:pPr>
            <w:r/>
            <w:r>
              <w:rPr>
                <w:rFonts w:ascii="Figtree" w:hAnsi="Figtree"/>
                <w:b w:val="0"/>
                <w:i w:val="0"/>
                <w:sz w:val="20"/>
              </w:rPr>
              <w:t>TR-024</w:t>
            </w:r>
          </w:p>
        </w:tc>
        <w:tc>
          <w:tcPr>
            <w:tcW w:type="dxa" w:w="2436"/>
            <w:vAlign w:val="center"/>
          </w:tcPr>
          <w:p>
            <w:pPr>
              <w:spacing w:line="276" w:lineRule="auto" w:before="0" w:after="0"/>
            </w:pPr>
            <w:r/>
            <w:r>
              <w:rPr>
                <w:rFonts w:ascii="Figtree" w:hAnsi="Figtree"/>
                <w:b w:val="0"/>
                <w:i w:val="0"/>
                <w:sz w:val="20"/>
              </w:rPr>
              <w:t>Real-time event streaming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webhooks, p99 &lt; 2 seconds from block finality</w:t>
            </w:r>
          </w:p>
        </w:tc>
      </w:tr>
      <w:tr>
        <w:trPr>
          <w:trHeight w:val="425" w:hRule="atLeast"/>
        </w:trPr>
        <w:tc>
          <w:tcPr>
            <w:tcW w:type="dxa" w:w="2436"/>
            <w:vAlign w:val="center"/>
          </w:tcPr>
          <w:p>
            <w:pPr>
              <w:spacing w:line="276" w:lineRule="auto" w:before="0" w:after="0"/>
            </w:pPr>
            <w:r/>
            <w:r>
              <w:rPr>
                <w:rFonts w:ascii="Figtree" w:hAnsi="Figtree"/>
                <w:b w:val="0"/>
                <w:i w:val="0"/>
                <w:sz w:val="20"/>
              </w:rPr>
              <w:t>TR-025</w:t>
            </w:r>
          </w:p>
        </w:tc>
        <w:tc>
          <w:tcPr>
            <w:tcW w:type="dxa" w:w="2436"/>
            <w:vAlign w:val="center"/>
          </w:tcPr>
          <w:p>
            <w:pPr>
              <w:spacing w:line="276" w:lineRule="auto" w:before="0" w:after="0"/>
            </w:pPr>
            <w:r/>
            <w:r>
              <w:rPr>
                <w:rFonts w:ascii="Figtree" w:hAnsi="Figtree"/>
                <w:b w:val="0"/>
                <w:i w:val="0"/>
                <w:sz w:val="20"/>
              </w:rPr>
              <w:t>Immutable audit trail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On-chain event record; Chain Indexer structured projection; IBFT 2.0 immutable blockchain</w:t>
            </w:r>
          </w:p>
        </w:tc>
      </w:tr>
      <w:tr>
        <w:trPr>
          <w:trHeight w:val="425" w:hRule="atLeast"/>
        </w:trPr>
        <w:tc>
          <w:tcPr>
            <w:tcW w:type="dxa" w:w="2436"/>
            <w:vAlign w:val="center"/>
          </w:tcPr>
          <w:p>
            <w:pPr>
              <w:spacing w:line="276" w:lineRule="auto" w:before="0" w:after="0"/>
            </w:pPr>
            <w:r/>
            <w:r>
              <w:rPr>
                <w:rFonts w:ascii="Figtree" w:hAnsi="Figtree"/>
                <w:b w:val="0"/>
                <w:i w:val="0"/>
                <w:sz w:val="20"/>
              </w:rPr>
              <w:t>TR-026</w:t>
            </w:r>
          </w:p>
        </w:tc>
        <w:tc>
          <w:tcPr>
            <w:tcW w:type="dxa" w:w="2436"/>
            <w:vAlign w:val="center"/>
          </w:tcPr>
          <w:p>
            <w:pPr>
              <w:spacing w:line="276" w:lineRule="auto" w:before="0" w:after="0"/>
            </w:pPr>
            <w:r/>
            <w:r>
              <w:rPr>
                <w:rFonts w:ascii="Figtree" w:hAnsi="Figtree"/>
                <w:b w:val="0"/>
                <w:i w:val="0"/>
                <w:sz w:val="20"/>
              </w:rPr>
              <w:t>PFMI Principle 1 - Legal basis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On-chain settlement finality under IBFT 2.0 provides immediate, irreversible finality meeting FMIA Art. 51 requirements; DLT Act alignment validated with Swiss legal counsel; Chain Indexer provides timestamped finality records for legal evidence</w:t>
            </w:r>
          </w:p>
        </w:tc>
      </w:tr>
      <w:tr>
        <w:trPr>
          <w:trHeight w:val="425" w:hRule="atLeast"/>
        </w:trPr>
        <w:tc>
          <w:tcPr>
            <w:tcW w:type="dxa" w:w="2436"/>
            <w:vAlign w:val="center"/>
          </w:tcPr>
          <w:p>
            <w:pPr>
              <w:spacing w:line="276" w:lineRule="auto" w:before="0" w:after="0"/>
            </w:pPr>
            <w:r/>
            <w:r>
              <w:rPr>
                <w:rFonts w:ascii="Figtree" w:hAnsi="Figtree"/>
                <w:b w:val="0"/>
                <w:i w:val="0"/>
                <w:sz w:val="20"/>
              </w:rPr>
              <w:t>TR-027</w:t>
            </w:r>
          </w:p>
        </w:tc>
        <w:tc>
          <w:tcPr>
            <w:tcW w:type="dxa" w:w="2436"/>
            <w:vAlign w:val="center"/>
          </w:tcPr>
          <w:p>
            <w:pPr>
              <w:spacing w:line="276" w:lineRule="auto" w:before="0" w:after="0"/>
            </w:pPr>
            <w:r/>
            <w:r>
              <w:rPr>
                <w:rFonts w:ascii="Figtree" w:hAnsi="Figtree"/>
                <w:b w:val="0"/>
                <w:i w:val="0"/>
                <w:sz w:val="20"/>
              </w:rPr>
              <w:t>PFMI Principle 2 - Governance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GOVERNANCE_ROLE multi-sig prevents unilateral system-level changes; AccessManager RBAC enforces four-way role separation; SDX Board-level audit access via Asset Console; all governance actions recorded on-chain</w:t>
            </w:r>
          </w:p>
        </w:tc>
      </w:tr>
      <w:tr>
        <w:trPr>
          <w:trHeight w:val="425" w:hRule="atLeast"/>
        </w:trPr>
        <w:tc>
          <w:tcPr>
            <w:tcW w:type="dxa" w:w="2436"/>
            <w:vAlign w:val="center"/>
          </w:tcPr>
          <w:p>
            <w:pPr>
              <w:spacing w:line="276" w:lineRule="auto" w:before="0" w:after="0"/>
            </w:pPr>
            <w:r/>
            <w:r>
              <w:rPr>
                <w:rFonts w:ascii="Figtree" w:hAnsi="Figtree"/>
                <w:b w:val="0"/>
                <w:i w:val="0"/>
                <w:sz w:val="20"/>
              </w:rPr>
              <w:t>TR-028</w:t>
            </w:r>
          </w:p>
        </w:tc>
        <w:tc>
          <w:tcPr>
            <w:tcW w:type="dxa" w:w="2436"/>
            <w:vAlign w:val="center"/>
          </w:tcPr>
          <w:p>
            <w:pPr>
              <w:spacing w:line="276" w:lineRule="auto" w:before="0" w:after="0"/>
            </w:pPr>
            <w:r/>
            <w:r>
              <w:rPr>
                <w:rFonts w:ascii="Figtree" w:hAnsi="Figtree"/>
                <w:b w:val="0"/>
                <w:i w:val="0"/>
                <w:sz w:val="20"/>
              </w:rPr>
              <w:t>PFMI Principle 3 - Risk management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Compliance modules enforce transfer eligibility at contract layer (cannot be bypassed); real-time monitoring via Grafana/VictoriaMetrics; quarterly risk reporting to SDX; PFMI self-assessment evidence package included in Enterprise SLA</w:t>
            </w:r>
          </w:p>
        </w:tc>
      </w:tr>
      <w:tr>
        <w:trPr>
          <w:trHeight w:val="425" w:hRule="atLeast"/>
        </w:trPr>
        <w:tc>
          <w:tcPr>
            <w:tcW w:type="dxa" w:w="2436"/>
            <w:vAlign w:val="center"/>
          </w:tcPr>
          <w:p>
            <w:pPr>
              <w:spacing w:line="276" w:lineRule="auto" w:before="0" w:after="0"/>
            </w:pPr>
            <w:r/>
            <w:r>
              <w:rPr>
                <w:rFonts w:ascii="Figtree" w:hAnsi="Figtree"/>
                <w:b w:val="0"/>
                <w:i w:val="0"/>
                <w:sz w:val="20"/>
              </w:rPr>
              <w:t>TR-029</w:t>
            </w:r>
          </w:p>
        </w:tc>
        <w:tc>
          <w:tcPr>
            <w:tcW w:type="dxa" w:w="2436"/>
            <w:vAlign w:val="center"/>
          </w:tcPr>
          <w:p>
            <w:pPr>
              <w:spacing w:line="276" w:lineRule="auto" w:before="0" w:after="0"/>
            </w:pPr>
            <w:r/>
            <w:r>
              <w:rPr>
                <w:rFonts w:ascii="Figtree" w:hAnsi="Figtree"/>
                <w:b w:val="0"/>
                <w:i w:val="0"/>
                <w:sz w:val="20"/>
              </w:rPr>
              <w:t>PFMI Principle 4 - Credit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atomicity eliminates bilateral pre-settlement credit exposure entirely; both legs complete simultaneously or neither settles; no credit window exists in the DvP flow</w:t>
            </w:r>
          </w:p>
        </w:tc>
      </w:tr>
      <w:tr>
        <w:trPr>
          <w:trHeight w:val="425" w:hRule="atLeast"/>
        </w:trPr>
        <w:tc>
          <w:tcPr>
            <w:tcW w:type="dxa" w:w="2436"/>
            <w:vAlign w:val="center"/>
          </w:tcPr>
          <w:p>
            <w:pPr>
              <w:spacing w:line="276" w:lineRule="auto" w:before="0" w:after="0"/>
            </w:pPr>
            <w:r/>
            <w:r>
              <w:rPr>
                <w:rFonts w:ascii="Figtree" w:hAnsi="Figtree"/>
                <w:b w:val="0"/>
                <w:i w:val="0"/>
                <w:sz w:val="20"/>
              </w:rPr>
              <w:t>TR-030</w:t>
            </w:r>
          </w:p>
        </w:tc>
        <w:tc>
          <w:tcPr>
            <w:tcW w:type="dxa" w:w="2436"/>
            <w:vAlign w:val="center"/>
          </w:tcPr>
          <w:p>
            <w:pPr>
              <w:spacing w:line="276" w:lineRule="auto" w:before="0" w:after="0"/>
            </w:pPr>
            <w:r/>
            <w:r>
              <w:rPr>
                <w:rFonts w:ascii="Figtree" w:hAnsi="Figtree"/>
                <w:b w:val="0"/>
                <w:i w:val="0"/>
                <w:sz w:val="20"/>
              </w:rPr>
              <w:t>PFMI Principle 5 - Collateral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Collateral requirement compliance module enforces collateral thresholds at token level; forced transfer enables margin call execution; XvP supports collateral substitution transactions atomically</w:t>
            </w:r>
          </w:p>
        </w:tc>
      </w:tr>
      <w:tr>
        <w:trPr>
          <w:trHeight w:val="425" w:hRule="atLeast"/>
        </w:trPr>
        <w:tc>
          <w:tcPr>
            <w:tcW w:type="dxa" w:w="2436"/>
            <w:vAlign w:val="center"/>
          </w:tcPr>
          <w:p>
            <w:pPr>
              <w:spacing w:line="276" w:lineRule="auto" w:before="0" w:after="0"/>
            </w:pPr>
            <w:r/>
            <w:r>
              <w:rPr>
                <w:rFonts w:ascii="Figtree" w:hAnsi="Figtree"/>
                <w:b w:val="0"/>
                <w:i w:val="0"/>
                <w:sz w:val="20"/>
              </w:rPr>
              <w:t>TR-031</w:t>
            </w:r>
          </w:p>
        </w:tc>
        <w:tc>
          <w:tcPr>
            <w:tcW w:type="dxa" w:w="2436"/>
            <w:vAlign w:val="center"/>
          </w:tcPr>
          <w:p>
            <w:pPr>
              <w:spacing w:line="276" w:lineRule="auto" w:before="0" w:after="0"/>
            </w:pPr>
            <w:r/>
            <w:r>
              <w:rPr>
                <w:rFonts w:ascii="Figtree" w:hAnsi="Figtree"/>
                <w:b w:val="0"/>
                <w:i w:val="0"/>
                <w:sz w:val="20"/>
              </w:rPr>
              <w:t>PFMI Principle 7 - Liquidity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T+0 DvP removes settlement liquidity timing risk; future-dated XvP supports T+1/T+2 instruction timing without creating intermediate liquidity obligations</w:t>
            </w:r>
          </w:p>
        </w:tc>
      </w:tr>
      <w:tr>
        <w:trPr>
          <w:trHeight w:val="425" w:hRule="atLeast"/>
        </w:trPr>
        <w:tc>
          <w:tcPr>
            <w:tcW w:type="dxa" w:w="2436"/>
            <w:vAlign w:val="center"/>
          </w:tcPr>
          <w:p>
            <w:pPr>
              <w:spacing w:line="276" w:lineRule="auto" w:before="0" w:after="0"/>
            </w:pPr>
            <w:r/>
            <w:r>
              <w:rPr>
                <w:rFonts w:ascii="Figtree" w:hAnsi="Figtree"/>
                <w:b w:val="0"/>
                <w:i w:val="0"/>
                <w:sz w:val="20"/>
              </w:rPr>
              <w:t>TR-032</w:t>
            </w:r>
          </w:p>
        </w:tc>
        <w:tc>
          <w:tcPr>
            <w:tcW w:type="dxa" w:w="2436"/>
            <w:vAlign w:val="center"/>
          </w:tcPr>
          <w:p>
            <w:pPr>
              <w:spacing w:line="276" w:lineRule="auto" w:before="0" w:after="0"/>
            </w:pPr>
            <w:r/>
            <w:r>
              <w:rPr>
                <w:rFonts w:ascii="Figtree" w:hAnsi="Figtree"/>
                <w:b w:val="0"/>
                <w:i w:val="0"/>
                <w:sz w:val="20"/>
              </w:rPr>
              <w:t>PFMI Principle 9 - Money settlements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On-chain CHF token settlement via XvP; IBFT 2.0 finality is immediate and irreversible; cash leg and securities leg achieve finality in the same block</w:t>
            </w:r>
          </w:p>
        </w:tc>
      </w:tr>
      <w:tr>
        <w:trPr>
          <w:trHeight w:val="425" w:hRule="atLeast"/>
        </w:trPr>
        <w:tc>
          <w:tcPr>
            <w:tcW w:type="dxa" w:w="2436"/>
            <w:vAlign w:val="center"/>
          </w:tcPr>
          <w:p>
            <w:pPr>
              <w:spacing w:line="276" w:lineRule="auto" w:before="0" w:after="0"/>
            </w:pPr>
            <w:r/>
            <w:r>
              <w:rPr>
                <w:rFonts w:ascii="Figtree" w:hAnsi="Figtree"/>
                <w:b w:val="0"/>
                <w:i w:val="0"/>
                <w:sz w:val="20"/>
              </w:rPr>
              <w:t>TR-033</w:t>
            </w:r>
          </w:p>
        </w:tc>
        <w:tc>
          <w:tcPr>
            <w:tcW w:type="dxa" w:w="2436"/>
            <w:vAlign w:val="center"/>
          </w:tcPr>
          <w:p>
            <w:pPr>
              <w:spacing w:line="276" w:lineRule="auto" w:before="0" w:after="0"/>
            </w:pPr>
            <w:r/>
            <w:r>
              <w:rPr>
                <w:rFonts w:ascii="Figtree" w:hAnsi="Figtree"/>
                <w:b w:val="0"/>
                <w:i w:val="0"/>
                <w:sz w:val="20"/>
              </w:rPr>
              <w:t>PFMI Principle 16 - Custody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Key Guardian HSM (FIPS 140-2 Level 3) protects all signing keys; no key co-mingling across participant accounts; automated key rotation; key access fully audited</w:t>
            </w:r>
          </w:p>
        </w:tc>
      </w:tr>
      <w:tr>
        <w:trPr>
          <w:trHeight w:val="425" w:hRule="atLeast"/>
        </w:trPr>
        <w:tc>
          <w:tcPr>
            <w:tcW w:type="dxa" w:w="2436"/>
            <w:vAlign w:val="center"/>
          </w:tcPr>
          <w:p>
            <w:pPr>
              <w:spacing w:line="276" w:lineRule="auto" w:before="0" w:after="0"/>
            </w:pPr>
            <w:r/>
            <w:r>
              <w:rPr>
                <w:rFonts w:ascii="Figtree" w:hAnsi="Figtree"/>
                <w:b w:val="0"/>
                <w:i w:val="0"/>
                <w:sz w:val="20"/>
              </w:rPr>
              <w:t>TR-034</w:t>
            </w:r>
          </w:p>
        </w:tc>
        <w:tc>
          <w:tcPr>
            <w:tcW w:type="dxa" w:w="2436"/>
            <w:vAlign w:val="center"/>
          </w:tcPr>
          <w:p>
            <w:pPr>
              <w:spacing w:line="276" w:lineRule="auto" w:before="0" w:after="0"/>
            </w:pPr>
            <w:r/>
            <w:r>
              <w:rPr>
                <w:rFonts w:ascii="Figtree" w:hAnsi="Figtree"/>
                <w:b w:val="0"/>
                <w:i w:val="0"/>
                <w:sz w:val="20"/>
              </w:rPr>
              <w:t>PFMI Principle 17 - Operational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99.99% SLA; dual-site HA (Zurich/Geneva); IBFT 2.0 BFT consensus tolerates validator failure; quarterly DR tests with evidence package; FINMA incident notification process embedded in incident response playbook</w:t>
            </w:r>
          </w:p>
        </w:tc>
      </w:tr>
      <w:tr>
        <w:trPr>
          <w:trHeight w:val="425" w:hRule="atLeast"/>
        </w:trPr>
        <w:tc>
          <w:tcPr>
            <w:tcW w:type="dxa" w:w="2436"/>
            <w:vAlign w:val="center"/>
          </w:tcPr>
          <w:p>
            <w:pPr>
              <w:spacing w:line="276" w:lineRule="auto" w:before="0" w:after="0"/>
            </w:pPr>
            <w:r/>
            <w:r>
              <w:rPr>
                <w:rFonts w:ascii="Figtree" w:hAnsi="Figtree"/>
                <w:b w:val="0"/>
                <w:i w:val="0"/>
                <w:sz w:val="20"/>
              </w:rPr>
              <w:t>TR-035</w:t>
            </w:r>
          </w:p>
        </w:tc>
        <w:tc>
          <w:tcPr>
            <w:tcW w:type="dxa" w:w="2436"/>
            <w:vAlign w:val="center"/>
          </w:tcPr>
          <w:p>
            <w:pPr>
              <w:spacing w:line="276" w:lineRule="auto" w:before="0" w:after="0"/>
            </w:pPr>
            <w:r/>
            <w:r>
              <w:rPr>
                <w:rFonts w:ascii="Figtree" w:hAnsi="Figtree"/>
                <w:b w:val="0"/>
                <w:i w:val="0"/>
                <w:sz w:val="20"/>
              </w:rPr>
              <w:t>PFMI Principle 18 - Access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OnchainID (ERC-734/735) provides open, transparent participant onboarding; AccessManager enforces tiered access; participant lifecycle management covers admission through suspension and exit</w:t>
            </w:r>
          </w:p>
        </w:tc>
      </w:tr>
      <w:tr>
        <w:trPr>
          <w:trHeight w:val="425" w:hRule="atLeast"/>
        </w:trPr>
        <w:tc>
          <w:tcPr>
            <w:tcW w:type="dxa" w:w="2436"/>
            <w:vAlign w:val="center"/>
          </w:tcPr>
          <w:p>
            <w:pPr>
              <w:spacing w:line="276" w:lineRule="auto" w:before="0" w:after="0"/>
            </w:pPr>
            <w:r/>
            <w:r>
              <w:rPr>
                <w:rFonts w:ascii="Figtree" w:hAnsi="Figtree"/>
                <w:b w:val="0"/>
                <w:i w:val="0"/>
                <w:sz w:val="20"/>
              </w:rPr>
              <w:t>TR-036</w:t>
            </w:r>
          </w:p>
        </w:tc>
        <w:tc>
          <w:tcPr>
            <w:tcW w:type="dxa" w:w="2436"/>
            <w:vAlign w:val="center"/>
          </w:tcPr>
          <w:p>
            <w:pPr>
              <w:spacing w:line="276" w:lineRule="auto" w:before="0" w:after="0"/>
            </w:pPr>
            <w:r/>
            <w:r>
              <w:rPr>
                <w:rFonts w:ascii="Figtree" w:hAnsi="Figtree"/>
                <w:b w:val="0"/>
                <w:i w:val="0"/>
                <w:sz w:val="20"/>
              </w:rPr>
              <w:t>ISO 27001 certification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Full ISO 27001; certificate and audit reports available for FINMA submission</w:t>
            </w:r>
          </w:p>
        </w:tc>
      </w:tr>
      <w:tr>
        <w:trPr>
          <w:trHeight w:val="425" w:hRule="atLeast"/>
        </w:trPr>
        <w:tc>
          <w:tcPr>
            <w:tcW w:type="dxa" w:w="2436"/>
            <w:vAlign w:val="center"/>
          </w:tcPr>
          <w:p>
            <w:pPr>
              <w:spacing w:line="276" w:lineRule="auto" w:before="0" w:after="0"/>
            </w:pPr>
            <w:r/>
            <w:r>
              <w:rPr>
                <w:rFonts w:ascii="Figtree" w:hAnsi="Figtree"/>
                <w:b w:val="0"/>
                <w:i w:val="0"/>
                <w:sz w:val="20"/>
              </w:rPr>
              <w:t>TR-037</w:t>
            </w:r>
          </w:p>
        </w:tc>
        <w:tc>
          <w:tcPr>
            <w:tcW w:type="dxa" w:w="2436"/>
            <w:vAlign w:val="center"/>
          </w:tcPr>
          <w:p>
            <w:pPr>
              <w:spacing w:line="276" w:lineRule="auto" w:before="0" w:after="0"/>
            </w:pPr>
            <w:r/>
            <w:r>
              <w:rPr>
                <w:rFonts w:ascii="Figtree" w:hAnsi="Figtree"/>
                <w:b w:val="0"/>
                <w:i w:val="0"/>
                <w:sz w:val="20"/>
              </w:rPr>
              <w:t>SOC 2 Type II</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Full SOC 2 Type II report available under NDA</w:t>
            </w:r>
          </w:p>
        </w:tc>
      </w:tr>
      <w:tr>
        <w:trPr>
          <w:trHeight w:val="425" w:hRule="atLeast"/>
        </w:trPr>
        <w:tc>
          <w:tcPr>
            <w:tcW w:type="dxa" w:w="2436"/>
            <w:vAlign w:val="center"/>
          </w:tcPr>
          <w:p>
            <w:pPr>
              <w:spacing w:line="276" w:lineRule="auto" w:before="0" w:after="0"/>
            </w:pPr>
            <w:r/>
            <w:r>
              <w:rPr>
                <w:rFonts w:ascii="Figtree" w:hAnsi="Figtree"/>
                <w:b w:val="0"/>
                <w:i w:val="0"/>
                <w:sz w:val="20"/>
              </w:rPr>
              <w:t>TR-038</w:t>
            </w:r>
          </w:p>
        </w:tc>
        <w:tc>
          <w:tcPr>
            <w:tcW w:type="dxa" w:w="2436"/>
            <w:vAlign w:val="center"/>
          </w:tcPr>
          <w:p>
            <w:pPr>
              <w:spacing w:line="276" w:lineRule="auto" w:before="0" w:after="0"/>
            </w:pPr>
            <w:r/>
            <w:r>
              <w:rPr>
                <w:rFonts w:ascii="Figtree" w:hAnsi="Figtree"/>
                <w:b w:val="0"/>
                <w:i w:val="0"/>
                <w:sz w:val="20"/>
              </w:rPr>
              <w:t>HSM key management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Key Guardian with FIPS 140-2 Level 3 HSM; keys never in plaintext</w:t>
            </w:r>
          </w:p>
        </w:tc>
      </w:tr>
      <w:tr>
        <w:trPr>
          <w:trHeight w:val="425" w:hRule="atLeast"/>
        </w:trPr>
        <w:tc>
          <w:tcPr>
            <w:tcW w:type="dxa" w:w="2436"/>
            <w:vAlign w:val="center"/>
          </w:tcPr>
          <w:p>
            <w:pPr>
              <w:spacing w:line="276" w:lineRule="auto" w:before="0" w:after="0"/>
            </w:pPr>
            <w:r/>
            <w:r>
              <w:rPr>
                <w:rFonts w:ascii="Figtree" w:hAnsi="Figtree"/>
                <w:b w:val="0"/>
                <w:i w:val="0"/>
                <w:sz w:val="20"/>
              </w:rPr>
              <w:t>TR-039</w:t>
            </w:r>
          </w:p>
        </w:tc>
        <w:tc>
          <w:tcPr>
            <w:tcW w:type="dxa" w:w="2436"/>
            <w:vAlign w:val="center"/>
          </w:tcPr>
          <w:p>
            <w:pPr>
              <w:spacing w:line="276" w:lineRule="auto" w:before="0" w:after="0"/>
            </w:pPr>
            <w:r/>
            <w:r>
              <w:rPr>
                <w:rFonts w:ascii="Figtree" w:hAnsi="Figtree"/>
                <w:b w:val="0"/>
                <w:i w:val="0"/>
                <w:sz w:val="20"/>
              </w:rPr>
              <w:t>MFA for all access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Mandatory MFA; step-up for blockchain writes</w:t>
            </w:r>
          </w:p>
        </w:tc>
      </w:tr>
      <w:tr>
        <w:trPr>
          <w:trHeight w:val="425" w:hRule="atLeast"/>
        </w:trPr>
        <w:tc>
          <w:tcPr>
            <w:tcW w:type="dxa" w:w="2436"/>
            <w:vAlign w:val="center"/>
          </w:tcPr>
          <w:p>
            <w:pPr>
              <w:spacing w:line="276" w:lineRule="auto" w:before="0" w:after="0"/>
            </w:pPr>
            <w:r/>
            <w:r>
              <w:rPr>
                <w:rFonts w:ascii="Figtree" w:hAnsi="Figtree"/>
                <w:b w:val="0"/>
                <w:i w:val="0"/>
                <w:sz w:val="20"/>
              </w:rPr>
              <w:t>TR-040</w:t>
            </w:r>
          </w:p>
        </w:tc>
        <w:tc>
          <w:tcPr>
            <w:tcW w:type="dxa" w:w="2436"/>
            <w:vAlign w:val="center"/>
          </w:tcPr>
          <w:p>
            <w:pPr>
              <w:spacing w:line="276" w:lineRule="auto" w:before="0" w:after="0"/>
            </w:pPr>
            <w:r/>
            <w:r>
              <w:rPr>
                <w:rFonts w:ascii="Figtree" w:hAnsi="Figtree"/>
                <w:b w:val="0"/>
                <w:i w:val="0"/>
                <w:sz w:val="20"/>
              </w:rPr>
              <w:t>SAML 2.0 SSO</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SAML 2.0 federation with SDX identity provider</w:t>
            </w:r>
          </w:p>
        </w:tc>
      </w:tr>
      <w:tr>
        <w:trPr>
          <w:trHeight w:val="425" w:hRule="atLeast"/>
        </w:trPr>
        <w:tc>
          <w:tcPr>
            <w:tcW w:type="dxa" w:w="2436"/>
            <w:vAlign w:val="center"/>
          </w:tcPr>
          <w:p>
            <w:pPr>
              <w:spacing w:line="276" w:lineRule="auto" w:before="0" w:after="0"/>
            </w:pPr>
            <w:r/>
            <w:r>
              <w:rPr>
                <w:rFonts w:ascii="Figtree" w:hAnsi="Figtree"/>
                <w:b w:val="0"/>
                <w:i w:val="0"/>
                <w:sz w:val="20"/>
              </w:rPr>
              <w:t>TR-041</w:t>
            </w:r>
          </w:p>
        </w:tc>
        <w:tc>
          <w:tcPr>
            <w:tcW w:type="dxa" w:w="2436"/>
            <w:vAlign w:val="center"/>
          </w:tcPr>
          <w:p>
            <w:pPr>
              <w:spacing w:line="276" w:lineRule="auto" w:before="0" w:after="0"/>
            </w:pPr>
            <w:r/>
            <w:r>
              <w:rPr>
                <w:rFonts w:ascii="Figtree" w:hAnsi="Figtree"/>
                <w:b w:val="0"/>
                <w:i w:val="0"/>
                <w:sz w:val="20"/>
              </w:rPr>
              <w:t>Swiss data residency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All components deployed in Switzerland; Zurich primary, Geneva secondary</w:t>
            </w:r>
          </w:p>
        </w:tc>
      </w:tr>
      <w:tr>
        <w:trPr>
          <w:trHeight w:val="425" w:hRule="atLeast"/>
        </w:trPr>
        <w:tc>
          <w:tcPr>
            <w:tcW w:type="dxa" w:w="2436"/>
            <w:vAlign w:val="center"/>
          </w:tcPr>
          <w:p>
            <w:pPr>
              <w:spacing w:line="276" w:lineRule="auto" w:before="0" w:after="0"/>
            </w:pPr>
            <w:r/>
            <w:r>
              <w:rPr>
                <w:rFonts w:ascii="Figtree" w:hAnsi="Figtree"/>
                <w:b w:val="0"/>
                <w:i w:val="0"/>
                <w:sz w:val="20"/>
              </w:rPr>
              <w:t>TR-042</w:t>
            </w:r>
          </w:p>
        </w:tc>
        <w:tc>
          <w:tcPr>
            <w:tcW w:type="dxa" w:w="2436"/>
            <w:vAlign w:val="center"/>
          </w:tcPr>
          <w:p>
            <w:pPr>
              <w:spacing w:line="276" w:lineRule="auto" w:before="0" w:after="0"/>
            </w:pPr>
            <w:r/>
            <w:r>
              <w:rPr>
                <w:rFonts w:ascii="Figtree" w:hAnsi="Figtree"/>
                <w:b w:val="0"/>
                <w:i w:val="0"/>
                <w:sz w:val="20"/>
              </w:rPr>
              <w:t>nDSG compliance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Data minimisation, Swiss residency, breach notification &lt; 48h</w:t>
            </w:r>
          </w:p>
        </w:tc>
      </w:tr>
      <w:tr>
        <w:trPr>
          <w:trHeight w:val="425" w:hRule="atLeast"/>
        </w:trPr>
        <w:tc>
          <w:tcPr>
            <w:tcW w:type="dxa" w:w="2436"/>
            <w:vAlign w:val="center"/>
          </w:tcPr>
          <w:p>
            <w:pPr>
              <w:spacing w:line="276" w:lineRule="auto" w:before="0" w:after="0"/>
            </w:pPr>
            <w:r/>
            <w:r>
              <w:rPr>
                <w:rFonts w:ascii="Figtree" w:hAnsi="Figtree"/>
                <w:b w:val="0"/>
                <w:i w:val="0"/>
                <w:sz w:val="20"/>
              </w:rPr>
              <w:t>TR-043</w:t>
            </w:r>
          </w:p>
        </w:tc>
        <w:tc>
          <w:tcPr>
            <w:tcW w:type="dxa" w:w="2436"/>
            <w:vAlign w:val="center"/>
          </w:tcPr>
          <w:p>
            <w:pPr>
              <w:spacing w:line="276" w:lineRule="auto" w:before="0" w:after="0"/>
            </w:pPr>
            <w:r/>
            <w:r>
              <w:rPr>
                <w:rFonts w:ascii="Figtree" w:hAnsi="Figtree"/>
                <w:b w:val="0"/>
                <w:i w:val="0"/>
                <w:sz w:val="20"/>
              </w:rPr>
              <w:t>99.99% availability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Enterprise SLA; IBFT 2.0 consensus; HA application and database</w:t>
            </w:r>
          </w:p>
        </w:tc>
      </w:tr>
      <w:tr>
        <w:trPr>
          <w:trHeight w:val="425" w:hRule="atLeast"/>
        </w:trPr>
        <w:tc>
          <w:tcPr>
            <w:tcW w:type="dxa" w:w="2436"/>
            <w:vAlign w:val="center"/>
          </w:tcPr>
          <w:p>
            <w:pPr>
              <w:spacing w:line="276" w:lineRule="auto" w:before="0" w:after="0"/>
            </w:pPr>
            <w:r/>
            <w:r>
              <w:rPr>
                <w:rFonts w:ascii="Figtree" w:hAnsi="Figtree"/>
                <w:b w:val="0"/>
                <w:i w:val="0"/>
                <w:sz w:val="20"/>
              </w:rPr>
              <w:t>TR-044</w:t>
            </w:r>
          </w:p>
        </w:tc>
        <w:tc>
          <w:tcPr>
            <w:tcW w:type="dxa" w:w="2436"/>
            <w:vAlign w:val="center"/>
          </w:tcPr>
          <w:p>
            <w:pPr>
              <w:spacing w:line="276" w:lineRule="auto" w:before="0" w:after="0"/>
            </w:pPr>
            <w:r/>
            <w:r>
              <w:rPr>
                <w:rFonts w:ascii="Figtree" w:hAnsi="Figtree"/>
                <w:b w:val="0"/>
                <w:i w:val="0"/>
                <w:sz w:val="20"/>
              </w:rPr>
              <w:t>Tested DR procedures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Quarterly DR tests; evidence packages available for FINMA PFMI assessment</w:t>
            </w:r>
          </w:p>
        </w:tc>
      </w:tr>
      <w:tr>
        <w:trPr>
          <w:trHeight w:val="425" w:hRule="atLeast"/>
        </w:trPr>
        <w:tc>
          <w:tcPr>
            <w:tcW w:type="dxa" w:w="2436"/>
            <w:vAlign w:val="center"/>
          </w:tcPr>
          <w:p>
            <w:pPr>
              <w:spacing w:line="276" w:lineRule="auto" w:before="0" w:after="0"/>
            </w:pPr>
            <w:r/>
            <w:r>
              <w:rPr>
                <w:rFonts w:ascii="Figtree" w:hAnsi="Figtree"/>
                <w:b w:val="0"/>
                <w:i w:val="0"/>
                <w:sz w:val="20"/>
              </w:rPr>
              <w:t>TR-045</w:t>
            </w:r>
          </w:p>
        </w:tc>
        <w:tc>
          <w:tcPr>
            <w:tcW w:type="dxa" w:w="2436"/>
            <w:vAlign w:val="center"/>
          </w:tcPr>
          <w:p>
            <w:pPr>
              <w:spacing w:line="276" w:lineRule="auto" w:before="0" w:after="0"/>
            </w:pPr>
            <w:r/>
            <w:r>
              <w:rPr>
                <w:rFonts w:ascii="Figtree" w:hAnsi="Figtree"/>
                <w:b w:val="0"/>
                <w:i w:val="0"/>
                <w:sz w:val="20"/>
              </w:rPr>
              <w:t>Observability and monitoring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Grafana, VictoriaMetrics, Loki, Tempo; pre-built dashboards; 24/7 alerting</w:t>
            </w:r>
          </w:p>
        </w:tc>
      </w:tr>
      <w:tr>
        <w:trPr>
          <w:trHeight w:val="425" w:hRule="atLeast"/>
        </w:trPr>
        <w:tc>
          <w:tcPr>
            <w:tcW w:type="dxa" w:w="2436"/>
            <w:vAlign w:val="center"/>
          </w:tcPr>
          <w:p>
            <w:pPr>
              <w:spacing w:line="276" w:lineRule="auto" w:before="0" w:after="0"/>
            </w:pPr>
            <w:r/>
            <w:r>
              <w:rPr>
                <w:rFonts w:ascii="Figtree" w:hAnsi="Figtree"/>
                <w:b w:val="0"/>
                <w:i w:val="0"/>
                <w:sz w:val="20"/>
              </w:rPr>
              <w:t>TR-046</w:t>
            </w:r>
          </w:p>
        </w:tc>
        <w:tc>
          <w:tcPr>
            <w:tcW w:type="dxa" w:w="2436"/>
            <w:vAlign w:val="center"/>
          </w:tcPr>
          <w:p>
            <w:pPr>
              <w:spacing w:line="276" w:lineRule="auto" w:before="0" w:after="0"/>
            </w:pPr>
            <w:r/>
            <w:r>
              <w:rPr>
                <w:rFonts w:ascii="Figtree" w:hAnsi="Figtree"/>
                <w:b w:val="0"/>
                <w:i w:val="0"/>
                <w:sz w:val="20"/>
              </w:rPr>
              <w:t>SIX Group integration capability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REST API integration with SIX payment services and data services</w:t>
            </w:r>
          </w:p>
        </w:tc>
      </w:tr>
      <w:tr>
        <w:trPr>
          <w:trHeight w:val="425" w:hRule="atLeast"/>
        </w:trPr>
        <w:tc>
          <w:tcPr>
            <w:tcW w:type="dxa" w:w="2436"/>
            <w:vAlign w:val="center"/>
          </w:tcPr>
          <w:p>
            <w:pPr>
              <w:spacing w:line="276" w:lineRule="auto" w:before="0" w:after="0"/>
            </w:pPr>
            <w:r/>
            <w:r>
              <w:rPr>
                <w:rFonts w:ascii="Figtree" w:hAnsi="Figtree"/>
                <w:b w:val="0"/>
                <w:i w:val="0"/>
                <w:sz w:val="20"/>
              </w:rPr>
              <w:t>TR-046</w:t>
            </w:r>
          </w:p>
        </w:tc>
        <w:tc>
          <w:tcPr>
            <w:tcW w:type="dxa" w:w="2436"/>
            <w:vAlign w:val="center"/>
          </w:tcPr>
          <w:p>
            <w:pPr>
              <w:spacing w:line="276" w:lineRule="auto" w:before="0" w:after="0"/>
            </w:pPr>
            <w:r/>
            <w:r>
              <w:rPr>
                <w:rFonts w:ascii="Figtree" w:hAnsi="Figtree"/>
                <w:b w:val="0"/>
                <w:i w:val="0"/>
                <w:sz w:val="20"/>
              </w:rPr>
              <w:t>Migration support for existing assets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Parallel operation phase; token-for-token migration mechanism; zero forced participant changes</w:t>
            </w:r>
          </w:p>
        </w:tc>
      </w:tr>
    </w:tbl>
    <w:p>
      <w:pPr>
        <w:spacing w:before="0" w:after="0" w:line="120" w:lineRule="exact"/>
      </w:pPr>
    </w:p>
    <w:p>
      <w:r>
        <w:br w:type="page"/>
      </w:r>
    </w:p>
    <w:p>
      <w:pPr>
        <w:pStyle w:val="H2"/>
        <w:numPr>
          <w:ilvl w:val="1"/>
          <w:numId w:val="1"/>
        </w:numPr>
      </w:pPr>
      <w:r>
        <w:t>14. Appendices</w:t>
      </w:r>
    </w:p>
    <w:p>
      <w:pPr>
        <w:pStyle w:val="H3"/>
        <w:numPr>
          <w:ilvl w:val="2"/>
          <w:numId w:val="1"/>
        </w:numPr>
      </w:pPr>
      <w:r>
        <w:t>Appendix A: DLT Act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93"/>
        <w:gridCol w:w="2242"/>
        <w:gridCol w:w="55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DLT Act Article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Art. 973d CO</w:t>
            </w:r>
          </w:p>
        </w:tc>
        <w:tc>
          <w:tcPr>
            <w:tcW w:type="dxa" w:w="3249"/>
            <w:vAlign w:val="center"/>
          </w:tcPr>
          <w:p>
            <w:pPr>
              <w:spacing w:line="276" w:lineRule="auto" w:before="0" w:after="0"/>
            </w:pPr>
            <w:r/>
            <w:r>
              <w:rPr>
                <w:rFonts w:ascii="Figtree" w:hAnsi="Figtree"/>
                <w:b w:val="0"/>
                <w:i w:val="0"/>
                <w:sz w:val="20"/>
              </w:rPr>
              <w:t>DLT ledger characteristics</w:t>
            </w:r>
          </w:p>
        </w:tc>
        <w:tc>
          <w:tcPr>
            <w:tcW w:type="dxa" w:w="3249"/>
            <w:vAlign w:val="center"/>
          </w:tcPr>
          <w:p>
            <w:pPr>
              <w:spacing w:line="276" w:lineRule="auto" w:before="0" w:after="0"/>
            </w:pPr>
            <w:r/>
            <w:r>
              <w:rPr>
                <w:rFonts w:ascii="Figtree" w:hAnsi="Figtree"/>
                <w:b w:val="0"/>
                <w:i w:val="0"/>
                <w:sz w:val="20"/>
              </w:rPr>
              <w:t>IBFT 2.0 immutable ledger, multi-participant, no single controller</w:t>
            </w:r>
          </w:p>
        </w:tc>
      </w:tr>
      <w:tr>
        <w:trPr>
          <w:trHeight w:val="425" w:hRule="atLeast"/>
        </w:trPr>
        <w:tc>
          <w:tcPr>
            <w:tcW w:type="dxa" w:w="3249"/>
            <w:vAlign w:val="center"/>
          </w:tcPr>
          <w:p>
            <w:pPr>
              <w:spacing w:line="276" w:lineRule="auto" w:before="0" w:after="0"/>
            </w:pPr>
            <w:r/>
            <w:r>
              <w:rPr>
                <w:rFonts w:ascii="Figtree" w:hAnsi="Figtree"/>
                <w:b w:val="0"/>
                <w:i w:val="0"/>
                <w:sz w:val="20"/>
              </w:rPr>
              <w:t>Art. 973e CO</w:t>
            </w:r>
          </w:p>
        </w:tc>
        <w:tc>
          <w:tcPr>
            <w:tcW w:type="dxa" w:w="3249"/>
            <w:vAlign w:val="center"/>
          </w:tcPr>
          <w:p>
            <w:pPr>
              <w:spacing w:line="276" w:lineRule="auto" w:before="0" w:after="0"/>
            </w:pPr>
            <w:r/>
            <w:r>
              <w:rPr>
                <w:rFonts w:ascii="Figtree" w:hAnsi="Figtree"/>
                <w:b w:val="0"/>
                <w:i w:val="0"/>
                <w:sz w:val="20"/>
              </w:rPr>
              <w:t>DLT rights register</w:t>
            </w:r>
          </w:p>
        </w:tc>
        <w:tc>
          <w:tcPr>
            <w:tcW w:type="dxa" w:w="3249"/>
            <w:vAlign w:val="center"/>
          </w:tcPr>
          <w:p>
            <w:pPr>
              <w:spacing w:line="276" w:lineRule="auto" w:before="0" w:after="0"/>
            </w:pPr>
            <w:r/>
            <w:r>
              <w:rPr>
                <w:rFonts w:ascii="Figtree" w:hAnsi="Figtree"/>
                <w:b w:val="0"/>
                <w:i w:val="0"/>
                <w:sz w:val="20"/>
              </w:rPr>
              <w:t>DALPAsset on-chain register, modification-protected</w:t>
            </w:r>
          </w:p>
        </w:tc>
      </w:tr>
      <w:tr>
        <w:trPr>
          <w:trHeight w:val="425" w:hRule="atLeast"/>
        </w:trPr>
        <w:tc>
          <w:tcPr>
            <w:tcW w:type="dxa" w:w="3249"/>
            <w:vAlign w:val="center"/>
          </w:tcPr>
          <w:p>
            <w:pPr>
              <w:spacing w:line="276" w:lineRule="auto" w:before="0" w:after="0"/>
            </w:pPr>
            <w:r/>
            <w:r>
              <w:rPr>
                <w:rFonts w:ascii="Figtree" w:hAnsi="Figtree"/>
                <w:b w:val="0"/>
                <w:i w:val="0"/>
                <w:sz w:val="20"/>
              </w:rPr>
              <w:t>Art. 73c FMIA</w:t>
            </w:r>
          </w:p>
        </w:tc>
        <w:tc>
          <w:tcPr>
            <w:tcW w:type="dxa" w:w="3249"/>
            <w:vAlign w:val="center"/>
          </w:tcPr>
          <w:p>
            <w:pPr>
              <w:spacing w:line="276" w:lineRule="auto" w:before="0" w:after="0"/>
            </w:pPr>
            <w:r/>
            <w:r>
              <w:rPr>
                <w:rFonts w:ascii="Figtree" w:hAnsi="Figtree"/>
                <w:b w:val="0"/>
                <w:i w:val="0"/>
                <w:sz w:val="20"/>
              </w:rPr>
              <w:t>DLT trading venue licence</w:t>
            </w:r>
          </w:p>
        </w:tc>
        <w:tc>
          <w:tcPr>
            <w:tcW w:type="dxa" w:w="3249"/>
            <w:vAlign w:val="center"/>
          </w:tcPr>
          <w:p>
            <w:pPr>
              <w:spacing w:line="276" w:lineRule="auto" w:before="0" w:after="0"/>
            </w:pPr>
            <w:r/>
            <w:r>
              <w:rPr>
                <w:rFonts w:ascii="Figtree" w:hAnsi="Figtree"/>
                <w:b w:val="0"/>
                <w:i w:val="0"/>
                <w:sz w:val="20"/>
              </w:rPr>
              <w:t>Governance architecture, participant controls, settlement finality</w:t>
            </w:r>
          </w:p>
        </w:tc>
      </w:tr>
      <w:tr>
        <w:trPr>
          <w:trHeight w:val="425" w:hRule="atLeast"/>
        </w:trPr>
        <w:tc>
          <w:tcPr>
            <w:tcW w:type="dxa" w:w="3249"/>
            <w:vAlign w:val="center"/>
          </w:tcPr>
          <w:p>
            <w:pPr>
              <w:spacing w:line="276" w:lineRule="auto" w:before="0" w:after="0"/>
            </w:pPr>
            <w:r/>
            <w:r>
              <w:rPr>
                <w:rFonts w:ascii="Figtree" w:hAnsi="Figtree"/>
                <w:b w:val="0"/>
                <w:i w:val="0"/>
                <w:sz w:val="20"/>
              </w:rPr>
              <w:t>Art. 73d FMIA</w:t>
            </w:r>
          </w:p>
        </w:tc>
        <w:tc>
          <w:tcPr>
            <w:tcW w:type="dxa" w:w="3249"/>
            <w:vAlign w:val="center"/>
          </w:tcPr>
          <w:p>
            <w:pPr>
              <w:spacing w:line="276" w:lineRule="auto" w:before="0" w:after="0"/>
            </w:pPr>
            <w:r/>
            <w:r>
              <w:rPr>
                <w:rFonts w:ascii="Figtree" w:hAnsi="Figtree"/>
                <w:b w:val="0"/>
                <w:i w:val="0"/>
                <w:sz w:val="20"/>
              </w:rPr>
              <w:t>Access rights</w:t>
            </w:r>
          </w:p>
        </w:tc>
        <w:tc>
          <w:tcPr>
            <w:tcW w:type="dxa" w:w="3249"/>
            <w:vAlign w:val="center"/>
          </w:tcPr>
          <w:p>
            <w:pPr>
              <w:spacing w:line="276" w:lineRule="auto" w:before="0" w:after="0"/>
            </w:pPr>
            <w:r/>
            <w:r>
              <w:rPr>
                <w:rFonts w:ascii="Figtree" w:hAnsi="Figtree"/>
                <w:b w:val="0"/>
                <w:i w:val="0"/>
                <w:sz w:val="20"/>
              </w:rPr>
              <w:t>AccessManager RBAC, on-chain role management</w:t>
            </w:r>
          </w:p>
        </w:tc>
      </w:tr>
      <w:tr>
        <w:trPr>
          <w:trHeight w:val="425" w:hRule="atLeast"/>
        </w:trPr>
        <w:tc>
          <w:tcPr>
            <w:tcW w:type="dxa" w:w="3249"/>
            <w:vAlign w:val="center"/>
          </w:tcPr>
          <w:p>
            <w:pPr>
              <w:spacing w:line="276" w:lineRule="auto" w:before="0" w:after="0"/>
            </w:pPr>
            <w:r/>
            <w:r>
              <w:rPr>
                <w:rFonts w:ascii="Figtree" w:hAnsi="Figtree"/>
                <w:b w:val="0"/>
                <w:i w:val="0"/>
                <w:sz w:val="20"/>
              </w:rPr>
              <w:t>Art. 73e FMIA</w:t>
            </w:r>
          </w:p>
        </w:tc>
        <w:tc>
          <w:tcPr>
            <w:tcW w:type="dxa" w:w="3249"/>
            <w:vAlign w:val="center"/>
          </w:tcPr>
          <w:p>
            <w:pPr>
              <w:spacing w:line="276" w:lineRule="auto" w:before="0" w:after="0"/>
            </w:pPr>
            <w:r/>
            <w:r>
              <w:rPr>
                <w:rFonts w:ascii="Figtree" w:hAnsi="Figtree"/>
                <w:b w:val="0"/>
                <w:i w:val="0"/>
                <w:sz w:val="20"/>
              </w:rPr>
              <w:t>Default management</w:t>
            </w:r>
          </w:p>
        </w:tc>
        <w:tc>
          <w:tcPr>
            <w:tcW w:type="dxa" w:w="3249"/>
            <w:vAlign w:val="center"/>
          </w:tcPr>
          <w:p>
            <w:pPr>
              <w:spacing w:line="276" w:lineRule="auto" w:before="0" w:after="0"/>
            </w:pPr>
            <w:r/>
            <w:r>
              <w:rPr>
                <w:rFonts w:ascii="Figtree" w:hAnsi="Figtree"/>
                <w:b w:val="0"/>
                <w:i w:val="0"/>
                <w:sz w:val="20"/>
              </w:rPr>
              <w:t>Custodian extension: freeze, forced transfer</w:t>
            </w:r>
          </w:p>
        </w:tc>
      </w:tr>
    </w:tbl>
    <w:p>
      <w:pPr>
        <w:spacing w:before="0" w:after="0" w:line="120" w:lineRule="exact"/>
      </w:pPr>
    </w:p>
    <w:p>
      <w:pPr>
        <w:pStyle w:val="H3"/>
        <w:numPr>
          <w:ilvl w:val="2"/>
          <w:numId w:val="1"/>
        </w:numPr>
      </w:pPr>
      <w:r>
        <w:t>Appendix B: FINMA Circular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44"/>
        <w:gridCol w:w="2615"/>
        <w:gridCol w:w="531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FINMA Circular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Subject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3249"/>
            <w:vAlign w:val="center"/>
          </w:tcPr>
          <w:p>
            <w:pPr>
              <w:spacing w:line="276" w:lineRule="auto" w:before="0" w:after="0"/>
            </w:pPr>
            <w:r/>
            <w:r>
              <w:rPr>
                <w:rFonts w:ascii="Figtree" w:hAnsi="Figtree"/>
                <w:b w:val="0"/>
                <w:i w:val="0"/>
                <w:sz w:val="20"/>
              </w:rPr>
              <w:t>2023/1</w:t>
            </w:r>
          </w:p>
        </w:tc>
        <w:tc>
          <w:tcPr>
            <w:tcW w:type="dxa" w:w="3249"/>
            <w:vAlign w:val="center"/>
          </w:tcPr>
          <w:p>
            <w:pPr>
              <w:spacing w:line="276" w:lineRule="auto" w:before="0" w:after="0"/>
            </w:pPr>
            <w:r/>
            <w:r>
              <w:rPr>
                <w:rFonts w:ascii="Figtree" w:hAnsi="Figtree"/>
                <w:b w:val="0"/>
                <w:i w:val="0"/>
                <w:sz w:val="20"/>
              </w:rPr>
              <w:t>Operational risks and resilience</w:t>
            </w:r>
          </w:p>
        </w:tc>
        <w:tc>
          <w:tcPr>
            <w:tcW w:type="dxa" w:w="3249"/>
            <w:vAlign w:val="center"/>
          </w:tcPr>
          <w:p>
            <w:pPr>
              <w:spacing w:line="276" w:lineRule="auto" w:before="0" w:after="0"/>
            </w:pPr>
            <w:r/>
            <w:r>
              <w:rPr>
                <w:rFonts w:ascii="Figtree" w:hAnsi="Figtree"/>
                <w:b w:val="0"/>
                <w:i w:val="0"/>
                <w:sz w:val="20"/>
              </w:rPr>
              <w:t>ISO 27001, SOC 2, HA deployment, incident response</w:t>
            </w:r>
          </w:p>
        </w:tc>
      </w:tr>
      <w:tr>
        <w:trPr>
          <w:trHeight w:val="425" w:hRule="atLeast"/>
        </w:trPr>
        <w:tc>
          <w:tcPr>
            <w:tcW w:type="dxa" w:w="3249"/>
            <w:vAlign w:val="center"/>
          </w:tcPr>
          <w:p>
            <w:pPr>
              <w:spacing w:line="276" w:lineRule="auto" w:before="0" w:after="0"/>
            </w:pPr>
            <w:r/>
            <w:r>
              <w:rPr>
                <w:rFonts w:ascii="Figtree" w:hAnsi="Figtree"/>
                <w:b w:val="0"/>
                <w:i w:val="0"/>
                <w:sz w:val="20"/>
              </w:rPr>
              <w:t>2018/3</w:t>
            </w:r>
          </w:p>
        </w:tc>
        <w:tc>
          <w:tcPr>
            <w:tcW w:type="dxa" w:w="3249"/>
            <w:vAlign w:val="center"/>
          </w:tcPr>
          <w:p>
            <w:pPr>
              <w:spacing w:line="276" w:lineRule="auto" w:before="0" w:after="0"/>
            </w:pPr>
            <w:r/>
            <w:r>
              <w:rPr>
                <w:rFonts w:ascii="Figtree" w:hAnsi="Figtree"/>
                <w:b w:val="0"/>
                <w:i w:val="0"/>
                <w:sz w:val="20"/>
              </w:rPr>
              <w:t>Outsourcing</w:t>
            </w:r>
          </w:p>
        </w:tc>
        <w:tc>
          <w:tcPr>
            <w:tcW w:type="dxa" w:w="3249"/>
            <w:vAlign w:val="center"/>
          </w:tcPr>
          <w:p>
            <w:pPr>
              <w:spacing w:line="276" w:lineRule="auto" w:before="0" w:after="0"/>
            </w:pPr>
            <w:r/>
            <w:r>
              <w:rPr>
                <w:rFonts w:ascii="Figtree" w:hAnsi="Figtree"/>
                <w:b w:val="0"/>
                <w:i w:val="0"/>
                <w:sz w:val="20"/>
              </w:rPr>
              <w:t>Swiss data residency, audit rights, concentration risk management</w:t>
            </w:r>
          </w:p>
        </w:tc>
      </w:tr>
      <w:tr>
        <w:trPr>
          <w:trHeight w:val="425" w:hRule="atLeast"/>
        </w:trPr>
        <w:tc>
          <w:tcPr>
            <w:tcW w:type="dxa" w:w="3249"/>
            <w:vAlign w:val="center"/>
          </w:tcPr>
          <w:p>
            <w:pPr>
              <w:spacing w:line="276" w:lineRule="auto" w:before="0" w:after="0"/>
            </w:pPr>
            <w:r/>
            <w:r>
              <w:rPr>
                <w:rFonts w:ascii="Figtree" w:hAnsi="Figtree"/>
                <w:b w:val="0"/>
                <w:i w:val="0"/>
                <w:sz w:val="20"/>
              </w:rPr>
              <w:t>2016/7</w:t>
            </w:r>
          </w:p>
        </w:tc>
        <w:tc>
          <w:tcPr>
            <w:tcW w:type="dxa" w:w="3249"/>
            <w:vAlign w:val="center"/>
          </w:tcPr>
          <w:p>
            <w:pPr>
              <w:spacing w:line="276" w:lineRule="auto" w:before="0" w:after="0"/>
            </w:pPr>
            <w:r/>
            <w:r>
              <w:rPr>
                <w:rFonts w:ascii="Figtree" w:hAnsi="Figtree"/>
                <w:b w:val="0"/>
                <w:i w:val="0"/>
                <w:sz w:val="20"/>
              </w:rPr>
              <w:t>Video and online identification</w:t>
            </w:r>
          </w:p>
        </w:tc>
        <w:tc>
          <w:tcPr>
            <w:tcW w:type="dxa" w:w="3249"/>
            <w:vAlign w:val="center"/>
          </w:tcPr>
          <w:p>
            <w:pPr>
              <w:spacing w:line="276" w:lineRule="auto" w:before="0" w:after="0"/>
            </w:pPr>
            <w:r/>
            <w:r>
              <w:rPr>
                <w:rFonts w:ascii="Figtree" w:hAnsi="Figtree"/>
                <w:b w:val="0"/>
                <w:i w:val="0"/>
                <w:sz w:val="20"/>
              </w:rPr>
              <w:t>OnchainID integration with FINMA-compliant KYC processes</w:t>
            </w:r>
          </w:p>
        </w:tc>
      </w:tr>
    </w:tbl>
    <w:p>
      <w:pPr>
        <w:spacing w:before="0" w:after="0" w:line="120" w:lineRule="exact"/>
      </w:pPr>
    </w:p>
    <w:p>
      <w:pPr>
        <w:pStyle w:val="H3"/>
        <w:numPr>
          <w:ilvl w:val="2"/>
          <w:numId w:val="1"/>
        </w:numPr>
      </w:pPr>
      <w:r>
        <w:t>Appendix C: Settlement Performance Benchmarks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739"/>
        <w:gridCol w:w="433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Benchmark</w:t>
            </w:r>
          </w:p>
        </w:tc>
      </w:tr>
      <w:tr>
        <w:trPr>
          <w:trHeight w:val="425" w:hRule="atLeast"/>
        </w:trPr>
        <w:tc>
          <w:tcPr>
            <w:tcW w:type="dxa" w:w="4873"/>
            <w:vAlign w:val="center"/>
          </w:tcPr>
          <w:p>
            <w:pPr>
              <w:spacing w:line="276" w:lineRule="auto" w:before="0" w:after="0"/>
            </w:pPr>
            <w:r/>
            <w:r>
              <w:rPr>
                <w:rFonts w:ascii="Figtree" w:hAnsi="Figtree"/>
                <w:b w:val="0"/>
                <w:i w:val="0"/>
                <w:sz w:val="20"/>
              </w:rPr>
              <w:t>Peak DvP TPS</w:t>
            </w:r>
          </w:p>
        </w:tc>
        <w:tc>
          <w:tcPr>
            <w:tcW w:type="dxa" w:w="4873"/>
            <w:vAlign w:val="center"/>
          </w:tcPr>
          <w:p>
            <w:pPr>
              <w:spacing w:line="276" w:lineRule="auto" w:before="0" w:after="0"/>
            </w:pPr>
            <w:r/>
            <w:r>
              <w:rPr>
                <w:rFonts w:ascii="Figtree" w:hAnsi="Figtree"/>
                <w:b w:val="0"/>
                <w:i w:val="0"/>
                <w:sz w:val="20"/>
              </w:rPr>
              <w:t>350 TPS</w:t>
            </w:r>
          </w:p>
        </w:tc>
      </w:tr>
      <w:tr>
        <w:trPr>
          <w:trHeight w:val="425" w:hRule="atLeast"/>
        </w:trPr>
        <w:tc>
          <w:tcPr>
            <w:tcW w:type="dxa" w:w="4873"/>
            <w:vAlign w:val="center"/>
          </w:tcPr>
          <w:p>
            <w:pPr>
              <w:spacing w:line="276" w:lineRule="auto" w:before="0" w:after="0"/>
            </w:pPr>
            <w:r/>
            <w:r>
              <w:rPr>
                <w:rFonts w:ascii="Figtree" w:hAnsi="Figtree"/>
                <w:b w:val="0"/>
                <w:i w:val="0"/>
                <w:sz w:val="20"/>
              </w:rPr>
              <w:t>Average settlement latency (p50)</w:t>
            </w:r>
          </w:p>
        </w:tc>
        <w:tc>
          <w:tcPr>
            <w:tcW w:type="dxa" w:w="4873"/>
            <w:vAlign w:val="center"/>
          </w:tcPr>
          <w:p>
            <w:pPr>
              <w:spacing w:line="276" w:lineRule="auto" w:before="0" w:after="0"/>
            </w:pPr>
            <w:r/>
            <w:r>
              <w:rPr>
                <w:rFonts w:ascii="Figtree" w:hAnsi="Figtree"/>
                <w:b w:val="0"/>
                <w:i w:val="0"/>
                <w:sz w:val="20"/>
              </w:rPr>
              <w:t>2.3 seconds (single block)</w:t>
            </w:r>
          </w:p>
        </w:tc>
      </w:tr>
      <w:tr>
        <w:trPr>
          <w:trHeight w:val="425" w:hRule="atLeast"/>
        </w:trPr>
        <w:tc>
          <w:tcPr>
            <w:tcW w:type="dxa" w:w="4873"/>
            <w:vAlign w:val="center"/>
          </w:tcPr>
          <w:p>
            <w:pPr>
              <w:spacing w:line="276" w:lineRule="auto" w:before="0" w:after="0"/>
            </w:pPr>
            <w:r/>
            <w:r>
              <w:rPr>
                <w:rFonts w:ascii="Figtree" w:hAnsi="Figtree"/>
                <w:b w:val="0"/>
                <w:i w:val="0"/>
                <w:sz w:val="20"/>
              </w:rPr>
              <w:t>Average settlement latency (p99)</w:t>
            </w:r>
          </w:p>
        </w:tc>
        <w:tc>
          <w:tcPr>
            <w:tcW w:type="dxa" w:w="4873"/>
            <w:vAlign w:val="center"/>
          </w:tcPr>
          <w:p>
            <w:pPr>
              <w:spacing w:line="276" w:lineRule="auto" w:before="0" w:after="0"/>
            </w:pPr>
            <w:r/>
            <w:r>
              <w:rPr>
                <w:rFonts w:ascii="Figtree" w:hAnsi="Figtree"/>
                <w:b w:val="0"/>
                <w:i w:val="0"/>
                <w:sz w:val="20"/>
              </w:rPr>
              <w:t>4.8 seconds (two blocks)</w:t>
            </w:r>
          </w:p>
        </w:tc>
      </w:tr>
      <w:tr>
        <w:trPr>
          <w:trHeight w:val="425" w:hRule="atLeast"/>
        </w:trPr>
        <w:tc>
          <w:tcPr>
            <w:tcW w:type="dxa" w:w="4873"/>
            <w:vAlign w:val="center"/>
          </w:tcPr>
          <w:p>
            <w:pPr>
              <w:spacing w:line="276" w:lineRule="auto" w:before="0" w:after="0"/>
            </w:pPr>
            <w:r/>
            <w:r>
              <w:rPr>
                <w:rFonts w:ascii="Figtree" w:hAnsi="Figtree"/>
                <w:b w:val="0"/>
                <w:i w:val="0"/>
                <w:sz w:val="20"/>
              </w:rPr>
              <w:t>Settlement failure rate (technical)</w:t>
            </w:r>
          </w:p>
        </w:tc>
        <w:tc>
          <w:tcPr>
            <w:tcW w:type="dxa" w:w="4873"/>
            <w:vAlign w:val="center"/>
          </w:tcPr>
          <w:p>
            <w:pPr>
              <w:spacing w:line="276" w:lineRule="auto" w:before="0" w:after="0"/>
            </w:pPr>
            <w:r/>
            <w:r>
              <w:rPr>
                <w:rFonts w:ascii="Figtree" w:hAnsi="Figtree"/>
                <w:b w:val="0"/>
                <w:i w:val="0"/>
                <w:sz w:val="20"/>
              </w:rPr>
              <w:t>&lt; 0.01%</w:t>
            </w:r>
          </w:p>
        </w:tc>
      </w:tr>
      <w:tr>
        <w:trPr>
          <w:trHeight w:val="425" w:hRule="atLeast"/>
        </w:trPr>
        <w:tc>
          <w:tcPr>
            <w:tcW w:type="dxa" w:w="4873"/>
            <w:vAlign w:val="center"/>
          </w:tcPr>
          <w:p>
            <w:pPr>
              <w:spacing w:line="276" w:lineRule="auto" w:before="0" w:after="0"/>
            </w:pPr>
            <w:r/>
            <w:r>
              <w:rPr>
                <w:rFonts w:ascii="Figtree" w:hAnsi="Figtree"/>
                <w:b w:val="0"/>
                <w:i w:val="0"/>
                <w:sz w:val="20"/>
              </w:rPr>
              <w:t>XvP timeout revert time</w:t>
            </w:r>
          </w:p>
        </w:tc>
        <w:tc>
          <w:tcPr>
            <w:tcW w:type="dxa" w:w="4873"/>
            <w:vAlign w:val="center"/>
          </w:tcPr>
          <w:p>
            <w:pPr>
              <w:spacing w:line="276" w:lineRule="auto" w:before="0" w:after="0"/>
            </w:pPr>
            <w:r/>
            <w:r>
              <w:rPr>
                <w:rFonts w:ascii="Figtree" w:hAnsi="Figtree"/>
                <w:b w:val="0"/>
                <w:i w:val="0"/>
                <w:sz w:val="20"/>
              </w:rPr>
              <w:t>Configurable; default 60 seconds</w:t>
            </w:r>
          </w:p>
        </w:tc>
      </w:tr>
    </w:tbl>
    <w:p>
      <w:pPr>
        <w:spacing w:before="0" w:after="0" w:line="120" w:lineRule="exact"/>
      </w:pPr>
    </w:p>
    <w:p>
      <w:pPr>
        <w:pStyle w:val="H3"/>
        <w:numPr>
          <w:ilvl w:val="2"/>
          <w:numId w:val="1"/>
        </w:numPr>
      </w:pPr>
      <w:r>
        <w:t>Appendix D: Competitive Differentiation for Swiss Regulated Venue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17"/>
        <w:gridCol w:w="3427"/>
        <w:gridCol w:w="34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Common Alternative</w:t>
            </w:r>
          </w:p>
        </w:tc>
      </w:tr>
      <w:tr>
        <w:trPr>
          <w:trHeight w:val="425" w:hRule="atLeast"/>
        </w:trPr>
        <w:tc>
          <w:tcPr>
            <w:tcW w:type="dxa" w:w="3249"/>
            <w:vAlign w:val="center"/>
          </w:tcPr>
          <w:p>
            <w:pPr>
              <w:spacing w:line="276" w:lineRule="auto" w:before="0" w:after="0"/>
            </w:pPr>
            <w:r/>
            <w:r>
              <w:rPr>
                <w:rFonts w:ascii="Figtree" w:hAnsi="Figtree"/>
                <w:b w:val="0"/>
                <w:i w:val="0"/>
                <w:sz w:val="20"/>
              </w:rPr>
              <w:t>FMIA Art 51 finality</w:t>
            </w:r>
          </w:p>
        </w:tc>
        <w:tc>
          <w:tcPr>
            <w:tcW w:type="dxa" w:w="3249"/>
            <w:vAlign w:val="center"/>
          </w:tcPr>
          <w:p>
            <w:pPr>
              <w:spacing w:line="276" w:lineRule="auto" w:before="0" w:after="0"/>
            </w:pPr>
            <w:r/>
            <w:r>
              <w:rPr>
                <w:rFonts w:ascii="Figtree" w:hAnsi="Figtree"/>
                <w:b w:val="0"/>
                <w:i w:val="0"/>
                <w:sz w:val="20"/>
              </w:rPr>
              <w:t>IBFT 2.0 immediate, deterministic finality</w:t>
            </w:r>
          </w:p>
        </w:tc>
        <w:tc>
          <w:tcPr>
            <w:tcW w:type="dxa" w:w="3249"/>
            <w:vAlign w:val="center"/>
          </w:tcPr>
          <w:p>
            <w:pPr>
              <w:spacing w:line="276" w:lineRule="auto" w:before="0" w:after="0"/>
            </w:pPr>
            <w:r/>
            <w:r>
              <w:rPr>
                <w:rFonts w:ascii="Figtree" w:hAnsi="Figtree"/>
                <w:b w:val="0"/>
                <w:i w:val="0"/>
                <w:sz w:val="20"/>
              </w:rPr>
              <w:t>Probabilistic finality with confirmation depth</w:t>
            </w:r>
          </w:p>
        </w:tc>
      </w:tr>
      <w:tr>
        <w:trPr>
          <w:trHeight w:val="425" w:hRule="atLeast"/>
        </w:trPr>
        <w:tc>
          <w:tcPr>
            <w:tcW w:type="dxa" w:w="3249"/>
            <w:vAlign w:val="center"/>
          </w:tcPr>
          <w:p>
            <w:pPr>
              <w:spacing w:line="276" w:lineRule="auto" w:before="0" w:after="0"/>
            </w:pPr>
            <w:r/>
            <w:r>
              <w:rPr>
                <w:rFonts w:ascii="Figtree" w:hAnsi="Figtree"/>
                <w:b w:val="0"/>
                <w:i w:val="0"/>
                <w:sz w:val="20"/>
              </w:rPr>
              <w:t>DLT Act register integrity</w:t>
            </w:r>
          </w:p>
        </w:tc>
        <w:tc>
          <w:tcPr>
            <w:tcW w:type="dxa" w:w="3249"/>
            <w:vAlign w:val="center"/>
          </w:tcPr>
          <w:p>
            <w:pPr>
              <w:spacing w:line="276" w:lineRule="auto" w:before="0" w:after="0"/>
            </w:pPr>
            <w:r/>
            <w:r>
              <w:rPr>
                <w:rFonts w:ascii="Figtree" w:hAnsi="Figtree"/>
                <w:b w:val="0"/>
                <w:i w:val="0"/>
                <w:sz w:val="20"/>
              </w:rPr>
              <w:t>Permissioned Besu: SDX controls validators</w:t>
            </w:r>
          </w:p>
        </w:tc>
        <w:tc>
          <w:tcPr>
            <w:tcW w:type="dxa" w:w="3249"/>
            <w:vAlign w:val="center"/>
          </w:tcPr>
          <w:p>
            <w:pPr>
              <w:spacing w:line="276" w:lineRule="auto" w:before="0" w:after="0"/>
            </w:pPr>
            <w:r/>
            <w:r>
              <w:rPr>
                <w:rFonts w:ascii="Figtree" w:hAnsi="Figtree"/>
                <w:b w:val="0"/>
                <w:i w:val="0"/>
                <w:sz w:val="20"/>
              </w:rPr>
              <w:t>Public chain or cloud database with edit capability</w:t>
            </w:r>
          </w:p>
        </w:tc>
      </w:tr>
      <w:tr>
        <w:trPr>
          <w:trHeight w:val="425" w:hRule="atLeast"/>
        </w:trPr>
        <w:tc>
          <w:tcPr>
            <w:tcW w:type="dxa" w:w="3249"/>
            <w:vAlign w:val="center"/>
          </w:tcPr>
          <w:p>
            <w:pPr>
              <w:spacing w:line="276" w:lineRule="auto" w:before="0" w:after="0"/>
            </w:pPr>
            <w:r/>
            <w:r>
              <w:rPr>
                <w:rFonts w:ascii="Figtree" w:hAnsi="Figtree"/>
                <w:b w:val="0"/>
                <w:i w:val="0"/>
                <w:sz w:val="20"/>
              </w:rPr>
              <w:t>AMLA compliance at transfer level</w:t>
            </w:r>
          </w:p>
        </w:tc>
        <w:tc>
          <w:tcPr>
            <w:tcW w:type="dxa" w:w="3249"/>
            <w:vAlign w:val="center"/>
          </w:tcPr>
          <w:p>
            <w:pPr>
              <w:spacing w:line="276" w:lineRule="auto" w:before="0" w:after="0"/>
            </w:pPr>
            <w:r/>
            <w:r>
              <w:rPr>
                <w:rFonts w:ascii="Figtree" w:hAnsi="Figtree"/>
                <w:b w:val="0"/>
                <w:i w:val="0"/>
                <w:sz w:val="20"/>
              </w:rPr>
              <w:t>On-chain compliance module, cannot be bypassed</w:t>
            </w:r>
          </w:p>
        </w:tc>
        <w:tc>
          <w:tcPr>
            <w:tcW w:type="dxa" w:w="3249"/>
            <w:vAlign w:val="center"/>
          </w:tcPr>
          <w:p>
            <w:pPr>
              <w:spacing w:line="276" w:lineRule="auto" w:before="0" w:after="0"/>
            </w:pPr>
            <w:r/>
            <w:r>
              <w:rPr>
                <w:rFonts w:ascii="Figtree" w:hAnsi="Figtree"/>
                <w:b w:val="0"/>
                <w:i w:val="0"/>
                <w:sz w:val="20"/>
              </w:rPr>
              <w:t>Application-layer validation, bypassable</w:t>
            </w:r>
          </w:p>
        </w:tc>
      </w:tr>
      <w:tr>
        <w:trPr>
          <w:trHeight w:val="425" w:hRule="atLeast"/>
        </w:trPr>
        <w:tc>
          <w:tcPr>
            <w:tcW w:type="dxa" w:w="3249"/>
            <w:vAlign w:val="center"/>
          </w:tcPr>
          <w:p>
            <w:pPr>
              <w:spacing w:line="276" w:lineRule="auto" w:before="0" w:after="0"/>
            </w:pPr>
            <w:r/>
            <w:r>
              <w:rPr>
                <w:rFonts w:ascii="Figtree" w:hAnsi="Figtree"/>
                <w:b w:val="0"/>
                <w:i w:val="0"/>
                <w:sz w:val="20"/>
              </w:rPr>
              <w:t>PFMI P4 credit risk</w:t>
            </w:r>
          </w:p>
        </w:tc>
        <w:tc>
          <w:tcPr>
            <w:tcW w:type="dxa" w:w="3249"/>
            <w:vAlign w:val="center"/>
          </w:tcPr>
          <w:p>
            <w:pPr>
              <w:spacing w:line="276" w:lineRule="auto" w:before="0" w:after="0"/>
            </w:pPr>
            <w:r/>
            <w:r>
              <w:rPr>
                <w:rFonts w:ascii="Figtree" w:hAnsi="Figtree"/>
                <w:b w:val="0"/>
                <w:i w:val="0"/>
                <w:sz w:val="20"/>
              </w:rPr>
              <w:t>XvP atomicity eliminates bilateral credit exposure</w:t>
            </w:r>
          </w:p>
        </w:tc>
        <w:tc>
          <w:tcPr>
            <w:tcW w:type="dxa" w:w="3249"/>
            <w:vAlign w:val="center"/>
          </w:tcPr>
          <w:p>
            <w:pPr>
              <w:spacing w:line="276" w:lineRule="auto" w:before="0" w:after="0"/>
            </w:pPr>
            <w:r/>
            <w:r>
              <w:rPr>
                <w:rFonts w:ascii="Figtree" w:hAnsi="Figtree"/>
                <w:b w:val="0"/>
                <w:i w:val="0"/>
                <w:sz w:val="20"/>
              </w:rPr>
              <w:t>Settlement confirmation cycle with credit window</w:t>
            </w:r>
          </w:p>
        </w:tc>
      </w:tr>
      <w:tr>
        <w:trPr>
          <w:trHeight w:val="425" w:hRule="atLeast"/>
        </w:trPr>
        <w:tc>
          <w:tcPr>
            <w:tcW w:type="dxa" w:w="3249"/>
            <w:vAlign w:val="center"/>
          </w:tcPr>
          <w:p>
            <w:pPr>
              <w:spacing w:line="276" w:lineRule="auto" w:before="0" w:after="0"/>
            </w:pPr>
            <w:r/>
            <w:r>
              <w:rPr>
                <w:rFonts w:ascii="Figtree" w:hAnsi="Figtree"/>
                <w:b w:val="0"/>
                <w:i w:val="0"/>
                <w:sz w:val="20"/>
              </w:rPr>
              <w:t>FINMA audit access</w:t>
            </w:r>
          </w:p>
        </w:tc>
        <w:tc>
          <w:tcPr>
            <w:tcW w:type="dxa" w:w="3249"/>
            <w:vAlign w:val="center"/>
          </w:tcPr>
          <w:p>
            <w:pPr>
              <w:spacing w:line="276" w:lineRule="auto" w:before="0" w:after="0"/>
            </w:pPr>
            <w:r/>
            <w:r>
              <w:rPr>
                <w:rFonts w:ascii="Figtree" w:hAnsi="Figtree"/>
                <w:b w:val="0"/>
                <w:i w:val="0"/>
                <w:sz w:val="20"/>
              </w:rPr>
              <w:t>FINMA observer role, real-time Chain Indexer access</w:t>
            </w:r>
          </w:p>
        </w:tc>
        <w:tc>
          <w:tcPr>
            <w:tcW w:type="dxa" w:w="3249"/>
            <w:vAlign w:val="center"/>
          </w:tcPr>
          <w:p>
            <w:pPr>
              <w:spacing w:line="276" w:lineRule="auto" w:before="0" w:after="0"/>
            </w:pPr>
            <w:r/>
            <w:r>
              <w:rPr>
                <w:rFonts w:ascii="Figtree" w:hAnsi="Figtree"/>
                <w:b w:val="0"/>
                <w:i w:val="0"/>
                <w:sz w:val="20"/>
              </w:rPr>
              <w:t>Periodic audit export, no real-time access</w:t>
            </w:r>
          </w:p>
        </w:tc>
      </w:tr>
      <w:tr>
        <w:trPr>
          <w:trHeight w:val="425" w:hRule="atLeast"/>
        </w:trPr>
        <w:tc>
          <w:tcPr>
            <w:tcW w:type="dxa" w:w="3249"/>
            <w:vAlign w:val="center"/>
          </w:tcPr>
          <w:p>
            <w:pPr>
              <w:spacing w:line="276" w:lineRule="auto" w:before="0" w:after="0"/>
            </w:pPr>
            <w:r/>
            <w:r>
              <w:rPr>
                <w:rFonts w:ascii="Figtree" w:hAnsi="Figtree"/>
                <w:b w:val="0"/>
                <w:i w:val="0"/>
                <w:sz w:val="20"/>
              </w:rPr>
              <w:t>nDSG data residency</w:t>
            </w:r>
          </w:p>
        </w:tc>
        <w:tc>
          <w:tcPr>
            <w:tcW w:type="dxa" w:w="3249"/>
            <w:vAlign w:val="center"/>
          </w:tcPr>
          <w:p>
            <w:pPr>
              <w:spacing w:line="276" w:lineRule="auto" w:before="0" w:after="0"/>
            </w:pPr>
            <w:r/>
            <w:r>
              <w:rPr>
                <w:rFonts w:ascii="Figtree" w:hAnsi="Figtree"/>
                <w:b w:val="0"/>
                <w:i w:val="0"/>
                <w:sz w:val="20"/>
              </w:rPr>
              <w:t>Swiss-only deployment, Zurich/Geneva</w:t>
            </w:r>
          </w:p>
        </w:tc>
        <w:tc>
          <w:tcPr>
            <w:tcW w:type="dxa" w:w="3249"/>
            <w:vAlign w:val="center"/>
          </w:tcPr>
          <w:p>
            <w:pPr>
              <w:spacing w:line="276" w:lineRule="auto" w:before="0" w:after="0"/>
            </w:pPr>
            <w:r/>
            <w:r>
              <w:rPr>
                <w:rFonts w:ascii="Figtree" w:hAnsi="Figtree"/>
                <w:b w:val="0"/>
                <w:i w:val="0"/>
                <w:sz w:val="20"/>
              </w:rPr>
              <w:t>Cloud provider Swiss region (shared infrastructure)</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FIPS 140-2 Level 3 HSM, keys never in plaintext</w:t>
            </w:r>
          </w:p>
        </w:tc>
        <w:tc>
          <w:tcPr>
            <w:tcW w:type="dxa" w:w="3249"/>
            <w:vAlign w:val="center"/>
          </w:tcPr>
          <w:p>
            <w:pPr>
              <w:spacing w:line="276" w:lineRule="auto" w:before="0" w:after="0"/>
            </w:pPr>
            <w:r/>
            <w:r>
              <w:rPr>
                <w:rFonts w:ascii="Figtree" w:hAnsi="Figtree"/>
                <w:b w:val="0"/>
                <w:i w:val="0"/>
                <w:sz w:val="20"/>
              </w:rPr>
              <w:t>Cloud KMS only, no hardware boundary</w:t>
            </w:r>
          </w:p>
        </w:tc>
      </w:tr>
      <w:tr>
        <w:trPr>
          <w:trHeight w:val="425" w:hRule="atLeast"/>
        </w:trPr>
        <w:tc>
          <w:tcPr>
            <w:tcW w:type="dxa" w:w="3249"/>
            <w:vAlign w:val="center"/>
          </w:tcPr>
          <w:p>
            <w:pPr>
              <w:spacing w:line="276" w:lineRule="auto" w:before="0" w:after="0"/>
            </w:pPr>
            <w:r/>
            <w:r>
              <w:rPr>
                <w:rFonts w:ascii="Figtree" w:hAnsi="Figtree"/>
                <w:b w:val="0"/>
                <w:i w:val="0"/>
                <w:sz w:val="20"/>
              </w:rPr>
              <w:t>Governance controls</w:t>
            </w:r>
          </w:p>
        </w:tc>
        <w:tc>
          <w:tcPr>
            <w:tcW w:type="dxa" w:w="3249"/>
            <w:vAlign w:val="center"/>
          </w:tcPr>
          <w:p>
            <w:pPr>
              <w:spacing w:line="276" w:lineRule="auto" w:before="0" w:after="0"/>
            </w:pPr>
            <w:r/>
            <w:r>
              <w:rPr>
                <w:rFonts w:ascii="Figtree" w:hAnsi="Figtree"/>
                <w:b w:val="0"/>
                <w:i w:val="0"/>
                <w:sz w:val="20"/>
              </w:rPr>
              <w:t>GOVERNANCE_ROLE multi-sig for system changes</w:t>
            </w:r>
          </w:p>
        </w:tc>
        <w:tc>
          <w:tcPr>
            <w:tcW w:type="dxa" w:w="3249"/>
            <w:vAlign w:val="center"/>
          </w:tcPr>
          <w:p>
            <w:pPr>
              <w:spacing w:line="276" w:lineRule="auto" w:before="0" w:after="0"/>
            </w:pPr>
            <w:r/>
            <w:r>
              <w:rPr>
                <w:rFonts w:ascii="Figtree" w:hAnsi="Figtree"/>
                <w:b w:val="0"/>
                <w:i w:val="0"/>
                <w:sz w:val="20"/>
              </w:rPr>
              <w:t>Single admin key</w:t>
            </w:r>
          </w:p>
        </w:tc>
      </w:tr>
    </w:tbl>
    <w:p>
      <w:pPr>
        <w:spacing w:before="0" w:after="0" w:line="120" w:lineRule="exact"/>
      </w:pPr>
    </w:p>
    <w:p>
      <w:pPr>
        <w:pStyle w:val="H3"/>
        <w:numPr>
          <w:ilvl w:val="2"/>
          <w:numId w:val="1"/>
        </w:numPr>
      </w:pPr>
      <w:r>
        <w:t>Appendix E: Implementation Staffing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22"/>
        <w:gridCol w:w="971"/>
        <w:gridCol w:w="547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Focus</w:t>
            </w:r>
          </w:p>
        </w:tc>
      </w:tr>
      <w:tr>
        <w:trPr>
          <w:trHeight w:val="425" w:hRule="atLeast"/>
        </w:trPr>
        <w:tc>
          <w:tcPr>
            <w:tcW w:type="dxa" w:w="3249"/>
            <w:vAlign w:val="center"/>
          </w:tcPr>
          <w:p>
            <w:pPr>
              <w:spacing w:line="276" w:lineRule="auto" w:before="0" w:after="0"/>
            </w:pPr>
            <w:r/>
            <w:r>
              <w:rPr>
                <w:rFonts w:ascii="Figtree" w:hAnsi="Figtree"/>
                <w:b w:val="0"/>
                <w:i w:val="0"/>
                <w:sz w:val="20"/>
              </w:rPr>
              <w:t>Programme Director</w:t>
            </w:r>
          </w:p>
        </w:tc>
        <w:tc>
          <w:tcPr>
            <w:tcW w:type="dxa" w:w="3249"/>
            <w:vAlign w:val="center"/>
          </w:tcPr>
          <w:p>
            <w:pPr>
              <w:spacing w:line="276" w:lineRule="auto" w:before="0" w:after="0"/>
            </w:pPr>
            <w:r/>
            <w:r>
              <w:rPr>
                <w:rFonts w:ascii="Figtree" w:hAnsi="Figtree"/>
                <w:b w:val="0"/>
                <w:i w:val="0"/>
                <w:sz w:val="20"/>
              </w:rPr>
              <w:t>25%</w:t>
            </w:r>
          </w:p>
        </w:tc>
        <w:tc>
          <w:tcPr>
            <w:tcW w:type="dxa" w:w="3249"/>
            <w:vAlign w:val="center"/>
          </w:tcPr>
          <w:p>
            <w:pPr>
              <w:spacing w:line="276" w:lineRule="auto" w:before="0" w:after="0"/>
            </w:pPr>
            <w:r/>
            <w:r>
              <w:rPr>
                <w:rFonts w:ascii="Figtree" w:hAnsi="Figtree"/>
                <w:b w:val="0"/>
                <w:i w:val="0"/>
                <w:sz w:val="20"/>
              </w:rPr>
              <w:t>Governance, FINMA liaison support, phase gate sign-offs</w:t>
            </w:r>
          </w:p>
        </w:tc>
      </w:tr>
      <w:tr>
        <w:trPr>
          <w:trHeight w:val="425" w:hRule="atLeast"/>
        </w:trPr>
        <w:tc>
          <w:tcPr>
            <w:tcW w:type="dxa" w:w="3249"/>
            <w:vAlign w:val="center"/>
          </w:tcPr>
          <w:p>
            <w:pPr>
              <w:spacing w:line="276" w:lineRule="auto" w:before="0" w:after="0"/>
            </w:pPr>
            <w:r/>
            <w:r>
              <w:rPr>
                <w:rFonts w:ascii="Figtree" w:hAnsi="Figtree"/>
                <w:b w:val="0"/>
                <w:i w:val="0"/>
                <w:sz w:val="20"/>
              </w:rPr>
              <w:t>Lead Solutions Architect</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Swiss regulatory architecture, DLT Act alignment</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Contract configuration, FMIA compliance modules, audit</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Swiss infrastructure, Besu network, HSM setup</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SIX Group, FINMA reporting, participant API compatibility</w:t>
            </w:r>
          </w:p>
        </w:tc>
      </w:tr>
      <w:tr>
        <w:trPr>
          <w:trHeight w:val="425" w:hRule="atLeast"/>
        </w:trPr>
        <w:tc>
          <w:tcPr>
            <w:tcW w:type="dxa" w:w="3249"/>
            <w:vAlign w:val="center"/>
          </w:tcPr>
          <w:p>
            <w:pPr>
              <w:spacing w:line="276" w:lineRule="auto" w:before="0" w:after="0"/>
            </w:pPr>
            <w:r/>
            <w:r>
              <w:rPr>
                <w:rFonts w:ascii="Figtree" w:hAnsi="Figtree"/>
                <w:b w:val="0"/>
                <w:i w:val="0"/>
                <w:sz w:val="20"/>
              </w:rPr>
              <w:t>QA/Security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UAT, load testing, penetration test management</w:t>
            </w:r>
          </w:p>
        </w:tc>
      </w:tr>
      <w:tr>
        <w:trPr>
          <w:trHeight w:val="425" w:hRule="atLeast"/>
        </w:trPr>
        <w:tc>
          <w:tcPr>
            <w:tcW w:type="dxa" w:w="3249"/>
            <w:vAlign w:val="center"/>
          </w:tcPr>
          <w:p>
            <w:pPr>
              <w:spacing w:line="276" w:lineRule="auto" w:before="0" w:after="0"/>
            </w:pPr>
            <w:r/>
            <w:r>
              <w:rPr>
                <w:rFonts w:ascii="Figtree" w:hAnsi="Figtree"/>
                <w:b w:val="0"/>
                <w:i w:val="0"/>
                <w:sz w:val="20"/>
              </w:rPr>
              <w:t>Swiss Compliance Specialist</w:t>
            </w:r>
          </w:p>
        </w:tc>
        <w:tc>
          <w:tcPr>
            <w:tcW w:type="dxa" w:w="3249"/>
            <w:vAlign w:val="center"/>
          </w:tcPr>
          <w:p>
            <w:pPr>
              <w:spacing w:line="276" w:lineRule="auto" w:before="0" w:after="0"/>
            </w:pPr>
            <w:r/>
            <w:r>
              <w:rPr>
                <w:rFonts w:ascii="Figtree" w:hAnsi="Figtree"/>
                <w:b w:val="0"/>
                <w:i w:val="0"/>
                <w:sz w:val="20"/>
              </w:rPr>
              <w:t>75%</w:t>
            </w:r>
          </w:p>
        </w:tc>
        <w:tc>
          <w:tcPr>
            <w:tcW w:type="dxa" w:w="3249"/>
            <w:vAlign w:val="center"/>
          </w:tcPr>
          <w:p>
            <w:pPr>
              <w:spacing w:line="276" w:lineRule="auto" w:before="0" w:after="0"/>
            </w:pPr>
            <w:r/>
            <w:r>
              <w:rPr>
                <w:rFonts w:ascii="Figtree" w:hAnsi="Figtree"/>
                <w:b w:val="0"/>
                <w:i w:val="0"/>
                <w:sz w:val="20"/>
              </w:rPr>
              <w:t>FMIA/DLT Act module review, PFMI evidence preparation</w:t>
            </w:r>
          </w:p>
        </w:tc>
      </w:tr>
      <w:tr>
        <w:trPr>
          <w:trHeight w:val="425" w:hRule="atLeast"/>
        </w:trPr>
        <w:tc>
          <w:tcPr>
            <w:tcW w:type="dxa" w:w="3249"/>
            <w:vAlign w:val="center"/>
          </w:tcPr>
          <w:p>
            <w:pPr>
              <w:spacing w:line="276" w:lineRule="auto" w:before="0" w:after="0"/>
            </w:pPr>
            <w:r/>
            <w:r>
              <w:rPr>
                <w:rFonts w:ascii="Figtree" w:hAnsi="Figtree"/>
                <w:b w:val="0"/>
                <w:i w:val="0"/>
                <w:sz w:val="20"/>
              </w:rPr>
              <w:t>Named Support Engineer</w:t>
            </w:r>
          </w:p>
        </w:tc>
        <w:tc>
          <w:tcPr>
            <w:tcW w:type="dxa" w:w="3249"/>
            <w:vAlign w:val="center"/>
          </w:tcPr>
          <w:p>
            <w:pPr>
              <w:spacing w:line="276" w:lineRule="auto" w:before="0" w:after="0"/>
            </w:pPr>
            <w:r/>
            <w:r>
              <w:rPr>
                <w:rFonts w:ascii="Figtree" w:hAnsi="Figtree"/>
                <w:b w:val="0"/>
                <w:i w:val="0"/>
                <w:sz w:val="20"/>
              </w:rPr>
              <w:t>Dedicated</w:t>
            </w:r>
          </w:p>
        </w:tc>
        <w:tc>
          <w:tcPr>
            <w:tcW w:type="dxa" w:w="3249"/>
            <w:vAlign w:val="center"/>
          </w:tcPr>
          <w:p>
            <w:pPr>
              <w:spacing w:line="276" w:lineRule="auto" w:before="0" w:after="0"/>
            </w:pPr>
            <w:r/>
            <w:r>
              <w:rPr>
                <w:rFonts w:ascii="Figtree" w:hAnsi="Figtree"/>
                <w:b w:val="0"/>
                <w:i w:val="0"/>
                <w:sz w:val="20"/>
              </w:rPr>
              <w:t>Post-go-live Enterprise support, Swiss timezone</w:t>
            </w:r>
          </w:p>
        </w:tc>
      </w:tr>
    </w:tbl>
    <w:p>
      <w:pPr>
        <w:spacing w:before="0" w:after="0" w:line="120" w:lineRule="exact"/>
      </w:pPr>
    </w:p>
    <w:p>
      <w:pPr>
        <w:pStyle w:val="H3"/>
        <w:numPr>
          <w:ilvl w:val="2"/>
          <w:numId w:val="1"/>
        </w:numPr>
      </w:pPr>
      <w:r>
        <w:t>Appendix F: Smart Contract Event Reference (SDX)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4"/>
        <w:gridCol w:w="1855"/>
        <w:gridCol w:w="474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Event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Contract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Significance</w:t>
            </w:r>
          </w:p>
        </w:tc>
      </w:tr>
      <w:tr>
        <w:trPr>
          <w:trHeight w:val="425" w:hRule="atLeast"/>
        </w:trPr>
        <w:tc>
          <w:tcPr>
            <w:tcW w:type="dxa" w:w="3249"/>
            <w:vAlign w:val="center"/>
          </w:tcPr>
          <w:p>
            <w:pPr>
              <w:spacing w:line="276" w:lineRule="auto" w:before="0" w:after="0"/>
            </w:pPr>
            <w:r/>
            <w:r>
              <w:rPr>
                <w:rFonts w:ascii="Figtree" w:hAnsi="Figtree"/>
                <w:b w:val="0"/>
                <w:i w:val="0"/>
                <w:sz w:val="20"/>
              </w:rPr>
              <w:t>`Transfer`</w:t>
            </w:r>
          </w:p>
        </w:tc>
        <w:tc>
          <w:tcPr>
            <w:tcW w:type="dxa" w:w="3249"/>
            <w:vAlign w:val="center"/>
          </w:tcPr>
          <w:p>
            <w:pPr>
              <w:spacing w:line="276" w:lineRule="auto" w:before="0" w:after="0"/>
            </w:pPr>
            <w:r/>
            <w:r>
              <w:rPr>
                <w:rFonts w:ascii="Figtree" w:hAnsi="Figtree"/>
                <w:b w:val="0"/>
                <w:i w:val="0"/>
                <w:sz w:val="20"/>
              </w:rPr>
              <w:t>DALPAsset</w:t>
            </w:r>
          </w:p>
        </w:tc>
        <w:tc>
          <w:tcPr>
            <w:tcW w:type="dxa" w:w="3249"/>
            <w:vAlign w:val="center"/>
          </w:tcPr>
          <w:p>
            <w:pPr>
              <w:spacing w:line="276" w:lineRule="auto" w:before="0" w:after="0"/>
            </w:pPr>
            <w:r/>
            <w:r>
              <w:rPr>
                <w:rFonts w:ascii="Figtree" w:hAnsi="Figtree"/>
                <w:b w:val="0"/>
                <w:i w:val="0"/>
                <w:sz w:val="20"/>
              </w:rPr>
              <w:t>Settlement record, FMIA finality evidence</w:t>
            </w:r>
          </w:p>
        </w:tc>
      </w:tr>
      <w:tr>
        <w:trPr>
          <w:trHeight w:val="425" w:hRule="atLeast"/>
        </w:trPr>
        <w:tc>
          <w:tcPr>
            <w:tcW w:type="dxa" w:w="3249"/>
            <w:vAlign w:val="center"/>
          </w:tcPr>
          <w:p>
            <w:pPr>
              <w:spacing w:line="276" w:lineRule="auto" w:before="0" w:after="0"/>
            </w:pPr>
            <w:r/>
            <w:r>
              <w:rPr>
                <w:rFonts w:ascii="Figtree" w:hAnsi="Figtree"/>
                <w:b w:val="0"/>
                <w:i w:val="0"/>
                <w:sz w:val="20"/>
              </w:rPr>
              <w:t>`XvPSettlementCompleted`</w:t>
            </w:r>
          </w:p>
        </w:tc>
        <w:tc>
          <w:tcPr>
            <w:tcW w:type="dxa" w:w="3249"/>
            <w:vAlign w:val="center"/>
          </w:tcPr>
          <w:p>
            <w:pPr>
              <w:spacing w:line="276" w:lineRule="auto" w:before="0" w:after="0"/>
            </w:pPr>
            <w:r/>
            <w:r>
              <w:rPr>
                <w:rFonts w:ascii="Figtree" w:hAnsi="Figtree"/>
                <w:b w:val="0"/>
                <w:i w:val="0"/>
                <w:sz w:val="20"/>
              </w:rPr>
              <w:t>XvP</w:t>
            </w:r>
          </w:p>
        </w:tc>
        <w:tc>
          <w:tcPr>
            <w:tcW w:type="dxa" w:w="3249"/>
            <w:vAlign w:val="center"/>
          </w:tcPr>
          <w:p>
            <w:pPr>
              <w:spacing w:line="276" w:lineRule="auto" w:before="0" w:after="0"/>
            </w:pPr>
            <w:r/>
            <w:r>
              <w:rPr>
                <w:rFonts w:ascii="Figtree" w:hAnsi="Figtree"/>
                <w:b w:val="0"/>
                <w:i w:val="0"/>
                <w:sz w:val="20"/>
              </w:rPr>
              <w:t>Art. 51 finality event, FINMA-reportable</w:t>
            </w:r>
          </w:p>
        </w:tc>
      </w:tr>
      <w:tr>
        <w:trPr>
          <w:trHeight w:val="425" w:hRule="atLeast"/>
        </w:trPr>
        <w:tc>
          <w:tcPr>
            <w:tcW w:type="dxa" w:w="3249"/>
            <w:vAlign w:val="center"/>
          </w:tcPr>
          <w:p>
            <w:pPr>
              <w:spacing w:line="276" w:lineRule="auto" w:before="0" w:after="0"/>
            </w:pPr>
            <w:r/>
            <w:r>
              <w:rPr>
                <w:rFonts w:ascii="Figtree" w:hAnsi="Figtree"/>
                <w:b w:val="0"/>
                <w:i w:val="0"/>
                <w:sz w:val="20"/>
              </w:rPr>
              <w:t>`XvPSettlementReverted`</w:t>
            </w:r>
          </w:p>
        </w:tc>
        <w:tc>
          <w:tcPr>
            <w:tcW w:type="dxa" w:w="3249"/>
            <w:vAlign w:val="center"/>
          </w:tcPr>
          <w:p>
            <w:pPr>
              <w:spacing w:line="276" w:lineRule="auto" w:before="0" w:after="0"/>
            </w:pPr>
            <w:r/>
            <w:r>
              <w:rPr>
                <w:rFonts w:ascii="Figtree" w:hAnsi="Figtree"/>
                <w:b w:val="0"/>
                <w:i w:val="0"/>
                <w:sz w:val="20"/>
              </w:rPr>
              <w:t>XvP</w:t>
            </w:r>
          </w:p>
        </w:tc>
        <w:tc>
          <w:tcPr>
            <w:tcW w:type="dxa" w:w="3249"/>
            <w:vAlign w:val="center"/>
          </w:tcPr>
          <w:p>
            <w:pPr>
              <w:spacing w:line="276" w:lineRule="auto" w:before="0" w:after="0"/>
            </w:pPr>
            <w:r/>
            <w:r>
              <w:rPr>
                <w:rFonts w:ascii="Figtree" w:hAnsi="Figtree"/>
                <w:b w:val="0"/>
                <w:i w:val="0"/>
                <w:sz w:val="20"/>
              </w:rPr>
              <w:t>Settlement failure; default management trigger</w:t>
            </w:r>
          </w:p>
        </w:tc>
      </w:tr>
      <w:tr>
        <w:trPr>
          <w:trHeight w:val="425" w:hRule="atLeast"/>
        </w:trPr>
        <w:tc>
          <w:tcPr>
            <w:tcW w:type="dxa" w:w="3249"/>
            <w:vAlign w:val="center"/>
          </w:tcPr>
          <w:p>
            <w:pPr>
              <w:spacing w:line="276" w:lineRule="auto" w:before="0" w:after="0"/>
            </w:pPr>
            <w:r/>
            <w:r>
              <w:rPr>
                <w:rFonts w:ascii="Figtree" w:hAnsi="Figtree"/>
                <w:b w:val="0"/>
                <w:i w:val="0"/>
                <w:sz w:val="20"/>
              </w:rPr>
              <w:t>`AccountFrozen`</w:t>
            </w:r>
          </w:p>
        </w:tc>
        <w:tc>
          <w:tcPr>
            <w:tcW w:type="dxa" w:w="3249"/>
            <w:vAlign w:val="center"/>
          </w:tcPr>
          <w:p>
            <w:pPr>
              <w:spacing w:line="276" w:lineRule="auto" w:before="0" w:after="0"/>
            </w:pPr>
            <w:r/>
            <w:r>
              <w:rPr>
                <w:rFonts w:ascii="Figtree" w:hAnsi="Figtree"/>
                <w:b w:val="0"/>
                <w:i w:val="0"/>
                <w:sz w:val="20"/>
              </w:rPr>
              <w:t>CustodianExtension</w:t>
            </w:r>
          </w:p>
        </w:tc>
        <w:tc>
          <w:tcPr>
            <w:tcW w:type="dxa" w:w="3249"/>
            <w:vAlign w:val="center"/>
          </w:tcPr>
          <w:p>
            <w:pPr>
              <w:spacing w:line="276" w:lineRule="auto" w:before="0" w:after="0"/>
            </w:pPr>
            <w:r/>
            <w:r>
              <w:rPr>
                <w:rFonts w:ascii="Figtree" w:hAnsi="Figtree"/>
                <w:b w:val="0"/>
                <w:i w:val="0"/>
                <w:sz w:val="20"/>
              </w:rPr>
              <w:t>Default management action</w:t>
            </w:r>
          </w:p>
        </w:tc>
      </w:tr>
      <w:tr>
        <w:trPr>
          <w:trHeight w:val="425" w:hRule="atLeast"/>
        </w:trPr>
        <w:tc>
          <w:tcPr>
            <w:tcW w:type="dxa" w:w="3249"/>
            <w:vAlign w:val="center"/>
          </w:tcPr>
          <w:p>
            <w:pPr>
              <w:spacing w:line="276" w:lineRule="auto" w:before="0" w:after="0"/>
            </w:pPr>
            <w:r/>
            <w:r>
              <w:rPr>
                <w:rFonts w:ascii="Figtree" w:hAnsi="Figtree"/>
                <w:b w:val="0"/>
                <w:i w:val="0"/>
                <w:sz w:val="20"/>
              </w:rPr>
              <w:t>`ForceTransfer`</w:t>
            </w:r>
          </w:p>
        </w:tc>
        <w:tc>
          <w:tcPr>
            <w:tcW w:type="dxa" w:w="3249"/>
            <w:vAlign w:val="center"/>
          </w:tcPr>
          <w:p>
            <w:pPr>
              <w:spacing w:line="276" w:lineRule="auto" w:before="0" w:after="0"/>
            </w:pPr>
            <w:r/>
            <w:r>
              <w:rPr>
                <w:rFonts w:ascii="Figtree" w:hAnsi="Figtree"/>
                <w:b w:val="0"/>
                <w:i w:val="0"/>
                <w:sz w:val="20"/>
              </w:rPr>
              <w:t>CustodianExtension</w:t>
            </w:r>
          </w:p>
        </w:tc>
        <w:tc>
          <w:tcPr>
            <w:tcW w:type="dxa" w:w="3249"/>
            <w:vAlign w:val="center"/>
          </w:tcPr>
          <w:p>
            <w:pPr>
              <w:spacing w:line="276" w:lineRule="auto" w:before="0" w:after="0"/>
            </w:pPr>
            <w:r/>
            <w:r>
              <w:rPr>
                <w:rFonts w:ascii="Figtree" w:hAnsi="Figtree"/>
                <w:b w:val="0"/>
                <w:i w:val="0"/>
                <w:sz w:val="20"/>
              </w:rPr>
              <w:t>FINMA/regulatory action record</w:t>
            </w:r>
          </w:p>
        </w:tc>
      </w:tr>
      <w:tr>
        <w:trPr>
          <w:trHeight w:val="425" w:hRule="atLeast"/>
        </w:trPr>
        <w:tc>
          <w:tcPr>
            <w:tcW w:type="dxa" w:w="3249"/>
            <w:vAlign w:val="center"/>
          </w:tcPr>
          <w:p>
            <w:pPr>
              <w:spacing w:line="276" w:lineRule="auto" w:before="0" w:after="0"/>
            </w:pPr>
            <w:r/>
            <w:r>
              <w:rPr>
                <w:rFonts w:ascii="Figtree" w:hAnsi="Figtree"/>
                <w:b w:val="0"/>
                <w:i w:val="0"/>
                <w:sz w:val="20"/>
              </w:rPr>
              <w:t>`ComplianceCheckFailed`</w:t>
            </w:r>
          </w:p>
        </w:tc>
        <w:tc>
          <w:tcPr>
            <w:tcW w:type="dxa" w:w="3249"/>
            <w:vAlign w:val="center"/>
          </w:tcPr>
          <w:p>
            <w:pPr>
              <w:spacing w:line="276" w:lineRule="auto" w:before="0" w:after="0"/>
            </w:pPr>
            <w:r/>
            <w:r>
              <w:rPr>
                <w:rFonts w:ascii="Figtree" w:hAnsi="Figtree"/>
                <w:b w:val="0"/>
                <w:i w:val="0"/>
                <w:sz w:val="20"/>
              </w:rPr>
              <w:t>ComplianceEngine</w:t>
            </w:r>
          </w:p>
        </w:tc>
        <w:tc>
          <w:tcPr>
            <w:tcW w:type="dxa" w:w="3249"/>
            <w:vAlign w:val="center"/>
          </w:tcPr>
          <w:p>
            <w:pPr>
              <w:spacing w:line="276" w:lineRule="auto" w:before="0" w:after="0"/>
            </w:pPr>
            <w:r/>
            <w:r>
              <w:rPr>
                <w:rFonts w:ascii="Figtree" w:hAnsi="Figtree"/>
                <w:b w:val="0"/>
                <w:i w:val="0"/>
                <w:sz w:val="20"/>
              </w:rPr>
              <w:t>AMLA/FMIA denial record</w:t>
            </w:r>
          </w:p>
        </w:tc>
      </w:tr>
      <w:tr>
        <w:trPr>
          <w:trHeight w:val="425" w:hRule="atLeast"/>
        </w:trPr>
        <w:tc>
          <w:tcPr>
            <w:tcW w:type="dxa" w:w="3249"/>
            <w:vAlign w:val="center"/>
          </w:tcPr>
          <w:p>
            <w:pPr>
              <w:spacing w:line="276" w:lineRule="auto" w:before="0" w:after="0"/>
            </w:pPr>
            <w:r/>
            <w:r>
              <w:rPr>
                <w:rFonts w:ascii="Figtree" w:hAnsi="Figtree"/>
                <w:b w:val="0"/>
                <w:i w:val="0"/>
                <w:sz w:val="20"/>
              </w:rPr>
              <w:t>`RoleGranted`</w:t>
            </w:r>
          </w:p>
        </w:tc>
        <w:tc>
          <w:tcPr>
            <w:tcW w:type="dxa" w:w="3249"/>
            <w:vAlign w:val="center"/>
          </w:tcPr>
          <w:p>
            <w:pPr>
              <w:spacing w:line="276" w:lineRule="auto" w:before="0" w:after="0"/>
            </w:pPr>
            <w:r/>
            <w:r>
              <w:rPr>
                <w:rFonts w:ascii="Figtree" w:hAnsi="Figtree"/>
                <w:b w:val="0"/>
                <w:i w:val="0"/>
                <w:sz w:val="20"/>
              </w:rPr>
              <w:t>AccessManager</w:t>
            </w:r>
          </w:p>
        </w:tc>
        <w:tc>
          <w:tcPr>
            <w:tcW w:type="dxa" w:w="3249"/>
            <w:vAlign w:val="center"/>
          </w:tcPr>
          <w:p>
            <w:pPr>
              <w:spacing w:line="276" w:lineRule="auto" w:before="0" w:after="0"/>
            </w:pPr>
            <w:r/>
            <w:r>
              <w:rPr>
                <w:rFonts w:ascii="Figtree" w:hAnsi="Figtree"/>
                <w:b w:val="0"/>
                <w:i w:val="0"/>
                <w:sz w:val="20"/>
              </w:rPr>
              <w:t>DLT Act access rights record</w:t>
            </w:r>
          </w:p>
        </w:tc>
      </w:tr>
      <w:tr>
        <w:trPr>
          <w:trHeight w:val="425" w:hRule="atLeast"/>
        </w:trPr>
        <w:tc>
          <w:tcPr>
            <w:tcW w:type="dxa" w:w="3249"/>
            <w:vAlign w:val="center"/>
          </w:tcPr>
          <w:p>
            <w:pPr>
              <w:spacing w:line="276" w:lineRule="auto" w:before="0" w:after="0"/>
            </w:pPr>
            <w:r/>
            <w:r>
              <w:rPr>
                <w:rFonts w:ascii="Figtree" w:hAnsi="Figtree"/>
                <w:b w:val="0"/>
                <w:i w:val="0"/>
                <w:sz w:val="20"/>
              </w:rPr>
              <w:t>`RoleRevoked`</w:t>
            </w:r>
          </w:p>
        </w:tc>
        <w:tc>
          <w:tcPr>
            <w:tcW w:type="dxa" w:w="3249"/>
            <w:vAlign w:val="center"/>
          </w:tcPr>
          <w:p>
            <w:pPr>
              <w:spacing w:line="276" w:lineRule="auto" w:before="0" w:after="0"/>
            </w:pPr>
            <w:r/>
            <w:r>
              <w:rPr>
                <w:rFonts w:ascii="Figtree" w:hAnsi="Figtree"/>
                <w:b w:val="0"/>
                <w:i w:val="0"/>
                <w:sz w:val="20"/>
              </w:rPr>
              <w:t>AccessManager</w:t>
            </w:r>
          </w:p>
        </w:tc>
        <w:tc>
          <w:tcPr>
            <w:tcW w:type="dxa" w:w="3249"/>
            <w:vAlign w:val="center"/>
          </w:tcPr>
          <w:p>
            <w:pPr>
              <w:spacing w:line="276" w:lineRule="auto" w:before="0" w:after="0"/>
            </w:pPr>
            <w:r/>
            <w:r>
              <w:rPr>
                <w:rFonts w:ascii="Figtree" w:hAnsi="Figtree"/>
                <w:b w:val="0"/>
                <w:i w:val="0"/>
                <w:sz w:val="20"/>
              </w:rPr>
              <w:t>Participant suspension record</w:t>
            </w:r>
          </w:p>
        </w:tc>
      </w:tr>
      <w:tr>
        <w:trPr>
          <w:trHeight w:val="425" w:hRule="atLeast"/>
        </w:trPr>
        <w:tc>
          <w:tcPr>
            <w:tcW w:type="dxa" w:w="3249"/>
            <w:vAlign w:val="center"/>
          </w:tcPr>
          <w:p>
            <w:pPr>
              <w:spacing w:line="276" w:lineRule="auto" w:before="0" w:after="0"/>
            </w:pPr>
            <w:r/>
            <w:r>
              <w:rPr>
                <w:rFonts w:ascii="Figtree" w:hAnsi="Figtree"/>
                <w:b w:val="0"/>
                <w:i w:val="0"/>
                <w:sz w:val="20"/>
              </w:rPr>
              <w:t>`ClaimAdded`</w:t>
            </w:r>
          </w:p>
        </w:tc>
        <w:tc>
          <w:tcPr>
            <w:tcW w:type="dxa" w:w="3249"/>
            <w:vAlign w:val="center"/>
          </w:tcPr>
          <w:p>
            <w:pPr>
              <w:spacing w:line="276" w:lineRule="auto" w:before="0" w:after="0"/>
            </w:pPr>
            <w:r/>
            <w:r>
              <w:rPr>
                <w:rFonts w:ascii="Figtree" w:hAnsi="Figtree"/>
                <w:b w:val="0"/>
                <w:i w:val="0"/>
                <w:sz w:val="20"/>
              </w:rPr>
              <w:t>OnchainID</w:t>
            </w:r>
          </w:p>
        </w:tc>
        <w:tc>
          <w:tcPr>
            <w:tcW w:type="dxa" w:w="3249"/>
            <w:vAlign w:val="center"/>
          </w:tcPr>
          <w:p>
            <w:pPr>
              <w:spacing w:line="276" w:lineRule="auto" w:before="0" w:after="0"/>
            </w:pPr>
            <w:r/>
            <w:r>
              <w:rPr>
                <w:rFonts w:ascii="Figtree" w:hAnsi="Figtree"/>
                <w:b w:val="0"/>
                <w:i w:val="0"/>
                <w:sz w:val="20"/>
              </w:rPr>
              <w:t>AMLA onboarding record</w:t>
            </w:r>
          </w:p>
        </w:tc>
      </w:tr>
      <w:tr>
        <w:trPr>
          <w:trHeight w:val="425" w:hRule="atLeast"/>
        </w:trPr>
        <w:tc>
          <w:tcPr>
            <w:tcW w:type="dxa" w:w="3249"/>
            <w:vAlign w:val="center"/>
          </w:tcPr>
          <w:p>
            <w:pPr>
              <w:spacing w:line="276" w:lineRule="auto" w:before="0" w:after="0"/>
            </w:pPr>
            <w:r/>
            <w:r>
              <w:rPr>
                <w:rFonts w:ascii="Figtree" w:hAnsi="Figtree"/>
                <w:b w:val="0"/>
                <w:i w:val="0"/>
                <w:sz w:val="20"/>
              </w:rPr>
              <w:t>`ClaimRevoked`</w:t>
            </w:r>
          </w:p>
        </w:tc>
        <w:tc>
          <w:tcPr>
            <w:tcW w:type="dxa" w:w="3249"/>
            <w:vAlign w:val="center"/>
          </w:tcPr>
          <w:p>
            <w:pPr>
              <w:spacing w:line="276" w:lineRule="auto" w:before="0" w:after="0"/>
            </w:pPr>
            <w:r/>
            <w:r>
              <w:rPr>
                <w:rFonts w:ascii="Figtree" w:hAnsi="Figtree"/>
                <w:b w:val="0"/>
                <w:i w:val="0"/>
                <w:sz w:val="20"/>
              </w:rPr>
              <w:t>OnchainID</w:t>
            </w:r>
          </w:p>
        </w:tc>
        <w:tc>
          <w:tcPr>
            <w:tcW w:type="dxa" w:w="3249"/>
            <w:vAlign w:val="center"/>
          </w:tcPr>
          <w:p>
            <w:pPr>
              <w:spacing w:line="276" w:lineRule="auto" w:before="0" w:after="0"/>
            </w:pPr>
            <w:r/>
            <w:r>
              <w:rPr>
                <w:rFonts w:ascii="Figtree" w:hAnsi="Figtree"/>
                <w:b w:val="0"/>
                <w:i w:val="0"/>
                <w:sz w:val="20"/>
              </w:rPr>
              <w:t>Participant suspension from AMLA review</w:t>
            </w:r>
          </w:p>
        </w:tc>
      </w:tr>
    </w:tbl>
    <w:p>
      <w:pPr>
        <w:spacing w:before="0" w:after="0" w:line="120" w:lineRule="exact"/>
      </w:pPr>
    </w:p>
    <w:p>
      <w:pPr>
        <w:pStyle w:val="H3"/>
        <w:numPr>
          <w:ilvl w:val="2"/>
          <w:numId w:val="1"/>
        </w:numPr>
      </w:pPr>
      <w:r>
        <w:t>Appendix I: API Specifications</w:t>
      </w:r>
    </w:p>
    <w:p>
      <w:r>
        <w:rPr>
          <w:rFonts w:ascii="Figtree" w:hAnsi="Figtree"/>
          <w:b w:val="0"/>
          <w:i w:val="0"/>
          <w:sz w:val="22"/>
        </w:rPr>
        <w:t>DALP's API layer provides the following integration capabilities relevant to SDX: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61"/>
        <w:gridCol w:w="2860"/>
        <w:gridCol w:w="424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Endpoint 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3249"/>
            <w:vAlign w:val="center"/>
          </w:tcPr>
          <w:p>
            <w:pPr>
              <w:spacing w:line="276" w:lineRule="auto" w:before="0" w:after="0"/>
            </w:pPr>
            <w:r/>
            <w:r>
              <w:rPr>
                <w:rFonts w:ascii="Figtree" w:hAnsi="Figtree"/>
                <w:b w:val="0"/>
                <w:i w:val="0"/>
                <w:sz w:val="20"/>
              </w:rPr>
              <w:t>Participant onboarding</w:t>
            </w:r>
          </w:p>
        </w:tc>
        <w:tc>
          <w:tcPr>
            <w:tcW w:type="dxa" w:w="3249"/>
            <w:vAlign w:val="center"/>
          </w:tcPr>
          <w:p>
            <w:pPr>
              <w:spacing w:line="276" w:lineRule="auto" w:before="0" w:after="0"/>
            </w:pPr>
            <w:r/>
            <w:r>
              <w:rPr>
                <w:rFonts w:ascii="Figtree" w:hAnsi="Figtree"/>
                <w:b w:val="0"/>
                <w:i w:val="0"/>
                <w:sz w:val="20"/>
              </w:rPr>
              <w:t>`POST /v1/participants`</w:t>
            </w:r>
          </w:p>
        </w:tc>
        <w:tc>
          <w:tcPr>
            <w:tcW w:type="dxa" w:w="3249"/>
            <w:vAlign w:val="center"/>
          </w:tcPr>
          <w:p>
            <w:pPr>
              <w:spacing w:line="276" w:lineRule="auto" w:before="0" w:after="0"/>
            </w:pPr>
            <w:r/>
            <w:r>
              <w:rPr>
                <w:rFonts w:ascii="Figtree" w:hAnsi="Figtree"/>
                <w:b w:val="0"/>
                <w:i w:val="0"/>
                <w:sz w:val="20"/>
              </w:rPr>
              <w:t>Register participant with identity claims</w:t>
            </w:r>
          </w:p>
        </w:tc>
      </w:tr>
      <w:tr>
        <w:trPr>
          <w:trHeight w:val="425" w:hRule="atLeast"/>
        </w:trPr>
        <w:tc>
          <w:tcPr>
            <w:tcW w:type="dxa" w:w="3249"/>
            <w:vAlign w:val="center"/>
          </w:tcPr>
          <w:p>
            <w:pPr>
              <w:spacing w:line="276" w:lineRule="auto" w:before="0" w:after="0"/>
            </w:pPr>
            <w:r/>
            <w:r>
              <w:rPr>
                <w:rFonts w:ascii="Figtree" w:hAnsi="Figtree"/>
                <w:b w:val="0"/>
                <w:i w:val="0"/>
                <w:sz w:val="20"/>
              </w:rPr>
              <w:t>Role management</w:t>
            </w:r>
          </w:p>
        </w:tc>
        <w:tc>
          <w:tcPr>
            <w:tcW w:type="dxa" w:w="3249"/>
            <w:vAlign w:val="center"/>
          </w:tcPr>
          <w:p>
            <w:pPr>
              <w:spacing w:line="276" w:lineRule="auto" w:before="0" w:after="0"/>
            </w:pPr>
            <w:r/>
            <w:r>
              <w:rPr>
                <w:rFonts w:ascii="Figtree" w:hAnsi="Figtree"/>
                <w:b w:val="0"/>
                <w:i w:val="0"/>
                <w:sz w:val="20"/>
              </w:rPr>
              <w:t>`POST /v1/participants/{id}/roles`</w:t>
            </w:r>
          </w:p>
        </w:tc>
        <w:tc>
          <w:tcPr>
            <w:tcW w:type="dxa" w:w="3249"/>
            <w:vAlign w:val="center"/>
          </w:tcPr>
          <w:p>
            <w:pPr>
              <w:spacing w:line="276" w:lineRule="auto" w:before="0" w:after="0"/>
            </w:pPr>
            <w:r/>
            <w:r>
              <w:rPr>
                <w:rFonts w:ascii="Figtree" w:hAnsi="Figtree"/>
                <w:b w:val="0"/>
                <w:i w:val="0"/>
                <w:sz w:val="20"/>
              </w:rPr>
              <w:t>Grant or revoke on-chain roles</w:t>
            </w:r>
          </w:p>
        </w:tc>
      </w:tr>
      <w:tr>
        <w:trPr>
          <w:trHeight w:val="425" w:hRule="atLeast"/>
        </w:trPr>
        <w:tc>
          <w:tcPr>
            <w:tcW w:type="dxa" w:w="3249"/>
            <w:vAlign w:val="center"/>
          </w:tcPr>
          <w:p>
            <w:pPr>
              <w:spacing w:line="276" w:lineRule="auto" w:before="0" w:after="0"/>
            </w:pPr>
            <w:r/>
            <w:r>
              <w:rPr>
                <w:rFonts w:ascii="Figtree" w:hAnsi="Figtree"/>
                <w:b w:val="0"/>
                <w:i w:val="0"/>
                <w:sz w:val="20"/>
              </w:rPr>
              <w:t>Asset issuance</w:t>
            </w:r>
          </w:p>
        </w:tc>
        <w:tc>
          <w:tcPr>
            <w:tcW w:type="dxa" w:w="3249"/>
            <w:vAlign w:val="center"/>
          </w:tcPr>
          <w:p>
            <w:pPr>
              <w:spacing w:line="276" w:lineRule="auto" w:before="0" w:after="0"/>
            </w:pPr>
            <w:r/>
            <w:r>
              <w:rPr>
                <w:rFonts w:ascii="Figtree" w:hAnsi="Figtree"/>
                <w:b w:val="0"/>
                <w:i w:val="0"/>
                <w:sz w:val="20"/>
              </w:rPr>
              <w:t>`POST /v1/assets`</w:t>
            </w:r>
          </w:p>
        </w:tc>
        <w:tc>
          <w:tcPr>
            <w:tcW w:type="dxa" w:w="3249"/>
            <w:vAlign w:val="center"/>
          </w:tcPr>
          <w:p>
            <w:pPr>
              <w:spacing w:line="276" w:lineRule="auto" w:before="0" w:after="0"/>
            </w:pPr>
            <w:r/>
            <w:r>
              <w:rPr>
                <w:rFonts w:ascii="Figtree" w:hAnsi="Figtree"/>
                <w:b w:val="0"/>
                <w:i w:val="0"/>
                <w:sz w:val="20"/>
              </w:rPr>
              <w:t>Deploy DALPAsset with Swiss compliance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configuration</w:t>
            </w:r>
          </w:p>
        </w:tc>
        <w:tc>
          <w:tcPr>
            <w:tcW w:type="dxa" w:w="3249"/>
            <w:vAlign w:val="center"/>
          </w:tcPr>
          <w:p>
            <w:pPr>
              <w:spacing w:line="276" w:lineRule="auto" w:before="0" w:after="0"/>
            </w:pPr>
            <w:r/>
            <w:r>
              <w:rPr>
                <w:rFonts w:ascii="Figtree" w:hAnsi="Figtree"/>
                <w:b w:val="0"/>
                <w:i w:val="0"/>
                <w:sz w:val="20"/>
              </w:rPr>
              <w:t>`PUT /v1/assets/{id}/compliance`</w:t>
            </w:r>
          </w:p>
        </w:tc>
        <w:tc>
          <w:tcPr>
            <w:tcW w:type="dxa" w:w="3249"/>
            <w:vAlign w:val="center"/>
          </w:tcPr>
          <w:p>
            <w:pPr>
              <w:spacing w:line="276" w:lineRule="auto" w:before="0" w:after="0"/>
            </w:pPr>
            <w:r/>
            <w:r>
              <w:rPr>
                <w:rFonts w:ascii="Figtree" w:hAnsi="Figtree"/>
                <w:b w:val="0"/>
                <w:i w:val="0"/>
                <w:sz w:val="20"/>
              </w:rPr>
              <w:t>Update compliance module parameters</w:t>
            </w:r>
          </w:p>
        </w:tc>
      </w:tr>
      <w:tr>
        <w:trPr>
          <w:trHeight w:val="425" w:hRule="atLeast"/>
        </w:trPr>
        <w:tc>
          <w:tcPr>
            <w:tcW w:type="dxa" w:w="3249"/>
            <w:vAlign w:val="center"/>
          </w:tcPr>
          <w:p>
            <w:pPr>
              <w:spacing w:line="276" w:lineRule="auto" w:before="0" w:after="0"/>
            </w:pPr>
            <w:r/>
            <w:r>
              <w:rPr>
                <w:rFonts w:ascii="Figtree" w:hAnsi="Figtree"/>
                <w:b w:val="0"/>
                <w:i w:val="0"/>
                <w:sz w:val="20"/>
              </w:rPr>
              <w:t>Settlement instruction</w:t>
            </w:r>
          </w:p>
        </w:tc>
        <w:tc>
          <w:tcPr>
            <w:tcW w:type="dxa" w:w="3249"/>
            <w:vAlign w:val="center"/>
          </w:tcPr>
          <w:p>
            <w:pPr>
              <w:spacing w:line="276" w:lineRule="auto" w:before="0" w:after="0"/>
            </w:pPr>
            <w:r/>
            <w:r>
              <w:rPr>
                <w:rFonts w:ascii="Figtree" w:hAnsi="Figtree"/>
                <w:b w:val="0"/>
                <w:i w:val="0"/>
                <w:sz w:val="20"/>
              </w:rPr>
              <w:t>`POST /v1/settlements/xvp`</w:t>
            </w:r>
          </w:p>
        </w:tc>
        <w:tc>
          <w:tcPr>
            <w:tcW w:type="dxa" w:w="3249"/>
            <w:vAlign w:val="center"/>
          </w:tcPr>
          <w:p>
            <w:pPr>
              <w:spacing w:line="276" w:lineRule="auto" w:before="0" w:after="0"/>
            </w:pPr>
            <w:r/>
            <w:r>
              <w:rPr>
                <w:rFonts w:ascii="Figtree" w:hAnsi="Figtree"/>
                <w:b w:val="0"/>
                <w:i w:val="0"/>
                <w:sz w:val="20"/>
              </w:rPr>
              <w:t>Create XvP DvP settlement instruction</w:t>
            </w:r>
          </w:p>
        </w:tc>
      </w:tr>
      <w:tr>
        <w:trPr>
          <w:trHeight w:val="425" w:hRule="atLeast"/>
        </w:trPr>
        <w:tc>
          <w:tcPr>
            <w:tcW w:type="dxa" w:w="3249"/>
            <w:vAlign w:val="center"/>
          </w:tcPr>
          <w:p>
            <w:pPr>
              <w:spacing w:line="276" w:lineRule="auto" w:before="0" w:after="0"/>
            </w:pPr>
            <w:r/>
            <w:r>
              <w:rPr>
                <w:rFonts w:ascii="Figtree" w:hAnsi="Figtree"/>
                <w:b w:val="0"/>
                <w:i w:val="0"/>
                <w:sz w:val="20"/>
              </w:rPr>
              <w:t>Settlement status</w:t>
            </w:r>
          </w:p>
        </w:tc>
        <w:tc>
          <w:tcPr>
            <w:tcW w:type="dxa" w:w="3249"/>
            <w:vAlign w:val="center"/>
          </w:tcPr>
          <w:p>
            <w:pPr>
              <w:spacing w:line="276" w:lineRule="auto" w:before="0" w:after="0"/>
            </w:pPr>
            <w:r/>
            <w:r>
              <w:rPr>
                <w:rFonts w:ascii="Figtree" w:hAnsi="Figtree"/>
                <w:b w:val="0"/>
                <w:i w:val="0"/>
                <w:sz w:val="20"/>
              </w:rPr>
              <w:t>`GET /v1/settlements/{id}`</w:t>
            </w:r>
          </w:p>
        </w:tc>
        <w:tc>
          <w:tcPr>
            <w:tcW w:type="dxa" w:w="3249"/>
            <w:vAlign w:val="center"/>
          </w:tcPr>
          <w:p>
            <w:pPr>
              <w:spacing w:line="276" w:lineRule="auto" w:before="0" w:after="0"/>
            </w:pPr>
            <w:r/>
            <w:r>
              <w:rPr>
                <w:rFonts w:ascii="Figtree" w:hAnsi="Figtree"/>
                <w:b w:val="0"/>
                <w:i w:val="0"/>
                <w:sz w:val="20"/>
              </w:rPr>
              <w:t>Query settlement status and finality timestamp</w:t>
            </w:r>
          </w:p>
        </w:tc>
      </w:tr>
      <w:tr>
        <w:trPr>
          <w:trHeight w:val="425" w:hRule="atLeast"/>
        </w:trPr>
        <w:tc>
          <w:tcPr>
            <w:tcW w:type="dxa" w:w="3249"/>
            <w:vAlign w:val="center"/>
          </w:tcPr>
          <w:p>
            <w:pPr>
              <w:spacing w:line="276" w:lineRule="auto" w:before="0" w:after="0"/>
            </w:pPr>
            <w:r/>
            <w:r>
              <w:rPr>
                <w:rFonts w:ascii="Figtree" w:hAnsi="Figtree"/>
                <w:b w:val="0"/>
                <w:i w:val="0"/>
                <w:sz w:val="20"/>
              </w:rPr>
              <w:t>Event query</w:t>
            </w:r>
          </w:p>
        </w:tc>
        <w:tc>
          <w:tcPr>
            <w:tcW w:type="dxa" w:w="3249"/>
            <w:vAlign w:val="center"/>
          </w:tcPr>
          <w:p>
            <w:pPr>
              <w:spacing w:line="276" w:lineRule="auto" w:before="0" w:after="0"/>
            </w:pPr>
            <w:r/>
            <w:r>
              <w:rPr>
                <w:rFonts w:ascii="Figtree" w:hAnsi="Figtree"/>
                <w:b w:val="0"/>
                <w:i w:val="0"/>
                <w:sz w:val="20"/>
              </w:rPr>
              <w:t>`GET /v1/events`</w:t>
            </w:r>
          </w:p>
        </w:tc>
        <w:tc>
          <w:tcPr>
            <w:tcW w:type="dxa" w:w="3249"/>
            <w:vAlign w:val="center"/>
          </w:tcPr>
          <w:p>
            <w:pPr>
              <w:spacing w:line="276" w:lineRule="auto" w:before="0" w:after="0"/>
            </w:pPr>
            <w:r/>
            <w:r>
              <w:rPr>
                <w:rFonts w:ascii="Figtree" w:hAnsi="Figtree"/>
                <w:b w:val="0"/>
                <w:i w:val="0"/>
                <w:sz w:val="20"/>
              </w:rPr>
              <w:t>Query Chain Indexer events with filter parameters</w:t>
            </w:r>
          </w:p>
        </w:tc>
      </w:tr>
      <w:tr>
        <w:trPr>
          <w:trHeight w:val="425" w:hRule="atLeast"/>
        </w:trPr>
        <w:tc>
          <w:tcPr>
            <w:tcW w:type="dxa" w:w="3249"/>
            <w:vAlign w:val="center"/>
          </w:tcPr>
          <w:p>
            <w:pPr>
              <w:spacing w:line="276" w:lineRule="auto" w:before="0" w:after="0"/>
            </w:pPr>
            <w:r/>
            <w:r>
              <w:rPr>
                <w:rFonts w:ascii="Figtree" w:hAnsi="Figtree"/>
                <w:b w:val="0"/>
                <w:i w:val="0"/>
                <w:sz w:val="20"/>
              </w:rPr>
              <w:t>Audit export</w:t>
            </w:r>
          </w:p>
        </w:tc>
        <w:tc>
          <w:tcPr>
            <w:tcW w:type="dxa" w:w="3249"/>
            <w:vAlign w:val="center"/>
          </w:tcPr>
          <w:p>
            <w:pPr>
              <w:spacing w:line="276" w:lineRule="auto" w:before="0" w:after="0"/>
            </w:pPr>
            <w:r/>
            <w:r>
              <w:rPr>
                <w:rFonts w:ascii="Figtree" w:hAnsi="Figtree"/>
                <w:b w:val="0"/>
                <w:i w:val="0"/>
                <w:sz w:val="20"/>
              </w:rPr>
              <w:t>`GET /v1/audit/export`</w:t>
            </w:r>
          </w:p>
        </w:tc>
        <w:tc>
          <w:tcPr>
            <w:tcW w:type="dxa" w:w="3249"/>
            <w:vAlign w:val="center"/>
          </w:tcPr>
          <w:p>
            <w:pPr>
              <w:spacing w:line="276" w:lineRule="auto" w:before="0" w:after="0"/>
            </w:pPr>
            <w:r/>
            <w:r>
              <w:rPr>
                <w:rFonts w:ascii="Figtree" w:hAnsi="Figtree"/>
                <w:b w:val="0"/>
                <w:i w:val="0"/>
                <w:sz w:val="20"/>
              </w:rPr>
              <w:t>Generate structured audit export for FINMA reporting</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actions</w:t>
            </w:r>
          </w:p>
        </w:tc>
        <w:tc>
          <w:tcPr>
            <w:tcW w:type="dxa" w:w="3249"/>
            <w:vAlign w:val="center"/>
          </w:tcPr>
          <w:p>
            <w:pPr>
              <w:spacing w:line="276" w:lineRule="auto" w:before="0" w:after="0"/>
            </w:pPr>
            <w:r/>
            <w:r>
              <w:rPr>
                <w:rFonts w:ascii="Figtree" w:hAnsi="Figtree"/>
                <w:b w:val="0"/>
                <w:i w:val="0"/>
                <w:sz w:val="20"/>
              </w:rPr>
              <w:t>`POST /v1/assets/{id}/actions`</w:t>
            </w:r>
          </w:p>
        </w:tc>
        <w:tc>
          <w:tcPr>
            <w:tcW w:type="dxa" w:w="3249"/>
            <w:vAlign w:val="center"/>
          </w:tcPr>
          <w:p>
            <w:pPr>
              <w:spacing w:line="276" w:lineRule="auto" w:before="0" w:after="0"/>
            </w:pPr>
            <w:r/>
            <w:r>
              <w:rPr>
                <w:rFonts w:ascii="Figtree" w:hAnsi="Figtree"/>
                <w:b w:val="0"/>
                <w:i w:val="0"/>
                <w:sz w:val="20"/>
              </w:rPr>
              <w:t>Execute corporate action (distribution, redemption)</w:t>
            </w:r>
          </w:p>
        </w:tc>
      </w:tr>
      <w:tr>
        <w:trPr>
          <w:trHeight w:val="425" w:hRule="atLeast"/>
        </w:trPr>
        <w:tc>
          <w:tcPr>
            <w:tcW w:type="dxa" w:w="3249"/>
            <w:vAlign w:val="center"/>
          </w:tcPr>
          <w:p>
            <w:pPr>
              <w:spacing w:line="276" w:lineRule="auto" w:before="0" w:after="0"/>
            </w:pPr>
            <w:r/>
            <w:r>
              <w:rPr>
                <w:rFonts w:ascii="Figtree" w:hAnsi="Figtree"/>
                <w:b w:val="0"/>
                <w:i w:val="0"/>
                <w:sz w:val="20"/>
              </w:rPr>
              <w:t>Account management</w:t>
            </w:r>
          </w:p>
        </w:tc>
        <w:tc>
          <w:tcPr>
            <w:tcW w:type="dxa" w:w="3249"/>
            <w:vAlign w:val="center"/>
          </w:tcPr>
          <w:p>
            <w:pPr>
              <w:spacing w:line="276" w:lineRule="auto" w:before="0" w:after="0"/>
            </w:pPr>
            <w:r/>
            <w:r>
              <w:rPr>
                <w:rFonts w:ascii="Figtree" w:hAnsi="Figtree"/>
                <w:b w:val="0"/>
                <w:i w:val="0"/>
                <w:sz w:val="20"/>
              </w:rPr>
              <w:t>`POST /v1/participants/{id}/freeze`</w:t>
            </w:r>
          </w:p>
        </w:tc>
        <w:tc>
          <w:tcPr>
            <w:tcW w:type="dxa" w:w="3249"/>
            <w:vAlign w:val="center"/>
          </w:tcPr>
          <w:p>
            <w:pPr>
              <w:spacing w:line="276" w:lineRule="auto" w:before="0" w:after="0"/>
            </w:pPr>
            <w:r/>
            <w:r>
              <w:rPr>
                <w:rFonts w:ascii="Figtree" w:hAnsi="Figtree"/>
                <w:b w:val="0"/>
                <w:i w:val="0"/>
                <w:sz w:val="20"/>
              </w:rPr>
              <w:t>Freeze participant account (CUSTODIAN_ROLE)</w:t>
            </w:r>
          </w:p>
        </w:tc>
      </w:tr>
    </w:tbl>
    <w:p>
      <w:pPr>
        <w:spacing w:before="0" w:after="0" w:line="120" w:lineRule="exact"/>
      </w:pPr>
    </w:p>
    <w:p>
      <w:r>
        <w:rPr>
          <w:rFonts w:ascii="Figtree" w:hAnsi="Figtree"/>
          <w:b/>
          <w:i w:val="0"/>
          <w:sz w:val="22"/>
        </w:rPr>
        <w:t>Authentication:</w:t>
      </w:r>
      <w:r>
        <w:rPr>
          <w:rFonts w:ascii="Figtree" w:hAnsi="Figtree"/>
          <w:b w:val="0"/>
          <w:i w:val="0"/>
          <w:sz w:val="22"/>
        </w:rPr>
        <w:t xml:space="preserve"> OAuth2 Bearer tokens or API keys (`sm</w:t>
      </w:r>
      <w:r>
        <w:rPr>
          <w:rFonts w:ascii="Figtree" w:hAnsi="Figtree"/>
          <w:b w:val="0"/>
          <w:i/>
          <w:sz w:val="22"/>
        </w:rPr>
        <w:t>atk</w:t>
      </w:r>
      <w:r>
        <w:rPr>
          <w:rFonts w:ascii="Figtree" w:hAnsi="Figtree"/>
          <w:b w:val="0"/>
          <w:i w:val="0"/>
          <w:sz w:val="22"/>
        </w:rPr>
        <w:t>` prefix)</w:t>
      </w:r>
    </w:p>
    <w:p>
      <w:r>
        <w:rPr>
          <w:rFonts w:ascii="Figtree" w:hAnsi="Figtree"/>
          <w:b/>
          <w:i w:val="0"/>
          <w:sz w:val="22"/>
        </w:rPr>
        <w:t>Protocol:</w:t>
      </w:r>
      <w:r>
        <w:rPr>
          <w:rFonts w:ascii="Figtree" w:hAnsi="Figtree"/>
          <w:b w:val="0"/>
          <w:i w:val="0"/>
          <w:sz w:val="22"/>
        </w:rPr>
        <w:t xml:space="preserve"> HTTPS TLS 1.3 minimum</w:t>
      </w:r>
    </w:p>
    <w:p>
      <w:r>
        <w:rPr>
          <w:rFonts w:ascii="Figtree" w:hAnsi="Figtree"/>
          <w:b/>
          <w:i w:val="0"/>
          <w:sz w:val="22"/>
        </w:rPr>
        <w:t>Rate limiting:</w:t>
      </w:r>
      <w:r>
        <w:rPr>
          <w:rFonts w:ascii="Figtree" w:hAnsi="Figtree"/>
          <w:b w:val="0"/>
          <w:i w:val="0"/>
          <w:sz w:val="22"/>
        </w:rPr>
        <w:t xml:space="preserve"> 10,000 requests per 60 seconds per key</w:t>
      </w:r>
    </w:p>
    <w:p>
      <w:r>
        <w:rPr>
          <w:rFonts w:ascii="Figtree" w:hAnsi="Figtree"/>
          <w:b/>
          <w:i w:val="0"/>
          <w:sz w:val="22"/>
        </w:rPr>
        <w:t>Idempotency:</w:t>
      </w:r>
      <w:r>
        <w:rPr>
          <w:rFonts w:ascii="Figtree" w:hAnsi="Figtree"/>
          <w:b w:val="0"/>
          <w:i w:val="0"/>
          <w:sz w:val="22"/>
        </w:rPr>
        <w:t xml:space="preserve"> All POST operations support idempotency keys</w:t>
      </w:r>
    </w:p>
    <w:p>
      <w:r>
        <w:rPr>
          <w:rFonts w:ascii="Figtree" w:hAnsi="Figtree"/>
          <w:b/>
          <w:i w:val="0"/>
          <w:sz w:val="22"/>
        </w:rPr>
        <w:t>Webhooks:</w:t>
      </w:r>
      <w:r>
        <w:rPr>
          <w:rFonts w:ascii="Figtree" w:hAnsi="Figtree"/>
          <w:b w:val="0"/>
          <w:i w:val="0"/>
          <w:sz w:val="22"/>
        </w:rPr>
        <w:t xml:space="preserve"> HMAC-SHA256 signed; retry with exponential backoff; dead-letter queue</w:t>
      </w:r>
    </w:p>
    <w:p>
      <w:r>
        <w:rPr>
          <w:rFonts w:ascii="Figtree" w:hAnsi="Figtree"/>
          <w:b/>
          <w:i w:val="0"/>
          <w:sz w:val="22"/>
        </w:rPr>
        <w:t>SDK:</w:t>
      </w:r>
      <w:r>
        <w:rPr>
          <w:rFonts w:ascii="Figtree" w:hAnsi="Figtree"/>
          <w:b w:val="0"/>
          <w:i w:val="0"/>
          <w:sz w:val="22"/>
        </w:rPr>
        <w:t xml:space="preserve"> TypeScript SDK with full type coverage</w:t>
      </w:r>
    </w:p>
    <w:p>
      <w:pPr>
        <w:pStyle w:val="H3"/>
        <w:numPr>
          <w:ilvl w:val="2"/>
          <w:numId w:val="1"/>
        </w:numPr>
      </w:pPr>
      <w:r>
        <w:t>Appendix J: Performance Benchmarks (Swiss Deployment)</w:t>
      </w:r>
    </w:p>
    <w:p>
      <w:r>
        <w:rPr>
          <w:rFonts w:ascii="Figtree" w:hAnsi="Figtree"/>
          <w:b w:val="0"/>
          <w:i w:val="0"/>
          <w:sz w:val="22"/>
        </w:rPr>
        <w:t>Performance benchmarks for a 4-validator Besu IBFT 2.0 network deployed across Zurich/Geneva dual-site configuration: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37"/>
        <w:gridCol w:w="553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Benchmark</w:t>
            </w:r>
          </w:p>
        </w:tc>
      </w:tr>
      <w:tr>
        <w:trPr>
          <w:trHeight w:val="425" w:hRule="atLeast"/>
        </w:trPr>
        <w:tc>
          <w:tcPr>
            <w:tcW w:type="dxa" w:w="4873"/>
            <w:vAlign w:val="center"/>
          </w:tcPr>
          <w:p>
            <w:pPr>
              <w:spacing w:line="276" w:lineRule="auto" w:before="0" w:after="0"/>
            </w:pPr>
            <w:r/>
            <w:r>
              <w:rPr>
                <w:rFonts w:ascii="Figtree" w:hAnsi="Figtree"/>
                <w:b w:val="0"/>
                <w:i w:val="0"/>
                <w:sz w:val="20"/>
              </w:rPr>
              <w:t>Peak DvP TPS</w:t>
            </w:r>
          </w:p>
        </w:tc>
        <w:tc>
          <w:tcPr>
            <w:tcW w:type="dxa" w:w="4873"/>
            <w:vAlign w:val="center"/>
          </w:tcPr>
          <w:p>
            <w:pPr>
              <w:spacing w:line="276" w:lineRule="auto" w:before="0" w:after="0"/>
            </w:pPr>
            <w:r/>
            <w:r>
              <w:rPr>
                <w:rFonts w:ascii="Figtree" w:hAnsi="Figtree"/>
                <w:b w:val="0"/>
                <w:i w:val="0"/>
                <w:sz w:val="20"/>
              </w:rPr>
              <w:t>350 TPS (securities + cash legs simultaneous)</w:t>
            </w:r>
          </w:p>
        </w:tc>
      </w:tr>
      <w:tr>
        <w:trPr>
          <w:trHeight w:val="425" w:hRule="atLeast"/>
        </w:trPr>
        <w:tc>
          <w:tcPr>
            <w:tcW w:type="dxa" w:w="4873"/>
            <w:vAlign w:val="center"/>
          </w:tcPr>
          <w:p>
            <w:pPr>
              <w:spacing w:line="276" w:lineRule="auto" w:before="0" w:after="0"/>
            </w:pPr>
            <w:r/>
            <w:r>
              <w:rPr>
                <w:rFonts w:ascii="Figtree" w:hAnsi="Figtree"/>
                <w:b w:val="0"/>
                <w:i w:val="0"/>
                <w:sz w:val="20"/>
              </w:rPr>
              <w:t>Sustained TPS (1-hour run)</w:t>
            </w:r>
          </w:p>
        </w:tc>
        <w:tc>
          <w:tcPr>
            <w:tcW w:type="dxa" w:w="4873"/>
            <w:vAlign w:val="center"/>
          </w:tcPr>
          <w:p>
            <w:pPr>
              <w:spacing w:line="276" w:lineRule="auto" w:before="0" w:after="0"/>
            </w:pPr>
            <w:r/>
            <w:r>
              <w:rPr>
                <w:rFonts w:ascii="Figtree" w:hAnsi="Figtree"/>
                <w:b w:val="0"/>
                <w:i w:val="0"/>
                <w:sz w:val="20"/>
              </w:rPr>
              <w:t>280 TPS</w:t>
            </w:r>
          </w:p>
        </w:tc>
      </w:tr>
      <w:tr>
        <w:trPr>
          <w:trHeight w:val="425" w:hRule="atLeast"/>
        </w:trPr>
        <w:tc>
          <w:tcPr>
            <w:tcW w:type="dxa" w:w="4873"/>
            <w:vAlign w:val="center"/>
          </w:tcPr>
          <w:p>
            <w:pPr>
              <w:spacing w:line="276" w:lineRule="auto" w:before="0" w:after="0"/>
            </w:pPr>
            <w:r/>
            <w:r>
              <w:rPr>
                <w:rFonts w:ascii="Figtree" w:hAnsi="Figtree"/>
                <w:b w:val="0"/>
                <w:i w:val="0"/>
                <w:sz w:val="20"/>
              </w:rPr>
              <w:t>Settlement latency p50</w:t>
            </w:r>
          </w:p>
        </w:tc>
        <w:tc>
          <w:tcPr>
            <w:tcW w:type="dxa" w:w="4873"/>
            <w:vAlign w:val="center"/>
          </w:tcPr>
          <w:p>
            <w:pPr>
              <w:spacing w:line="276" w:lineRule="auto" w:before="0" w:after="0"/>
            </w:pPr>
            <w:r/>
            <w:r>
              <w:rPr>
                <w:rFonts w:ascii="Figtree" w:hAnsi="Figtree"/>
                <w:b w:val="0"/>
                <w:i w:val="0"/>
                <w:sz w:val="20"/>
              </w:rPr>
              <w:t>2.3 seconds</w:t>
            </w:r>
          </w:p>
        </w:tc>
      </w:tr>
      <w:tr>
        <w:trPr>
          <w:trHeight w:val="425" w:hRule="atLeast"/>
        </w:trPr>
        <w:tc>
          <w:tcPr>
            <w:tcW w:type="dxa" w:w="4873"/>
            <w:vAlign w:val="center"/>
          </w:tcPr>
          <w:p>
            <w:pPr>
              <w:spacing w:line="276" w:lineRule="auto" w:before="0" w:after="0"/>
            </w:pPr>
            <w:r/>
            <w:r>
              <w:rPr>
                <w:rFonts w:ascii="Figtree" w:hAnsi="Figtree"/>
                <w:b w:val="0"/>
                <w:i w:val="0"/>
                <w:sz w:val="20"/>
              </w:rPr>
              <w:t>Settlement latency p99</w:t>
            </w:r>
          </w:p>
        </w:tc>
        <w:tc>
          <w:tcPr>
            <w:tcW w:type="dxa" w:w="4873"/>
            <w:vAlign w:val="center"/>
          </w:tcPr>
          <w:p>
            <w:pPr>
              <w:spacing w:line="276" w:lineRule="auto" w:before="0" w:after="0"/>
            </w:pPr>
            <w:r/>
            <w:r>
              <w:rPr>
                <w:rFonts w:ascii="Figtree" w:hAnsi="Figtree"/>
                <w:b w:val="0"/>
                <w:i w:val="0"/>
                <w:sz w:val="20"/>
              </w:rPr>
              <w:t>4.8 seconds</w:t>
            </w:r>
          </w:p>
        </w:tc>
      </w:tr>
      <w:tr>
        <w:trPr>
          <w:trHeight w:val="425" w:hRule="atLeast"/>
        </w:trPr>
        <w:tc>
          <w:tcPr>
            <w:tcW w:type="dxa" w:w="4873"/>
            <w:vAlign w:val="center"/>
          </w:tcPr>
          <w:p>
            <w:pPr>
              <w:spacing w:line="276" w:lineRule="auto" w:before="0" w:after="0"/>
            </w:pPr>
            <w:r/>
            <w:r>
              <w:rPr>
                <w:rFonts w:ascii="Figtree" w:hAnsi="Figtree"/>
                <w:b w:val="0"/>
                <w:i w:val="0"/>
                <w:sz w:val="20"/>
              </w:rPr>
              <w:t>Compliance module evaluation</w:t>
            </w:r>
          </w:p>
        </w:tc>
        <w:tc>
          <w:tcPr>
            <w:tcW w:type="dxa" w:w="4873"/>
            <w:vAlign w:val="center"/>
          </w:tcPr>
          <w:p>
            <w:pPr>
              <w:spacing w:line="276" w:lineRule="auto" w:before="0" w:after="0"/>
            </w:pPr>
            <w:r/>
            <w:r>
              <w:rPr>
                <w:rFonts w:ascii="Figtree" w:hAnsi="Figtree"/>
                <w:b w:val="0"/>
                <w:i w:val="0"/>
                <w:sz w:val="20"/>
              </w:rPr>
              <w:t>&lt; 50ms per module</w:t>
            </w:r>
          </w:p>
        </w:tc>
      </w:tr>
      <w:tr>
        <w:trPr>
          <w:trHeight w:val="425" w:hRule="atLeast"/>
        </w:trPr>
        <w:tc>
          <w:tcPr>
            <w:tcW w:type="dxa" w:w="4873"/>
            <w:vAlign w:val="center"/>
          </w:tcPr>
          <w:p>
            <w:pPr>
              <w:spacing w:line="276" w:lineRule="auto" w:before="0" w:after="0"/>
            </w:pPr>
            <w:r/>
            <w:r>
              <w:rPr>
                <w:rFonts w:ascii="Figtree" w:hAnsi="Figtree"/>
                <w:b w:val="0"/>
                <w:i w:val="0"/>
                <w:sz w:val="20"/>
              </w:rPr>
              <w:t>API GET p99</w:t>
            </w:r>
          </w:p>
        </w:tc>
        <w:tc>
          <w:tcPr>
            <w:tcW w:type="dxa" w:w="4873"/>
            <w:vAlign w:val="center"/>
          </w:tcPr>
          <w:p>
            <w:pPr>
              <w:spacing w:line="276" w:lineRule="auto" w:before="0" w:after="0"/>
            </w:pPr>
            <w:r/>
            <w:r>
              <w:rPr>
                <w:rFonts w:ascii="Figtree" w:hAnsi="Figtree"/>
                <w:b w:val="0"/>
                <w:i w:val="0"/>
                <w:sz w:val="20"/>
              </w:rPr>
              <w:t>&lt; 200ms</w:t>
            </w:r>
          </w:p>
        </w:tc>
      </w:tr>
      <w:tr>
        <w:trPr>
          <w:trHeight w:val="425" w:hRule="atLeast"/>
        </w:trPr>
        <w:tc>
          <w:tcPr>
            <w:tcW w:type="dxa" w:w="4873"/>
            <w:vAlign w:val="center"/>
          </w:tcPr>
          <w:p>
            <w:pPr>
              <w:spacing w:line="276" w:lineRule="auto" w:before="0" w:after="0"/>
            </w:pPr>
            <w:r/>
            <w:r>
              <w:rPr>
                <w:rFonts w:ascii="Figtree" w:hAnsi="Figtree"/>
                <w:b w:val="0"/>
                <w:i w:val="0"/>
                <w:sz w:val="20"/>
              </w:rPr>
              <w:t>API POST p99</w:t>
            </w:r>
          </w:p>
        </w:tc>
        <w:tc>
          <w:tcPr>
            <w:tcW w:type="dxa" w:w="4873"/>
            <w:vAlign w:val="center"/>
          </w:tcPr>
          <w:p>
            <w:pPr>
              <w:spacing w:line="276" w:lineRule="auto" w:before="0" w:after="0"/>
            </w:pPr>
            <w:r/>
            <w:r>
              <w:rPr>
                <w:rFonts w:ascii="Figtree" w:hAnsi="Figtree"/>
                <w:b w:val="0"/>
                <w:i w:val="0"/>
                <w:sz w:val="20"/>
              </w:rPr>
              <w:t>&lt; 500ms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 event lag p99</w:t>
            </w:r>
          </w:p>
        </w:tc>
        <w:tc>
          <w:tcPr>
            <w:tcW w:type="dxa" w:w="4873"/>
            <w:vAlign w:val="center"/>
          </w:tcPr>
          <w:p>
            <w:pPr>
              <w:spacing w:line="276" w:lineRule="auto" w:before="0" w:after="0"/>
            </w:pPr>
            <w:r/>
            <w:r>
              <w:rPr>
                <w:rFonts w:ascii="Figtree" w:hAnsi="Figtree"/>
                <w:b w:val="0"/>
                <w:i w:val="0"/>
                <w:sz w:val="20"/>
              </w:rPr>
              <w:t>&lt; 1 second</w:t>
            </w:r>
          </w:p>
        </w:tc>
      </w:tr>
      <w:tr>
        <w:trPr>
          <w:trHeight w:val="425" w:hRule="atLeast"/>
        </w:trPr>
        <w:tc>
          <w:tcPr>
            <w:tcW w:type="dxa" w:w="4873"/>
            <w:vAlign w:val="center"/>
          </w:tcPr>
          <w:p>
            <w:pPr>
              <w:spacing w:line="276" w:lineRule="auto" w:before="0" w:after="0"/>
            </w:pPr>
            <w:r/>
            <w:r>
              <w:rPr>
                <w:rFonts w:ascii="Figtree" w:hAnsi="Figtree"/>
                <w:b w:val="0"/>
                <w:i w:val="0"/>
                <w:sz w:val="20"/>
              </w:rPr>
              <w:t>Webhook delivery p99</w:t>
            </w:r>
          </w:p>
        </w:tc>
        <w:tc>
          <w:tcPr>
            <w:tcW w:type="dxa" w:w="4873"/>
            <w:vAlign w:val="center"/>
          </w:tcPr>
          <w:p>
            <w:pPr>
              <w:spacing w:line="276" w:lineRule="auto" w:before="0" w:after="0"/>
            </w:pPr>
            <w:r/>
            <w:r>
              <w:rPr>
                <w:rFonts w:ascii="Figtree" w:hAnsi="Figtree"/>
                <w:b w:val="0"/>
                <w:i w:val="0"/>
                <w:sz w:val="20"/>
              </w:rPr>
              <w:t>&lt; 2 seconds</w:t>
            </w:r>
          </w:p>
        </w:tc>
      </w:tr>
      <w:tr>
        <w:trPr>
          <w:trHeight w:val="425" w:hRule="atLeast"/>
        </w:trPr>
        <w:tc>
          <w:tcPr>
            <w:tcW w:type="dxa" w:w="4873"/>
            <w:vAlign w:val="center"/>
          </w:tcPr>
          <w:p>
            <w:pPr>
              <w:spacing w:line="276" w:lineRule="auto" w:before="0" w:after="0"/>
            </w:pPr>
            <w:r/>
            <w:r>
              <w:rPr>
                <w:rFonts w:ascii="Figtree" w:hAnsi="Figtree"/>
                <w:b w:val="0"/>
                <w:i w:val="0"/>
                <w:sz w:val="20"/>
              </w:rPr>
              <w:t>FINMA observer portal query</w:t>
            </w:r>
          </w:p>
        </w:tc>
        <w:tc>
          <w:tcPr>
            <w:tcW w:type="dxa" w:w="4873"/>
            <w:vAlign w:val="center"/>
          </w:tcPr>
          <w:p>
            <w:pPr>
              <w:spacing w:line="276" w:lineRule="auto" w:before="0" w:after="0"/>
            </w:pPr>
            <w:r/>
            <w:r>
              <w:rPr>
                <w:rFonts w:ascii="Figtree" w:hAnsi="Figtree"/>
                <w:b w:val="0"/>
                <w:i w:val="0"/>
                <w:sz w:val="20"/>
              </w:rPr>
              <w:t>&lt; 3 seconds (historical, 1M record dataset)</w:t>
            </w:r>
          </w:p>
        </w:tc>
      </w:tr>
    </w:tbl>
    <w:p>
      <w:pPr>
        <w:spacing w:before="0" w:after="0" w:line="120" w:lineRule="exact"/>
      </w:pPr>
    </w:p>
    <w:p>
      <w:r>
        <w:rPr>
          <w:rFonts w:ascii="Figtree" w:hAnsi="Figtree"/>
          <w:b w:val="0"/>
          <w:i w:val="0"/>
          <w:sz w:val="22"/>
        </w:rPr>
        <w:t>Hardware basis: 8 vCPU / 32GB RAM per node, Swiss tier-4 data centre, 10Gbit cross-site connectivity.</w:t>
      </w:r>
    </w:p>
    <w:p>
      <w:pPr>
        <w:pStyle w:val="H3"/>
        <w:numPr>
          <w:ilvl w:val="2"/>
          <w:numId w:val="1"/>
        </w:numPr>
      </w:pPr>
      <w:r>
        <w:t>Appendix K: FMIA and DLT Act Implementation Evidence Package</w:t>
      </w:r>
    </w:p>
    <w:p>
      <w:r>
        <w:rPr>
          <w:rFonts w:ascii="Figtree" w:hAnsi="Figtree"/>
          <w:b w:val="0"/>
          <w:i w:val="0"/>
          <w:sz w:val="22"/>
        </w:rPr>
        <w:t>SettleMint provides the following evidence package to support SDX's FINMA submissions and PFMI assessments: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34"/>
        <w:gridCol w:w="4726"/>
        <w:gridCol w:w="22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Evidence Item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Availability</w:t>
            </w:r>
          </w:p>
        </w:tc>
      </w:tr>
      <w:tr>
        <w:trPr>
          <w:trHeight w:val="425" w:hRule="atLeast"/>
        </w:trPr>
        <w:tc>
          <w:tcPr>
            <w:tcW w:type="dxa" w:w="3249"/>
            <w:vAlign w:val="center"/>
          </w:tcPr>
          <w:p>
            <w:pPr>
              <w:spacing w:line="276" w:lineRule="auto" w:before="0" w:after="0"/>
            </w:pPr>
            <w:r/>
            <w:r>
              <w:rPr>
                <w:rFonts w:ascii="Figtree" w:hAnsi="Figtree"/>
                <w:b w:val="0"/>
                <w:i w:val="0"/>
                <w:sz w:val="20"/>
              </w:rPr>
              <w:t>Architecture design document</w:t>
            </w:r>
          </w:p>
        </w:tc>
        <w:tc>
          <w:tcPr>
            <w:tcW w:type="dxa" w:w="3249"/>
            <w:vAlign w:val="center"/>
          </w:tcPr>
          <w:p>
            <w:pPr>
              <w:spacing w:line="276" w:lineRule="auto" w:before="0" w:after="0"/>
            </w:pPr>
            <w:r/>
            <w:r>
              <w:rPr>
                <w:rFonts w:ascii="Figtree" w:hAnsi="Figtree"/>
                <w:b w:val="0"/>
                <w:i w:val="0"/>
                <w:sz w:val="20"/>
              </w:rPr>
              <w:t>Full technical architecture with Swiss regulatory alignment</w:t>
            </w:r>
          </w:p>
        </w:tc>
        <w:tc>
          <w:tcPr>
            <w:tcW w:type="dxa" w:w="3249"/>
            <w:vAlign w:val="center"/>
          </w:tcPr>
          <w:p>
            <w:pPr>
              <w:spacing w:line="276" w:lineRule="auto" w:before="0" w:after="0"/>
            </w:pPr>
            <w:r/>
            <w:r>
              <w:rPr>
                <w:rFonts w:ascii="Figtree" w:hAnsi="Figtree"/>
                <w:b w:val="0"/>
                <w:i w:val="0"/>
                <w:sz w:val="20"/>
              </w:rPr>
              <w:t>Delivered at Phase 1 sign-off</w:t>
            </w:r>
          </w:p>
        </w:tc>
      </w:tr>
      <w:tr>
        <w:trPr>
          <w:trHeight w:val="425" w:hRule="atLeast"/>
        </w:trPr>
        <w:tc>
          <w:tcPr>
            <w:tcW w:type="dxa" w:w="3249"/>
            <w:vAlign w:val="center"/>
          </w:tcPr>
          <w:p>
            <w:pPr>
              <w:spacing w:line="276" w:lineRule="auto" w:before="0" w:after="0"/>
            </w:pPr>
            <w:r/>
            <w:r>
              <w:rPr>
                <w:rFonts w:ascii="Figtree" w:hAnsi="Figtree"/>
                <w:b w:val="0"/>
                <w:i w:val="0"/>
                <w:sz w:val="20"/>
              </w:rPr>
              <w:t>PFMI gap assessment</w:t>
            </w:r>
          </w:p>
        </w:tc>
        <w:tc>
          <w:tcPr>
            <w:tcW w:type="dxa" w:w="3249"/>
            <w:vAlign w:val="center"/>
          </w:tcPr>
          <w:p>
            <w:pPr>
              <w:spacing w:line="276" w:lineRule="auto" w:before="0" w:after="0"/>
            </w:pPr>
            <w:r/>
            <w:r>
              <w:rPr>
                <w:rFonts w:ascii="Figtree" w:hAnsi="Figtree"/>
                <w:b w:val="0"/>
                <w:i w:val="0"/>
                <w:sz w:val="20"/>
              </w:rPr>
              <w:t>Self-assessment against all 24 PFMI principles</w:t>
            </w:r>
          </w:p>
        </w:tc>
        <w:tc>
          <w:tcPr>
            <w:tcW w:type="dxa" w:w="3249"/>
            <w:vAlign w:val="center"/>
          </w:tcPr>
          <w:p>
            <w:pPr>
              <w:spacing w:line="276" w:lineRule="auto" w:before="0" w:after="0"/>
            </w:pPr>
            <w:r/>
            <w:r>
              <w:rPr>
                <w:rFonts w:ascii="Figtree" w:hAnsi="Figtree"/>
                <w:b w:val="0"/>
                <w:i w:val="0"/>
                <w:sz w:val="20"/>
              </w:rPr>
              <w:t>Available during evaluation</w:t>
            </w:r>
          </w:p>
        </w:tc>
      </w:tr>
      <w:tr>
        <w:trPr>
          <w:trHeight w:val="425" w:hRule="atLeast"/>
        </w:trPr>
        <w:tc>
          <w:tcPr>
            <w:tcW w:type="dxa" w:w="3249"/>
            <w:vAlign w:val="center"/>
          </w:tcPr>
          <w:p>
            <w:pPr>
              <w:spacing w:line="276" w:lineRule="auto" w:before="0" w:after="0"/>
            </w:pPr>
            <w:r/>
            <w:r>
              <w:rPr>
                <w:rFonts w:ascii="Figtree" w:hAnsi="Figtree"/>
                <w:b w:val="0"/>
                <w:i w:val="0"/>
                <w:sz w:val="20"/>
              </w:rPr>
              <w:t>DLT Act compliance analysis</w:t>
            </w:r>
          </w:p>
        </w:tc>
        <w:tc>
          <w:tcPr>
            <w:tcW w:type="dxa" w:w="3249"/>
            <w:vAlign w:val="center"/>
          </w:tcPr>
          <w:p>
            <w:pPr>
              <w:spacing w:line="276" w:lineRule="auto" w:before="0" w:after="0"/>
            </w:pPr>
            <w:r/>
            <w:r>
              <w:rPr>
                <w:rFonts w:ascii="Figtree" w:hAnsi="Figtree"/>
                <w:b w:val="0"/>
                <w:i w:val="0"/>
                <w:sz w:val="20"/>
              </w:rPr>
              <w:t>Swiss legal counsel review of platform vs DLT Act requirements</w:t>
            </w:r>
          </w:p>
        </w:tc>
        <w:tc>
          <w:tcPr>
            <w:tcW w:type="dxa" w:w="3249"/>
            <w:vAlign w:val="center"/>
          </w:tcPr>
          <w:p>
            <w:pPr>
              <w:spacing w:line="276" w:lineRule="auto" w:before="0" w:after="0"/>
            </w:pPr>
            <w:r/>
            <w:r>
              <w:rPr>
                <w:rFonts w:ascii="Figtree" w:hAnsi="Figtree"/>
                <w:b w:val="0"/>
                <w:i w:val="0"/>
                <w:sz w:val="20"/>
              </w:rPr>
              <w:t>Available under NDA</w:t>
            </w:r>
          </w:p>
        </w:tc>
      </w:tr>
      <w:tr>
        <w:trPr>
          <w:trHeight w:val="425" w:hRule="atLeast"/>
        </w:trPr>
        <w:tc>
          <w:tcPr>
            <w:tcW w:type="dxa" w:w="3249"/>
            <w:vAlign w:val="center"/>
          </w:tcPr>
          <w:p>
            <w:pPr>
              <w:spacing w:line="276" w:lineRule="auto" w:before="0" w:after="0"/>
            </w:pPr>
            <w:r/>
            <w:r>
              <w:rPr>
                <w:rFonts w:ascii="Figtree" w:hAnsi="Figtree"/>
                <w:b w:val="0"/>
                <w:i w:val="0"/>
                <w:sz w:val="20"/>
              </w:rPr>
              <w:t>ISO 27001 certificate</w:t>
            </w:r>
          </w:p>
        </w:tc>
        <w:tc>
          <w:tcPr>
            <w:tcW w:type="dxa" w:w="3249"/>
            <w:vAlign w:val="center"/>
          </w:tcPr>
          <w:p>
            <w:pPr>
              <w:spacing w:line="276" w:lineRule="auto" w:before="0" w:after="0"/>
            </w:pPr>
            <w:r/>
            <w:r>
              <w:rPr>
                <w:rFonts w:ascii="Figtree" w:hAnsi="Figtree"/>
                <w:b w:val="0"/>
                <w:i w:val="0"/>
                <w:sz w:val="20"/>
              </w:rPr>
              <w:t>Current certification with audit scope</w:t>
            </w:r>
          </w:p>
        </w:tc>
        <w:tc>
          <w:tcPr>
            <w:tcW w:type="dxa" w:w="3249"/>
            <w:vAlign w:val="center"/>
          </w:tcPr>
          <w:p>
            <w:pPr>
              <w:spacing w:line="276" w:lineRule="auto" w:before="0" w:after="0"/>
            </w:pPr>
            <w:r/>
            <w:r>
              <w:rPr>
                <w:rFonts w:ascii="Figtree" w:hAnsi="Figtree"/>
                <w:b w:val="0"/>
                <w:i w:val="0"/>
                <w:sz w:val="20"/>
              </w:rPr>
              <w:t>Available immediately</w:t>
            </w:r>
          </w:p>
        </w:tc>
      </w:tr>
      <w:tr>
        <w:trPr>
          <w:trHeight w:val="425" w:hRule="atLeast"/>
        </w:trPr>
        <w:tc>
          <w:tcPr>
            <w:tcW w:type="dxa" w:w="3249"/>
            <w:vAlign w:val="center"/>
          </w:tcPr>
          <w:p>
            <w:pPr>
              <w:spacing w:line="276" w:lineRule="auto" w:before="0" w:after="0"/>
            </w:pPr>
            <w:r/>
            <w:r>
              <w:rPr>
                <w:rFonts w:ascii="Figtree" w:hAnsi="Figtree"/>
                <w:b w:val="0"/>
                <w:i w:val="0"/>
                <w:sz w:val="20"/>
              </w:rPr>
              <w:t>SOC 2 Type II report</w:t>
            </w:r>
          </w:p>
        </w:tc>
        <w:tc>
          <w:tcPr>
            <w:tcW w:type="dxa" w:w="3249"/>
            <w:vAlign w:val="center"/>
          </w:tcPr>
          <w:p>
            <w:pPr>
              <w:spacing w:line="276" w:lineRule="auto" w:before="0" w:after="0"/>
            </w:pPr>
            <w:r/>
            <w:r>
              <w:rPr>
                <w:rFonts w:ascii="Figtree" w:hAnsi="Figtree"/>
                <w:b w:val="0"/>
                <w:i w:val="0"/>
                <w:sz w:val="20"/>
              </w:rPr>
              <w:t>Most recent report (typically 12-month period)</w:t>
            </w:r>
          </w:p>
        </w:tc>
        <w:tc>
          <w:tcPr>
            <w:tcW w:type="dxa" w:w="3249"/>
            <w:vAlign w:val="center"/>
          </w:tcPr>
          <w:p>
            <w:pPr>
              <w:spacing w:line="276" w:lineRule="auto" w:before="0" w:after="0"/>
            </w:pPr>
            <w:r/>
            <w:r>
              <w:rPr>
                <w:rFonts w:ascii="Figtree" w:hAnsi="Figtree"/>
                <w:b w:val="0"/>
                <w:i w:val="0"/>
                <w:sz w:val="20"/>
              </w:rPr>
              <w:t>Available under NDA</w:t>
            </w:r>
          </w:p>
        </w:tc>
      </w:tr>
      <w:tr>
        <w:trPr>
          <w:trHeight w:val="425" w:hRule="atLeast"/>
        </w:trPr>
        <w:tc>
          <w:tcPr>
            <w:tcW w:type="dxa" w:w="3249"/>
            <w:vAlign w:val="center"/>
          </w:tcPr>
          <w:p>
            <w:pPr>
              <w:spacing w:line="276" w:lineRule="auto" w:before="0" w:after="0"/>
            </w:pPr>
            <w:r/>
            <w:r>
              <w:rPr>
                <w:rFonts w:ascii="Figtree" w:hAnsi="Figtree"/>
                <w:b w:val="0"/>
                <w:i w:val="0"/>
                <w:sz w:val="20"/>
              </w:rPr>
              <w:t>Penetration test summary</w:t>
            </w:r>
          </w:p>
        </w:tc>
        <w:tc>
          <w:tcPr>
            <w:tcW w:type="dxa" w:w="3249"/>
            <w:vAlign w:val="center"/>
          </w:tcPr>
          <w:p>
            <w:pPr>
              <w:spacing w:line="276" w:lineRule="auto" w:before="0" w:after="0"/>
            </w:pPr>
            <w:r/>
            <w:r>
              <w:rPr>
                <w:rFonts w:ascii="Figtree" w:hAnsi="Figtree"/>
                <w:b w:val="0"/>
                <w:i w:val="0"/>
                <w:sz w:val="20"/>
              </w:rPr>
              <w:t>Scope, methodology, finding classification, remediation status</w:t>
            </w:r>
          </w:p>
        </w:tc>
        <w:tc>
          <w:tcPr>
            <w:tcW w:type="dxa" w:w="3249"/>
            <w:vAlign w:val="center"/>
          </w:tcPr>
          <w:p>
            <w:pPr>
              <w:spacing w:line="276" w:lineRule="auto" w:before="0" w:after="0"/>
            </w:pPr>
            <w:r/>
            <w:r>
              <w:rPr>
                <w:rFonts w:ascii="Figtree" w:hAnsi="Figtree"/>
                <w:b w:val="0"/>
                <w:i w:val="0"/>
                <w:sz w:val="20"/>
              </w:rPr>
              <w:t>Available under NDA</w:t>
            </w:r>
          </w:p>
        </w:tc>
      </w:tr>
      <w:tr>
        <w:trPr>
          <w:trHeight w:val="425" w:hRule="atLeast"/>
        </w:trPr>
        <w:tc>
          <w:tcPr>
            <w:tcW w:type="dxa" w:w="3249"/>
            <w:vAlign w:val="center"/>
          </w:tcPr>
          <w:p>
            <w:pPr>
              <w:spacing w:line="276" w:lineRule="auto" w:before="0" w:after="0"/>
            </w:pPr>
            <w:r/>
            <w:r>
              <w:rPr>
                <w:rFonts w:ascii="Figtree" w:hAnsi="Figtree"/>
                <w:b w:val="0"/>
                <w:i w:val="0"/>
                <w:sz w:val="20"/>
              </w:rPr>
              <w:t>DR test results</w:t>
            </w:r>
          </w:p>
        </w:tc>
        <w:tc>
          <w:tcPr>
            <w:tcW w:type="dxa" w:w="3249"/>
            <w:vAlign w:val="center"/>
          </w:tcPr>
          <w:p>
            <w:pPr>
              <w:spacing w:line="276" w:lineRule="auto" w:before="0" w:after="0"/>
            </w:pPr>
            <w:r/>
            <w:r>
              <w:rPr>
                <w:rFonts w:ascii="Figtree" w:hAnsi="Figtree"/>
                <w:b w:val="0"/>
                <w:i w:val="0"/>
                <w:sz w:val="20"/>
              </w:rPr>
              <w:t>Most recent quarterly test results</w:t>
            </w:r>
          </w:p>
        </w:tc>
        <w:tc>
          <w:tcPr>
            <w:tcW w:type="dxa" w:w="3249"/>
            <w:vAlign w:val="center"/>
          </w:tcPr>
          <w:p>
            <w:pPr>
              <w:spacing w:line="276" w:lineRule="auto" w:before="0" w:after="0"/>
            </w:pPr>
            <w:r/>
            <w:r>
              <w:rPr>
                <w:rFonts w:ascii="Figtree" w:hAnsi="Figtree"/>
                <w:b w:val="0"/>
                <w:i w:val="0"/>
                <w:sz w:val="20"/>
              </w:rPr>
              <w:t>Available under NDA</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audit report</w:t>
            </w:r>
          </w:p>
        </w:tc>
        <w:tc>
          <w:tcPr>
            <w:tcW w:type="dxa" w:w="3249"/>
            <w:vAlign w:val="center"/>
          </w:tcPr>
          <w:p>
            <w:pPr>
              <w:spacing w:line="276" w:lineRule="auto" w:before="0" w:after="0"/>
            </w:pPr>
            <w:r/>
            <w:r>
              <w:rPr>
                <w:rFonts w:ascii="Figtree" w:hAnsi="Figtree"/>
                <w:b w:val="0"/>
                <w:i w:val="0"/>
                <w:sz w:val="20"/>
              </w:rPr>
              <w:t>Third-party audit of SMART Protocol and compliance modules</w:t>
            </w:r>
          </w:p>
        </w:tc>
        <w:tc>
          <w:tcPr>
            <w:tcW w:type="dxa" w:w="3249"/>
            <w:vAlign w:val="center"/>
          </w:tcPr>
          <w:p>
            <w:pPr>
              <w:spacing w:line="276" w:lineRule="auto" w:before="0" w:after="0"/>
            </w:pPr>
            <w:r/>
            <w:r>
              <w:rPr>
                <w:rFonts w:ascii="Figtree" w:hAnsi="Figtree"/>
                <w:b w:val="0"/>
                <w:i w:val="0"/>
                <w:sz w:val="20"/>
              </w:rPr>
              <w:t>Available pre-production</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 analysis</w:t>
            </w:r>
          </w:p>
        </w:tc>
        <w:tc>
          <w:tcPr>
            <w:tcW w:type="dxa" w:w="3249"/>
            <w:vAlign w:val="center"/>
          </w:tcPr>
          <w:p>
            <w:pPr>
              <w:spacing w:line="276" w:lineRule="auto" w:before="0" w:after="0"/>
            </w:pPr>
            <w:r/>
            <w:r>
              <w:rPr>
                <w:rFonts w:ascii="Figtree" w:hAnsi="Figtree"/>
                <w:b w:val="0"/>
                <w:i w:val="0"/>
                <w:sz w:val="20"/>
              </w:rPr>
              <w:t>Legal analysis of IBFT 2.0 finality vs FMIA Art. 51</w:t>
            </w:r>
          </w:p>
        </w:tc>
        <w:tc>
          <w:tcPr>
            <w:tcW w:type="dxa" w:w="3249"/>
            <w:vAlign w:val="center"/>
          </w:tcPr>
          <w:p>
            <w:pPr>
              <w:spacing w:line="276" w:lineRule="auto" w:before="0" w:after="0"/>
            </w:pPr>
            <w:r/>
            <w:r>
              <w:rPr>
                <w:rFonts w:ascii="Figtree" w:hAnsi="Figtree"/>
                <w:b w:val="0"/>
                <w:i w:val="0"/>
                <w:sz w:val="20"/>
              </w:rPr>
              <w:t>Available under NDA</w:t>
            </w:r>
          </w:p>
        </w:tc>
      </w:tr>
      <w:tr>
        <w:trPr>
          <w:trHeight w:val="425" w:hRule="atLeast"/>
        </w:trPr>
        <w:tc>
          <w:tcPr>
            <w:tcW w:type="dxa" w:w="3249"/>
            <w:vAlign w:val="center"/>
          </w:tcPr>
          <w:p>
            <w:pPr>
              <w:spacing w:line="276" w:lineRule="auto" w:before="0" w:after="0"/>
            </w:pPr>
            <w:r/>
            <w:r>
              <w:rPr>
                <w:rFonts w:ascii="Figtree" w:hAnsi="Figtree"/>
                <w:b w:val="0"/>
                <w:i w:val="0"/>
                <w:sz w:val="20"/>
              </w:rPr>
              <w:t>Availability statistics</w:t>
            </w:r>
          </w:p>
        </w:tc>
        <w:tc>
          <w:tcPr>
            <w:tcW w:type="dxa" w:w="3249"/>
            <w:vAlign w:val="center"/>
          </w:tcPr>
          <w:p>
            <w:pPr>
              <w:spacing w:line="276" w:lineRule="auto" w:before="0" w:after="0"/>
            </w:pPr>
            <w:r/>
            <w:r>
              <w:rPr>
                <w:rFonts w:ascii="Figtree" w:hAnsi="Figtree"/>
                <w:b w:val="0"/>
                <w:i w:val="0"/>
                <w:sz w:val="20"/>
              </w:rPr>
              <w:t>Monthly platform availability vs 99.99% SLA target</w:t>
            </w:r>
          </w:p>
        </w:tc>
        <w:tc>
          <w:tcPr>
            <w:tcW w:type="dxa" w:w="3249"/>
            <w:vAlign w:val="center"/>
          </w:tcPr>
          <w:p>
            <w:pPr>
              <w:spacing w:line="276" w:lineRule="auto" w:before="0" w:after="0"/>
            </w:pPr>
            <w:r/>
            <w:r>
              <w:rPr>
                <w:rFonts w:ascii="Figtree" w:hAnsi="Figtree"/>
                <w:b w:val="0"/>
                <w:i w:val="0"/>
                <w:sz w:val="20"/>
              </w:rPr>
              <w:t>Available for last 12 months</w:t>
            </w:r>
          </w:p>
        </w:tc>
      </w:tr>
    </w:tbl>
    <w:p>
      <w:pPr>
        <w:spacing w:before="0" w:after="0" w:line="120" w:lineRule="exact"/>
      </w:pPr>
    </w:p>
    <w:p>
      <w:pPr>
        <w:pStyle w:val="H3"/>
        <w:numPr>
          <w:ilvl w:val="2"/>
          <w:numId w:val="1"/>
        </w:numPr>
      </w:pPr>
      <w:r>
        <w:t>Appendix M: 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41"/>
        <w:gridCol w:w="753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w:t>
            </w:r>
          </w:p>
        </w:tc>
      </w:tr>
      <w:tr>
        <w:trPr>
          <w:trHeight w:val="425" w:hRule="atLeast"/>
        </w:trPr>
        <w:tc>
          <w:tcPr>
            <w:tcW w:type="dxa" w:w="4873"/>
            <w:vAlign w:val="center"/>
          </w:tcPr>
          <w:p>
            <w:pPr>
              <w:spacing w:line="276" w:lineRule="auto" w:before="0" w:after="0"/>
            </w:pPr>
            <w:r/>
            <w:r>
              <w:rPr>
                <w:rFonts w:ascii="Figtree" w:hAnsi="Figtree"/>
                <w:b w:val="0"/>
                <w:i w:val="0"/>
                <w:sz w:val="20"/>
              </w:rPr>
              <w:t>DLT Act</w:t>
            </w:r>
          </w:p>
        </w:tc>
        <w:tc>
          <w:tcPr>
            <w:tcW w:type="dxa" w:w="4873"/>
            <w:vAlign w:val="center"/>
          </w:tcPr>
          <w:p>
            <w:pPr>
              <w:spacing w:line="276" w:lineRule="auto" w:before="0" w:after="0"/>
            </w:pPr>
            <w:r/>
            <w:r>
              <w:rPr>
                <w:rFonts w:ascii="Figtree" w:hAnsi="Figtree"/>
                <w:b w:val="0"/>
                <w:i w:val="0"/>
                <w:sz w:val="20"/>
              </w:rPr>
              <w:t>Federal Act on the Adaptation of Federal Law to Developments in Distributed Ledger Technology (2021)</w:t>
            </w:r>
          </w:p>
        </w:tc>
      </w:tr>
      <w:tr>
        <w:trPr>
          <w:trHeight w:val="425" w:hRule="atLeast"/>
        </w:trPr>
        <w:tc>
          <w:tcPr>
            <w:tcW w:type="dxa" w:w="4873"/>
            <w:vAlign w:val="center"/>
          </w:tcPr>
          <w:p>
            <w:pPr>
              <w:spacing w:line="276" w:lineRule="auto" w:before="0" w:after="0"/>
            </w:pPr>
            <w:r/>
            <w:r>
              <w:rPr>
                <w:rFonts w:ascii="Figtree" w:hAnsi="Figtree"/>
                <w:b w:val="0"/>
                <w:i w:val="0"/>
                <w:sz w:val="20"/>
              </w:rPr>
              <w:t>DLT-Wertrechte</w:t>
            </w:r>
          </w:p>
        </w:tc>
        <w:tc>
          <w:tcPr>
            <w:tcW w:type="dxa" w:w="4873"/>
            <w:vAlign w:val="center"/>
          </w:tcPr>
          <w:p>
            <w:pPr>
              <w:spacing w:line="276" w:lineRule="auto" w:before="0" w:after="0"/>
            </w:pPr>
            <w:r/>
            <w:r>
              <w:rPr>
                <w:rFonts w:ascii="Figtree" w:hAnsi="Figtree"/>
                <w:b w:val="0"/>
                <w:i w:val="0"/>
                <w:sz w:val="20"/>
              </w:rPr>
              <w:t>DLT rights: Swiss legal form of securities recorded on a DLT register</w:t>
            </w:r>
          </w:p>
        </w:tc>
      </w:tr>
      <w:tr>
        <w:trPr>
          <w:trHeight w:val="425" w:hRule="atLeast"/>
        </w:trPr>
        <w:tc>
          <w:tcPr>
            <w:tcW w:type="dxa" w:w="4873"/>
            <w:vAlign w:val="center"/>
          </w:tcPr>
          <w:p>
            <w:pPr>
              <w:spacing w:line="276" w:lineRule="auto" w:before="0" w:after="0"/>
            </w:pPr>
            <w:r/>
            <w:r>
              <w:rPr>
                <w:rFonts w:ascii="Figtree" w:hAnsi="Figtree"/>
                <w:b w:val="0"/>
                <w:i w:val="0"/>
                <w:sz w:val="20"/>
              </w:rPr>
              <w:t>FMIA</w:t>
            </w:r>
          </w:p>
        </w:tc>
        <w:tc>
          <w:tcPr>
            <w:tcW w:type="dxa" w:w="4873"/>
            <w:vAlign w:val="center"/>
          </w:tcPr>
          <w:p>
            <w:pPr>
              <w:spacing w:line="276" w:lineRule="auto" w:before="0" w:after="0"/>
            </w:pPr>
            <w:r/>
            <w:r>
              <w:rPr>
                <w:rFonts w:ascii="Figtree" w:hAnsi="Figtree"/>
                <w:b w:val="0"/>
                <w:i w:val="0"/>
                <w:sz w:val="20"/>
              </w:rPr>
              <w:t>Financial Market Infrastructure Act (Switzerland)</w:t>
            </w:r>
          </w:p>
        </w:tc>
      </w:tr>
      <w:tr>
        <w:trPr>
          <w:trHeight w:val="425" w:hRule="atLeast"/>
        </w:trPr>
        <w:tc>
          <w:tcPr>
            <w:tcW w:type="dxa" w:w="4873"/>
            <w:vAlign w:val="center"/>
          </w:tcPr>
          <w:p>
            <w:pPr>
              <w:spacing w:line="276" w:lineRule="auto" w:before="0" w:after="0"/>
            </w:pPr>
            <w:r/>
            <w:r>
              <w:rPr>
                <w:rFonts w:ascii="Figtree" w:hAnsi="Figtree"/>
                <w:b w:val="0"/>
                <w:i w:val="0"/>
                <w:sz w:val="20"/>
              </w:rPr>
              <w:t>FINMA</w:t>
            </w:r>
          </w:p>
        </w:tc>
        <w:tc>
          <w:tcPr>
            <w:tcW w:type="dxa" w:w="4873"/>
            <w:vAlign w:val="center"/>
          </w:tcPr>
          <w:p>
            <w:pPr>
              <w:spacing w:line="276" w:lineRule="auto" w:before="0" w:after="0"/>
            </w:pPr>
            <w:r/>
            <w:r>
              <w:rPr>
                <w:rFonts w:ascii="Figtree" w:hAnsi="Figtree"/>
                <w:b w:val="0"/>
                <w:i w:val="0"/>
                <w:sz w:val="20"/>
              </w:rPr>
              <w:t>Swiss Financial Market Supervisory Authority</w:t>
            </w:r>
          </w:p>
        </w:tc>
      </w:tr>
      <w:tr>
        <w:trPr>
          <w:trHeight w:val="425" w:hRule="atLeast"/>
        </w:trPr>
        <w:tc>
          <w:tcPr>
            <w:tcW w:type="dxa" w:w="4873"/>
            <w:vAlign w:val="center"/>
          </w:tcPr>
          <w:p>
            <w:pPr>
              <w:spacing w:line="276" w:lineRule="auto" w:before="0" w:after="0"/>
            </w:pPr>
            <w:r/>
            <w:r>
              <w:rPr>
                <w:rFonts w:ascii="Figtree" w:hAnsi="Figtree"/>
                <w:b w:val="0"/>
                <w:i w:val="0"/>
                <w:sz w:val="20"/>
              </w:rPr>
              <w:t>nDSG</w:t>
            </w:r>
          </w:p>
        </w:tc>
        <w:tc>
          <w:tcPr>
            <w:tcW w:type="dxa" w:w="4873"/>
            <w:vAlign w:val="center"/>
          </w:tcPr>
          <w:p>
            <w:pPr>
              <w:spacing w:line="276" w:lineRule="auto" w:before="0" w:after="0"/>
            </w:pPr>
            <w:r/>
            <w:r>
              <w:rPr>
                <w:rFonts w:ascii="Figtree" w:hAnsi="Figtree"/>
                <w:b w:val="0"/>
                <w:i w:val="0"/>
                <w:sz w:val="20"/>
              </w:rPr>
              <w:t>Revised Federal Act on Data Protection (2023)</w:t>
            </w:r>
          </w:p>
        </w:tc>
      </w:tr>
      <w:tr>
        <w:trPr>
          <w:trHeight w:val="425" w:hRule="atLeast"/>
        </w:trPr>
        <w:tc>
          <w:tcPr>
            <w:tcW w:type="dxa" w:w="4873"/>
            <w:vAlign w:val="center"/>
          </w:tcPr>
          <w:p>
            <w:pPr>
              <w:spacing w:line="276" w:lineRule="auto" w:before="0" w:after="0"/>
            </w:pPr>
            <w:r/>
            <w:r>
              <w:rPr>
                <w:rFonts w:ascii="Figtree" w:hAnsi="Figtree"/>
                <w:b w:val="0"/>
                <w:i w:val="0"/>
                <w:sz w:val="20"/>
              </w:rPr>
              <w:t>AMLA</w:t>
            </w:r>
          </w:p>
        </w:tc>
        <w:tc>
          <w:tcPr>
            <w:tcW w:type="dxa" w:w="4873"/>
            <w:vAlign w:val="center"/>
          </w:tcPr>
          <w:p>
            <w:pPr>
              <w:spacing w:line="276" w:lineRule="auto" w:before="0" w:after="0"/>
            </w:pPr>
            <w:r/>
            <w:r>
              <w:rPr>
                <w:rFonts w:ascii="Figtree" w:hAnsi="Figtree"/>
                <w:b w:val="0"/>
                <w:i w:val="0"/>
                <w:sz w:val="20"/>
              </w:rPr>
              <w:t>Anti-Money Laundering Act (Switzerland)</w:t>
            </w:r>
          </w:p>
        </w:tc>
      </w:tr>
      <w:tr>
        <w:trPr>
          <w:trHeight w:val="425" w:hRule="atLeast"/>
        </w:trPr>
        <w:tc>
          <w:tcPr>
            <w:tcW w:type="dxa" w:w="4873"/>
            <w:vAlign w:val="center"/>
          </w:tcPr>
          <w:p>
            <w:pPr>
              <w:spacing w:line="276" w:lineRule="auto" w:before="0" w:after="0"/>
            </w:pPr>
            <w:r/>
            <w:r>
              <w:rPr>
                <w:rFonts w:ascii="Figtree" w:hAnsi="Figtree"/>
                <w:b w:val="0"/>
                <w:i w:val="0"/>
                <w:sz w:val="20"/>
              </w:rPr>
              <w:t>PFMI</w:t>
            </w:r>
          </w:p>
        </w:tc>
        <w:tc>
          <w:tcPr>
            <w:tcW w:type="dxa" w:w="4873"/>
            <w:vAlign w:val="center"/>
          </w:tcPr>
          <w:p>
            <w:pPr>
              <w:spacing w:line="276" w:lineRule="auto" w:before="0" w:after="0"/>
            </w:pPr>
            <w:r/>
            <w:r>
              <w:rPr>
                <w:rFonts w:ascii="Figtree" w:hAnsi="Figtree"/>
                <w:b w:val="0"/>
                <w:i w:val="0"/>
                <w:sz w:val="20"/>
              </w:rPr>
              <w:t>Principles for Financial Market Infrastructures (CPMI-IOSCO)</w:t>
            </w:r>
          </w:p>
        </w:tc>
      </w:tr>
      <w:tr>
        <w:trPr>
          <w:trHeight w:val="425" w:hRule="atLeast"/>
        </w:trPr>
        <w:tc>
          <w:tcPr>
            <w:tcW w:type="dxa" w:w="4873"/>
            <w:vAlign w:val="center"/>
          </w:tcPr>
          <w:p>
            <w:pPr>
              <w:spacing w:line="276" w:lineRule="auto" w:before="0" w:after="0"/>
            </w:pPr>
            <w:r/>
            <w:r>
              <w:rPr>
                <w:rFonts w:ascii="Figtree" w:hAnsi="Figtree"/>
                <w:b w:val="0"/>
                <w:i w:val="0"/>
                <w:sz w:val="20"/>
              </w:rPr>
              <w:t>IBFT 2.0</w:t>
            </w:r>
          </w:p>
        </w:tc>
        <w:tc>
          <w:tcPr>
            <w:tcW w:type="dxa" w:w="4873"/>
            <w:vAlign w:val="center"/>
          </w:tcPr>
          <w:p>
            <w:pPr>
              <w:spacing w:line="276" w:lineRule="auto" w:before="0" w:after="0"/>
            </w:pPr>
            <w:r/>
            <w:r>
              <w:rPr>
                <w:rFonts w:ascii="Figtree" w:hAnsi="Figtree"/>
                <w:b w:val="0"/>
                <w:i w:val="0"/>
                <w:sz w:val="20"/>
              </w:rPr>
              <w:t>Istanbul Byzantine Fault Tolerant consensus v2 (Hyperledger Besu)</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Exchange-versus-Payment: atomic simultaneous exchange</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Delivery-versus-Payment: simultaneous settlement of securities and cash</w:t>
            </w:r>
          </w:p>
        </w:tc>
      </w:tr>
      <w:tr>
        <w:trPr>
          <w:trHeight w:val="425" w:hRule="atLeast"/>
        </w:trPr>
        <w:tc>
          <w:tcPr>
            <w:tcW w:type="dxa" w:w="4873"/>
            <w:vAlign w:val="center"/>
          </w:tcPr>
          <w:p>
            <w:pPr>
              <w:spacing w:line="276" w:lineRule="auto" w:before="0" w:after="0"/>
            </w:pPr>
            <w:r/>
            <w:r>
              <w:rPr>
                <w:rFonts w:ascii="Figtree" w:hAnsi="Figtree"/>
                <w:b w:val="0"/>
                <w:i w:val="0"/>
                <w:sz w:val="20"/>
              </w:rPr>
              <w:t>SECO</w:t>
            </w:r>
          </w:p>
        </w:tc>
        <w:tc>
          <w:tcPr>
            <w:tcW w:type="dxa" w:w="4873"/>
            <w:vAlign w:val="center"/>
          </w:tcPr>
          <w:p>
            <w:pPr>
              <w:spacing w:line="276" w:lineRule="auto" w:before="0" w:after="0"/>
            </w:pPr>
            <w:r/>
            <w:r>
              <w:rPr>
                <w:rFonts w:ascii="Figtree" w:hAnsi="Figtree"/>
                <w:b w:val="0"/>
                <w:i w:val="0"/>
                <w:sz w:val="20"/>
              </w:rPr>
              <w:t>State Secretariat for Economic Affairs (Switzerland) - manages sanctions</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SettleMint's ERC-3643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ERC-3643</w:t>
            </w:r>
          </w:p>
        </w:tc>
        <w:tc>
          <w:tcPr>
            <w:tcW w:type="dxa" w:w="4873"/>
            <w:vAlign w:val="center"/>
          </w:tcPr>
          <w:p>
            <w:pPr>
              <w:spacing w:line="276" w:lineRule="auto" w:before="0" w:after="0"/>
            </w:pPr>
            <w:r/>
            <w:r>
              <w:rPr>
                <w:rFonts w:ascii="Figtree" w:hAnsi="Figtree"/>
                <w:b w:val="0"/>
                <w:i w:val="0"/>
                <w:sz w:val="20"/>
              </w:rPr>
              <w:t>Ethereum security token standard with on-chain compliance engine</w:t>
            </w:r>
          </w:p>
        </w:tc>
      </w:tr>
    </w:tbl>
    <w:p>
      <w:pPr>
        <w:spacing w:before="0" w:after="0" w:line="120" w:lineRule="exact"/>
      </w:pPr>
    </w:p>
    <w:p>
      <w:r>
        <w:br w:type="page"/>
      </w:r>
    </w:p>
    <w:p>
      <w:pPr>
        <w:pStyle w:val="H3"/>
        <w:numPr>
          <w:ilvl w:val="2"/>
          <w:numId w:val="1"/>
        </w:numPr>
      </w:pPr>
      <w:r>
        <w:t>Appendix N: Version History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48"/>
        <w:gridCol w:w="2212"/>
        <w:gridCol w:w="53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3249"/>
            <w:vAlign w:val="center"/>
          </w:tcPr>
          <w:p>
            <w:pPr>
              <w:spacing w:line="276" w:lineRule="auto" w:before="0" w:after="0"/>
            </w:pPr>
            <w:r/>
            <w:r>
              <w:rPr>
                <w:rFonts w:ascii="Figtree" w:hAnsi="Figtree"/>
                <w:b w:val="0"/>
                <w:i w:val="0"/>
                <w:sz w:val="20"/>
              </w:rPr>
              <w:t>1.0</w:t>
            </w:r>
          </w:p>
        </w:tc>
        <w:tc>
          <w:tcPr>
            <w:tcW w:type="dxa" w:w="3249"/>
            <w:vAlign w:val="center"/>
          </w:tcPr>
          <w:p>
            <w:pPr>
              <w:spacing w:line="276" w:lineRule="auto" w:before="0" w:after="0"/>
            </w:pPr>
            <w:r/>
            <w:r>
              <w:rPr>
                <w:rFonts w:ascii="Figtree" w:hAnsi="Figtree"/>
                <w:b w:val="0"/>
                <w:i w:val="0"/>
                <w:sz w:val="20"/>
              </w:rPr>
              <w:t>March 2026</w:t>
            </w:r>
          </w:p>
        </w:tc>
        <w:tc>
          <w:tcPr>
            <w:tcW w:type="dxa" w:w="3249"/>
            <w:vAlign w:val="center"/>
          </w:tcPr>
          <w:p>
            <w:pPr>
              <w:spacing w:line="276" w:lineRule="auto" w:before="0" w:after="0"/>
            </w:pPr>
            <w:r/>
            <w:r>
              <w:rPr>
                <w:rFonts w:ascii="Figtree" w:hAnsi="Figtree"/>
                <w:b w:val="0"/>
                <w:i w:val="0"/>
                <w:sz w:val="20"/>
              </w:rPr>
              <w:t>Initial submission draft</w:t>
            </w:r>
          </w:p>
        </w:tc>
      </w:tr>
    </w:tbl>
    <w:p>
      <w:pPr>
        <w:spacing w:before="0" w:after="0" w:line="120" w:lineRule="exact"/>
      </w:pPr>
    </w:p>
    <w:p>
      <w:r>
        <w:br w:type="page"/>
      </w:r>
    </w:p>
    <w:p>
      <w:pPr>
        <w:pStyle w:val="H2"/>
        <w:numPr>
          <w:ilvl w:val="1"/>
          <w:numId w:val="1"/>
        </w:numPr>
      </w:pPr>
      <w:r>
        <w:t>Document Control</w:t>
      </w:r>
    </w:p>
    <w:p>
      <w:r>
        <w:rPr>
          <w:rFonts w:ascii="Figtree" w:hAnsi="Figtree"/>
          <w:b w:val="0"/>
          <w:i w:val="0"/>
          <w:sz w:val="22"/>
        </w:rPr>
        <w:t>This proposal is valid for 90 days from the submission date. SettleMint reserves the right to update commercial figures in response to material changes in scope or deployment requirements identified during the evaluation process.</w:t>
      </w:r>
    </w:p>
    <w:p>
      <w:r>
        <w:rPr>
          <w:rFonts w:ascii="Figtree" w:hAnsi="Figtree"/>
          <w:b w:val="0"/>
          <w:i w:val="0"/>
          <w:sz w:val="22"/>
        </w:rPr>
        <w:t>For technical questions, contact: SettleMint Digital Assets Programme, Enterprise Team.</w:t>
      </w:r>
    </w:p>
    <w:p>
      <w:r>
        <w:rPr>
          <w:rFonts w:ascii="Figtree" w:hAnsi="Figtree"/>
          <w:b w:val="0"/>
          <w:i w:val="0"/>
          <w:sz w:val="22"/>
        </w:rPr>
        <w:t>For commercial questions, contact: SettleMint Enterprise Sales, EMEA.</w:t>
      </w:r>
    </w:p>
    <w:p>
      <w:r>
        <w:br w:type="page"/>
      </w:r>
    </w:p>
    <w:p>
      <w:r>
        <w:rPr>
          <w:rFonts w:ascii="Figtree" w:hAnsi="Figtree"/>
          <w:b w:val="0"/>
          <w:i/>
          <w:sz w:val="22"/>
        </w:rPr>
        <w:t>This document is classified SettleMint Confidential. Distribution is restricted to authorised SIX Digital Exchange personnel involved in the Digital Asset Exchange Infrastructure Upgrade procurement.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