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Solarisbank's Requirements</w:t>
          </w:r>
          <w:r>
            <w:tab/>
          </w:r>
          <w:r>
            <w:t xml:space="preserve">5</w:t>
          </w:r>
        </w:p>
        <w:p>
          <w:pPr>
            <w:pStyle w:val="TOC3"/>
            <w:tabs>
              <w:tab w:val="right" w:leader="dot" w:pos="9072"/>
            </w:tabs>
          </w:pPr>
          <w:r>
            <w:t xml:space="preserve">Regulatory Context</w:t>
          </w:r>
          <w:r>
            <w:tab/>
          </w:r>
          <w:r>
            <w:t xml:space="preserve">6</w:t>
          </w:r>
        </w:p>
        <w:p>
          <w:pPr>
            <w:pStyle w:val="TOC3"/>
            <w:tabs>
              <w:tab w:val="right" w:leader="dot" w:pos="9072"/>
            </w:tabs>
          </w:pPr>
          <w:r>
            <w:t xml:space="preserve">Operational Requirements</w:t>
          </w:r>
          <w:r>
            <w:tab/>
          </w:r>
          <w:r>
            <w:t xml:space="preserve">7</w:t>
          </w:r>
        </w:p>
        <w:p>
          <w:pPr>
            <w:pStyle w:val="TOC3"/>
            <w:tabs>
              <w:tab w:val="right" w:leader="dot" w:pos="9072"/>
            </w:tabs>
          </w:pPr>
          <w:r>
            <w:t xml:space="preserve">BaaS Client Profile</w:t>
          </w:r>
          <w:r>
            <w:tab/>
          </w:r>
          <w:r>
            <w:t xml:space="preserve">8</w:t>
          </w:r>
        </w:p>
        <w:p>
          <w:pPr>
            <w:pStyle w:val="TOC2"/>
            <w:tabs>
              <w:tab w:val="right" w:leader="dot" w:pos="9072"/>
            </w:tabs>
          </w:pPr>
          <w:r>
            <w:t xml:space="preserve">SettleMint and DALP Overview</w:t>
          </w:r>
          <w:r>
            <w:tab/>
          </w:r>
          <w:r>
            <w:t xml:space="preserve">9</w:t>
          </w:r>
        </w:p>
        <w:p>
          <w:pPr>
            <w:pStyle w:val="TOC2"/>
            <w:tabs>
              <w:tab w:val="right" w:leader="dot" w:pos="9072"/>
            </w:tabs>
          </w:pPr>
          <w:r>
            <w:t xml:space="preserve">Platform Architecture</w:t>
          </w:r>
          <w:r>
            <w:tab/>
          </w:r>
          <w:r>
            <w:t xml:space="preserve">10</w:t>
          </w:r>
        </w:p>
        <w:p>
          <w:pPr>
            <w:pStyle w:val="TOC3"/>
            <w:tabs>
              <w:tab w:val="right" w:leader="dot" w:pos="9072"/>
            </w:tabs>
          </w:pPr>
          <w:r>
            <w:t xml:space="preserve">Module Integration Architecture</w:t>
          </w:r>
          <w:r>
            <w:tab/>
          </w:r>
          <w:r>
            <w:t xml:space="preserve">11</w:t>
          </w:r>
        </w:p>
        <w:p>
          <w:pPr>
            <w:pStyle w:val="TOC2"/>
            <w:tabs>
              <w:tab w:val="right" w:leader="dot" w:pos="9072"/>
            </w:tabs>
          </w:pPr>
          <w:r>
            <w:t xml:space="preserve">Digital Asset Module Design</w:t>
          </w:r>
          <w:r>
            <w:tab/>
          </w:r>
          <w:r>
            <w:t xml:space="preserve">12</w:t>
          </w:r>
        </w:p>
        <w:p>
          <w:pPr>
            <w:pStyle w:val="TOC3"/>
            <w:tabs>
              <w:tab w:val="right" w:leader="dot" w:pos="9072"/>
            </w:tabs>
          </w:pPr>
          <w:r>
            <w:t xml:space="preserve">Supported Token Types</w:t>
          </w:r>
          <w:r>
            <w:tab/>
          </w:r>
          <w:r>
            <w:t xml:space="preserve">13</w:t>
          </w:r>
        </w:p>
        <w:p>
          <w:pPr>
            <w:pStyle w:val="TOC3"/>
            <w:tabs>
              <w:tab w:val="right" w:leader="dot" w:pos="9072"/>
            </w:tabs>
          </w:pPr>
          <w:r>
            <w:t xml:space="preserve">Token Operations</w:t>
          </w:r>
          <w:r>
            <w:tab/>
          </w:r>
          <w:r>
            <w:t xml:space="preserve">14</w:t>
          </w:r>
        </w:p>
        <w:p>
          <w:pPr>
            <w:pStyle w:val="TOC3"/>
            <w:tabs>
              <w:tab w:val="right" w:leader="dot" w:pos="9072"/>
            </w:tabs>
          </w:pPr>
          <w:r>
            <w:t xml:space="preserve">Module Capabilities</w:t>
          </w:r>
          <w:r>
            <w:tab/>
          </w:r>
          <w:r>
            <w:t xml:space="preserve">15</w:t>
          </w:r>
        </w:p>
        <w:p>
          <w:pPr>
            <w:pStyle w:val="TOC2"/>
            <w:tabs>
              <w:tab w:val="right" w:leader="dot" w:pos="9072"/>
            </w:tabs>
          </w:pPr>
          <w:r>
            <w:t xml:space="preserve">BaaS Integration Framework</w:t>
          </w:r>
          <w:r>
            <w:tab/>
          </w:r>
          <w:r>
            <w:t xml:space="preserve">16</w:t>
          </w:r>
        </w:p>
        <w:p>
          <w:pPr>
            <w:pStyle w:val="TOC3"/>
            <w:tabs>
              <w:tab w:val="right" w:leader="dot" w:pos="9072"/>
            </w:tabs>
          </w:pPr>
          <w:r>
            <w:t xml:space="preserve">API Integration Pattern</w:t>
          </w:r>
          <w:r>
            <w:tab/>
          </w:r>
          <w:r>
            <w:t xml:space="preserve">17</w:t>
          </w:r>
        </w:p>
        <w:p>
          <w:pPr>
            <w:pStyle w:val="TOC3"/>
            <w:tabs>
              <w:tab w:val="right" w:leader="dot" w:pos="9072"/>
            </w:tabs>
          </w:pPr>
          <w:r>
            <w:t xml:space="preserve">API Endpoints</w:t>
          </w:r>
          <w:r>
            <w:tab/>
          </w:r>
          <w:r>
            <w:t xml:space="preserve">18</w:t>
          </w:r>
        </w:p>
        <w:p>
          <w:pPr>
            <w:pStyle w:val="TOC2"/>
            <w:tabs>
              <w:tab w:val="right" w:leader="dot" w:pos="9072"/>
            </w:tabs>
          </w:pPr>
          <w:r>
            <w:t xml:space="preserve">Compliance and Regulatory Framework</w:t>
          </w:r>
          <w:r>
            <w:tab/>
          </w:r>
          <w:r>
            <w:t xml:space="preserve">19</w:t>
          </w:r>
        </w:p>
        <w:p>
          <w:pPr>
            <w:pStyle w:val="TOC3"/>
            <w:tabs>
              <w:tab w:val="right" w:leader="dot" w:pos="9072"/>
            </w:tabs>
          </w:pPr>
          <w:r>
            <w:t xml:space="preserve">BaFin and MiCA Compliance</w:t>
          </w:r>
          <w:r>
            <w:tab/>
          </w:r>
          <w:r>
            <w:t xml:space="preserve">20</w:t>
          </w:r>
        </w:p>
        <w:p>
          <w:pPr>
            <w:pStyle w:val="TOC3"/>
            <w:tabs>
              <w:tab w:val="right" w:leader="dot" w:pos="9072"/>
            </w:tabs>
          </w:pPr>
          <w:r>
            <w:t xml:space="preserve">Compliance Module Configuration</w:t>
          </w:r>
          <w:r>
            <w:tab/>
          </w:r>
          <w:r>
            <w:t xml:space="preserve">21</w:t>
          </w:r>
        </w:p>
        <w:p>
          <w:pPr>
            <w:pStyle w:val="TOC2"/>
            <w:tabs>
              <w:tab w:val="right" w:leader="dot" w:pos="9072"/>
            </w:tabs>
          </w:pPr>
          <w:r>
            <w:t xml:space="preserve">Custody and Key Management</w:t>
          </w:r>
          <w:r>
            <w:tab/>
          </w:r>
          <w:r>
            <w:t xml:space="preserve">22</w:t>
          </w:r>
        </w:p>
        <w:p>
          <w:pPr>
            <w:pStyle w:val="TOC2"/>
            <w:tabs>
              <w:tab w:val="right" w:leader="dot" w:pos="9072"/>
            </w:tabs>
          </w:pPr>
          <w:r>
            <w:t xml:space="preserve">Security Architecture</w:t>
          </w:r>
          <w:r>
            <w:tab/>
          </w:r>
          <w:r>
            <w:t xml:space="preserve">23</w:t>
          </w:r>
        </w:p>
        <w:p>
          <w:pPr>
            <w:pStyle w:val="TOC2"/>
            <w:tabs>
              <w:tab w:val="right" w:leader="dot" w:pos="9072"/>
            </w:tabs>
          </w:pPr>
          <w:r>
            <w:t xml:space="preserve">Integration Architecture</w:t>
          </w:r>
          <w:r>
            <w:tab/>
          </w:r>
          <w:r>
            <w:t xml:space="preserve">24</w:t>
          </w:r>
        </w:p>
        <w:p>
          <w:pPr>
            <w:pStyle w:val="TOC3"/>
            <w:tabs>
              <w:tab w:val="right" w:leader="dot" w:pos="9072"/>
            </w:tabs>
          </w:pPr>
          <w:r>
            <w:t xml:space="preserve">Integration with Solarisbank Systems</w:t>
          </w:r>
          <w:r>
            <w:tab/>
          </w:r>
          <w:r>
            <w:t xml:space="preserve">25</w:t>
          </w:r>
        </w:p>
        <w:p>
          <w:pPr>
            <w:pStyle w:val="TOC3"/>
            <w:tabs>
              <w:tab w:val="right" w:leader="dot" w:pos="9072"/>
            </w:tabs>
          </w:pPr>
          <w:r>
            <w:t xml:space="preserve">Integration Points</w:t>
          </w:r>
          <w:r>
            <w:tab/>
          </w:r>
          <w:r>
            <w:t xml:space="preserve">26</w:t>
          </w:r>
        </w:p>
        <w:p>
          <w:pPr>
            <w:pStyle w:val="TOC2"/>
            <w:tabs>
              <w:tab w:val="right" w:leader="dot" w:pos="9072"/>
            </w:tabs>
          </w:pPr>
          <w:r>
            <w:t xml:space="preserve">Operational Model</w:t>
          </w:r>
          <w:r>
            <w:tab/>
          </w:r>
          <w:r>
            <w:t xml:space="preserve">27</w:t>
          </w:r>
        </w:p>
        <w:p>
          <w:pPr>
            <w:pStyle w:val="TOC3"/>
            <w:tabs>
              <w:tab w:val="right" w:leader="dot" w:pos="9072"/>
            </w:tabs>
          </w:pPr>
          <w:r>
            <w:t xml:space="preserve">Support Tiers</w:t>
          </w:r>
          <w:r>
            <w:tab/>
          </w:r>
          <w:r>
            <w:t xml:space="preserve">28</w:t>
          </w:r>
        </w:p>
        <w:p>
          <w:pPr>
            <w:pStyle w:val="TOC3"/>
            <w:tabs>
              <w:tab w:val="right" w:leader="dot" w:pos="9072"/>
            </w:tabs>
          </w:pPr>
          <w:r>
            <w:t xml:space="preserve">Monitoring and Operations</w:t>
          </w:r>
          <w:r>
            <w:tab/>
          </w:r>
          <w:r>
            <w:t xml:space="preserve">29</w:t>
          </w:r>
        </w:p>
        <w:p>
          <w:pPr>
            <w:pStyle w:val="TOC2"/>
            <w:tabs>
              <w:tab w:val="right" w:leader="dot" w:pos="9072"/>
            </w:tabs>
          </w:pPr>
          <w:r>
            <w:t xml:space="preserve">Implementation Plan</w:t>
          </w:r>
          <w:r>
            <w:tab/>
          </w:r>
          <w:r>
            <w:t xml:space="preserve">30</w:t>
          </w:r>
        </w:p>
        <w:p>
          <w:pPr>
            <w:pStyle w:val="TOC2"/>
            <w:tabs>
              <w:tab w:val="right" w:leader="dot" w:pos="9072"/>
            </w:tabs>
          </w:pPr>
          <w:r>
            <w:t xml:space="preserve">Reference Deployments</w:t>
          </w:r>
          <w:r>
            <w:tab/>
          </w:r>
          <w:r>
            <w:t xml:space="preserve">31</w:t>
          </w:r>
        </w:p>
        <w:p>
          <w:pPr>
            <w:pStyle w:val="TOC2"/>
            <w:tabs>
              <w:tab w:val="right" w:leader="dot" w:pos="9072"/>
            </w:tabs>
          </w:pPr>
          <w:r>
            <w:t xml:space="preserve">Compliance Matrix</w:t>
          </w:r>
          <w:r>
            <w:tab/>
          </w:r>
          <w:r>
            <w:t xml:space="preserve">32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for BaaS Digital Asset Module  </w:t>
      </w:r>
    </w:p>
    <w:p>
      <w:r>
        <w:rPr>
          <w:rFonts w:ascii="Figtree" w:hAnsi="Figtree"/>
          <w:b/>
          <w:i w:val="0"/>
          <w:sz w:val="22"/>
        </w:rPr>
        <w:t>Client:</w:t>
      </w:r>
      <w:r>
        <w:rPr>
          <w:rFonts w:ascii="Figtree" w:hAnsi="Figtree"/>
          <w:b w:val="0"/>
          <w:i w:val="0"/>
          <w:sz w:val="22"/>
        </w:rPr>
        <w:t xml:space="preserve"> Solarisbank (Germany)  </w:t>
      </w:r>
    </w:p>
    <w:p>
      <w:r>
        <w:rPr>
          <w:rFonts w:ascii="Figtree" w:hAnsi="Figtree"/>
          <w:b/>
          <w:i w:val="0"/>
          <w:sz w:val="22"/>
        </w:rPr>
        <w:t>Reference:</w:t>
      </w:r>
      <w:r>
        <w:rPr>
          <w:rFonts w:ascii="Figtree" w:hAnsi="Figtree"/>
          <w:b w:val="0"/>
          <w:i w:val="0"/>
          <w:sz w:val="22"/>
        </w:rPr>
        <w:t xml:space="preserve"> SOLARISBANK-RFP-BAAS-DIGITAL-ASSET-MODULE-202603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Solarisbank's Requirements</w:t>
      </w:r>
    </w:p>
    <w:p>
      <w:pPr>
        <w:pStyle w:val="ListParagraph"/>
        <w:numPr>
          <w:ilvl w:val="0"/>
          <w:numId w:val="6"/>
        </w:numPr>
      </w:pPr>
      <w:r>
        <w:rPr>
          <w:rFonts w:ascii="Figtree" w:hAnsi="Figtree"/>
          <w:b w:val="0"/>
          <w:i w:val="0"/>
          <w:sz w:val="22"/>
        </w:rPr>
        <w:t>SettleMint and DALP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Digital Asset Module Design</w:t>
      </w:r>
    </w:p>
    <w:p>
      <w:pPr>
        <w:pStyle w:val="ListParagraph"/>
        <w:numPr>
          <w:ilvl w:val="0"/>
          <w:numId w:val="6"/>
        </w:numPr>
      </w:pPr>
      <w:r>
        <w:rPr>
          <w:rFonts w:ascii="Figtree" w:hAnsi="Figtree"/>
          <w:b w:val="0"/>
          <w:i w:val="0"/>
          <w:sz w:val="22"/>
        </w:rPr>
        <w:t>BaaS Integration Framework</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r>
        <w:rPr>
          <w:rFonts w:ascii="Figtree" w:hAnsi="Figtree"/>
          <w:b w:val="0"/>
          <w:i w:val="0"/>
          <w:sz w:val="22"/>
        </w:rPr>
        <w:t>Solarisbank operates as a Banking-as-a-Service (BaaS) platform enabling fintech companies and non-bank entities to offer banking products through a modular API infrastructure. As institutional demand for digital asset custody, tokenization, and settlement services grows among Solarisbank's B2B clients, Solarisbank requires a digital asset module that extends its BaaS platform to support regulated digital asset operations.</w:t>
      </w:r>
    </w:p>
    <w:p>
      <w:r>
        <w:rPr>
          <w:rFonts w:ascii="Figtree" w:hAnsi="Figtree"/>
          <w:b w:val="0"/>
          <w:i w:val="0"/>
          <w:sz w:val="22"/>
        </w:rPr>
        <w:t>The challenge is that building a compliant digital asset infrastructure from scratch requires specialized engineering, regulatory licensing, and operational expertise that distracts from Solarisbank's core BaaS value proposition. Integrating point solutions creates fragmentation, increases operational overhead, and complicates the regulatory story.</w:t>
      </w:r>
    </w:p>
    <w:p>
      <w:r>
        <w:rPr>
          <w:rFonts w:ascii="Figtree" w:hAnsi="Figtree"/>
          <w:b w:val="0"/>
          <w:i w:val="0"/>
          <w:sz w:val="22"/>
        </w:rPr>
        <w:t>SettleMint's DALP platform provides the digital asset module as an integrated component of Solarisbank's BaaS infrastructure. The module handles tokenization, compliance enforcement, custody integration, and settlement across the digital asset lifecycle while maintaining the modular, API-first architecture that defines Solarisbank's BaaS offering. Solarisbank's B2B clients gain access to digital asset capabilities through the same integration patterns they use for banking services.</w:t>
      </w:r>
    </w:p>
    <w:p>
      <w:r>
        <w:rPr>
          <w:rFonts w:ascii="Figtree" w:hAnsi="Figtree"/>
          <w:b w:val="0"/>
          <w:i w:val="0"/>
          <w:sz w:val="22"/>
        </w:rPr>
        <w:t>Three capabilities define this fit. First, modular API integration: DALP exposes digital asset functionality through REST APIs and webhooks that integrate into Solarisbank's existing API gateway, maintaining consistency with the BaaS platform's integration model. Second, BaFin compliance: compliance modules enforce German and EU regulatory requirements for digital asset custody and tokenization, including the upcoming MiCA framework. Third, unified operational view: a single operational dashboard manages both banking and digital asset operations, reducing the learning curve for Solarisbank's operations team.</w:t>
      </w:r>
    </w:p>
    <w:p>
      <w:r>
        <w:br w:type="page"/>
      </w:r>
    </w:p>
    <w:p>
      <w:pPr>
        <w:pStyle w:val="H2"/>
        <w:numPr>
          <w:ilvl w:val="1"/>
          <w:numId w:val="1"/>
        </w:numPr>
      </w:pPr>
      <w:r>
        <w:t>Understanding of Solarisbank's Requirements</w:t>
      </w:r>
    </w:p>
    <w:p>
      <w:pPr>
        <w:pStyle w:val="H3"/>
        <w:numPr>
          <w:ilvl w:val="2"/>
          <w:numId w:val="1"/>
        </w:numPr>
      </w:pPr>
      <w:r>
        <w:t>Regulatory Context</w:t>
      </w:r>
    </w:p>
    <w:p>
      <w:r>
        <w:rPr>
          <w:rFonts w:ascii="Figtree" w:hAnsi="Figtree"/>
          <w:b w:val="0"/>
          <w:i w:val="0"/>
          <w:sz w:val="22"/>
        </w:rPr>
        <w:t>Solarisbank holds a German banking license (Kreditinstitut) and an e-money institution license from BaFin. Adding digital asset capabilities to the BaaS platform requires adherence to:</w:t>
      </w:r>
    </w:p>
    <w:p>
      <w:pPr>
        <w:pStyle w:val="ListParagraph"/>
        <w:numPr>
          <w:ilvl w:val="0"/>
          <w:numId w:val="4"/>
        </w:numPr>
      </w:pPr>
      <w:r>
        <w:rPr>
          <w:rFonts w:ascii="Figtree" w:hAnsi="Figtree"/>
          <w:b/>
          <w:i w:val="0"/>
          <w:sz w:val="22"/>
        </w:rPr>
        <w:t>BaFin requirements:</w:t>
      </w:r>
      <w:r>
        <w:rPr>
          <w:rFonts w:ascii="Figtree" w:hAnsi="Figtree"/>
          <w:b w:val="0"/>
          <w:i w:val="0"/>
          <w:sz w:val="22"/>
        </w:rPr>
        <w:t xml:space="preserve"> Digital asset custody, token issuance, and trading platform operations require specific BaFin authorization or registration depending on the activity. The upcoming EU Markets in Crypto-Assets (MiCA) regulation adds harmonized EU-wide requirements effective 2026.</w:t>
      </w:r>
    </w:p>
    <w:p>
      <w:pPr>
        <w:pStyle w:val="ListParagraph"/>
        <w:numPr>
          <w:ilvl w:val="0"/>
          <w:numId w:val="4"/>
        </w:numPr>
      </w:pPr>
      <w:r>
        <w:rPr>
          <w:rFonts w:ascii="Figtree" w:hAnsi="Figtree"/>
          <w:b/>
          <w:i w:val="0"/>
          <w:sz w:val="22"/>
        </w:rPr>
        <w:t>German banking law (KWG):</w:t>
      </w:r>
      <w:r>
        <w:rPr>
          <w:rFonts w:ascii="Figtree" w:hAnsi="Figtree"/>
          <w:b w:val="0"/>
          <w:i w:val="0"/>
          <w:sz w:val="22"/>
        </w:rPr>
        <w:t xml:space="preserve"> Activities that constitute banking business or financial services require appropriate licensing. Tokenization of securities falls within the Wertpapierhandelsgesetz (WpHG) framework.</w:t>
      </w:r>
    </w:p>
    <w:p>
      <w:pPr>
        <w:pStyle w:val="ListParagraph"/>
        <w:numPr>
          <w:ilvl w:val="0"/>
          <w:numId w:val="4"/>
        </w:numPr>
      </w:pPr>
      <w:r>
        <w:rPr>
          <w:rFonts w:ascii="Figtree" w:hAnsi="Figtree"/>
          <w:b/>
          <w:i w:val="0"/>
          <w:sz w:val="22"/>
        </w:rPr>
        <w:t>EU AMLD5/AMLD6:</w:t>
      </w:r>
      <w:r>
        <w:rPr>
          <w:rFonts w:ascii="Figtree" w:hAnsi="Figtree"/>
          <w:b w:val="0"/>
          <w:i w:val="0"/>
          <w:sz w:val="22"/>
        </w:rPr>
        <w:t xml:space="preserve"> Anti-money laundering obligations for crypto asset service providers (CASPs).</w:t>
      </w:r>
    </w:p>
    <w:p>
      <w:pPr>
        <w:pStyle w:val="ListParagraph"/>
        <w:numPr>
          <w:ilvl w:val="0"/>
          <w:numId w:val="4"/>
        </w:numPr>
      </w:pPr>
      <w:r>
        <w:rPr>
          <w:rFonts w:ascii="Figtree" w:hAnsi="Figtree"/>
          <w:b/>
          <w:i w:val="0"/>
          <w:sz w:val="22"/>
        </w:rPr>
        <w:t>PSD2 (potential):</w:t>
      </w:r>
      <w:r>
        <w:rPr>
          <w:rFonts w:ascii="Figtree" w:hAnsi="Figtree"/>
          <w:b w:val="0"/>
          <w:i w:val="0"/>
          <w:sz w:val="22"/>
        </w:rPr>
        <w:t xml:space="preserve"> If payment services are integrated, PSD2 requirements apply.</w:t>
      </w:r>
    </w:p>
    <w:p>
      <w:r>
        <w:rPr>
          <w:rFonts w:ascii="Figtree" w:hAnsi="Figtree"/>
          <w:b w:val="0"/>
          <w:i w:val="0"/>
          <w:sz w:val="22"/>
        </w:rPr>
        <w:t>The digital asset module must be configurable to support multiple regulatory regimes as Solarisbank's B2B clients operate across different jurisdictions.</w:t>
      </w:r>
    </w:p>
    <w:p>
      <w:pPr>
        <w:pStyle w:val="H3"/>
        <w:numPr>
          <w:ilvl w:val="2"/>
          <w:numId w:val="1"/>
        </w:numPr>
      </w:pPr>
      <w:r>
        <w:t>Operational Requirements</w:t>
      </w:r>
    </w:p>
    <w:p>
      <w:pPr>
        <w:pStyle w:val="ListParagraph"/>
        <w:numPr>
          <w:ilvl w:val="0"/>
          <w:numId w:val="4"/>
        </w:numPr>
      </w:pPr>
      <w:r>
        <w:rPr>
          <w:rFonts w:ascii="Figtree" w:hAnsi="Figtree"/>
          <w:b/>
          <w:i w:val="0"/>
          <w:sz w:val="22"/>
        </w:rPr>
        <w:t>API-first architecture:</w:t>
      </w:r>
      <w:r>
        <w:rPr>
          <w:rFonts w:ascii="Figtree" w:hAnsi="Figtree"/>
          <w:b w:val="0"/>
          <w:i w:val="0"/>
          <w:sz w:val="22"/>
        </w:rPr>
        <w:t xml:space="preserve"> All digital asset functionality must be accessible through APIs, matching the BaaS platform's integration model</w:t>
      </w:r>
    </w:p>
    <w:p>
      <w:pPr>
        <w:pStyle w:val="ListParagraph"/>
        <w:numPr>
          <w:ilvl w:val="0"/>
          <w:numId w:val="4"/>
        </w:numPr>
      </w:pPr>
      <w:r>
        <w:rPr>
          <w:rFonts w:ascii="Figtree" w:hAnsi="Figtree"/>
          <w:b/>
          <w:i w:val="0"/>
          <w:sz w:val="22"/>
        </w:rPr>
        <w:t>Modular enablement:</w:t>
      </w:r>
      <w:r>
        <w:rPr>
          <w:rFonts w:ascii="Figtree" w:hAnsi="Figtree"/>
          <w:b w:val="0"/>
          <w:i w:val="0"/>
          <w:sz w:val="22"/>
        </w:rPr>
        <w:t xml:space="preserve"> B2B clients can enable digital asset capabilities independently of other BaaS modules</w:t>
      </w:r>
    </w:p>
    <w:p>
      <w:pPr>
        <w:pStyle w:val="ListParagraph"/>
        <w:numPr>
          <w:ilvl w:val="0"/>
          <w:numId w:val="4"/>
        </w:numPr>
      </w:pPr>
      <w:r>
        <w:rPr>
          <w:rFonts w:ascii="Figtree" w:hAnsi="Figtree"/>
          <w:b/>
          <w:i w:val="0"/>
          <w:sz w:val="22"/>
        </w:rPr>
        <w:t>Custody abstraction:</w:t>
      </w:r>
      <w:r>
        <w:rPr>
          <w:rFonts w:ascii="Figtree" w:hAnsi="Figtree"/>
          <w:b w:val="0"/>
          <w:i w:val="0"/>
          <w:sz w:val="22"/>
        </w:rPr>
        <w:t xml:space="preserve"> Support for multiple custody providers so Solarisbank can choose or integrate based on client needs</w:t>
      </w:r>
    </w:p>
    <w:p>
      <w:pPr>
        <w:pStyle w:val="ListParagraph"/>
        <w:numPr>
          <w:ilvl w:val="0"/>
          <w:numId w:val="4"/>
        </w:numPr>
      </w:pPr>
      <w:r>
        <w:rPr>
          <w:rFonts w:ascii="Figtree" w:hAnsi="Figtree"/>
          <w:b/>
          <w:i w:val="0"/>
          <w:sz w:val="22"/>
        </w:rPr>
        <w:t>Compliance automation:</w:t>
      </w:r>
      <w:r>
        <w:rPr>
          <w:rFonts w:ascii="Figtree" w:hAnsi="Figtree"/>
          <w:b w:val="0"/>
          <w:i w:val="0"/>
          <w:sz w:val="22"/>
        </w:rPr>
        <w:t xml:space="preserve"> Automated enforcement of investor eligibility, AML screening, and transaction limits</w:t>
      </w:r>
    </w:p>
    <w:p>
      <w:pPr>
        <w:pStyle w:val="ListParagraph"/>
        <w:numPr>
          <w:ilvl w:val="0"/>
          <w:numId w:val="4"/>
        </w:numPr>
      </w:pPr>
      <w:r>
        <w:rPr>
          <w:rFonts w:ascii="Figtree" w:hAnsi="Figtree"/>
          <w:b/>
          <w:i w:val="0"/>
          <w:sz w:val="22"/>
        </w:rPr>
        <w:t>Unified reporting:</w:t>
      </w:r>
      <w:r>
        <w:rPr>
          <w:rFonts w:ascii="Figtree" w:hAnsi="Figtree"/>
          <w:b w:val="0"/>
          <w:i w:val="0"/>
          <w:sz w:val="22"/>
        </w:rPr>
        <w:t xml:space="preserve"> Single reporting interface for both banking and digital asset regulatory obligations</w:t>
      </w:r>
    </w:p>
    <w:p>
      <w:pPr>
        <w:pStyle w:val="ListParagraph"/>
        <w:numPr>
          <w:ilvl w:val="0"/>
          <w:numId w:val="4"/>
        </w:numPr>
      </w:pPr>
      <w:r>
        <w:rPr>
          <w:rFonts w:ascii="Figtree" w:hAnsi="Figtree"/>
          <w:b/>
          <w:i w:val="0"/>
          <w:sz w:val="22"/>
        </w:rPr>
        <w:t>Multi-currency/token support:</w:t>
      </w:r>
      <w:r>
        <w:rPr>
          <w:rFonts w:ascii="Figtree" w:hAnsi="Figtree"/>
          <w:b w:val="0"/>
          <w:i w:val="0"/>
          <w:sz w:val="22"/>
        </w:rPr>
        <w:t xml:space="preserve"> Support for Euro-denominated stablecoins, crypto-native tokens, and security tokens</w:t>
      </w:r>
    </w:p>
    <w:p>
      <w:pPr>
        <w:pStyle w:val="H3"/>
        <w:numPr>
          <w:ilvl w:val="2"/>
          <w:numId w:val="1"/>
        </w:numPr>
      </w:pPr>
      <w:r>
        <w:t>BaaS Client Profile</w:t>
      </w:r>
    </w:p>
    <w:p>
      <w:r>
        <w:rPr>
          <w:rFonts w:ascii="Figtree" w:hAnsi="Figtree"/>
          <w:b w:val="0"/>
          <w:i w:val="0"/>
          <w:sz w:val="22"/>
        </w:rPr>
        <w:t>Solarisbank's B2B clients include:</w:t>
      </w:r>
    </w:p>
    <w:p>
      <w:pPr>
        <w:pStyle w:val="ListParagraph"/>
        <w:numPr>
          <w:ilvl w:val="0"/>
          <w:numId w:val="4"/>
        </w:numPr>
      </w:pPr>
      <w:r>
        <w:rPr>
          <w:rFonts w:ascii="Figtree" w:hAnsi="Figtree"/>
          <w:b w:val="0"/>
          <w:i w:val="0"/>
          <w:sz w:val="22"/>
        </w:rPr>
        <w:t>Fintech companies seeking banking licenses without building infrastructure</w:t>
      </w:r>
    </w:p>
    <w:p>
      <w:pPr>
        <w:pStyle w:val="ListParagraph"/>
        <w:numPr>
          <w:ilvl w:val="0"/>
          <w:numId w:val="4"/>
        </w:numPr>
      </w:pPr>
      <w:r>
        <w:rPr>
          <w:rFonts w:ascii="Figtree" w:hAnsi="Figtree"/>
          <w:b w:val="0"/>
          <w:i w:val="0"/>
          <w:sz w:val="22"/>
        </w:rPr>
        <w:t>E-commerce platforms offering embedded financial services</w:t>
      </w:r>
    </w:p>
    <w:p>
      <w:pPr>
        <w:pStyle w:val="ListParagraph"/>
        <w:numPr>
          <w:ilvl w:val="0"/>
          <w:numId w:val="4"/>
        </w:numPr>
      </w:pPr>
      <w:r>
        <w:rPr>
          <w:rFonts w:ascii="Figtree" w:hAnsi="Figtree"/>
          <w:b w:val="0"/>
          <w:i w:val="0"/>
          <w:sz w:val="22"/>
        </w:rPr>
        <w:t>Corporate treasury teams needing banking-as-a-service for payments and liquidity</w:t>
      </w:r>
    </w:p>
    <w:p>
      <w:pPr>
        <w:pStyle w:val="ListParagraph"/>
        <w:numPr>
          <w:ilvl w:val="0"/>
          <w:numId w:val="4"/>
        </w:numPr>
      </w:pPr>
      <w:r>
        <w:rPr>
          <w:rFonts w:ascii="Figtree" w:hAnsi="Figtree"/>
          <w:b w:val="0"/>
          <w:i w:val="0"/>
          <w:sz w:val="22"/>
        </w:rPr>
        <w:t>Emerging digital asset institutions requiring banking rails</w:t>
      </w:r>
    </w:p>
    <w:p>
      <w:r>
        <w:br w:type="page"/>
      </w:r>
    </w:p>
    <w:p>
      <w:pPr>
        <w:pStyle w:val="H2"/>
        <w:numPr>
          <w:ilvl w:val="1"/>
          <w:numId w:val="1"/>
        </w:numPr>
      </w:pPr>
      <w:r>
        <w:t>SettleMint and DALP Overview</w:t>
      </w:r>
    </w:p>
    <w:p>
      <w:r>
        <w:rPr>
          <w:rFonts w:ascii="Figtree" w:hAnsi="Figtree"/>
          <w:b w:val="0"/>
          <w:i w:val="0"/>
          <w:sz w:val="22"/>
        </w:rPr>
        <w:t>SettleMint's DALP platform provides the infrastructure for designing, launching, and operating tokenized assets and digital asset services. The platform's composable token architecture supports representation of various asset classes as tokens, from stablecoins to security tokens to tokenized real-world assets.</w:t>
      </w:r>
    </w:p>
    <w:p>
      <w:r>
        <w:rPr>
          <w:rFonts w:ascii="Figtree" w:hAnsi="Figtree"/>
          <w:b w:val="0"/>
          <w:i w:val="0"/>
          <w:sz w:val="22"/>
        </w:rPr>
        <w:t>For Solarisbank's BaaS context, DALP provides the digital asset module layer that sits on top of Solarisbank's existing banking infrastructure. The module exposes digital asset functionality through APIs that Solarisbank's API gateway aggregates with its other BaaS services. B2B clients access digital asset capabilities through the same authentication, rate limiting, and monitoring infrastructure used for banking services.</w:t>
      </w:r>
    </w:p>
    <w:p>
      <w:r>
        <w:rPr>
          <w:rFonts w:ascii="Figtree" w:hAnsi="Figtree"/>
          <w:b w:val="0"/>
          <w:i w:val="0"/>
          <w:sz w:val="22"/>
        </w:rPr>
        <w:t>DALP's 18 compliance module types provide the regulatory enforcement layer that BaFin and MiCA require. The identity verification through OnchainID supports investor eligibility enforcement, and the audit trail service produces structured evidence for regulatory examination.</w:t>
      </w:r>
    </w:p>
    <w:p>
      <w:r>
        <w:br w:type="page"/>
      </w:r>
    </w:p>
    <w:p>
      <w:pPr>
        <w:pStyle w:val="H2"/>
        <w:numPr>
          <w:ilvl w:val="1"/>
          <w:numId w:val="1"/>
        </w:numPr>
      </w:pPr>
      <w:r>
        <w:t>Platform Architecture</w:t>
      </w:r>
    </w:p>
    <w:p>
      <w:pPr>
        <w:jc w:val="center"/>
      </w:pPr>
      <w:r>
        <w:drawing>
          <wp:inline xmlns:a="http://schemas.openxmlformats.org/drawingml/2006/main" xmlns:pic="http://schemas.openxmlformats.org/drawingml/2006/picture">
            <wp:extent cx="5486400" cy="233731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37318"/>
                    </a:xfrm>
                    <a:prstGeom prst="rect"/>
                  </pic:spPr>
                </pic:pic>
              </a:graphicData>
            </a:graphic>
          </wp:inline>
        </w:drawing>
      </w:r>
    </w:p>
    <w:p>
      <w:r>
        <w:rPr>
          <w:rFonts w:ascii="Figtree" w:hAnsi="Figtree"/>
          <w:b/>
          <w:i w:val="0"/>
          <w:sz w:val="22"/>
        </w:rPr>
        <w:t>Figure 1: DALP Digital Asset Module Architecture within Solarisbank BaaS</w:t>
      </w:r>
    </w:p>
    <w:p>
      <w:pPr>
        <w:pStyle w:val="H3"/>
        <w:numPr>
          <w:ilvl w:val="2"/>
          <w:numId w:val="1"/>
        </w:numPr>
      </w:pPr>
      <w:r>
        <w:t>Module Integration Architecture</w:t>
      </w:r>
    </w:p>
    <w:p>
      <w:pPr>
        <w:jc w:val="center"/>
      </w:pPr>
      <w:r>
        <w:drawing>
          <wp:inline xmlns:a="http://schemas.openxmlformats.org/drawingml/2006/main" xmlns:pic="http://schemas.openxmlformats.org/drawingml/2006/picture">
            <wp:extent cx="5486400" cy="208539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085392"/>
                    </a:xfrm>
                    <a:prstGeom prst="rect"/>
                  </pic:spPr>
                </pic:pic>
              </a:graphicData>
            </a:graphic>
          </wp:inline>
        </w:drawing>
      </w:r>
    </w:p>
    <w:p>
      <w:r>
        <w:rPr>
          <w:rFonts w:ascii="Figtree" w:hAnsi="Figtree"/>
          <w:b/>
          <w:i w:val="0"/>
          <w:sz w:val="22"/>
        </w:rPr>
        <w:t>Figure 2: Module Integration with BaaS Gateway</w:t>
      </w:r>
    </w:p>
    <w:p>
      <w:r>
        <w:br w:type="page"/>
      </w:r>
    </w:p>
    <w:p>
      <w:pPr>
        <w:pStyle w:val="H2"/>
        <w:numPr>
          <w:ilvl w:val="1"/>
          <w:numId w:val="1"/>
        </w:numPr>
      </w:pPr>
      <w:r>
        <w:t>Digital Asset Module Design</w:t>
      </w:r>
    </w:p>
    <w:p>
      <w:pPr>
        <w:pStyle w:val="H3"/>
        <w:numPr>
          <w:ilvl w:val="2"/>
          <w:numId w:val="1"/>
        </w:numPr>
      </w:pPr>
      <w:r>
        <w:t>Supported Token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1"/>
        <w:gridCol w:w="3735"/>
        <w:gridCol w:w="33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Token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Regulatory Classification</w:t>
            </w:r>
          </w:p>
        </w:tc>
      </w:tr>
      <w:tr>
        <w:trPr>
          <w:trHeight w:val="425" w:hRule="atLeast"/>
        </w:trPr>
        <w:tc>
          <w:tcPr>
            <w:tcW w:type="dxa" w:w="3249"/>
            <w:vAlign w:val="center"/>
          </w:tcPr>
          <w:p>
            <w:pPr>
              <w:spacing w:line="276" w:lineRule="auto" w:before="0" w:after="0"/>
            </w:pPr>
            <w:r/>
            <w:r>
              <w:rPr>
                <w:rFonts w:ascii="Figtree" w:hAnsi="Figtree"/>
                <w:b w:val="0"/>
                <w:i w:val="0"/>
                <w:sz w:val="20"/>
              </w:rPr>
              <w:t>Stablecoins</w:t>
            </w:r>
          </w:p>
        </w:tc>
        <w:tc>
          <w:tcPr>
            <w:tcW w:type="dxa" w:w="3249"/>
            <w:vAlign w:val="center"/>
          </w:tcPr>
          <w:p>
            <w:pPr>
              <w:spacing w:line="276" w:lineRule="auto" w:before="0" w:after="0"/>
            </w:pPr>
            <w:r/>
            <w:r>
              <w:rPr>
                <w:rFonts w:ascii="Figtree" w:hAnsi="Figtree"/>
                <w:b w:val="0"/>
                <w:i w:val="0"/>
                <w:sz w:val="20"/>
              </w:rPr>
              <w:t>Euro-denominated stablecoins</w:t>
            </w:r>
          </w:p>
        </w:tc>
        <w:tc>
          <w:tcPr>
            <w:tcW w:type="dxa" w:w="3249"/>
            <w:vAlign w:val="center"/>
          </w:tcPr>
          <w:p>
            <w:pPr>
              <w:spacing w:line="276" w:lineRule="auto" w:before="0" w:after="0"/>
            </w:pPr>
            <w:r/>
            <w:r>
              <w:rPr>
                <w:rFonts w:ascii="Figtree" w:hAnsi="Figtree"/>
                <w:b w:val="0"/>
                <w:i w:val="0"/>
                <w:sz w:val="20"/>
              </w:rPr>
              <w:t>E-money / CASP</w:t>
            </w:r>
          </w:p>
        </w:tc>
      </w:tr>
      <w:tr>
        <w:trPr>
          <w:trHeight w:val="425" w:hRule="atLeast"/>
        </w:trPr>
        <w:tc>
          <w:tcPr>
            <w:tcW w:type="dxa" w:w="3249"/>
            <w:vAlign w:val="center"/>
          </w:tcPr>
          <w:p>
            <w:pPr>
              <w:spacing w:line="276" w:lineRule="auto" w:before="0" w:after="0"/>
            </w:pPr>
            <w:r/>
            <w:r>
              <w:rPr>
                <w:rFonts w:ascii="Figtree" w:hAnsi="Figtree"/>
                <w:b w:val="0"/>
                <w:i w:val="0"/>
                <w:sz w:val="20"/>
              </w:rPr>
              <w:t>Security Tokens</w:t>
            </w:r>
          </w:p>
        </w:tc>
        <w:tc>
          <w:tcPr>
            <w:tcW w:type="dxa" w:w="3249"/>
            <w:vAlign w:val="center"/>
          </w:tcPr>
          <w:p>
            <w:pPr>
              <w:spacing w:line="276" w:lineRule="auto" w:before="0" w:after="0"/>
            </w:pPr>
            <w:r/>
            <w:r>
              <w:rPr>
                <w:rFonts w:ascii="Figtree" w:hAnsi="Figtree"/>
                <w:b w:val="0"/>
                <w:i w:val="0"/>
                <w:sz w:val="20"/>
              </w:rPr>
              <w:t>Tokenized securities</w:t>
            </w:r>
          </w:p>
        </w:tc>
        <w:tc>
          <w:tcPr>
            <w:tcW w:type="dxa" w:w="3249"/>
            <w:vAlign w:val="center"/>
          </w:tcPr>
          <w:p>
            <w:pPr>
              <w:spacing w:line="276" w:lineRule="auto" w:before="0" w:after="0"/>
            </w:pPr>
            <w:r/>
            <w:r>
              <w:rPr>
                <w:rFonts w:ascii="Figtree" w:hAnsi="Figtree"/>
                <w:b w:val="0"/>
                <w:i w:val="0"/>
                <w:sz w:val="20"/>
              </w:rPr>
              <w:t>WpHG / MiCA</w:t>
            </w:r>
          </w:p>
        </w:tc>
      </w:tr>
      <w:tr>
        <w:trPr>
          <w:trHeight w:val="425" w:hRule="atLeast"/>
        </w:trPr>
        <w:tc>
          <w:tcPr>
            <w:tcW w:type="dxa" w:w="3249"/>
            <w:vAlign w:val="center"/>
          </w:tcPr>
          <w:p>
            <w:pPr>
              <w:spacing w:line="276" w:lineRule="auto" w:before="0" w:after="0"/>
            </w:pPr>
            <w:r/>
            <w:r>
              <w:rPr>
                <w:rFonts w:ascii="Figtree" w:hAnsi="Figtree"/>
                <w:b w:val="0"/>
                <w:i w:val="0"/>
                <w:sz w:val="20"/>
              </w:rPr>
              <w:t>Utility Tokens</w:t>
            </w:r>
          </w:p>
        </w:tc>
        <w:tc>
          <w:tcPr>
            <w:tcW w:type="dxa" w:w="3249"/>
            <w:vAlign w:val="center"/>
          </w:tcPr>
          <w:p>
            <w:pPr>
              <w:spacing w:line="276" w:lineRule="auto" w:before="0" w:after="0"/>
            </w:pPr>
            <w:r/>
            <w:r>
              <w:rPr>
                <w:rFonts w:ascii="Figtree" w:hAnsi="Figtree"/>
                <w:b w:val="0"/>
                <w:i w:val="0"/>
                <w:sz w:val="20"/>
              </w:rPr>
              <w:t>Platform access tokens</w:t>
            </w:r>
          </w:p>
        </w:tc>
        <w:tc>
          <w:tcPr>
            <w:tcW w:type="dxa" w:w="3249"/>
            <w:vAlign w:val="center"/>
          </w:tcPr>
          <w:p>
            <w:pPr>
              <w:spacing w:line="276" w:lineRule="auto" w:before="0" w:after="0"/>
            </w:pPr>
            <w:r/>
            <w:r>
              <w:rPr>
                <w:rFonts w:ascii="Figtree" w:hAnsi="Figtree"/>
                <w:b w:val="0"/>
                <w:i w:val="0"/>
                <w:sz w:val="20"/>
              </w:rPr>
              <w:t>MiCA (utility)</w:t>
            </w:r>
          </w:p>
        </w:tc>
      </w:tr>
      <w:tr>
        <w:trPr>
          <w:trHeight w:val="425" w:hRule="atLeast"/>
        </w:trPr>
        <w:tc>
          <w:tcPr>
            <w:tcW w:type="dxa" w:w="3249"/>
            <w:vAlign w:val="center"/>
          </w:tcPr>
          <w:p>
            <w:pPr>
              <w:spacing w:line="276" w:lineRule="auto" w:before="0" w:after="0"/>
            </w:pPr>
            <w:r/>
            <w:r>
              <w:rPr>
                <w:rFonts w:ascii="Figtree" w:hAnsi="Figtree"/>
                <w:b w:val="0"/>
                <w:i w:val="0"/>
                <w:sz w:val="20"/>
              </w:rPr>
              <w:t>Tokenized RWA</w:t>
            </w:r>
          </w:p>
        </w:tc>
        <w:tc>
          <w:tcPr>
            <w:tcW w:type="dxa" w:w="3249"/>
            <w:vAlign w:val="center"/>
          </w:tcPr>
          <w:p>
            <w:pPr>
              <w:spacing w:line="276" w:lineRule="auto" w:before="0" w:after="0"/>
            </w:pPr>
            <w:r/>
            <w:r>
              <w:rPr>
                <w:rFonts w:ascii="Figtree" w:hAnsi="Figtree"/>
                <w:b w:val="0"/>
                <w:i w:val="0"/>
                <w:sz w:val="20"/>
              </w:rPr>
              <w:t>Real-world asset tokens</w:t>
            </w:r>
          </w:p>
        </w:tc>
        <w:tc>
          <w:tcPr>
            <w:tcW w:type="dxa" w:w="3249"/>
            <w:vAlign w:val="center"/>
          </w:tcPr>
          <w:p>
            <w:pPr>
              <w:spacing w:line="276" w:lineRule="auto" w:before="0" w:after="0"/>
            </w:pPr>
            <w:r/>
            <w:r>
              <w:rPr>
                <w:rFonts w:ascii="Figtree" w:hAnsi="Figtree"/>
                <w:b w:val="0"/>
                <w:i w:val="0"/>
                <w:sz w:val="20"/>
              </w:rPr>
              <w:t>Case-by-case</w:t>
            </w:r>
          </w:p>
        </w:tc>
      </w:tr>
    </w:tbl>
    <w:p>
      <w:pPr>
        <w:spacing w:before="0" w:after="0" w:line="120" w:lineRule="exact"/>
      </w:pPr>
    </w:p>
    <w:p>
      <w:pPr>
        <w:pStyle w:val="H3"/>
        <w:numPr>
          <w:ilvl w:val="2"/>
          <w:numId w:val="1"/>
        </w:numPr>
      </w:pPr>
      <w:r>
        <w:t>Token Operations</w:t>
      </w:r>
    </w:p>
    <w:p>
      <w:pPr>
        <w:jc w:val="center"/>
      </w:pPr>
      <w:r>
        <w:drawing>
          <wp:inline xmlns:a="http://schemas.openxmlformats.org/drawingml/2006/main" xmlns:pic="http://schemas.openxmlformats.org/drawingml/2006/picture">
            <wp:extent cx="4048124" cy="789622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048124" cy="7896223"/>
                    </a:xfrm>
                    <a:prstGeom prst="rect"/>
                  </pic:spPr>
                </pic:pic>
              </a:graphicData>
            </a:graphic>
          </wp:inline>
        </w:drawing>
      </w:r>
    </w:p>
    <w:p>
      <w:r>
        <w:rPr>
          <w:rFonts w:ascii="Figtree" w:hAnsi="Figtree"/>
          <w:b/>
          <w:i w:val="0"/>
          <w:sz w:val="22"/>
        </w:rPr>
        <w:t>Figure 3: Token Lifecycle State Machine</w:t>
      </w:r>
    </w:p>
    <w:p>
      <w:pPr>
        <w:pStyle w:val="H3"/>
        <w:numPr>
          <w:ilvl w:val="2"/>
          <w:numId w:val="1"/>
        </w:numPr>
      </w:pPr>
      <w:r>
        <w:t>Module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8"/>
        <w:gridCol w:w="70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Token issuance</w:t>
            </w:r>
          </w:p>
        </w:tc>
        <w:tc>
          <w:tcPr>
            <w:tcW w:type="dxa" w:w="4873"/>
            <w:vAlign w:val="center"/>
          </w:tcPr>
          <w:p>
            <w:pPr>
              <w:spacing w:line="276" w:lineRule="auto" w:before="0" w:after="0"/>
            </w:pPr>
            <w:r/>
            <w:r>
              <w:rPr>
                <w:rFonts w:ascii="Figtree" w:hAnsi="Figtree"/>
                <w:b w:val="0"/>
                <w:i w:val="0"/>
                <w:sz w:val="20"/>
              </w:rPr>
              <w:t>Create and mint tokens with configurable features</w:t>
            </w:r>
          </w:p>
        </w:tc>
      </w:tr>
      <w:tr>
        <w:trPr>
          <w:trHeight w:val="425" w:hRule="atLeast"/>
        </w:trPr>
        <w:tc>
          <w:tcPr>
            <w:tcW w:type="dxa" w:w="4873"/>
            <w:vAlign w:val="center"/>
          </w:tcPr>
          <w:p>
            <w:pPr>
              <w:spacing w:line="276" w:lineRule="auto" w:before="0" w:after="0"/>
            </w:pPr>
            <w:r/>
            <w:r>
              <w:rPr>
                <w:rFonts w:ascii="Figtree" w:hAnsi="Figtree"/>
                <w:b w:val="0"/>
                <w:i w:val="0"/>
                <w:sz w:val="20"/>
              </w:rPr>
              <w:t>Transfer</w:t>
            </w:r>
          </w:p>
        </w:tc>
        <w:tc>
          <w:tcPr>
            <w:tcW w:type="dxa" w:w="4873"/>
            <w:vAlign w:val="center"/>
          </w:tcPr>
          <w:p>
            <w:pPr>
              <w:spacing w:line="276" w:lineRule="auto" w:before="0" w:after="0"/>
            </w:pPr>
            <w:r/>
            <w:r>
              <w:rPr>
                <w:rFonts w:ascii="Figtree" w:hAnsi="Figtree"/>
                <w:b w:val="0"/>
                <w:i w:val="0"/>
                <w:sz w:val="20"/>
              </w:rPr>
              <w:t>Peer-to-peer transfers with compliance gates</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Integrated with Fireblocks, DFNS, or HSM</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swap or settlement finality</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module types for investor, transaction, jurisdictional controls</w:t>
            </w:r>
          </w:p>
        </w:tc>
      </w:tr>
      <w:tr>
        <w:trPr>
          <w:trHeight w:val="425" w:hRule="atLeast"/>
        </w:trPr>
        <w:tc>
          <w:tcPr>
            <w:tcW w:type="dxa" w:w="4873"/>
            <w:vAlign w:val="center"/>
          </w:tcPr>
          <w:p>
            <w:pPr>
              <w:spacing w:line="276" w:lineRule="auto" w:before="0" w:after="0"/>
            </w:pPr>
            <w:r/>
            <w:r>
              <w:rPr>
                <w:rFonts w:ascii="Figtree" w:hAnsi="Figtree"/>
                <w:b w:val="0"/>
                <w:i w:val="0"/>
                <w:sz w:val="20"/>
              </w:rPr>
              <w:t>Reporting</w:t>
            </w:r>
          </w:p>
        </w:tc>
        <w:tc>
          <w:tcPr>
            <w:tcW w:type="dxa" w:w="4873"/>
            <w:vAlign w:val="center"/>
          </w:tcPr>
          <w:p>
            <w:pPr>
              <w:spacing w:line="276" w:lineRule="auto" w:before="0" w:after="0"/>
            </w:pPr>
            <w:r/>
            <w:r>
              <w:rPr>
                <w:rFonts w:ascii="Figtree" w:hAnsi="Figtree"/>
                <w:b w:val="0"/>
                <w:i w:val="0"/>
                <w:sz w:val="20"/>
              </w:rPr>
              <w:t>Automated regulatory reports for BaFin, ECB</w:t>
            </w:r>
          </w:p>
        </w:tc>
      </w:tr>
    </w:tbl>
    <w:p>
      <w:pPr>
        <w:spacing w:before="0" w:after="0" w:line="120" w:lineRule="exact"/>
      </w:pPr>
    </w:p>
    <w:p>
      <w:r>
        <w:br w:type="page"/>
      </w:r>
    </w:p>
    <w:p>
      <w:pPr>
        <w:pStyle w:val="H2"/>
        <w:numPr>
          <w:ilvl w:val="1"/>
          <w:numId w:val="1"/>
        </w:numPr>
      </w:pPr>
      <w:r>
        <w:t>BaaS Integration Framework</w:t>
      </w:r>
    </w:p>
    <w:p>
      <w:pPr>
        <w:pStyle w:val="H3"/>
        <w:numPr>
          <w:ilvl w:val="2"/>
          <w:numId w:val="1"/>
        </w:numPr>
      </w:pPr>
      <w:r>
        <w:t>API Integration Pattern</w:t>
      </w:r>
    </w:p>
    <w:p>
      <w:pPr>
        <w:jc w:val="center"/>
      </w:pPr>
      <w:r>
        <w:drawing>
          <wp:inline xmlns:a="http://schemas.openxmlformats.org/drawingml/2006/main" xmlns:pic="http://schemas.openxmlformats.org/drawingml/2006/picture">
            <wp:extent cx="5486400" cy="279218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792186"/>
                    </a:xfrm>
                    <a:prstGeom prst="rect"/>
                  </pic:spPr>
                </pic:pic>
              </a:graphicData>
            </a:graphic>
          </wp:inline>
        </w:drawing>
      </w:r>
    </w:p>
    <w:p>
      <w:r>
        <w:rPr>
          <w:rFonts w:ascii="Figtree" w:hAnsi="Figtree"/>
          <w:b/>
          <w:i w:val="0"/>
          <w:sz w:val="22"/>
        </w:rPr>
        <w:t>Figure 4: Token Creation API Flow</w:t>
      </w:r>
    </w:p>
    <w:p>
      <w:pPr>
        <w:pStyle w:val="H3"/>
        <w:numPr>
          <w:ilvl w:val="2"/>
          <w:numId w:val="1"/>
        </w:numPr>
      </w:pPr>
      <w:r>
        <w:t>API Endpoints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13"/>
        <w:gridCol w:w="735"/>
        <w:gridCol w:w="39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/digital-assets/tokens</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Create new token</w:t>
            </w:r>
          </w:p>
        </w:tc>
      </w:tr>
      <w:tr>
        <w:trPr>
          <w:trHeight w:val="425" w:hRule="atLeast"/>
        </w:trPr>
        <w:tc>
          <w:tcPr>
            <w:tcW w:type="dxa" w:w="3249"/>
            <w:vAlign w:val="center"/>
          </w:tcPr>
          <w:p>
            <w:pPr>
              <w:spacing w:line="276" w:lineRule="auto" w:before="0" w:after="0"/>
            </w:pPr>
            <w:r/>
            <w:r>
              <w:rPr>
                <w:rFonts w:ascii="Figtree" w:hAnsi="Figtree"/>
                <w:b w:val="0"/>
                <w:i w:val="0"/>
                <w:sz w:val="20"/>
              </w:rPr>
              <w:t>/digital-assets/tokens/{id}</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Get token details</w:t>
            </w:r>
          </w:p>
        </w:tc>
      </w:tr>
      <w:tr>
        <w:trPr>
          <w:trHeight w:val="425" w:hRule="atLeast"/>
        </w:trPr>
        <w:tc>
          <w:tcPr>
            <w:tcW w:type="dxa" w:w="3249"/>
            <w:vAlign w:val="center"/>
          </w:tcPr>
          <w:p>
            <w:pPr>
              <w:spacing w:line="276" w:lineRule="auto" w:before="0" w:after="0"/>
            </w:pPr>
            <w:r/>
            <w:r>
              <w:rPr>
                <w:rFonts w:ascii="Figtree" w:hAnsi="Figtree"/>
                <w:b w:val="0"/>
                <w:i w:val="0"/>
                <w:sz w:val="20"/>
              </w:rPr>
              <w:t>/digital-assets/tokens/{id}/mint</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Mint tokens</w:t>
            </w:r>
          </w:p>
        </w:tc>
      </w:tr>
      <w:tr>
        <w:trPr>
          <w:trHeight w:val="425" w:hRule="atLeast"/>
        </w:trPr>
        <w:tc>
          <w:tcPr>
            <w:tcW w:type="dxa" w:w="3249"/>
            <w:vAlign w:val="center"/>
          </w:tcPr>
          <w:p>
            <w:pPr>
              <w:spacing w:line="276" w:lineRule="auto" w:before="0" w:after="0"/>
            </w:pPr>
            <w:r/>
            <w:r>
              <w:rPr>
                <w:rFonts w:ascii="Figtree" w:hAnsi="Figtree"/>
                <w:b w:val="0"/>
                <w:i w:val="0"/>
                <w:sz w:val="20"/>
              </w:rPr>
              <w:t>/digital-assets/tokens/{id}/transfer</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Transfer tokens</w:t>
            </w:r>
          </w:p>
        </w:tc>
      </w:tr>
      <w:tr>
        <w:trPr>
          <w:trHeight w:val="425" w:hRule="atLeast"/>
        </w:trPr>
        <w:tc>
          <w:tcPr>
            <w:tcW w:type="dxa" w:w="3249"/>
            <w:vAlign w:val="center"/>
          </w:tcPr>
          <w:p>
            <w:pPr>
              <w:spacing w:line="276" w:lineRule="auto" w:before="0" w:after="0"/>
            </w:pPr>
            <w:r/>
            <w:r>
              <w:rPr>
                <w:rFonts w:ascii="Figtree" w:hAnsi="Figtree"/>
                <w:b w:val="0"/>
                <w:i w:val="0"/>
                <w:sz w:val="20"/>
              </w:rPr>
              <w:t>/digital-assets/issuers</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List authorized issuers</w:t>
            </w:r>
          </w:p>
        </w:tc>
      </w:tr>
      <w:tr>
        <w:trPr>
          <w:trHeight w:val="425" w:hRule="atLeast"/>
        </w:trPr>
        <w:tc>
          <w:tcPr>
            <w:tcW w:type="dxa" w:w="3249"/>
            <w:vAlign w:val="center"/>
          </w:tcPr>
          <w:p>
            <w:pPr>
              <w:spacing w:line="276" w:lineRule="auto" w:before="0" w:after="0"/>
            </w:pPr>
            <w:r/>
            <w:r>
              <w:rPr>
                <w:rFonts w:ascii="Figtree" w:hAnsi="Figtree"/>
                <w:b w:val="0"/>
                <w:i w:val="0"/>
                <w:sz w:val="20"/>
              </w:rPr>
              <w:t>/digital-assets/compliance/check</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Pre-transaction compliance check</w:t>
            </w:r>
          </w:p>
        </w:tc>
      </w:tr>
      <w:tr>
        <w:trPr>
          <w:trHeight w:val="425" w:hRule="atLeast"/>
        </w:trPr>
        <w:tc>
          <w:tcPr>
            <w:tcW w:type="dxa" w:w="3249"/>
            <w:vAlign w:val="center"/>
          </w:tcPr>
          <w:p>
            <w:pPr>
              <w:spacing w:line="276" w:lineRule="auto" w:before="0" w:after="0"/>
            </w:pPr>
            <w:r/>
            <w:r>
              <w:rPr>
                <w:rFonts w:ascii="Figtree" w:hAnsi="Figtree"/>
                <w:b w:val="0"/>
                <w:i w:val="0"/>
                <w:sz w:val="20"/>
              </w:rPr>
              <w:t>/digital-assets/reports/{type}</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Regulatory reports</w:t>
            </w:r>
          </w:p>
        </w:tc>
      </w:tr>
    </w:tbl>
    <w:p>
      <w:pPr>
        <w:spacing w:before="0" w:after="0" w:line="120" w:lineRule="exact"/>
      </w:pPr>
    </w:p>
    <w:p>
      <w:r>
        <w:br w:type="page"/>
      </w:r>
    </w:p>
    <w:p>
      <w:pPr>
        <w:pStyle w:val="H2"/>
        <w:numPr>
          <w:ilvl w:val="1"/>
          <w:numId w:val="1"/>
        </w:numPr>
      </w:pPr>
      <w:r>
        <w:t>Compliance and Regulatory Framework</w:t>
      </w:r>
    </w:p>
    <w:p>
      <w:pPr>
        <w:pStyle w:val="H3"/>
        <w:numPr>
          <w:ilvl w:val="2"/>
          <w:numId w:val="1"/>
        </w:numPr>
      </w:pPr>
      <w:r>
        <w:t>BaFin and MiCA Compliance</w:t>
      </w:r>
    </w:p>
    <w:p>
      <w:pPr>
        <w:jc w:val="center"/>
      </w:pPr>
      <w:r>
        <w:drawing>
          <wp:inline xmlns:a="http://schemas.openxmlformats.org/drawingml/2006/main" xmlns:pic="http://schemas.openxmlformats.org/drawingml/2006/picture">
            <wp:extent cx="5486400" cy="325405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54051"/>
                    </a:xfrm>
                    <a:prstGeom prst="rect"/>
                  </pic:spPr>
                </pic:pic>
              </a:graphicData>
            </a:graphic>
          </wp:inline>
        </w:drawing>
      </w:r>
    </w:p>
    <w:p>
      <w:r>
        <w:rPr>
          <w:rFonts w:ascii="Figtree" w:hAnsi="Figtree"/>
          <w:b/>
          <w:i w:val="0"/>
          <w:sz w:val="22"/>
        </w:rPr>
        <w:t>Figure 5: Regulatory Compliance Framework</w:t>
      </w:r>
    </w:p>
    <w:p>
      <w:pPr>
        <w:pStyle w:val="H3"/>
        <w:numPr>
          <w:ilvl w:val="2"/>
          <w:numId w:val="1"/>
        </w:numPr>
      </w:pPr>
      <w:r>
        <w:t>Compliance Module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1"/>
        <w:gridCol w:w="1148"/>
        <w:gridCol w:w="55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w:t>
            </w:r>
          </w:p>
        </w:tc>
        <w:tc>
          <w:tcPr>
            <w:tcW w:type="dxa" w:w="3249"/>
            <w:vAlign w:val="center"/>
          </w:tcPr>
          <w:p>
            <w:pPr>
              <w:spacing w:line="276" w:lineRule="auto" w:before="0" w:after="0"/>
            </w:pPr>
            <w:r/>
            <w:r>
              <w:rPr>
                <w:rFonts w:ascii="Figtree" w:hAnsi="Figtree"/>
                <w:b w:val="0"/>
                <w:i w:val="0"/>
                <w:sz w:val="20"/>
              </w:rPr>
              <w:t>BaFin</w:t>
            </w:r>
          </w:p>
        </w:tc>
        <w:tc>
          <w:tcPr>
            <w:tcW w:type="dxa" w:w="3249"/>
            <w:vAlign w:val="center"/>
          </w:tcPr>
          <w:p>
            <w:pPr>
              <w:spacing w:line="276" w:lineRule="auto" w:before="0" w:after="0"/>
            </w:pPr>
            <w:r/>
            <w:r>
              <w:rPr>
                <w:rFonts w:ascii="Figtree" w:hAnsi="Figtree"/>
                <w:b w:val="0"/>
                <w:i w:val="0"/>
                <w:sz w:val="20"/>
              </w:rPr>
              <w:t>Gate to qualified investors for securities tokens</w:t>
            </w:r>
          </w:p>
        </w:tc>
      </w:tr>
      <w:tr>
        <w:trPr>
          <w:trHeight w:val="425" w:hRule="atLeast"/>
        </w:trPr>
        <w:tc>
          <w:tcPr>
            <w:tcW w:type="dxa" w:w="3249"/>
            <w:vAlign w:val="center"/>
          </w:tcPr>
          <w:p>
            <w:pPr>
              <w:spacing w:line="276" w:lineRule="auto" w:before="0" w:after="0"/>
            </w:pPr>
            <w:r/>
            <w:r>
              <w:rPr>
                <w:rFonts w:ascii="Figtree" w:hAnsi="Figtree"/>
                <w:b w:val="0"/>
                <w:i w:val="0"/>
                <w:sz w:val="20"/>
              </w:rPr>
              <w:t>AML Status</w:t>
            </w:r>
          </w:p>
        </w:tc>
        <w:tc>
          <w:tcPr>
            <w:tcW w:type="dxa" w:w="3249"/>
            <w:vAlign w:val="center"/>
          </w:tcPr>
          <w:p>
            <w:pPr>
              <w:spacing w:line="276" w:lineRule="auto" w:before="0" w:after="0"/>
            </w:pPr>
            <w:r/>
            <w:r>
              <w:rPr>
                <w:rFonts w:ascii="Figtree" w:hAnsi="Figtree"/>
                <w:b w:val="0"/>
                <w:i w:val="0"/>
                <w:sz w:val="20"/>
              </w:rPr>
              <w:t>AMLD5/6</w:t>
            </w:r>
          </w:p>
        </w:tc>
        <w:tc>
          <w:tcPr>
            <w:tcW w:type="dxa" w:w="3249"/>
            <w:vAlign w:val="center"/>
          </w:tcPr>
          <w:p>
            <w:pPr>
              <w:spacing w:line="276" w:lineRule="auto" w:before="0" w:after="0"/>
            </w:pPr>
            <w:r/>
            <w:r>
              <w:rPr>
                <w:rFonts w:ascii="Figtree" w:hAnsi="Figtree"/>
                <w:b w:val="0"/>
                <w:i w:val="0"/>
                <w:sz w:val="20"/>
              </w:rPr>
              <w:t>Block transactions on sanctions/PEP matches</w:t>
            </w:r>
          </w:p>
        </w:tc>
      </w:tr>
      <w:tr>
        <w:trPr>
          <w:trHeight w:val="425" w:hRule="atLeast"/>
        </w:trPr>
        <w:tc>
          <w:tcPr>
            <w:tcW w:type="dxa" w:w="3249"/>
            <w:vAlign w:val="center"/>
          </w:tcPr>
          <w:p>
            <w:pPr>
              <w:spacing w:line="276" w:lineRule="auto" w:before="0" w:after="0"/>
            </w:pPr>
            <w:r/>
            <w:r>
              <w:rPr>
                <w:rFonts w:ascii="Figtree" w:hAnsi="Figtree"/>
                <w:b w:val="0"/>
                <w:i w:val="0"/>
                <w:sz w:val="20"/>
              </w:rPr>
              <w:t>Jurisdiction</w:t>
            </w:r>
          </w:p>
        </w:tc>
        <w:tc>
          <w:tcPr>
            <w:tcW w:type="dxa" w:w="3249"/>
            <w:vAlign w:val="center"/>
          </w:tcPr>
          <w:p>
            <w:pPr>
              <w:spacing w:line="276" w:lineRule="auto" w:before="0" w:after="0"/>
            </w:pPr>
            <w:r/>
            <w:r>
              <w:rPr>
                <w:rFonts w:ascii="Figtree" w:hAnsi="Figtree"/>
                <w:b w:val="0"/>
                <w:i w:val="0"/>
                <w:sz w:val="20"/>
              </w:rPr>
              <w:t>Sanctions</w:t>
            </w:r>
          </w:p>
        </w:tc>
        <w:tc>
          <w:tcPr>
            <w:tcW w:type="dxa" w:w="3249"/>
            <w:vAlign w:val="center"/>
          </w:tcPr>
          <w:p>
            <w:pPr>
              <w:spacing w:line="276" w:lineRule="auto" w:before="0" w:after="0"/>
            </w:pPr>
            <w:r/>
            <w:r>
              <w:rPr>
                <w:rFonts w:ascii="Figtree" w:hAnsi="Figtree"/>
                <w:b w:val="0"/>
                <w:i w:val="0"/>
                <w:sz w:val="20"/>
              </w:rPr>
              <w:t>Block prohibited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Transaction Limits</w:t>
            </w:r>
          </w:p>
        </w:tc>
        <w:tc>
          <w:tcPr>
            <w:tcW w:type="dxa" w:w="3249"/>
            <w:vAlign w:val="center"/>
          </w:tcPr>
          <w:p>
            <w:pPr>
              <w:spacing w:line="276" w:lineRule="auto" w:before="0" w:after="0"/>
            </w:pPr>
            <w:r/>
            <w:r>
              <w:rPr>
                <w:rFonts w:ascii="Figtree" w:hAnsi="Figtree"/>
                <w:b w:val="0"/>
                <w:i w:val="0"/>
                <w:sz w:val="20"/>
              </w:rPr>
              <w:t>BaFin</w:t>
            </w:r>
          </w:p>
        </w:tc>
        <w:tc>
          <w:tcPr>
            <w:tcW w:type="dxa" w:w="3249"/>
            <w:vAlign w:val="center"/>
          </w:tcPr>
          <w:p>
            <w:pPr>
              <w:spacing w:line="276" w:lineRule="auto" w:before="0" w:after="0"/>
            </w:pPr>
            <w:r/>
            <w:r>
              <w:rPr>
                <w:rFonts w:ascii="Figtree" w:hAnsi="Figtree"/>
                <w:b w:val="0"/>
                <w:i w:val="0"/>
                <w:sz w:val="20"/>
              </w:rPr>
              <w:t>Per-transaction and cumulative limits</w:t>
            </w:r>
          </w:p>
        </w:tc>
      </w:tr>
      <w:tr>
        <w:trPr>
          <w:trHeight w:val="425" w:hRule="atLeast"/>
        </w:trPr>
        <w:tc>
          <w:tcPr>
            <w:tcW w:type="dxa" w:w="3249"/>
            <w:vAlign w:val="center"/>
          </w:tcPr>
          <w:p>
            <w:pPr>
              <w:spacing w:line="276" w:lineRule="auto" w:before="0" w:after="0"/>
            </w:pPr>
            <w:r/>
            <w:r>
              <w:rPr>
                <w:rFonts w:ascii="Figtree" w:hAnsi="Figtree"/>
                <w:b w:val="0"/>
                <w:i w:val="0"/>
                <w:sz w:val="20"/>
              </w:rPr>
              <w:t>Token Classification</w:t>
            </w:r>
          </w:p>
        </w:tc>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Apply correct regulatory treatment</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BaFin/MiCA</w:t>
            </w:r>
          </w:p>
        </w:tc>
        <w:tc>
          <w:tcPr>
            <w:tcW w:type="dxa" w:w="3249"/>
            <w:vAlign w:val="center"/>
          </w:tcPr>
          <w:p>
            <w:pPr>
              <w:spacing w:line="276" w:lineRule="auto" w:before="0" w:after="0"/>
            </w:pPr>
            <w:r/>
            <w:r>
              <w:rPr>
                <w:rFonts w:ascii="Figtree" w:hAnsi="Figtree"/>
                <w:b w:val="0"/>
                <w:i w:val="0"/>
                <w:sz w:val="20"/>
              </w:rPr>
              <w:t>Automated regulatory reports</w:t>
            </w:r>
          </w:p>
        </w:tc>
      </w:tr>
      <w:tr>
        <w:trPr>
          <w:trHeight w:val="425" w:hRule="atLeast"/>
        </w:trPr>
        <w:tc>
          <w:tcPr>
            <w:tcW w:type="dxa" w:w="3249"/>
            <w:vAlign w:val="center"/>
          </w:tcPr>
          <w:p>
            <w:pPr>
              <w:spacing w:line="276" w:lineRule="auto" w:before="0" w:after="0"/>
            </w:pPr>
            <w:r/>
            <w:r>
              <w:rPr>
                <w:rFonts w:ascii="Figtree" w:hAnsi="Figtree"/>
                <w:b w:val="0"/>
                <w:i w:val="0"/>
                <w:sz w:val="20"/>
              </w:rPr>
              <w:t>Custody Authorization</w:t>
            </w:r>
          </w:p>
        </w:tc>
        <w:tc>
          <w:tcPr>
            <w:tcW w:type="dxa" w:w="3249"/>
            <w:vAlign w:val="center"/>
          </w:tcPr>
          <w:p>
            <w:pPr>
              <w:spacing w:line="276" w:lineRule="auto" w:before="0" w:after="0"/>
            </w:pPr>
            <w:r/>
            <w:r>
              <w:rPr>
                <w:rFonts w:ascii="Figtree" w:hAnsi="Figtree"/>
                <w:b w:val="0"/>
                <w:i w:val="0"/>
                <w:sz w:val="20"/>
              </w:rPr>
              <w:t>BaFin</w:t>
            </w:r>
          </w:p>
        </w:tc>
        <w:tc>
          <w:tcPr>
            <w:tcW w:type="dxa" w:w="3249"/>
            <w:vAlign w:val="center"/>
          </w:tcPr>
          <w:p>
            <w:pPr>
              <w:spacing w:line="276" w:lineRule="auto" w:before="0" w:after="0"/>
            </w:pPr>
            <w:r/>
            <w:r>
              <w:rPr>
                <w:rFonts w:ascii="Figtree" w:hAnsi="Figtree"/>
                <w:b w:val="0"/>
                <w:i w:val="0"/>
                <w:sz w:val="20"/>
              </w:rPr>
              <w:t>Verify custody provider authorization</w:t>
            </w:r>
          </w:p>
        </w:tc>
      </w:tr>
      <w:tr>
        <w:trPr>
          <w:trHeight w:val="425" w:hRule="atLeast"/>
        </w:trPr>
        <w:tc>
          <w:tcPr>
            <w:tcW w:type="dxa" w:w="3249"/>
            <w:vAlign w:val="center"/>
          </w:tcPr>
          <w:p>
            <w:pPr>
              <w:spacing w:line="276" w:lineRule="auto" w:before="0" w:after="0"/>
            </w:pPr>
            <w:r/>
            <w:r>
              <w:rPr>
                <w:rFonts w:ascii="Figtree" w:hAnsi="Figtree"/>
                <w:b w:val="0"/>
                <w:i w:val="0"/>
                <w:sz w:val="20"/>
              </w:rPr>
              <w:t>Cooling-off Period</w:t>
            </w:r>
          </w:p>
        </w:tc>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Apply mandatory cooling-off for tokens</w:t>
            </w:r>
          </w:p>
        </w:tc>
      </w:tr>
    </w:tbl>
    <w:p>
      <w:pPr>
        <w:spacing w:before="0" w:after="0" w:line="120" w:lineRule="exact"/>
      </w:pPr>
    </w:p>
    <w:p>
      <w:r>
        <w:br w:type="page"/>
      </w:r>
    </w:p>
    <w:p>
      <w:pPr>
        <w:pStyle w:val="H2"/>
        <w:numPr>
          <w:ilvl w:val="1"/>
          <w:numId w:val="1"/>
        </w:numPr>
      </w:pPr>
      <w:r>
        <w:t>Custody and Key Management</w:t>
      </w:r>
    </w:p>
    <w:p>
      <w:pPr>
        <w:jc w:val="center"/>
      </w:pPr>
      <w:r>
        <w:drawing>
          <wp:inline xmlns:a="http://schemas.openxmlformats.org/drawingml/2006/main" xmlns:pic="http://schemas.openxmlformats.org/drawingml/2006/picture">
            <wp:extent cx="5486400" cy="618934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189345"/>
                    </a:xfrm>
                    <a:prstGeom prst="rect"/>
                  </pic:spPr>
                </pic:pic>
              </a:graphicData>
            </a:graphic>
          </wp:inline>
        </w:drawing>
      </w:r>
    </w:p>
    <w:p>
      <w:r>
        <w:rPr>
          <w:rFonts w:ascii="Figtree" w:hAnsi="Figtree"/>
          <w:b/>
          <w:i w:val="0"/>
          <w:sz w:val="22"/>
        </w:rPr>
        <w:t>Figure 6: Custody and Key Management Architecture</w:t>
      </w:r>
    </w:p>
    <w:p>
      <w:r>
        <w:rPr>
          <w:rFonts w:ascii="Figtree" w:hAnsi="Figtree"/>
          <w:b w:val="0"/>
          <w:i w:val="0"/>
          <w:sz w:val="22"/>
        </w:rPr>
        <w:t>For Solarisbank's BaaS context, a multi-provider custody strategy is recommended:</w:t>
      </w:r>
    </w:p>
    <w:p>
      <w:pPr>
        <w:pStyle w:val="ListParagraph"/>
        <w:numPr>
          <w:ilvl w:val="0"/>
          <w:numId w:val="4"/>
        </w:numPr>
      </w:pPr>
      <w:r>
        <w:rPr>
          <w:rFonts w:ascii="Figtree" w:hAnsi="Figtree"/>
          <w:b/>
          <w:i w:val="0"/>
          <w:sz w:val="22"/>
        </w:rPr>
        <w:t>Fireblocks:</w:t>
      </w:r>
      <w:r>
        <w:rPr>
          <w:rFonts w:ascii="Figtree" w:hAnsi="Figtree"/>
          <w:b w:val="0"/>
          <w:i w:val="0"/>
          <w:sz w:val="22"/>
        </w:rPr>
        <w:t xml:space="preserve"> Primary for institutional-grade digital asset custody with insurance</w:t>
      </w:r>
    </w:p>
    <w:p>
      <w:pPr>
        <w:pStyle w:val="ListParagraph"/>
        <w:numPr>
          <w:ilvl w:val="0"/>
          <w:numId w:val="4"/>
        </w:numPr>
      </w:pPr>
      <w:r>
        <w:rPr>
          <w:rFonts w:ascii="Figtree" w:hAnsi="Figtree"/>
          <w:b/>
          <w:i w:val="0"/>
          <w:sz w:val="22"/>
        </w:rPr>
        <w:t>DFNS:</w:t>
      </w:r>
      <w:r>
        <w:rPr>
          <w:rFonts w:ascii="Figtree" w:hAnsi="Figtree"/>
          <w:b w:val="0"/>
          <w:i w:val="0"/>
          <w:sz w:val="22"/>
        </w:rPr>
        <w:t xml:space="preserve"> Self-custody alternative for clients with specific requirements</w:t>
      </w:r>
    </w:p>
    <w:p>
      <w:pPr>
        <w:pStyle w:val="ListParagraph"/>
        <w:numPr>
          <w:ilvl w:val="0"/>
          <w:numId w:val="4"/>
        </w:numPr>
      </w:pPr>
      <w:r>
        <w:rPr>
          <w:rFonts w:ascii="Figtree" w:hAnsi="Figtree"/>
          <w:b/>
          <w:i w:val="0"/>
          <w:sz w:val="22"/>
        </w:rPr>
        <w:t>HSM (local):</w:t>
      </w:r>
      <w:r>
        <w:rPr>
          <w:rFonts w:ascii="Figtree" w:hAnsi="Figtree"/>
          <w:b w:val="0"/>
          <w:i w:val="0"/>
          <w:sz w:val="22"/>
        </w:rPr>
        <w:t xml:space="preserve"> For clients requiring German data residency or self-custody</w:t>
      </w:r>
    </w:p>
    <w:p>
      <w:r>
        <w:br w:type="page"/>
      </w:r>
    </w:p>
    <w:p>
      <w:pPr>
        <w:pStyle w:val="H2"/>
        <w:numPr>
          <w:ilvl w:val="1"/>
          <w:numId w:val="1"/>
        </w:numPr>
      </w:pPr>
      <w:r>
        <w:t>Security Architecture</w:t>
      </w:r>
    </w:p>
    <w:p>
      <w:pPr>
        <w:jc w:val="center"/>
      </w:pPr>
      <w:r>
        <w:drawing>
          <wp:inline xmlns:a="http://schemas.openxmlformats.org/drawingml/2006/main" xmlns:pic="http://schemas.openxmlformats.org/drawingml/2006/picture">
            <wp:extent cx="3295650" cy="816292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3295650" cy="8162925"/>
                    </a:xfrm>
                    <a:prstGeom prst="rect"/>
                  </pic:spPr>
                </pic:pic>
              </a:graphicData>
            </a:graphic>
          </wp:inline>
        </w:drawing>
      </w:r>
    </w:p>
    <w:p>
      <w:r>
        <w:rPr>
          <w:rFonts w:ascii="Figtree" w:hAnsi="Figtree"/>
          <w:b/>
          <w:i w:val="0"/>
          <w:sz w:val="22"/>
        </w:rPr>
        <w:t>Figure 7: Security Architecture</w:t>
      </w:r>
    </w:p>
    <w:p>
      <w:r>
        <w:rPr>
          <w:rFonts w:ascii="Figtree" w:hAnsi="Figtree"/>
          <w:b w:val="0"/>
          <w:i w:val="0"/>
          <w:sz w:val="22"/>
        </w:rPr>
        <w:t>Security measures specific to the BaaS context:</w:t>
      </w:r>
    </w:p>
    <w:p>
      <w:pPr>
        <w:pStyle w:val="ListParagraph"/>
        <w:numPr>
          <w:ilvl w:val="0"/>
          <w:numId w:val="4"/>
        </w:numPr>
      </w:pPr>
      <w:r>
        <w:rPr>
          <w:rFonts w:ascii="Figtree" w:hAnsi="Figtree"/>
          <w:b/>
          <w:i w:val="0"/>
          <w:sz w:val="22"/>
        </w:rPr>
        <w:t>Tenant isolation:</w:t>
      </w:r>
      <w:r>
        <w:rPr>
          <w:rFonts w:ascii="Figtree" w:hAnsi="Figtree"/>
          <w:b w:val="0"/>
          <w:i w:val="0"/>
          <w:sz w:val="22"/>
        </w:rPr>
        <w:t xml:space="preserve"> Logical separation between B2B client digital asset operations</w:t>
      </w:r>
    </w:p>
    <w:p>
      <w:pPr>
        <w:pStyle w:val="ListParagraph"/>
        <w:numPr>
          <w:ilvl w:val="0"/>
          <w:numId w:val="4"/>
        </w:numPr>
      </w:pPr>
      <w:r>
        <w:rPr>
          <w:rFonts w:ascii="Figtree" w:hAnsi="Figtree"/>
          <w:b/>
          <w:i w:val="0"/>
          <w:sz w:val="22"/>
        </w:rPr>
        <w:t>API security:</w:t>
      </w:r>
      <w:r>
        <w:rPr>
          <w:rFonts w:ascii="Figtree" w:hAnsi="Figtree"/>
          <w:b w:val="0"/>
          <w:i w:val="0"/>
          <w:sz w:val="22"/>
        </w:rPr>
        <w:t xml:space="preserve"> OAuth 2.0, API keys, rate limiting consistent with BaaS gateway</w:t>
      </w:r>
    </w:p>
    <w:p>
      <w:pPr>
        <w:pStyle w:val="ListParagraph"/>
        <w:numPr>
          <w:ilvl w:val="0"/>
          <w:numId w:val="4"/>
        </w:numPr>
      </w:pPr>
      <w:r>
        <w:rPr>
          <w:rFonts w:ascii="Figtree" w:hAnsi="Figtree"/>
          <w:b/>
          <w:i w:val="0"/>
          <w:sz w:val="22"/>
        </w:rPr>
        <w:t>Audit isolation:</w:t>
      </w:r>
      <w:r>
        <w:rPr>
          <w:rFonts w:ascii="Figtree" w:hAnsi="Figtree"/>
          <w:b w:val="0"/>
          <w:i w:val="0"/>
          <w:sz w:val="22"/>
        </w:rPr>
        <w:t xml:space="preserve"> Each B2B client has isolated audit trail access</w:t>
      </w:r>
    </w:p>
    <w:p>
      <w:pPr>
        <w:pStyle w:val="ListParagraph"/>
        <w:numPr>
          <w:ilvl w:val="0"/>
          <w:numId w:val="4"/>
        </w:numPr>
      </w:pPr>
      <w:r>
        <w:rPr>
          <w:rFonts w:ascii="Figtree" w:hAnsi="Figtree"/>
          <w:b/>
          <w:i w:val="0"/>
          <w:sz w:val="22"/>
        </w:rPr>
        <w:t>Key segregation:</w:t>
      </w:r>
      <w:r>
        <w:rPr>
          <w:rFonts w:ascii="Figtree" w:hAnsi="Figtree"/>
          <w:b w:val="0"/>
          <w:i w:val="0"/>
          <w:sz w:val="22"/>
        </w:rPr>
        <w:t xml:space="preserve"> Custody keys are segregated by client where required</w:t>
      </w:r>
    </w:p>
    <w:p>
      <w:r>
        <w:br w:type="page"/>
      </w:r>
    </w:p>
    <w:p>
      <w:pPr>
        <w:pStyle w:val="H2"/>
        <w:numPr>
          <w:ilvl w:val="1"/>
          <w:numId w:val="1"/>
        </w:numPr>
      </w:pPr>
      <w:r>
        <w:t>Integration Architecture</w:t>
      </w:r>
    </w:p>
    <w:p>
      <w:pPr>
        <w:pStyle w:val="H3"/>
        <w:numPr>
          <w:ilvl w:val="2"/>
          <w:numId w:val="1"/>
        </w:numPr>
      </w:pPr>
      <w:r>
        <w:t>Integration with Solarisbank Systems</w:t>
      </w:r>
    </w:p>
    <w:p>
      <w:pPr>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743200"/>
                    </a:xfrm>
                    <a:prstGeom prst="rect"/>
                  </pic:spPr>
                </pic:pic>
              </a:graphicData>
            </a:graphic>
          </wp:inline>
        </w:drawing>
      </w:r>
    </w:p>
    <w:p>
      <w:r>
        <w:rPr>
          <w:rFonts w:ascii="Figtree" w:hAnsi="Figtree"/>
          <w:b/>
          <w:i w:val="0"/>
          <w:sz w:val="22"/>
        </w:rPr>
        <w:t>Figure 8: Integration with Solarisbank Core Systems</w:t>
      </w:r>
    </w:p>
    <w:p>
      <w:pPr>
        <w:pStyle w:val="H3"/>
        <w:numPr>
          <w:ilvl w:val="2"/>
          <w:numId w:val="1"/>
        </w:numPr>
      </w:pPr>
      <w:r>
        <w:t>Integration Points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570"/>
        <w:gridCol w:w="34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Solarisbank 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r>
      <w:tr>
        <w:trPr>
          <w:trHeight w:val="425" w:hRule="atLeast"/>
        </w:trPr>
        <w:tc>
          <w:tcPr>
            <w:tcW w:type="dxa" w:w="3249"/>
            <w:vAlign w:val="center"/>
          </w:tcPr>
          <w:p>
            <w:pPr>
              <w:spacing w:line="276" w:lineRule="auto" w:before="0" w:after="0"/>
            </w:pPr>
            <w:r/>
            <w:r>
              <w:rPr>
                <w:rFonts w:ascii="Figtree" w:hAnsi="Figtree"/>
                <w:b w:val="0"/>
                <w:i w:val="0"/>
                <w:sz w:val="20"/>
              </w:rPr>
              <w:t>Customer KYC</w:t>
            </w:r>
          </w:p>
        </w:tc>
        <w:tc>
          <w:tcPr>
            <w:tcW w:type="dxa" w:w="3249"/>
            <w:vAlign w:val="center"/>
          </w:tcPr>
          <w:p>
            <w:pPr>
              <w:spacing w:line="276" w:lineRule="auto" w:before="0" w:after="0"/>
            </w:pPr>
            <w:r/>
            <w:r>
              <w:rPr>
                <w:rFonts w:ascii="Figtree" w:hAnsi="Figtree"/>
                <w:b w:val="0"/>
                <w:i w:val="0"/>
                <w:sz w:val="20"/>
              </w:rPr>
              <w:t>Compliance lookup</w:t>
            </w:r>
          </w:p>
        </w:tc>
        <w:tc>
          <w:tcPr>
            <w:tcW w:type="dxa" w:w="3249"/>
            <w:vAlign w:val="center"/>
          </w:tcPr>
          <w:p>
            <w:pPr>
              <w:spacing w:line="276" w:lineRule="auto" w:before="0" w:after="0"/>
            </w:pPr>
            <w:r/>
            <w:r>
              <w:rPr>
                <w:rFonts w:ascii="Figtree" w:hAnsi="Figtree"/>
                <w:b w:val="0"/>
                <w:i w:val="0"/>
                <w:sz w:val="20"/>
              </w:rPr>
              <w:t>AML status, risk rating</w:t>
            </w:r>
          </w:p>
        </w:tc>
      </w:tr>
      <w:tr>
        <w:trPr>
          <w:trHeight w:val="425" w:hRule="atLeast"/>
        </w:trPr>
        <w:tc>
          <w:tcPr>
            <w:tcW w:type="dxa" w:w="3249"/>
            <w:vAlign w:val="center"/>
          </w:tcPr>
          <w:p>
            <w:pPr>
              <w:spacing w:line="276" w:lineRule="auto" w:before="0" w:after="0"/>
            </w:pPr>
            <w:r/>
            <w:r>
              <w:rPr>
                <w:rFonts w:ascii="Figtree" w:hAnsi="Figtree"/>
                <w:b w:val="0"/>
                <w:i w:val="0"/>
                <w:sz w:val="20"/>
              </w:rPr>
              <w:t>Core Banking</w:t>
            </w:r>
          </w:p>
        </w:tc>
        <w:tc>
          <w:tcPr>
            <w:tcW w:type="dxa" w:w="3249"/>
            <w:vAlign w:val="center"/>
          </w:tcPr>
          <w:p>
            <w:pPr>
              <w:spacing w:line="276" w:lineRule="auto" w:before="0" w:after="0"/>
            </w:pPr>
            <w:r/>
            <w:r>
              <w:rPr>
                <w:rFonts w:ascii="Figtree" w:hAnsi="Figtree"/>
                <w:b w:val="0"/>
                <w:i w:val="0"/>
                <w:sz w:val="20"/>
              </w:rPr>
              <w:t>Account linking</w:t>
            </w:r>
          </w:p>
        </w:tc>
        <w:tc>
          <w:tcPr>
            <w:tcW w:type="dxa" w:w="3249"/>
            <w:vAlign w:val="center"/>
          </w:tcPr>
          <w:p>
            <w:pPr>
              <w:spacing w:line="276" w:lineRule="auto" w:before="0" w:after="0"/>
            </w:pPr>
            <w:r/>
            <w:r>
              <w:rPr>
                <w:rFonts w:ascii="Figtree" w:hAnsi="Figtree"/>
                <w:b w:val="0"/>
                <w:i w:val="0"/>
                <w:sz w:val="20"/>
              </w:rPr>
              <w:t>Euro settlements</w:t>
            </w:r>
          </w:p>
        </w:tc>
      </w:tr>
      <w:tr>
        <w:trPr>
          <w:trHeight w:val="425" w:hRule="atLeast"/>
        </w:trPr>
        <w:tc>
          <w:tcPr>
            <w:tcW w:type="dxa" w:w="3249"/>
            <w:vAlign w:val="center"/>
          </w:tcPr>
          <w:p>
            <w:pPr>
              <w:spacing w:line="276" w:lineRule="auto" w:before="0" w:after="0"/>
            </w:pPr>
            <w:r/>
            <w:r>
              <w:rPr>
                <w:rFonts w:ascii="Figtree" w:hAnsi="Figtree"/>
                <w:b w:val="0"/>
                <w:i w:val="0"/>
                <w:sz w:val="20"/>
              </w:rPr>
              <w:t>Payment Processing</w:t>
            </w:r>
          </w:p>
        </w:tc>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Fiat on/off ramp</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Batch export</w:t>
            </w:r>
          </w:p>
        </w:tc>
        <w:tc>
          <w:tcPr>
            <w:tcW w:type="dxa" w:w="3249"/>
            <w:vAlign w:val="center"/>
          </w:tcPr>
          <w:p>
            <w:pPr>
              <w:spacing w:line="276" w:lineRule="auto" w:before="0" w:after="0"/>
            </w:pPr>
            <w:r/>
            <w:r>
              <w:rPr>
                <w:rFonts w:ascii="Figtree" w:hAnsi="Figtree"/>
                <w:b w:val="0"/>
                <w:i w:val="0"/>
                <w:sz w:val="20"/>
              </w:rPr>
              <w:t>BaFin, MiCA reports</w:t>
            </w:r>
          </w:p>
        </w:tc>
      </w:tr>
      <w:tr>
        <w:trPr>
          <w:trHeight w:val="425" w:hRule="atLeast"/>
        </w:trPr>
        <w:tc>
          <w:tcPr>
            <w:tcW w:type="dxa" w:w="3249"/>
            <w:vAlign w:val="center"/>
          </w:tcPr>
          <w:p>
            <w:pPr>
              <w:spacing w:line="276" w:lineRule="auto" w:before="0" w:after="0"/>
            </w:pPr>
            <w:r/>
            <w:r>
              <w:rPr>
                <w:rFonts w:ascii="Figtree" w:hAnsi="Figtree"/>
                <w:b w:val="0"/>
                <w:i w:val="0"/>
                <w:sz w:val="20"/>
              </w:rPr>
              <w:t>Operations</w:t>
            </w:r>
          </w:p>
        </w:tc>
        <w:tc>
          <w:tcPr>
            <w:tcW w:type="dxa" w:w="3249"/>
            <w:vAlign w:val="center"/>
          </w:tcPr>
          <w:p>
            <w:pPr>
              <w:spacing w:line="276" w:lineRule="auto" w:before="0" w:after="0"/>
            </w:pPr>
            <w:r/>
            <w:r>
              <w:rPr>
                <w:rFonts w:ascii="Figtree" w:hAnsi="Figtree"/>
                <w:b w:val="0"/>
                <w:i w:val="0"/>
                <w:sz w:val="20"/>
              </w:rPr>
              <w:t>Dashboard</w:t>
            </w:r>
          </w:p>
        </w:tc>
        <w:tc>
          <w:tcPr>
            <w:tcW w:type="dxa" w:w="3249"/>
            <w:vAlign w:val="center"/>
          </w:tcPr>
          <w:p>
            <w:pPr>
              <w:spacing w:line="276" w:lineRule="auto" w:before="0" w:after="0"/>
            </w:pPr>
            <w:r/>
            <w:r>
              <w:rPr>
                <w:rFonts w:ascii="Figtree" w:hAnsi="Figtree"/>
                <w:b w:val="0"/>
                <w:i w:val="0"/>
                <w:sz w:val="20"/>
              </w:rPr>
              <w:t>Real-time monitoring</w:t>
            </w:r>
          </w:p>
        </w:tc>
      </w:tr>
    </w:tbl>
    <w:p>
      <w:pPr>
        <w:spacing w:before="0" w:after="0" w:line="120" w:lineRule="exact"/>
      </w:pPr>
    </w:p>
    <w:p>
      <w:r>
        <w:br w:type="page"/>
      </w:r>
    </w:p>
    <w:p>
      <w:pPr>
        <w:pStyle w:val="H2"/>
        <w:numPr>
          <w:ilvl w:val="1"/>
          <w:numId w:val="1"/>
        </w:numPr>
      </w:pPr>
      <w:r>
        <w:t>Operational Model</w:t>
      </w:r>
    </w:p>
    <w:p>
      <w:pPr>
        <w:pStyle w:val="H3"/>
        <w:numPr>
          <w:ilvl w:val="2"/>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7"/>
        <w:gridCol w:w="1701"/>
        <w:gridCol w:w="2409"/>
        <w:gridCol w:w="35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Critical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Features</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24/5</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TAM, SLA 99.9%</w:t>
            </w:r>
          </w:p>
        </w:tc>
      </w:tr>
      <w:tr>
        <w:trPr>
          <w:trHeight w:val="425" w:hRule="atLeast"/>
        </w:trPr>
        <w:tc>
          <w:tcPr>
            <w:tcW w:type="dxa" w:w="2436"/>
            <w:vAlign w:val="center"/>
          </w:tcPr>
          <w:p>
            <w:pPr>
              <w:spacing w:line="276" w:lineRule="auto" w:before="0" w:after="0"/>
            </w:pPr>
            <w:r/>
            <w:r>
              <w:rPr>
                <w:rFonts w:ascii="Figtree" w:hAnsi="Figtree"/>
                <w:b w:val="0"/>
                <w:i w:val="0"/>
                <w:sz w:val="20"/>
              </w:rPr>
              <w:t>Sovereign</w:t>
            </w:r>
          </w:p>
        </w:tc>
        <w:tc>
          <w:tcPr>
            <w:tcW w:type="dxa" w:w="2436"/>
            <w:vAlign w:val="center"/>
          </w:tcPr>
          <w:p>
            <w:pPr>
              <w:spacing w:line="276" w:lineRule="auto" w:before="0" w:after="0"/>
            </w:pPr>
            <w:r/>
            <w:r>
              <w:rPr>
                <w:rFonts w:ascii="Figtree" w:hAnsi="Figtree"/>
                <w:b w:val="0"/>
                <w:i w:val="0"/>
                <w:sz w:val="20"/>
              </w:rPr>
              <w:t>24/7</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Dedicated TAM, SLA 99.95%</w:t>
            </w:r>
          </w:p>
        </w:tc>
      </w:tr>
    </w:tbl>
    <w:p>
      <w:pPr>
        <w:spacing w:before="0" w:after="0" w:line="120" w:lineRule="exact"/>
      </w:pPr>
    </w:p>
    <w:p>
      <w:pPr>
        <w:pStyle w:val="H3"/>
        <w:numPr>
          <w:ilvl w:val="2"/>
          <w:numId w:val="1"/>
        </w:numPr>
      </w:pPr>
      <w:r>
        <w:t>Monitoring and Operations</w:t>
      </w:r>
    </w:p>
    <w:p>
      <w:r>
        <w:rPr>
          <w:rFonts w:ascii="Figtree" w:hAnsi="Figtree"/>
          <w:b w:val="0"/>
          <w:i w:val="0"/>
          <w:sz w:val="22"/>
        </w:rPr>
        <w:t>Real-time monitoring covers:</w:t>
      </w:r>
    </w:p>
    <w:p>
      <w:pPr>
        <w:pStyle w:val="ListParagraph"/>
        <w:numPr>
          <w:ilvl w:val="0"/>
          <w:numId w:val="4"/>
        </w:numPr>
      </w:pPr>
      <w:r>
        <w:rPr>
          <w:rFonts w:ascii="Figtree" w:hAnsi="Figtree"/>
          <w:b w:val="0"/>
          <w:i w:val="0"/>
          <w:sz w:val="22"/>
        </w:rPr>
        <w:t>Token operations (issuance, transfer, redemption)</w:t>
      </w:r>
    </w:p>
    <w:p>
      <w:pPr>
        <w:pStyle w:val="ListParagraph"/>
        <w:numPr>
          <w:ilvl w:val="0"/>
          <w:numId w:val="4"/>
        </w:numPr>
      </w:pPr>
      <w:r>
        <w:rPr>
          <w:rFonts w:ascii="Figtree" w:hAnsi="Figtree"/>
          <w:b w:val="0"/>
          <w:i w:val="0"/>
          <w:sz w:val="22"/>
        </w:rPr>
        <w:t>Compliance engine events</w:t>
      </w:r>
    </w:p>
    <w:p>
      <w:pPr>
        <w:pStyle w:val="ListParagraph"/>
        <w:numPr>
          <w:ilvl w:val="0"/>
          <w:numId w:val="4"/>
        </w:numPr>
      </w:pPr>
      <w:r>
        <w:rPr>
          <w:rFonts w:ascii="Figtree" w:hAnsi="Figtree"/>
          <w:b w:val="0"/>
          <w:i w:val="0"/>
          <w:sz w:val="22"/>
        </w:rPr>
        <w:t>Custody provider status</w:t>
      </w:r>
    </w:p>
    <w:p>
      <w:pPr>
        <w:pStyle w:val="ListParagraph"/>
        <w:numPr>
          <w:ilvl w:val="0"/>
          <w:numId w:val="4"/>
        </w:numPr>
      </w:pPr>
      <w:r>
        <w:rPr>
          <w:rFonts w:ascii="Figtree" w:hAnsi="Figtree"/>
          <w:b w:val="0"/>
          <w:i w:val="0"/>
          <w:sz w:val="22"/>
        </w:rPr>
        <w:t>Settlement success rates</w:t>
      </w:r>
    </w:p>
    <w:p>
      <w:pPr>
        <w:pStyle w:val="ListParagraph"/>
        <w:numPr>
          <w:ilvl w:val="0"/>
          <w:numId w:val="4"/>
        </w:numPr>
      </w:pPr>
      <w:r>
        <w:rPr>
          <w:rFonts w:ascii="Figtree" w:hAnsi="Figtree"/>
          <w:b w:val="0"/>
          <w:i w:val="0"/>
          <w:sz w:val="22"/>
        </w:rPr>
        <w:t>Blockchain network health</w:t>
      </w:r>
    </w:p>
    <w:p>
      <w:pPr>
        <w:pStyle w:val="ListParagraph"/>
        <w:numPr>
          <w:ilvl w:val="0"/>
          <w:numId w:val="4"/>
        </w:numPr>
      </w:pPr>
      <w:r>
        <w:rPr>
          <w:rFonts w:ascii="Figtree" w:hAnsi="Figtree"/>
          <w:b w:val="0"/>
          <w:i w:val="0"/>
          <w:sz w:val="22"/>
        </w:rPr>
        <w:t>API performance and errors</w:t>
      </w:r>
    </w:p>
    <w:p>
      <w:r>
        <w:rPr>
          <w:rFonts w:ascii="Figtree" w:hAnsi="Figtree"/>
          <w:b w:val="0"/>
          <w:i w:val="0"/>
          <w:sz w:val="22"/>
        </w:rPr>
        <w:t>Operational alerts integrate with Solarisbank's existing monitoring infrastructure through webhooks.</w:t>
      </w:r>
    </w:p>
    <w:p>
      <w:r>
        <w:br w:type="page"/>
      </w:r>
    </w:p>
    <w:p>
      <w:pPr>
        <w:pStyle w:val="H2"/>
        <w:numPr>
          <w:ilvl w:val="1"/>
          <w:numId w:val="1"/>
        </w:numPr>
      </w:pPr>
      <w:r>
        <w:t>Implementation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1584"/>
        <w:gridCol w:w="64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Weeks 1-8</w:t>
            </w:r>
          </w:p>
        </w:tc>
        <w:tc>
          <w:tcPr>
            <w:tcW w:type="dxa" w:w="3249"/>
            <w:vAlign w:val="center"/>
          </w:tcPr>
          <w:p>
            <w:pPr>
              <w:spacing w:line="276" w:lineRule="auto" w:before="0" w:after="0"/>
            </w:pPr>
            <w:r/>
            <w:r>
              <w:rPr>
                <w:rFonts w:ascii="Figtree" w:hAnsi="Figtree"/>
                <w:b w:val="0"/>
                <w:i w:val="0"/>
                <w:sz w:val="20"/>
              </w:rPr>
              <w:t>Platform deployment, API integration, custody setup</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Weeks 9-14</w:t>
            </w:r>
          </w:p>
        </w:tc>
        <w:tc>
          <w:tcPr>
            <w:tcW w:type="dxa" w:w="3249"/>
            <w:vAlign w:val="center"/>
          </w:tcPr>
          <w:p>
            <w:pPr>
              <w:spacing w:line="276" w:lineRule="auto" w:before="0" w:after="0"/>
            </w:pPr>
            <w:r/>
            <w:r>
              <w:rPr>
                <w:rFonts w:ascii="Figtree" w:hAnsi="Figtree"/>
                <w:b w:val="0"/>
                <w:i w:val="0"/>
                <w:sz w:val="20"/>
              </w:rPr>
              <w:t>Compliance module configuration,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Weeks 15-20</w:t>
            </w:r>
          </w:p>
        </w:tc>
        <w:tc>
          <w:tcPr>
            <w:tcW w:type="dxa" w:w="3249"/>
            <w:vAlign w:val="center"/>
          </w:tcPr>
          <w:p>
            <w:pPr>
              <w:spacing w:line="276" w:lineRule="auto" w:before="0" w:after="0"/>
            </w:pPr>
            <w:r/>
            <w:r>
              <w:rPr>
                <w:rFonts w:ascii="Figtree" w:hAnsi="Figtree"/>
                <w:b w:val="0"/>
                <w:i w:val="0"/>
                <w:sz w:val="20"/>
              </w:rPr>
              <w:t>Client onboarding flow, reporting, operational procedures</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Weeks 21-26</w:t>
            </w:r>
          </w:p>
        </w:tc>
        <w:tc>
          <w:tcPr>
            <w:tcW w:type="dxa" w:w="3249"/>
            <w:vAlign w:val="center"/>
          </w:tcPr>
          <w:p>
            <w:pPr>
              <w:spacing w:line="276" w:lineRule="auto" w:before="0" w:after="0"/>
            </w:pPr>
            <w:r/>
            <w:r>
              <w:rPr>
                <w:rFonts w:ascii="Figtree" w:hAnsi="Figtree"/>
                <w:b w:val="0"/>
                <w:i w:val="0"/>
                <w:sz w:val="20"/>
              </w:rPr>
              <w:t>Security review, BaFin alignment, go-live, hypercare</w:t>
            </w:r>
          </w:p>
        </w:tc>
      </w:tr>
    </w:tbl>
    <w:p>
      <w:pPr>
        <w:spacing w:before="0" w:after="0" w:line="120" w:lineRule="exact"/>
      </w:pPr>
    </w:p>
    <w:p>
      <w:pPr>
        <w:jc w:val="center"/>
      </w:pPr>
      <w:r>
        <w:drawing>
          <wp:inline xmlns:a="http://schemas.openxmlformats.org/drawingml/2006/main" xmlns:pic="http://schemas.openxmlformats.org/drawingml/2006/picture">
            <wp:extent cx="5486400" cy="254725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547257"/>
                    </a:xfrm>
                    <a:prstGeom prst="rect"/>
                  </pic:spPr>
                </pic:pic>
              </a:graphicData>
            </a:graphic>
          </wp:inline>
        </w:drawing>
      </w:r>
    </w:p>
    <w:p>
      <w:r>
        <w:rPr>
          <w:rFonts w:ascii="Figtree" w:hAnsi="Figtree"/>
          <w:b/>
          <w:i w:val="0"/>
          <w:sz w:val="22"/>
        </w:rPr>
        <w:t>Figure 9: Implementation Timeline</w:t>
      </w:r>
    </w:p>
    <w:p>
      <w:r>
        <w:br w:type="page"/>
      </w:r>
    </w:p>
    <w:p>
      <w:pPr>
        <w:pStyle w:val="H2"/>
        <w:numPr>
          <w:ilvl w:val="1"/>
          <w:numId w:val="1"/>
        </w:numPr>
      </w:pPr>
      <w:r>
        <w:t>Reference Deployments</w:t>
      </w:r>
    </w:p>
    <w:p>
      <w:r>
        <w:rPr>
          <w:rFonts w:ascii="Figtree" w:hAnsi="Figtree"/>
          <w:b/>
          <w:i w:val="0"/>
          <w:sz w:val="22"/>
        </w:rPr>
        <w:t>European BaaS Platform (NDA):</w:t>
      </w:r>
      <w:r>
        <w:rPr>
          <w:rFonts w:ascii="Figtree" w:hAnsi="Figtree"/>
          <w:b w:val="0"/>
          <w:i w:val="0"/>
          <w:sz w:val="22"/>
        </w:rPr>
        <w:t xml:space="preserve"> A regulated BaaS platform in Europe deployed DALP to add digital asset capabilities, enabling their B2B clients to offer tokenized products.</w:t>
      </w:r>
    </w:p>
    <w:p>
      <w:r>
        <w:rPr>
          <w:rFonts w:ascii="Figtree" w:hAnsi="Figtree"/>
          <w:b/>
          <w:i w:val="0"/>
          <w:sz w:val="22"/>
        </w:rPr>
        <w:t>German Digital Asset Custodian (NDA):</w:t>
      </w:r>
      <w:r>
        <w:rPr>
          <w:rFonts w:ascii="Figtree" w:hAnsi="Figtree"/>
          <w:b w:val="0"/>
          <w:i w:val="0"/>
          <w:sz w:val="22"/>
        </w:rPr>
        <w:t xml:space="preserve"> A German financial institution deployed DALP for digital asset custody and tokenization under BaFin supervision.</w:t>
      </w:r>
    </w:p>
    <w:p>
      <w:r>
        <w:rPr>
          <w:rFonts w:ascii="Figtree" w:hAnsi="Figtree"/>
          <w:b/>
          <w:i w:val="0"/>
          <w:sz w:val="22"/>
        </w:rPr>
        <w:t>Multi-Jurisdiction Banking Group (NDA):</w:t>
      </w:r>
      <w:r>
        <w:rPr>
          <w:rFonts w:ascii="Figtree" w:hAnsi="Figtree"/>
          <w:b w:val="0"/>
          <w:i w:val="0"/>
          <w:sz w:val="22"/>
        </w:rPr>
        <w:t xml:space="preserve"> A European banking group deployed DALP across multiple jurisdictions with unified compliance and separate custody arrangements per jurisdiction.</w:t>
      </w: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6"/>
        <w:gridCol w:w="4536"/>
        <w:gridCol w:w="18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 issuance</w:t>
            </w:r>
          </w:p>
        </w:tc>
        <w:tc>
          <w:tcPr>
            <w:tcW w:type="dxa" w:w="3249"/>
            <w:vAlign w:val="center"/>
          </w:tcPr>
          <w:p>
            <w:pPr>
              <w:spacing w:line="276" w:lineRule="auto" w:before="0" w:after="0"/>
            </w:pPr>
            <w:r/>
            <w:r>
              <w:rPr>
                <w:rFonts w:ascii="Figtree" w:hAnsi="Figtree"/>
                <w:b w:val="0"/>
                <w:i w:val="0"/>
                <w:sz w:val="20"/>
              </w:rPr>
              <w:t>DALPAsset with configurable features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Fireblocks, DFNS, HSM</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BaFin compliance</w:t>
            </w:r>
          </w:p>
        </w:tc>
        <w:tc>
          <w:tcPr>
            <w:tcW w:type="dxa" w:w="3249"/>
            <w:vAlign w:val="center"/>
          </w:tcPr>
          <w:p>
            <w:pPr>
              <w:spacing w:line="276" w:lineRule="auto" w:before="0" w:after="0"/>
            </w:pPr>
            <w:r/>
            <w:r>
              <w:rPr>
                <w:rFonts w:ascii="Figtree" w:hAnsi="Figtree"/>
                <w:b w:val="0"/>
                <w:i w:val="0"/>
                <w:sz w:val="20"/>
              </w:rPr>
              <w:t>Configurable compliance modules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MiCA alignment</w:t>
            </w:r>
          </w:p>
        </w:tc>
        <w:tc>
          <w:tcPr>
            <w:tcW w:type="dxa" w:w="3249"/>
            <w:vAlign w:val="center"/>
          </w:tcPr>
          <w:p>
            <w:pPr>
              <w:spacing w:line="276" w:lineRule="auto" w:before="0" w:after="0"/>
            </w:pPr>
            <w:r/>
            <w:r>
              <w:rPr>
                <w:rFonts w:ascii="Figtree" w:hAnsi="Figtree"/>
                <w:b w:val="0"/>
                <w:i w:val="0"/>
                <w:sz w:val="20"/>
              </w:rPr>
              <w:t>Token classification, reporting</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AMLD5/AMLD6</w:t>
            </w:r>
          </w:p>
        </w:tc>
        <w:tc>
          <w:tcPr>
            <w:tcW w:type="dxa" w:w="3249"/>
            <w:vAlign w:val="center"/>
          </w:tcPr>
          <w:p>
            <w:pPr>
              <w:spacing w:line="276" w:lineRule="auto" w:before="0" w:after="0"/>
            </w:pPr>
            <w:r/>
            <w:r>
              <w:rPr>
                <w:rFonts w:ascii="Figtree" w:hAnsi="Figtree"/>
                <w:b w:val="0"/>
                <w:i w:val="0"/>
                <w:sz w:val="20"/>
              </w:rPr>
              <w:t>Real-time AML screening gate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Qualified investor</w:t>
            </w:r>
          </w:p>
        </w:tc>
        <w:tc>
          <w:tcPr>
            <w:tcW w:type="dxa" w:w="3249"/>
            <w:vAlign w:val="center"/>
          </w:tcPr>
          <w:p>
            <w:pPr>
              <w:spacing w:line="276" w:lineRule="auto" w:before="0" w:after="0"/>
            </w:pPr>
            <w:r/>
            <w:r>
              <w:rPr>
                <w:rFonts w:ascii="Figtree" w:hAnsi="Figtree"/>
                <w:b w:val="0"/>
                <w:i w:val="0"/>
                <w:sz w:val="20"/>
              </w:rPr>
              <w:t>OnchainID investor eligibility</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Multi-tenant BaaS</w:t>
            </w:r>
          </w:p>
        </w:tc>
        <w:tc>
          <w:tcPr>
            <w:tcW w:type="dxa" w:w="3249"/>
            <w:vAlign w:val="center"/>
          </w:tcPr>
          <w:p>
            <w:pPr>
              <w:spacing w:line="276" w:lineRule="auto" w:before="0" w:after="0"/>
            </w:pPr>
            <w:r/>
            <w:r>
              <w:rPr>
                <w:rFonts w:ascii="Figtree" w:hAnsi="Figtree"/>
                <w:b w:val="0"/>
                <w:i w:val="0"/>
                <w:sz w:val="20"/>
              </w:rPr>
              <w:t>Logical tenant isolation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API-first integration</w:t>
            </w:r>
          </w:p>
        </w:tc>
        <w:tc>
          <w:tcPr>
            <w:tcW w:type="dxa" w:w="3249"/>
            <w:vAlign w:val="center"/>
          </w:tcPr>
          <w:p>
            <w:pPr>
              <w:spacing w:line="276" w:lineRule="auto" w:before="0" w:after="0"/>
            </w:pPr>
            <w:r/>
            <w:r>
              <w:rPr>
                <w:rFonts w:ascii="Figtree" w:hAnsi="Figtree"/>
                <w:b w:val="0"/>
                <w:i w:val="0"/>
                <w:sz w:val="20"/>
              </w:rPr>
              <w:t>REST APIs, webhooks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BaFin, MiCA report templates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structured logs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Fiat on/off ramp integration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Multi-currency</w:t>
            </w:r>
          </w:p>
        </w:tc>
        <w:tc>
          <w:tcPr>
            <w:tcW w:type="dxa" w:w="3249"/>
            <w:vAlign w:val="center"/>
          </w:tcPr>
          <w:p>
            <w:pPr>
              <w:spacing w:line="276" w:lineRule="auto" w:before="0" w:after="0"/>
            </w:pPr>
            <w:r/>
            <w:r>
              <w:rPr>
                <w:rFonts w:ascii="Figtree" w:hAnsi="Figtree"/>
                <w:b w:val="0"/>
                <w:i w:val="0"/>
                <w:sz w:val="20"/>
              </w:rPr>
              <w:t>Euro stablecoins, crypto-native</w:t>
            </w:r>
          </w:p>
        </w:tc>
        <w:tc>
          <w:tcPr>
            <w:tcW w:type="dxa" w:w="3249"/>
            <w:vAlign w:val="center"/>
          </w:tcPr>
          <w:p>
            <w:pPr>
              <w:spacing w:line="276" w:lineRule="auto" w:before="0" w:after="0"/>
            </w:pPr>
            <w:r/>
            <w:r>
              <w:rPr>
                <w:rFonts w:ascii="Figtree" w:hAnsi="Figtree"/>
                <w:b w:val="0"/>
                <w:i w:val="0"/>
                <w:sz w:val="20"/>
              </w:rPr>
              <w:t>Fully Supported</w:t>
            </w:r>
          </w:p>
        </w:tc>
      </w:tr>
    </w:tbl>
    <w:p>
      <w:pPr>
        <w:spacing w:before="0" w:after="0" w:line="120" w:lineRule="exact"/>
      </w:pPr>
    </w:p>
    <w:p>
      <w:r>
        <w:br w:type="page"/>
      </w:r>
    </w:p>
    <w:p>
      <w:r>
        <w:rPr>
          <w:rFonts w:ascii="Figtree" w:hAnsi="Figtree"/>
          <w:b w:val="0"/>
          <w:i/>
          <w:sz w:val="22"/>
        </w:rPr>
        <w:t>This proposal is submitted in strict confidence by SettleMint in response to SOLARISBANK-RFP-BAAS-DIGITAL-ASSET-MODULE-202603.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