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Technical Proposal</w:t>
          </w:r>
          <w:r>
            <w:tab/>
          </w:r>
          <w:r>
            <w:t xml:space="preserve">3</w:t>
          </w:r>
        </w:p>
        <w:p>
          <w:pPr>
            <w:pStyle w:val="TOC2"/>
            <w:tabs>
              <w:tab w:val="right" w:leader="dot" w:pos="9072"/>
            </w:tabs>
          </w:pPr>
          <w:r>
            <w:t xml:space="preserve">Digital Asset Regulatory Framework Support Platform</w:t>
          </w:r>
          <w:r>
            <w:tab/>
          </w:r>
          <w:r>
            <w:t xml:space="preserve">4</w:t>
          </w:r>
        </w:p>
        <w:p>
          <w:pPr>
            <w:pStyle w:val="TOC1"/>
            <w:tabs>
              <w:tab w:val="right" w:leader="dot" w:pos="9072"/>
            </w:tabs>
          </w:pPr>
          <w:r>
            <w:t xml:space="preserve">Table of Contents</w:t>
          </w:r>
          <w:r>
            <w:tab/>
          </w:r>
          <w:r>
            <w:t xml:space="preserve">5</w:t>
          </w:r>
        </w:p>
        <w:p>
          <w:pPr>
            <w:pStyle w:val="TOC1"/>
            <w:tabs>
              <w:tab w:val="right" w:leader="dot" w:pos="9072"/>
            </w:tabs>
          </w:pPr>
          <w:r>
            <w:t xml:space="preserve">1. Executive Summary</w:t>
          </w:r>
          <w:r>
            <w:tab/>
          </w:r>
          <w:r>
            <w:t xml:space="preserve">6</w:t>
          </w:r>
        </w:p>
        <w:p>
          <w:pPr>
            <w:pStyle w:val="TOC2"/>
            <w:tabs>
              <w:tab w:val="right" w:leader="dot" w:pos="9072"/>
            </w:tabs>
          </w:pPr>
          <w:r>
            <w:t xml:space="preserve">1.1 Context and Strategic Drivers</w:t>
          </w:r>
          <w:r>
            <w:tab/>
          </w:r>
          <w:r>
            <w:t xml:space="preserve">7</w:t>
          </w:r>
        </w:p>
        <w:p>
          <w:pPr>
            <w:pStyle w:val="TOC2"/>
            <w:tabs>
              <w:tab w:val="right" w:leader="dot" w:pos="9072"/>
            </w:tabs>
          </w:pPr>
          <w:r>
            <w:t xml:space="preserve">1.2 Why This Programme Is Hard</w:t>
          </w:r>
          <w:r>
            <w:tab/>
          </w:r>
          <w:r>
            <w:t xml:space="preserve">8</w:t>
          </w:r>
        </w:p>
        <w:p>
          <w:pPr>
            <w:pStyle w:val="TOC2"/>
            <w:tabs>
              <w:tab w:val="right" w:leader="dot" w:pos="9072"/>
            </w:tabs>
          </w:pPr>
          <w:r>
            <w:t xml:space="preserve">1.3 Proposed Response</w:t>
          </w:r>
          <w:r>
            <w:tab/>
          </w:r>
          <w:r>
            <w:t xml:space="preserve">9</w:t>
          </w:r>
        </w:p>
        <w:p>
          <w:pPr>
            <w:pStyle w:val="TOC2"/>
            <w:tabs>
              <w:tab w:val="right" w:leader="dot" w:pos="9072"/>
            </w:tabs>
          </w:pPr>
          <w:r>
            <w:t xml:space="preserve">1.4 Why SettleMint</w:t>
          </w:r>
          <w:r>
            <w:tab/>
          </w:r>
          <w:r>
            <w:t xml:space="preserve">10</w:t>
          </w:r>
        </w:p>
        <w:p>
          <w:pPr>
            <w:pStyle w:val="TOC2"/>
            <w:tabs>
              <w:tab w:val="right" w:leader="dot" w:pos="9072"/>
            </w:tabs>
          </w:pPr>
          <w:r>
            <w:t xml:space="preserve">1.5 Why DALP</w:t>
          </w:r>
          <w:r>
            <w:tab/>
          </w:r>
          <w:r>
            <w:t xml:space="preserve">11</w:t>
          </w:r>
        </w:p>
        <w:p>
          <w:pPr>
            <w:pStyle w:val="TOC2"/>
            <w:tabs>
              <w:tab w:val="right" w:leader="dot" w:pos="9072"/>
            </w:tabs>
          </w:pPr>
          <w:r>
            <w:t xml:space="preserve">1.6 Reference Fit Snapshot</w:t>
          </w:r>
          <w:r>
            <w:tab/>
          </w:r>
          <w:r>
            <w:t xml:space="preserve">12</w:t>
          </w:r>
        </w:p>
        <w:p>
          <w:pPr>
            <w:pStyle w:val="TOC1"/>
            <w:tabs>
              <w:tab w:val="right" w:leader="dot" w:pos="9072"/>
            </w:tabs>
          </w:pPr>
          <w:r>
            <w:t xml:space="preserve">2. About SettleMint</w:t>
          </w:r>
          <w:r>
            <w:tab/>
          </w:r>
          <w:r>
            <w:t xml:space="preserve">13</w:t>
          </w:r>
        </w:p>
        <w:p>
          <w:pPr>
            <w:pStyle w:val="TOC2"/>
            <w:tabs>
              <w:tab w:val="right" w:leader="dot" w:pos="9072"/>
            </w:tabs>
          </w:pPr>
          <w:r>
            <w:t xml:space="preserve">2.1 Company Overview and Mission</w:t>
          </w:r>
          <w:r>
            <w:tab/>
          </w:r>
          <w:r>
            <w:t xml:space="preserve">14</w:t>
          </w:r>
        </w:p>
        <w:p>
          <w:pPr>
            <w:pStyle w:val="TOC2"/>
            <w:tabs>
              <w:tab w:val="right" w:leader="dot" w:pos="9072"/>
            </w:tabs>
          </w:pPr>
          <w:r>
            <w:t xml:space="preserve">2.2 History and Market Position</w:t>
          </w:r>
          <w:r>
            <w:tab/>
          </w:r>
          <w:r>
            <w:t xml:space="preserve">15</w:t>
          </w:r>
        </w:p>
        <w:p>
          <w:pPr>
            <w:pStyle w:val="TOC2"/>
            <w:tabs>
              <w:tab w:val="right" w:leader="dot" w:pos="9072"/>
            </w:tabs>
          </w:pPr>
          <w:r>
            <w:t xml:space="preserve">2.3 Production Credentials</w:t>
          </w:r>
          <w:r>
            <w:tab/>
          </w:r>
          <w:r>
            <w:t xml:space="preserve">16</w:t>
          </w:r>
        </w:p>
        <w:p>
          <w:pPr>
            <w:pStyle w:val="TOC2"/>
            <w:tabs>
              <w:tab w:val="right" w:leader="dot" w:pos="9072"/>
            </w:tabs>
          </w:pPr>
          <w:r>
            <w:t xml:space="preserve">2.4 Regulatory Readiness</w:t>
          </w:r>
          <w:r>
            <w:tab/>
          </w:r>
          <w:r>
            <w:t xml:space="preserve">17</w:t>
          </w:r>
        </w:p>
        <w:p>
          <w:pPr>
            <w:pStyle w:val="TOC2"/>
            <w:tabs>
              <w:tab w:val="right" w:leader="dot" w:pos="9072"/>
            </w:tabs>
          </w:pPr>
          <w:r>
            <w:t xml:space="preserve">2.5 Team and Delivery Capability</w:t>
          </w:r>
          <w:r>
            <w:tab/>
          </w:r>
          <w:r>
            <w:t xml:space="preserve">18</w:t>
          </w:r>
        </w:p>
        <w:p>
          <w:pPr>
            <w:pStyle w:val="TOC2"/>
            <w:tabs>
              <w:tab w:val="right" w:leader="dot" w:pos="9072"/>
            </w:tabs>
          </w:pPr>
          <w:r>
            <w:t xml:space="preserve">2.6 Ecosystem and Partnerships</w:t>
          </w:r>
          <w:r>
            <w:tab/>
          </w:r>
          <w:r>
            <w:t xml:space="preserve">19</w:t>
          </w:r>
        </w:p>
        <w:p>
          <w:pPr>
            <w:pStyle w:val="TOC2"/>
            <w:tabs>
              <w:tab w:val="right" w:leader="dot" w:pos="9072"/>
            </w:tabs>
          </w:pPr>
          <w:r>
            <w:t xml:space="preserve">2.7 Relevance to This Bid</w:t>
          </w:r>
          <w:r>
            <w:tab/>
          </w:r>
          <w:r>
            <w:t xml:space="preserve">20</w:t>
          </w:r>
        </w:p>
        <w:p>
          <w:pPr>
            <w:pStyle w:val="TOC1"/>
            <w:tabs>
              <w:tab w:val="right" w:leader="dot" w:pos="9072"/>
            </w:tabs>
          </w:pPr>
          <w:r>
            <w:t xml:space="preserve">3. About DALP (Digital Asset Lifecycle Platform)</w:t>
          </w:r>
          <w:r>
            <w:tab/>
          </w:r>
          <w:r>
            <w:t xml:space="preserve">21</w:t>
          </w:r>
        </w:p>
        <w:p>
          <w:pPr>
            <w:pStyle w:val="TOC2"/>
            <w:tabs>
              <w:tab w:val="right" w:leader="dot" w:pos="9072"/>
            </w:tabs>
          </w:pPr>
          <w:r>
            <w:t xml:space="preserve">3.1 Platform Overview</w:t>
          </w:r>
          <w:r>
            <w:tab/>
          </w:r>
          <w:r>
            <w:t xml:space="preserve">22</w:t>
          </w:r>
        </w:p>
        <w:p>
          <w:pPr>
            <w:pStyle w:val="TOC2"/>
            <w:tabs>
              <w:tab w:val="right" w:leader="dot" w:pos="9072"/>
            </w:tabs>
          </w:pPr>
          <w:r>
            <w:t xml:space="preserve">3.2 Core Lifecycle Pillars</w:t>
          </w:r>
          <w:r>
            <w:tab/>
          </w:r>
          <w:r>
            <w:t xml:space="preserve">23</w:t>
          </w:r>
        </w:p>
        <w:p>
          <w:pPr>
            <w:pStyle w:val="TOC3"/>
            <w:tabs>
              <w:tab w:val="right" w:leader="dot" w:pos="9072"/>
            </w:tabs>
          </w:pPr>
          <w:r>
            <w:t xml:space="preserve">3.2.1 Issuance</w:t>
          </w:r>
          <w:r>
            <w:tab/>
          </w:r>
          <w:r>
            <w:t xml:space="preserve">24</w:t>
          </w:r>
        </w:p>
        <w:p>
          <w:pPr>
            <w:pStyle w:val="TOC3"/>
            <w:tabs>
              <w:tab w:val="right" w:leader="dot" w:pos="9072"/>
            </w:tabs>
          </w:pPr>
          <w:r>
            <w:t xml:space="preserve">3.2.2 Compliance</w:t>
          </w:r>
          <w:r>
            <w:tab/>
          </w:r>
          <w:r>
            <w:t xml:space="preserve">25</w:t>
          </w:r>
        </w:p>
        <w:p>
          <w:pPr>
            <w:pStyle w:val="TOC3"/>
            <w:tabs>
              <w:tab w:val="right" w:leader="dot" w:pos="9072"/>
            </w:tabs>
          </w:pPr>
          <w:r>
            <w:t xml:space="preserve">3.2.3 Custody</w:t>
          </w:r>
          <w:r>
            <w:tab/>
          </w:r>
          <w:r>
            <w:t xml:space="preserve">26</w:t>
          </w:r>
        </w:p>
        <w:p>
          <w:pPr>
            <w:pStyle w:val="TOC3"/>
            <w:tabs>
              <w:tab w:val="right" w:leader="dot" w:pos="9072"/>
            </w:tabs>
          </w:pPr>
          <w:r>
            <w:t xml:space="preserve">3.2.4 Settlement</w:t>
          </w:r>
          <w:r>
            <w:tab/>
          </w:r>
          <w:r>
            <w:t xml:space="preserve">27</w:t>
          </w:r>
        </w:p>
        <w:p>
          <w:pPr>
            <w:pStyle w:val="TOC3"/>
            <w:tabs>
              <w:tab w:val="right" w:leader="dot" w:pos="9072"/>
            </w:tabs>
          </w:pPr>
          <w:r>
            <w:t xml:space="preserve">3.2.5 Servicing</w:t>
          </w:r>
          <w:r>
            <w:tab/>
          </w:r>
          <w:r>
            <w:t xml:space="preserve">28</w:t>
          </w:r>
        </w:p>
        <w:p>
          <w:pPr>
            <w:pStyle w:val="TOC2"/>
            <w:tabs>
              <w:tab w:val="right" w:leader="dot" w:pos="9072"/>
            </w:tabs>
          </w:pPr>
          <w:r>
            <w:t xml:space="preserve">3.3 Platform Foundations</w:t>
          </w:r>
          <w:r>
            <w:tab/>
          </w:r>
          <w:r>
            <w:t xml:space="preserve">29</w:t>
          </w:r>
        </w:p>
        <w:p>
          <w:pPr>
            <w:pStyle w:val="TOC3"/>
            <w:tabs>
              <w:tab w:val="right" w:leader="dot" w:pos="9072"/>
            </w:tabs>
          </w:pPr>
          <w:r>
            <w:t xml:space="preserve">3.3.1 Identity and Access</w:t>
          </w:r>
          <w:r>
            <w:tab/>
          </w:r>
          <w:r>
            <w:t xml:space="preserve">30</w:t>
          </w:r>
        </w:p>
        <w:p>
          <w:pPr>
            <w:pStyle w:val="TOC3"/>
            <w:tabs>
              <w:tab w:val="right" w:leader="dot" w:pos="9072"/>
            </w:tabs>
          </w:pPr>
          <w:r>
            <w:t xml:space="preserve">3.3.2 Integration and Interoperability</w:t>
          </w:r>
          <w:r>
            <w:tab/>
          </w:r>
          <w:r>
            <w:t xml:space="preserve">31</w:t>
          </w:r>
        </w:p>
        <w:p>
          <w:pPr>
            <w:pStyle w:val="TOC3"/>
            <w:tabs>
              <w:tab w:val="right" w:leader="dot" w:pos="9072"/>
            </w:tabs>
          </w:pPr>
          <w:r>
            <w:t xml:space="preserve">3.3.3 Observability and Operations</w:t>
          </w:r>
          <w:r>
            <w:tab/>
          </w:r>
          <w:r>
            <w:t xml:space="preserve">32</w:t>
          </w:r>
        </w:p>
        <w:p>
          <w:pPr>
            <w:pStyle w:val="TOC2"/>
            <w:tabs>
              <w:tab w:val="right" w:leader="dot" w:pos="9072"/>
            </w:tabs>
          </w:pPr>
          <w:r>
            <w:t xml:space="preserve">3.4 Supported Asset Classes</w:t>
          </w:r>
          <w:r>
            <w:tab/>
          </w:r>
          <w:r>
            <w:t xml:space="preserve">33</w:t>
          </w:r>
        </w:p>
        <w:p>
          <w:pPr>
            <w:pStyle w:val="TOC2"/>
            <w:tabs>
              <w:tab w:val="right" w:leader="dot" w:pos="9072"/>
            </w:tabs>
          </w:pPr>
          <w:r>
            <w:t xml:space="preserve">3.5 Standards and Protocols</w:t>
          </w:r>
          <w:r>
            <w:tab/>
          </w:r>
          <w:r>
            <w:t xml:space="preserve">34</w:t>
          </w:r>
        </w:p>
        <w:p>
          <w:pPr>
            <w:pStyle w:val="TOC1"/>
            <w:tabs>
              <w:tab w:val="right" w:leader="dot" w:pos="9072"/>
            </w:tabs>
          </w:pPr>
          <w:r>
            <w:t xml:space="preserve">4. Understanding of Requirements</w:t>
          </w:r>
          <w:r>
            <w:tab/>
          </w:r>
          <w:r>
            <w:t xml:space="preserve">35</w:t>
          </w:r>
        </w:p>
        <w:p>
          <w:pPr>
            <w:pStyle w:val="TOC2"/>
            <w:tabs>
              <w:tab w:val="right" w:leader="dot" w:pos="9072"/>
            </w:tabs>
          </w:pPr>
          <w:r>
            <w:t xml:space="preserve">4.1 ADGM Context</w:t>
          </w:r>
          <w:r>
            <w:tab/>
          </w:r>
          <w:r>
            <w:t xml:space="preserve">36</w:t>
          </w:r>
        </w:p>
        <w:p>
          <w:pPr>
            <w:pStyle w:val="TOC2"/>
            <w:tabs>
              <w:tab w:val="right" w:leader="dot" w:pos="9072"/>
            </w:tabs>
          </w:pPr>
          <w:r>
            <w:t xml:space="preserve">4.2 Requirement Domains</w:t>
          </w:r>
          <w:r>
            <w:tab/>
          </w:r>
          <w:r>
            <w:t xml:space="preserve">37</w:t>
          </w:r>
        </w:p>
        <w:p>
          <w:pPr>
            <w:pStyle w:val="TOC2"/>
            <w:tabs>
              <w:tab w:val="right" w:leader="dot" w:pos="9072"/>
            </w:tabs>
          </w:pPr>
          <w:r>
            <w:t xml:space="preserve">4.3 Key Challenges Identified</w:t>
          </w:r>
          <w:r>
            <w:tab/>
          </w:r>
          <w:r>
            <w:t xml:space="preserve">38</w:t>
          </w:r>
        </w:p>
        <w:p>
          <w:pPr>
            <w:pStyle w:val="TOC2"/>
            <w:tabs>
              <w:tab w:val="right" w:leader="dot" w:pos="9072"/>
            </w:tabs>
          </w:pPr>
          <w:r>
            <w:t xml:space="preserve">4.4 Requirement Prioritization</w:t>
          </w:r>
          <w:r>
            <w:tab/>
          </w:r>
          <w:r>
            <w:t xml:space="preserve">39</w:t>
          </w:r>
        </w:p>
        <w:p>
          <w:pPr>
            <w:pStyle w:val="TOC2"/>
            <w:tabs>
              <w:tab w:val="right" w:leader="dot" w:pos="9072"/>
            </w:tabs>
          </w:pPr>
          <w:r>
            <w:t xml:space="preserve">4.5 Response Principles</w:t>
          </w:r>
          <w:r>
            <w:tab/>
          </w:r>
          <w:r>
            <w:t xml:space="preserve">40</w:t>
          </w:r>
        </w:p>
        <w:p>
          <w:pPr>
            <w:pStyle w:val="TOC1"/>
            <w:tabs>
              <w:tab w:val="right" w:leader="dot" w:pos="9072"/>
            </w:tabs>
          </w:pPr>
          <w:r>
            <w:t xml:space="preserve">5. Proposed Solution and Functional Capabilities</w:t>
          </w:r>
          <w:r>
            <w:tab/>
          </w:r>
          <w:r>
            <w:t xml:space="preserve">41</w:t>
          </w:r>
        </w:p>
        <w:p>
          <w:pPr>
            <w:pStyle w:val="TOC2"/>
            <w:tabs>
              <w:tab w:val="right" w:leader="dot" w:pos="9072"/>
            </w:tabs>
          </w:pPr>
          <w:r>
            <w:t xml:space="preserve">5.1 Solution Overview</w:t>
          </w:r>
          <w:r>
            <w:tab/>
          </w:r>
          <w:r>
            <w:t xml:space="preserve">42</w:t>
          </w:r>
        </w:p>
        <w:p>
          <w:pPr>
            <w:pStyle w:val="TOC2"/>
            <w:tabs>
              <w:tab w:val="right" w:leader="dot" w:pos="9072"/>
            </w:tabs>
          </w:pPr>
          <w:r>
            <w:t xml:space="preserve">5.2 Issuance and Asset Configuration</w:t>
          </w:r>
          <w:r>
            <w:tab/>
          </w:r>
          <w:r>
            <w:t xml:space="preserve">43</w:t>
          </w:r>
        </w:p>
        <w:p>
          <w:pPr>
            <w:pStyle w:val="TOC2"/>
            <w:tabs>
              <w:tab w:val="right" w:leader="dot" w:pos="9072"/>
            </w:tabs>
          </w:pPr>
          <w:r>
            <w:t xml:space="preserve">5.3 Identity and Eligibility</w:t>
          </w:r>
          <w:r>
            <w:tab/>
          </w:r>
          <w:r>
            <w:t xml:space="preserve">44</w:t>
          </w:r>
        </w:p>
        <w:p>
          <w:pPr>
            <w:pStyle w:val="TOC2"/>
            <w:tabs>
              <w:tab w:val="right" w:leader="dot" w:pos="9072"/>
            </w:tabs>
          </w:pPr>
          <w:r>
            <w:t xml:space="preserve">5.4 Compliance Enforcement</w:t>
          </w:r>
          <w:r>
            <w:tab/>
          </w:r>
          <w:r>
            <w:t xml:space="preserve">45</w:t>
          </w:r>
        </w:p>
        <w:p>
          <w:pPr>
            <w:pStyle w:val="TOC2"/>
            <w:tabs>
              <w:tab w:val="right" w:leader="dot" w:pos="9072"/>
            </w:tabs>
          </w:pPr>
          <w:r>
            <w:t xml:space="preserve">5.5 Transfer, Settlement, and Cash-Leg Coordination</w:t>
          </w:r>
          <w:r>
            <w:tab/>
          </w:r>
          <w:r>
            <w:t xml:space="preserve">46</w:t>
          </w:r>
        </w:p>
        <w:p>
          <w:pPr>
            <w:pStyle w:val="TOC2"/>
            <w:tabs>
              <w:tab w:val="right" w:leader="dot" w:pos="9072"/>
            </w:tabs>
          </w:pPr>
          <w:r>
            <w:t xml:space="preserve">5.6 Lifecycle Servicing and Corporate Actions</w:t>
          </w:r>
          <w:r>
            <w:tab/>
          </w:r>
          <w:r>
            <w:t xml:space="preserve">47</w:t>
          </w:r>
        </w:p>
        <w:p>
          <w:pPr>
            <w:pStyle w:val="TOC2"/>
            <w:tabs>
              <w:tab w:val="right" w:leader="dot" w:pos="9072"/>
            </w:tabs>
          </w:pPr>
          <w:r>
            <w:t xml:space="preserve">5.7 Integration and Interoperability</w:t>
          </w:r>
          <w:r>
            <w:tab/>
          </w:r>
          <w:r>
            <w:t xml:space="preserve">48</w:t>
          </w:r>
        </w:p>
        <w:p>
          <w:pPr>
            <w:pStyle w:val="TOC2"/>
            <w:tabs>
              <w:tab w:val="right" w:leader="dot" w:pos="9072"/>
            </w:tabs>
          </w:pPr>
          <w:r>
            <w:t xml:space="preserve">5.8 Functional Fit Matrix</w:t>
          </w:r>
          <w:r>
            <w:tab/>
          </w:r>
          <w:r>
            <w:t xml:space="preserve">49</w:t>
          </w:r>
        </w:p>
        <w:p>
          <w:pPr>
            <w:pStyle w:val="TOC1"/>
            <w:tabs>
              <w:tab w:val="right" w:leader="dot" w:pos="9072"/>
            </w:tabs>
          </w:pPr>
          <w:r>
            <w:t xml:space="preserve">6. Technical Architecture</w:t>
          </w:r>
          <w:r>
            <w:tab/>
          </w:r>
          <w:r>
            <w:t xml:space="preserve">50</w:t>
          </w:r>
        </w:p>
        <w:p>
          <w:pPr>
            <w:pStyle w:val="TOC2"/>
            <w:tabs>
              <w:tab w:val="right" w:leader="dot" w:pos="9072"/>
            </w:tabs>
          </w:pPr>
          <w:r>
            <w:t xml:space="preserve">6.1 Architectural Principles</w:t>
          </w:r>
          <w:r>
            <w:tab/>
          </w:r>
          <w:r>
            <w:t xml:space="preserve">51</w:t>
          </w:r>
        </w:p>
        <w:p>
          <w:pPr>
            <w:pStyle w:val="TOC2"/>
            <w:tabs>
              <w:tab w:val="right" w:leader="dot" w:pos="9072"/>
            </w:tabs>
          </w:pPr>
          <w:r>
            <w:t xml:space="preserve">6.2 Layered Architecture</w:t>
          </w:r>
          <w:r>
            <w:tab/>
          </w:r>
          <w:r>
            <w:t xml:space="preserve">52</w:t>
          </w:r>
        </w:p>
        <w:p>
          <w:pPr>
            <w:pStyle w:val="TOC3"/>
            <w:tabs>
              <w:tab w:val="right" w:leader="dot" w:pos="9072"/>
            </w:tabs>
          </w:pPr>
          <w:r>
            <w:t xml:space="preserve">On-Chain Layer</w:t>
          </w:r>
          <w:r>
            <w:tab/>
          </w:r>
          <w:r>
            <w:t xml:space="preserve">53</w:t>
          </w:r>
        </w:p>
        <w:p>
          <w:pPr>
            <w:pStyle w:val="TOC3"/>
            <w:tabs>
              <w:tab w:val="right" w:leader="dot" w:pos="9072"/>
            </w:tabs>
          </w:pPr>
          <w:r>
            <w:t xml:space="preserve">Execution/Orchestration Layer</w:t>
          </w:r>
          <w:r>
            <w:tab/>
          </w:r>
          <w:r>
            <w:t xml:space="preserve">54</w:t>
          </w:r>
        </w:p>
        <w:p>
          <w:pPr>
            <w:pStyle w:val="TOC3"/>
            <w:tabs>
              <w:tab w:val="right" w:leader="dot" w:pos="9072"/>
            </w:tabs>
          </w:pPr>
          <w:r>
            <w:t xml:space="preserve">API/Integration Layer</w:t>
          </w:r>
          <w:r>
            <w:tab/>
          </w:r>
          <w:r>
            <w:t xml:space="preserve">55</w:t>
          </w:r>
        </w:p>
        <w:p>
          <w:pPr>
            <w:pStyle w:val="TOC3"/>
            <w:tabs>
              <w:tab w:val="right" w:leader="dot" w:pos="9072"/>
            </w:tabs>
          </w:pPr>
          <w:r>
            <w:t xml:space="preserve">Presentation/Operations Layer</w:t>
          </w:r>
          <w:r>
            <w:tab/>
          </w:r>
          <w:r>
            <w:t xml:space="preserve">56</w:t>
          </w:r>
        </w:p>
        <w:p>
          <w:pPr>
            <w:pStyle w:val="TOC2"/>
            <w:tabs>
              <w:tab w:val="right" w:leader="dot" w:pos="9072"/>
            </w:tabs>
          </w:pPr>
          <w:r>
            <w:t xml:space="preserve">6.3 Data Architecture</w:t>
          </w:r>
          <w:r>
            <w:tab/>
          </w:r>
          <w:r>
            <w:t xml:space="preserve">57</w:t>
          </w:r>
        </w:p>
        <w:p>
          <w:pPr>
            <w:pStyle w:val="TOC2"/>
            <w:tabs>
              <w:tab w:val="right" w:leader="dot" w:pos="9072"/>
            </w:tabs>
          </w:pPr>
          <w:r>
            <w:t xml:space="preserve">6.4 Network and Chain Topology</w:t>
          </w:r>
          <w:r>
            <w:tab/>
          </w:r>
          <w:r>
            <w:t xml:space="preserve">58</w:t>
          </w:r>
        </w:p>
        <w:p>
          <w:pPr>
            <w:pStyle w:val="TOC2"/>
            <w:tabs>
              <w:tab w:val="right" w:leader="dot" w:pos="9072"/>
            </w:tabs>
          </w:pPr>
          <w:r>
            <w:t xml:space="preserve">6.5 Multi-Tenancy and Environment Segregation</w:t>
          </w:r>
          <w:r>
            <w:tab/>
          </w:r>
          <w:r>
            <w:t xml:space="preserve">59</w:t>
          </w:r>
        </w:p>
        <w:p>
          <w:pPr>
            <w:pStyle w:val="TOC2"/>
            <w:tabs>
              <w:tab w:val="right" w:leader="dot" w:pos="9072"/>
            </w:tabs>
          </w:pPr>
          <w:r>
            <w:t xml:space="preserve">6.6 Operational Architecture</w:t>
          </w:r>
          <w:r>
            <w:tab/>
          </w:r>
          <w:r>
            <w:t xml:space="preserve">60</w:t>
          </w:r>
        </w:p>
        <w:p>
          <w:pPr>
            <w:pStyle w:val="TOC1"/>
            <w:tabs>
              <w:tab w:val="right" w:leader="dot" w:pos="9072"/>
            </w:tabs>
          </w:pPr>
          <w:r>
            <w:t xml:space="preserve">7. Security Architecture</w:t>
          </w:r>
          <w:r>
            <w:tab/>
          </w:r>
          <w:r>
            <w:t xml:space="preserve">61</w:t>
          </w:r>
        </w:p>
        <w:p>
          <w:pPr>
            <w:pStyle w:val="TOC2"/>
            <w:tabs>
              <w:tab w:val="right" w:leader="dot" w:pos="9072"/>
            </w:tabs>
          </w:pPr>
          <w:r>
            <w:t xml:space="preserve">7.1 Security Model Overview</w:t>
          </w:r>
          <w:r>
            <w:tab/>
          </w:r>
          <w:r>
            <w:t xml:space="preserve">62</w:t>
          </w:r>
        </w:p>
        <w:p>
          <w:pPr>
            <w:pStyle w:val="TOC2"/>
            <w:tabs>
              <w:tab w:val="right" w:leader="dot" w:pos="9072"/>
            </w:tabs>
          </w:pPr>
          <w:r>
            <w:t xml:space="preserve">7.2 Authentication and Access Control</w:t>
          </w:r>
          <w:r>
            <w:tab/>
          </w:r>
          <w:r>
            <w:t xml:space="preserve">63</w:t>
          </w:r>
        </w:p>
        <w:p>
          <w:pPr>
            <w:pStyle w:val="TOC2"/>
            <w:tabs>
              <w:tab w:val="right" w:leader="dot" w:pos="9072"/>
            </w:tabs>
          </w:pPr>
          <w:r>
            <w:t xml:space="preserve">7.3 Key Management and Custody Integration</w:t>
          </w:r>
          <w:r>
            <w:tab/>
          </w:r>
          <w:r>
            <w:t xml:space="preserve">64</w:t>
          </w:r>
        </w:p>
        <w:p>
          <w:pPr>
            <w:pStyle w:val="TOC2"/>
            <w:tabs>
              <w:tab w:val="right" w:leader="dot" w:pos="9072"/>
            </w:tabs>
          </w:pPr>
          <w:r>
            <w:t xml:space="preserve">7.4 Data Protection and Encryption</w:t>
          </w:r>
          <w:r>
            <w:tab/>
          </w:r>
          <w:r>
            <w:t xml:space="preserve">65</w:t>
          </w:r>
        </w:p>
        <w:p>
          <w:pPr>
            <w:pStyle w:val="TOC2"/>
            <w:tabs>
              <w:tab w:val="right" w:leader="dot" w:pos="9072"/>
            </w:tabs>
          </w:pPr>
          <w:r>
            <w:t xml:space="preserve">7.5 Compliance Controls and Auditability</w:t>
          </w:r>
          <w:r>
            <w:tab/>
          </w:r>
          <w:r>
            <w:t xml:space="preserve">66</w:t>
          </w:r>
        </w:p>
        <w:p>
          <w:pPr>
            <w:pStyle w:val="TOC2"/>
            <w:tabs>
              <w:tab w:val="right" w:leader="dot" w:pos="9072"/>
            </w:tabs>
          </w:pPr>
          <w:r>
            <w:t xml:space="preserve">7.6 Testing and Assurance</w:t>
          </w:r>
          <w:r>
            <w:tab/>
          </w:r>
          <w:r>
            <w:t xml:space="preserve">67</w:t>
          </w:r>
        </w:p>
        <w:p>
          <w:pPr>
            <w:pStyle w:val="TOC2"/>
            <w:tabs>
              <w:tab w:val="right" w:leader="dot" w:pos="9072"/>
            </w:tabs>
          </w:pPr>
          <w:r>
            <w:t xml:space="preserve">7.7 Security Responsibility Matrix</w:t>
          </w:r>
          <w:r>
            <w:tab/>
          </w:r>
          <w:r>
            <w:t xml:space="preserve">68</w:t>
          </w:r>
        </w:p>
        <w:p>
          <w:pPr>
            <w:pStyle w:val="TOC1"/>
            <w:tabs>
              <w:tab w:val="right" w:leader="dot" w:pos="9072"/>
            </w:tabs>
          </w:pPr>
          <w:r>
            <w:t xml:space="preserve">8. Deployment Model</w:t>
          </w:r>
          <w:r>
            <w:tab/>
          </w:r>
          <w:r>
            <w:t xml:space="preserve">69</w:t>
          </w:r>
        </w:p>
        <w:p>
          <w:pPr>
            <w:pStyle w:val="TOC2"/>
            <w:tabs>
              <w:tab w:val="right" w:leader="dot" w:pos="9072"/>
            </w:tabs>
          </w:pPr>
          <w:r>
            <w:t xml:space="preserve">8.1 Deployment Principles</w:t>
          </w:r>
          <w:r>
            <w:tab/>
          </w:r>
          <w:r>
            <w:t xml:space="preserve">70</w:t>
          </w:r>
        </w:p>
        <w:p>
          <w:pPr>
            <w:pStyle w:val="TOC2"/>
            <w:tabs>
              <w:tab w:val="right" w:leader="dot" w:pos="9072"/>
            </w:tabs>
          </w:pPr>
          <w:r>
            <w:t xml:space="preserve">8.2 Recommended Deployment Model: Dedicated Private Cloud</w:t>
          </w:r>
          <w:r>
            <w:tab/>
          </w:r>
          <w:r>
            <w:t xml:space="preserve">71</w:t>
          </w:r>
        </w:p>
        <w:p>
          <w:pPr>
            <w:pStyle w:val="TOC2"/>
            <w:tabs>
              <w:tab w:val="right" w:leader="dot" w:pos="9072"/>
            </w:tabs>
          </w:pPr>
          <w:r>
            <w:t xml:space="preserve">8.3 Deployment Options Comparison</w:t>
          </w:r>
          <w:r>
            <w:tab/>
          </w:r>
          <w:r>
            <w:t xml:space="preserve">72</w:t>
          </w:r>
        </w:p>
        <w:p>
          <w:pPr>
            <w:pStyle w:val="TOC2"/>
            <w:tabs>
              <w:tab w:val="right" w:leader="dot" w:pos="9072"/>
            </w:tabs>
          </w:pPr>
          <w:r>
            <w:t xml:space="preserve">8.4 Infrastructure Requirements</w:t>
          </w:r>
          <w:r>
            <w:tab/>
          </w:r>
          <w:r>
            <w:t xml:space="preserve">73</w:t>
          </w:r>
        </w:p>
        <w:p>
          <w:pPr>
            <w:pStyle w:val="TOC2"/>
            <w:tabs>
              <w:tab w:val="right" w:leader="dot" w:pos="9072"/>
            </w:tabs>
          </w:pPr>
          <w:r>
            <w:t xml:space="preserve">8.5 Availability, Resilience, and DR Approach</w:t>
          </w:r>
          <w:r>
            <w:tab/>
          </w:r>
          <w:r>
            <w:t xml:space="preserve">74</w:t>
          </w:r>
        </w:p>
        <w:p>
          <w:pPr>
            <w:pStyle w:val="TOC2"/>
            <w:tabs>
              <w:tab w:val="right" w:leader="dot" w:pos="9072"/>
            </w:tabs>
          </w:pPr>
          <w:r>
            <w:t xml:space="preserve">8.6 Data Residency and Sovereignty</w:t>
          </w:r>
          <w:r>
            <w:tab/>
          </w:r>
          <w:r>
            <w:t xml:space="preserve">75</w:t>
          </w:r>
        </w:p>
        <w:p>
          <w:pPr>
            <w:pStyle w:val="TOC1"/>
            <w:tabs>
              <w:tab w:val="right" w:leader="dot" w:pos="9072"/>
            </w:tabs>
          </w:pPr>
          <w:r>
            <w:t xml:space="preserve">9. Project Implementation and Delivery</w:t>
          </w:r>
          <w:r>
            <w:tab/>
          </w:r>
          <w:r>
            <w:t xml:space="preserve">76</w:t>
          </w:r>
        </w:p>
        <w:p>
          <w:pPr>
            <w:pStyle w:val="TOC2"/>
            <w:tabs>
              <w:tab w:val="right" w:leader="dot" w:pos="9072"/>
            </w:tabs>
          </w:pPr>
          <w:r>
            <w:t xml:space="preserve">9.1 Delivery Overview</w:t>
          </w:r>
          <w:r>
            <w:tab/>
          </w:r>
          <w:r>
            <w:t xml:space="preserve">77</w:t>
          </w:r>
        </w:p>
        <w:p>
          <w:pPr>
            <w:pStyle w:val="TOC2"/>
            <w:tabs>
              <w:tab w:val="right" w:leader="dot" w:pos="9072"/>
            </w:tabs>
          </w:pPr>
          <w:r>
            <w:t xml:space="preserve">9.2 Phase Plan</w:t>
          </w:r>
          <w:r>
            <w:tab/>
          </w:r>
          <w:r>
            <w:t xml:space="preserve">78</w:t>
          </w:r>
        </w:p>
        <w:p>
          <w:pPr>
            <w:pStyle w:val="TOC3"/>
            <w:tabs>
              <w:tab w:val="right" w:leader="dot" w:pos="9072"/>
            </w:tabs>
          </w:pPr>
          <w:r>
            <w:t xml:space="preserve">Phase 1: Discovery and Requirements (Weeks 1-2)</w:t>
          </w:r>
          <w:r>
            <w:tab/>
          </w:r>
          <w:r>
            <w:t xml:space="preserve">79</w:t>
          </w:r>
        </w:p>
        <w:p>
          <w:pPr>
            <w:pStyle w:val="TOC3"/>
            <w:tabs>
              <w:tab w:val="right" w:leader="dot" w:pos="9072"/>
            </w:tabs>
          </w:pPr>
          <w:r>
            <w:t xml:space="preserve">Phase 2: Foundation and Setup (Weeks 3-5)</w:t>
          </w:r>
          <w:r>
            <w:tab/>
          </w:r>
          <w:r>
            <w:t xml:space="preserve">80</w:t>
          </w:r>
        </w:p>
        <w:p>
          <w:pPr>
            <w:pStyle w:val="TOC3"/>
            <w:tabs>
              <w:tab w:val="right" w:leader="dot" w:pos="9072"/>
            </w:tabs>
          </w:pPr>
          <w:r>
            <w:t xml:space="preserve">Phase 3: Configuration and Compliance (Weeks 6-9)</w:t>
          </w:r>
          <w:r>
            <w:tab/>
          </w:r>
          <w:r>
            <w:t xml:space="preserve">81</w:t>
          </w:r>
        </w:p>
        <w:p>
          <w:pPr>
            <w:pStyle w:val="TOC3"/>
            <w:tabs>
              <w:tab w:val="right" w:leader="dot" w:pos="9072"/>
            </w:tabs>
          </w:pPr>
          <w:r>
            <w:t xml:space="preserve">Phase 4: Integration and Testing (Weeks 10-13)</w:t>
          </w:r>
          <w:r>
            <w:tab/>
          </w:r>
          <w:r>
            <w:t xml:space="preserve">82</w:t>
          </w:r>
        </w:p>
        <w:p>
          <w:pPr>
            <w:pStyle w:val="TOC3"/>
            <w:tabs>
              <w:tab w:val="right" w:leader="dot" w:pos="9072"/>
            </w:tabs>
          </w:pPr>
          <w:r>
            <w:t xml:space="preserve">Phase 5: Go-Live and Hypercare (Weeks 14-19)</w:t>
          </w:r>
          <w:r>
            <w:tab/>
          </w:r>
          <w:r>
            <w:t xml:space="preserve">83</w:t>
          </w:r>
        </w:p>
        <w:p>
          <w:pPr>
            <w:pStyle w:val="TOC2"/>
            <w:tabs>
              <w:tab w:val="right" w:leader="dot" w:pos="9072"/>
            </w:tabs>
          </w:pPr>
          <w:r>
            <w:t xml:space="preserve">9.3 Governance and Decision Structure</w:t>
          </w:r>
          <w:r>
            <w:tab/>
          </w:r>
          <w:r>
            <w:t xml:space="preserve">84</w:t>
          </w:r>
        </w:p>
        <w:p>
          <w:pPr>
            <w:pStyle w:val="TOC2"/>
            <w:tabs>
              <w:tab w:val="right" w:leader="dot" w:pos="9072"/>
            </w:tabs>
          </w:pPr>
          <w:r>
            <w:t xml:space="preserve">9.4 Resource Model</w:t>
          </w:r>
          <w:r>
            <w:tab/>
          </w:r>
          <w:r>
            <w:t xml:space="preserve">85</w:t>
          </w:r>
        </w:p>
        <w:p>
          <w:pPr>
            <w:pStyle w:val="TOC2"/>
            <w:tabs>
              <w:tab w:val="right" w:leader="dot" w:pos="9072"/>
            </w:tabs>
          </w:pPr>
          <w:r>
            <w:t xml:space="preserve">9.5 Risks to Delivery and Mitigations</w:t>
          </w:r>
          <w:r>
            <w:tab/>
          </w:r>
          <w:r>
            <w:t xml:space="preserve">86</w:t>
          </w:r>
        </w:p>
        <w:p>
          <w:pPr>
            <w:pStyle w:val="TOC1"/>
            <w:tabs>
              <w:tab w:val="right" w:leader="dot" w:pos="9072"/>
            </w:tabs>
          </w:pPr>
          <w:r>
            <w:t xml:space="preserve">10. Training and Knowledge Transfer</w:t>
          </w:r>
          <w:r>
            <w:tab/>
          </w:r>
          <w:r>
            <w:t xml:space="preserve">87</w:t>
          </w:r>
        </w:p>
        <w:p>
          <w:pPr>
            <w:pStyle w:val="TOC2"/>
            <w:tabs>
              <w:tab w:val="right" w:leader="dot" w:pos="9072"/>
            </w:tabs>
          </w:pPr>
          <w:r>
            <w:t xml:space="preserve">10.1 Training Strategy</w:t>
          </w:r>
          <w:r>
            <w:tab/>
          </w:r>
          <w:r>
            <w:t xml:space="preserve">88</w:t>
          </w:r>
        </w:p>
        <w:p>
          <w:pPr>
            <w:pStyle w:val="TOC2"/>
            <w:tabs>
              <w:tab w:val="right" w:leader="dot" w:pos="9072"/>
            </w:tabs>
          </w:pPr>
          <w:r>
            <w:t xml:space="preserve">10.2 Administrator Track</w:t>
          </w:r>
          <w:r>
            <w:tab/>
          </w:r>
          <w:r>
            <w:t xml:space="preserve">89</w:t>
          </w:r>
        </w:p>
        <w:p>
          <w:pPr>
            <w:pStyle w:val="TOC2"/>
            <w:tabs>
              <w:tab w:val="right" w:leader="dot" w:pos="9072"/>
            </w:tabs>
          </w:pPr>
          <w:r>
            <w:t xml:space="preserve">10.3 Developer / Integration Track</w:t>
          </w:r>
          <w:r>
            <w:tab/>
          </w:r>
          <w:r>
            <w:t xml:space="preserve">90</w:t>
          </w:r>
        </w:p>
        <w:p>
          <w:pPr>
            <w:pStyle w:val="TOC2"/>
            <w:tabs>
              <w:tab w:val="right" w:leader="dot" w:pos="9072"/>
            </w:tabs>
          </w:pPr>
          <w:r>
            <w:t xml:space="preserve">10.4 End-User / Operations Track</w:t>
          </w:r>
          <w:r>
            <w:tab/>
          </w:r>
          <w:r>
            <w:t xml:space="preserve">91</w:t>
          </w:r>
        </w:p>
        <w:p>
          <w:pPr>
            <w:pStyle w:val="TOC2"/>
            <w:tabs>
              <w:tab w:val="right" w:leader="dot" w:pos="9072"/>
            </w:tabs>
          </w:pPr>
          <w:r>
            <w:t xml:space="preserve">10.5 Knowledge Transfer Method</w:t>
          </w:r>
          <w:r>
            <w:tab/>
          </w:r>
          <w:r>
            <w:t xml:space="preserve">92</w:t>
          </w:r>
        </w:p>
        <w:p>
          <w:pPr>
            <w:pStyle w:val="TOC1"/>
            <w:tabs>
              <w:tab w:val="right" w:leader="dot" w:pos="9072"/>
            </w:tabs>
          </w:pPr>
          <w:r>
            <w:t xml:space="preserve">11. Support and SLA</w:t>
          </w:r>
          <w:r>
            <w:tab/>
          </w:r>
          <w:r>
            <w:t xml:space="preserve">93</w:t>
          </w:r>
        </w:p>
        <w:p>
          <w:pPr>
            <w:pStyle w:val="TOC2"/>
            <w:tabs>
              <w:tab w:val="right" w:leader="dot" w:pos="9072"/>
            </w:tabs>
          </w:pPr>
          <w:r>
            <w:t xml:space="preserve">11.1 Support Model Overview</w:t>
          </w:r>
          <w:r>
            <w:tab/>
          </w:r>
          <w:r>
            <w:t xml:space="preserve">94</w:t>
          </w:r>
        </w:p>
        <w:p>
          <w:pPr>
            <w:pStyle w:val="TOC2"/>
            <w:tabs>
              <w:tab w:val="right" w:leader="dot" w:pos="9072"/>
            </w:tabs>
          </w:pPr>
          <w:r>
            <w:t xml:space="preserve">11.2 Support Tiers</w:t>
          </w:r>
          <w:r>
            <w:tab/>
          </w:r>
          <w:r>
            <w:t xml:space="preserve">95</w:t>
          </w:r>
        </w:p>
        <w:p>
          <w:pPr>
            <w:pStyle w:val="TOC3"/>
            <w:tabs>
              <w:tab w:val="right" w:leader="dot" w:pos="9072"/>
            </w:tabs>
          </w:pPr>
          <w:r>
            <w:t xml:space="preserve">Standard Support</w:t>
          </w:r>
          <w:r>
            <w:tab/>
          </w:r>
          <w:r>
            <w:t xml:space="preserve">96</w:t>
          </w:r>
        </w:p>
        <w:p>
          <w:pPr>
            <w:pStyle w:val="TOC3"/>
            <w:tabs>
              <w:tab w:val="right" w:leader="dot" w:pos="9072"/>
            </w:tabs>
          </w:pPr>
          <w:r>
            <w:t xml:space="preserve">Premium Support</w:t>
          </w:r>
          <w:r>
            <w:tab/>
          </w:r>
          <w:r>
            <w:t xml:space="preserve">97</w:t>
          </w:r>
        </w:p>
        <w:p>
          <w:pPr>
            <w:pStyle w:val="TOC3"/>
            <w:tabs>
              <w:tab w:val="right" w:leader="dot" w:pos="9072"/>
            </w:tabs>
          </w:pPr>
          <w:r>
            <w:t xml:space="preserve">Enterprise Support</w:t>
          </w:r>
          <w:r>
            <w:tab/>
          </w:r>
          <w:r>
            <w:t xml:space="preserve">98</w:t>
          </w:r>
        </w:p>
        <w:p>
          <w:pPr>
            <w:pStyle w:val="TOC2"/>
            <w:tabs>
              <w:tab w:val="right" w:leader="dot" w:pos="9072"/>
            </w:tabs>
          </w:pPr>
          <w:r>
            <w:t xml:space="preserve">11.3 Severity and Response Matrix</w:t>
          </w:r>
          <w:r>
            <w:tab/>
          </w:r>
          <w:r>
            <w:t xml:space="preserve">99</w:t>
          </w:r>
        </w:p>
        <w:p>
          <w:pPr>
            <w:pStyle w:val="TOC2"/>
            <w:tabs>
              <w:tab w:val="right" w:leader="dot" w:pos="9072"/>
            </w:tabs>
          </w:pPr>
          <w:r>
            <w:t xml:space="preserve">11.4 Escalation and Incident Management</w:t>
          </w:r>
          <w:r>
            <w:tab/>
          </w:r>
          <w:r>
            <w:t xml:space="preserve">100</w:t>
          </w:r>
        </w:p>
        <w:p>
          <w:pPr>
            <w:pStyle w:val="TOC2"/>
            <w:tabs>
              <w:tab w:val="right" w:leader="dot" w:pos="9072"/>
            </w:tabs>
          </w:pPr>
          <w:r>
            <w:t xml:space="preserve">11.5 Maintenance and Update Policy</w:t>
          </w:r>
          <w:r>
            <w:tab/>
          </w:r>
          <w:r>
            <w:t xml:space="preserve">101</w:t>
          </w:r>
        </w:p>
        <w:p>
          <w:pPr>
            <w:pStyle w:val="TOC2"/>
            <w:tabs>
              <w:tab w:val="right" w:leader="dot" w:pos="9072"/>
            </w:tabs>
          </w:pPr>
          <w:r>
            <w:t xml:space="preserve">11.6 Service Reporting</w:t>
          </w:r>
          <w:r>
            <w:tab/>
          </w:r>
          <w:r>
            <w:t xml:space="preserve">102</w:t>
          </w:r>
        </w:p>
        <w:p>
          <w:pPr>
            <w:pStyle w:val="TOC1"/>
            <w:tabs>
              <w:tab w:val="right" w:leader="dot" w:pos="9072"/>
            </w:tabs>
          </w:pPr>
          <w:r>
            <w:t xml:space="preserve">12. Risk Management</w:t>
          </w:r>
          <w:r>
            <w:tab/>
          </w:r>
          <w:r>
            <w:t xml:space="preserve">103</w:t>
          </w:r>
        </w:p>
        <w:p>
          <w:pPr>
            <w:pStyle w:val="TOC2"/>
            <w:tabs>
              <w:tab w:val="right" w:leader="dot" w:pos="9072"/>
            </w:tabs>
          </w:pPr>
          <w:r>
            <w:t xml:space="preserve">12.1 Risk Management Approach</w:t>
          </w:r>
          <w:r>
            <w:tab/>
          </w:r>
          <w:r>
            <w:t xml:space="preserve">104</w:t>
          </w:r>
        </w:p>
        <w:p>
          <w:pPr>
            <w:pStyle w:val="TOC2"/>
            <w:tabs>
              <w:tab w:val="right" w:leader="dot" w:pos="9072"/>
            </w:tabs>
          </w:pPr>
          <w:r>
            <w:t xml:space="preserve">12.2 Risk Register</w:t>
          </w:r>
          <w:r>
            <w:tab/>
          </w:r>
          <w:r>
            <w:t xml:space="preserve">105</w:t>
          </w:r>
        </w:p>
        <w:p>
          <w:pPr>
            <w:pStyle w:val="TOC2"/>
            <w:tabs>
              <w:tab w:val="right" w:leader="dot" w:pos="9072"/>
            </w:tabs>
          </w:pPr>
          <w:r>
            <w:t xml:space="preserve">12.3 Governance of Risks</w:t>
          </w:r>
          <w:r>
            <w:tab/>
          </w:r>
          <w:r>
            <w:t xml:space="preserve">106</w:t>
          </w:r>
        </w:p>
        <w:p>
          <w:pPr>
            <w:pStyle w:val="TOC1"/>
            <w:tabs>
              <w:tab w:val="right" w:leader="dot" w:pos="9072"/>
            </w:tabs>
          </w:pPr>
          <w:r>
            <w:t xml:space="preserve">13. Compliance Matrix</w:t>
          </w:r>
          <w:r>
            <w:tab/>
          </w:r>
          <w:r>
            <w:t xml:space="preserve">107</w:t>
          </w:r>
        </w:p>
        <w:p>
          <w:pPr>
            <w:pStyle w:val="TOC2"/>
            <w:tabs>
              <w:tab w:val="right" w:leader="dot" w:pos="9072"/>
            </w:tabs>
          </w:pPr>
          <w:r>
            <w:t xml:space="preserve">13.1 Usage Instructions</w:t>
          </w:r>
          <w:r>
            <w:tab/>
          </w:r>
          <w:r>
            <w:t xml:space="preserve">108</w:t>
          </w:r>
        </w:p>
        <w:p>
          <w:pPr>
            <w:pStyle w:val="TOC2"/>
            <w:tabs>
              <w:tab w:val="right" w:leader="dot" w:pos="9072"/>
            </w:tabs>
          </w:pPr>
          <w:r>
            <w:t xml:space="preserve">13.2 Status Legend</w:t>
          </w:r>
          <w:r>
            <w:tab/>
          </w:r>
          <w:r>
            <w:t xml:space="preserve">109</w:t>
          </w:r>
        </w:p>
        <w:p>
          <w:pPr>
            <w:pStyle w:val="TOC2"/>
            <w:tabs>
              <w:tab w:val="right" w:leader="dot" w:pos="9072"/>
            </w:tabs>
          </w:pPr>
          <w:r>
            <w:t xml:space="preserve">13.3 Detailed Compliance Matrix</w:t>
          </w:r>
          <w:r>
            <w:tab/>
          </w:r>
          <w:r>
            <w:t xml:space="preserve">110</w:t>
          </w:r>
        </w:p>
        <w:p>
          <w:pPr>
            <w:pStyle w:val="TOC1"/>
            <w:tabs>
              <w:tab w:val="right" w:leader="dot" w:pos="9072"/>
            </w:tabs>
          </w:pPr>
          <w:r>
            <w:t xml:space="preserve">14. Appendix: Support Details</w:t>
          </w:r>
          <w:r>
            <w:tab/>
          </w:r>
          <w:r>
            <w:t xml:space="preserve">111</w:t>
          </w:r>
        </w:p>
        <w:p>
          <w:pPr>
            <w:pStyle w:val="TOC2"/>
            <w:tabs>
              <w:tab w:val="right" w:leader="dot" w:pos="9072"/>
            </w:tabs>
          </w:pPr>
          <w:r>
            <w:t xml:space="preserve">A.1 Support Tier Comparison</w:t>
          </w:r>
          <w:r>
            <w:tab/>
          </w:r>
          <w:r>
            <w:t xml:space="preserve">112</w:t>
          </w:r>
        </w:p>
        <w:p>
          <w:pPr>
            <w:pStyle w:val="TOC2"/>
            <w:tabs>
              <w:tab w:val="right" w:leader="dot" w:pos="9072"/>
            </w:tabs>
          </w:pPr>
          <w:r>
            <w:t xml:space="preserve">A.2 Severity Definitions</w:t>
          </w:r>
          <w:r>
            <w:tab/>
          </w:r>
          <w:r>
            <w:t xml:space="preserve">113</w:t>
          </w:r>
        </w:p>
        <w:p>
          <w:pPr>
            <w:pStyle w:val="TOC2"/>
            <w:tabs>
              <w:tab w:val="right" w:leader="dot" w:pos="9072"/>
            </w:tabs>
          </w:pPr>
          <w:r>
            <w:t xml:space="preserve">A.3 Escalation Path</w:t>
          </w:r>
          <w:r>
            <w:tab/>
          </w:r>
          <w:r>
            <w:t xml:space="preserve">114</w:t>
          </w:r>
        </w:p>
        <w:p>
          <w:pPr>
            <w:pStyle w:val="TOC2"/>
            <w:tabs>
              <w:tab w:val="right" w:leader="dot" w:pos="9072"/>
            </w:tabs>
          </w:pPr>
          <w:r>
            <w:t xml:space="preserve">A.4 Maintenance Windows</w:t>
          </w:r>
          <w:r>
            <w:tab/>
          </w:r>
          <w:r>
            <w:t xml:space="preserve">115</w:t>
          </w:r>
        </w:p>
        <w:p>
          <w:pPr>
            <w:pStyle w:val="TOC1"/>
            <w:tabs>
              <w:tab w:val="right" w:leader="dot" w:pos="9072"/>
            </w:tabs>
          </w:pPr>
          <w:r>
            <w:t xml:space="preserve">Document Control</w:t>
          </w:r>
          <w:r>
            <w:tab/>
          </w:r>
          <w:r>
            <w:t xml:space="preserve">116</w:t>
          </w:r>
        </w:p>
        <w:p>
          <w:pPr>
            <w:pStyle w:val="TOC1"/>
            <w:tabs>
              <w:tab w:val="right" w:leader="dot" w:pos="9072"/>
            </w:tabs>
          </w:pPr>
          <w:r>
            <w:t xml:space="preserve">15. Additional Technical Details</w:t>
          </w:r>
          <w:r>
            <w:tab/>
          </w:r>
          <w:r>
            <w:t xml:space="preserve">117</w:t>
          </w:r>
        </w:p>
        <w:p>
          <w:pPr>
            <w:pStyle w:val="TOC2"/>
            <w:tabs>
              <w:tab w:val="right" w:leader="dot" w:pos="9072"/>
            </w:tabs>
          </w:pPr>
          <w:r>
            <w:t xml:space="preserve">15.1 Asset Lifecycle Deep Dive</w:t>
          </w:r>
          <w:r>
            <w:tab/>
          </w:r>
          <w:r>
            <w:t xml:space="preserve">118</w:t>
          </w:r>
        </w:p>
        <w:p>
          <w:pPr>
            <w:pStyle w:val="TOC3"/>
            <w:tabs>
              <w:tab w:val="right" w:leader="dot" w:pos="9072"/>
            </w:tabs>
          </w:pPr>
          <w:r>
            <w:t xml:space="preserve">15.1.1 Issuance Phase</w:t>
          </w:r>
          <w:r>
            <w:tab/>
          </w:r>
          <w:r>
            <w:t xml:space="preserve">119</w:t>
          </w:r>
        </w:p>
        <w:p>
          <w:pPr>
            <w:pStyle w:val="TOC3"/>
            <w:tabs>
              <w:tab w:val="right" w:leader="dot" w:pos="9072"/>
            </w:tabs>
          </w:pPr>
          <w:r>
            <w:t xml:space="preserve">15.1.2 Distribution Phase</w:t>
          </w:r>
          <w:r>
            <w:tab/>
          </w:r>
          <w:r>
            <w:t xml:space="preserve">120</w:t>
          </w:r>
        </w:p>
        <w:p>
          <w:pPr>
            <w:pStyle w:val="TOC3"/>
            <w:tabs>
              <w:tab w:val="right" w:leader="dot" w:pos="9072"/>
            </w:tabs>
          </w:pPr>
          <w:r>
            <w:t xml:space="preserve">15.1.3 Transfer Phase</w:t>
          </w:r>
          <w:r>
            <w:tab/>
          </w:r>
          <w:r>
            <w:t xml:space="preserve">121</w:t>
          </w:r>
        </w:p>
        <w:p>
          <w:pPr>
            <w:pStyle w:val="TOC3"/>
            <w:tabs>
              <w:tab w:val="right" w:leader="dot" w:pos="9072"/>
            </w:tabs>
          </w:pPr>
          <w:r>
            <w:t xml:space="preserve">15.1.4 Servicing Phase</w:t>
          </w:r>
          <w:r>
            <w:tab/>
          </w:r>
          <w:r>
            <w:t xml:space="preserve">122</w:t>
          </w:r>
        </w:p>
        <w:p>
          <w:pPr>
            <w:pStyle w:val="TOC3"/>
            <w:tabs>
              <w:tab w:val="right" w:leader="dot" w:pos="9072"/>
            </w:tabs>
          </w:pPr>
          <w:r>
            <w:t xml:space="preserve">15.1.5 Retirement Phase</w:t>
          </w:r>
          <w:r>
            <w:tab/>
          </w:r>
          <w:r>
            <w:t xml:space="preserve">123</w:t>
          </w:r>
        </w:p>
        <w:p>
          <w:pPr>
            <w:pStyle w:val="TOC2"/>
            <w:tabs>
              <w:tab w:val="right" w:leader="dot" w:pos="9072"/>
            </w:tabs>
          </w:pPr>
          <w:r>
            <w:t xml:space="preserve">15.2 Integration Architecture Details</w:t>
          </w:r>
          <w:r>
            <w:tab/>
          </w:r>
          <w:r>
            <w:t xml:space="preserve">124</w:t>
          </w:r>
        </w:p>
        <w:p>
          <w:pPr>
            <w:pStyle w:val="TOC3"/>
            <w:tabs>
              <w:tab w:val="right" w:leader="dot" w:pos="9072"/>
            </w:tabs>
          </w:pPr>
          <w:r>
            <w:t xml:space="preserve">15.2.1 Data Flow Architecture</w:t>
          </w:r>
          <w:r>
            <w:tab/>
          </w:r>
          <w:r>
            <w:t xml:space="preserve">125</w:t>
          </w:r>
        </w:p>
        <w:p>
          <w:pPr>
            <w:pStyle w:val="TOC3"/>
            <w:tabs>
              <w:tab w:val="right" w:leader="dot" w:pos="9072"/>
            </w:tabs>
          </w:pPr>
          <w:r>
            <w:t xml:space="preserve">15.2.2 Event-Driven Integration</w:t>
          </w:r>
          <w:r>
            <w:tab/>
          </w:r>
          <w:r>
            <w:t xml:space="preserve">126</w:t>
          </w:r>
        </w:p>
        <w:p>
          <w:pPr>
            <w:pStyle w:val="TOC3"/>
            <w:tabs>
              <w:tab w:val="right" w:leader="dot" w:pos="9072"/>
            </w:tabs>
          </w:pPr>
          <w:r>
            <w:t xml:space="preserve">15.2.3 Reconciliation Model</w:t>
          </w:r>
          <w:r>
            <w:tab/>
          </w:r>
          <w:r>
            <w:t xml:space="preserve">127</w:t>
          </w:r>
        </w:p>
        <w:p>
          <w:pPr>
            <w:pStyle w:val="TOC2"/>
            <w:tabs>
              <w:tab w:val="right" w:leader="dot" w:pos="9072"/>
            </w:tabs>
          </w:pPr>
          <w:r>
            <w:t xml:space="preserve">15.3 Blockchain Network Architecture</w:t>
          </w:r>
          <w:r>
            <w:tab/>
          </w:r>
          <w:r>
            <w:t xml:space="preserve">128</w:t>
          </w:r>
        </w:p>
        <w:p>
          <w:pPr>
            <w:pStyle w:val="TOC3"/>
            <w:tabs>
              <w:tab w:val="right" w:leader="dot" w:pos="9072"/>
            </w:tabs>
          </w:pPr>
          <w:r>
            <w:t xml:space="preserve">15.3.1 Private Network Design</w:t>
          </w:r>
          <w:r>
            <w:tab/>
          </w:r>
          <w:r>
            <w:t xml:space="preserve">129</w:t>
          </w:r>
        </w:p>
        <w:p>
          <w:pPr>
            <w:pStyle w:val="TOC3"/>
            <w:tabs>
              <w:tab w:val="right" w:leader="dot" w:pos="9072"/>
            </w:tabs>
          </w:pPr>
          <w:r>
            <w:t xml:space="preserve">15.3.2 Node Operations</w:t>
          </w:r>
          <w:r>
            <w:tab/>
          </w:r>
          <w:r>
            <w:t xml:space="preserve">130</w:t>
          </w:r>
        </w:p>
        <w:p>
          <w:pPr>
            <w:pStyle w:val="TOC2"/>
            <w:tabs>
              <w:tab w:val="right" w:leader="dot" w:pos="9072"/>
            </w:tabs>
          </w:pPr>
          <w:r>
            <w:t xml:space="preserve">15.4 Compliance Module Details</w:t>
          </w:r>
          <w:r>
            <w:tab/>
          </w:r>
          <w:r>
            <w:t xml:space="preserve">131</w:t>
          </w:r>
        </w:p>
        <w:p>
          <w:pPr>
            <w:pStyle w:val="TOC3"/>
            <w:tabs>
              <w:tab w:val="right" w:leader="dot" w:pos="9072"/>
            </w:tabs>
          </w:pPr>
          <w:r>
            <w:t xml:space="preserve">15.4.1 Module Types</w:t>
          </w:r>
          <w:r>
            <w:tab/>
          </w:r>
          <w:r>
            <w:t xml:space="preserve">132</w:t>
          </w:r>
        </w:p>
        <w:p>
          <w:pPr>
            <w:pStyle w:val="TOC3"/>
            <w:tabs>
              <w:tab w:val="right" w:leader="dot" w:pos="9072"/>
            </w:tabs>
          </w:pPr>
          <w:r>
            <w:t xml:space="preserve">15.4.2 Module Composition</w:t>
          </w:r>
          <w:r>
            <w:tab/>
          </w:r>
          <w:r>
            <w:t xml:space="preserve">133</w:t>
          </w:r>
        </w:p>
        <w:p>
          <w:pPr>
            <w:pStyle w:val="TOC3"/>
            <w:tabs>
              <w:tab w:val="right" w:leader="dot" w:pos="9072"/>
            </w:tabs>
          </w:pPr>
          <w:r>
            <w:t xml:space="preserve">15.4.3 Runtime Reconfiguration</w:t>
          </w:r>
          <w:r>
            <w:tab/>
          </w:r>
          <w:r>
            <w:t xml:space="preserve">134</w:t>
          </w:r>
        </w:p>
        <w:p>
          <w:pPr>
            <w:pStyle w:val="TOC2"/>
            <w:tabs>
              <w:tab w:val="right" w:leader="dot" w:pos="9072"/>
            </w:tabs>
          </w:pPr>
          <w:r>
            <w:t xml:space="preserve">15.5 Security Implementation Details</w:t>
          </w:r>
          <w:r>
            <w:tab/>
          </w:r>
          <w:r>
            <w:t xml:space="preserve">135</w:t>
          </w:r>
        </w:p>
        <w:p>
          <w:pPr>
            <w:pStyle w:val="TOC3"/>
            <w:tabs>
              <w:tab w:val="right" w:leader="dot" w:pos="9072"/>
            </w:tabs>
          </w:pPr>
          <w:r>
            <w:t xml:space="preserve">15.5.1 Defense-in-Depth Architecture</w:t>
          </w:r>
          <w:r>
            <w:tab/>
          </w:r>
          <w:r>
            <w:t xml:space="preserve">136</w:t>
          </w:r>
        </w:p>
        <w:p>
          <w:pPr>
            <w:pStyle w:val="TOC3"/>
            <w:tabs>
              <w:tab w:val="right" w:leader="dot" w:pos="9072"/>
            </w:tabs>
          </w:pPr>
          <w:r>
            <w:t xml:space="preserve">15.5.2 Authentication Flow</w:t>
          </w:r>
          <w:r>
            <w:tab/>
          </w:r>
          <w:r>
            <w:t xml:space="preserve">137</w:t>
          </w:r>
        </w:p>
        <w:p>
          <w:pPr>
            <w:pStyle w:val="TOC2"/>
            <w:tabs>
              <w:tab w:val="right" w:leader="dot" w:pos="9072"/>
            </w:tabs>
          </w:pPr>
          <w:r>
            <w:t xml:space="preserve">15.6 Operational Runbooks</w:t>
          </w:r>
          <w:r>
            <w:tab/>
          </w:r>
          <w:r>
            <w:t xml:space="preserve">138</w:t>
          </w:r>
        </w:p>
        <w:p>
          <w:pPr>
            <w:pStyle w:val="TOC3"/>
            <w:tabs>
              <w:tab w:val="right" w:leader="dot" w:pos="9072"/>
            </w:tabs>
          </w:pPr>
          <w:r>
            <w:t xml:space="preserve">15.6.1 Asset Creation Runbook</w:t>
          </w:r>
          <w:r>
            <w:tab/>
          </w:r>
          <w:r>
            <w:t xml:space="preserve">139</w:t>
          </w:r>
        </w:p>
        <w:p>
          <w:pPr>
            <w:pStyle w:val="TOC3"/>
            <w:tabs>
              <w:tab w:val="right" w:leader="dot" w:pos="9072"/>
            </w:tabs>
          </w:pPr>
          <w:r>
            <w:t xml:space="preserve">15.6.2 Incident Response: Platform Down</w:t>
          </w:r>
          <w:r>
            <w:tab/>
          </w:r>
          <w:r>
            <w:t xml:space="preserve">140</w:t>
          </w:r>
        </w:p>
        <w:p>
          <w:pPr>
            <w:pStyle w:val="TOC3"/>
            <w:tabs>
              <w:tab w:val="right" w:leader="dot" w:pos="9072"/>
            </w:tabs>
          </w:pPr>
          <w:r>
            <w:t xml:space="preserve">15.6.3 Compliance Violation Response</w:t>
          </w:r>
          <w:r>
            <w:tab/>
          </w:r>
          <w:r>
            <w:t xml:space="preserve">141</w:t>
          </w:r>
        </w:p>
        <w:p>
          <w:pPr>
            <w:pStyle w:val="TOC1"/>
            <w:tabs>
              <w:tab w:val="right" w:leader="dot" w:pos="9072"/>
            </w:tabs>
          </w:pPr>
          <w:r>
            <w:t xml:space="preserve">16. Conclusion</w:t>
          </w:r>
          <w:r>
            <w:tab/>
          </w:r>
          <w:r>
            <w:t xml:space="preserve">142</w:t>
          </w:r>
        </w:p>
        <w:p>
          <w:pPr>
            <w:pStyle w:val="TOC2"/>
            <w:tabs>
              <w:tab w:val="right" w:leader="dot" w:pos="9072"/>
            </w:tabs>
          </w:pPr>
          <w:r>
            <w:t xml:space="preserve">16.1 Summary of Value</w:t>
          </w:r>
          <w:r>
            <w:tab/>
          </w:r>
          <w:r>
            <w:t xml:space="preserve">143</w:t>
          </w:r>
        </w:p>
        <w:p>
          <w:pPr>
            <w:pStyle w:val="TOC2"/>
            <w:tabs>
              <w:tab w:val="right" w:leader="dot" w:pos="9072"/>
            </w:tabs>
          </w:pPr>
          <w:r>
            <w:t xml:space="preserve">16.2 Call to Action</w:t>
          </w:r>
          <w:r>
            <w:tab/>
          </w:r>
          <w:r>
            <w:t xml:space="preserve">144</w:t>
          </w:r>
        </w:p>
        <w:p>
          <w:pPr>
            <w:pStyle w:val="TOC1"/>
            <w:tabs>
              <w:tab w:val="right" w:leader="dot" w:pos="9072"/>
            </w:tabs>
          </w:pPr>
          <w:r>
            <w:t xml:space="preserve">17. Extended Technical Specifications</w:t>
          </w:r>
          <w:r>
            <w:tab/>
          </w:r>
          <w:r>
            <w:t xml:space="preserve">145</w:t>
          </w:r>
        </w:p>
        <w:p>
          <w:pPr>
            <w:pStyle w:val="TOC2"/>
            <w:tabs>
              <w:tab w:val="right" w:leader="dot" w:pos="9072"/>
            </w:tabs>
          </w:pPr>
          <w:r>
            <w:t xml:space="preserve">17.1 Smart Contract Technical Details</w:t>
          </w:r>
          <w:r>
            <w:tab/>
          </w:r>
          <w:r>
            <w:t xml:space="preserve">146</w:t>
          </w:r>
        </w:p>
        <w:p>
          <w:pPr>
            <w:pStyle w:val="TOC3"/>
            <w:tabs>
              <w:tab w:val="right" w:leader="dot" w:pos="9072"/>
            </w:tabs>
          </w:pPr>
          <w:r>
            <w:t xml:space="preserve">17.1.1 SMART Protocol Architecture</w:t>
          </w:r>
          <w:r>
            <w:tab/>
          </w:r>
          <w:r>
            <w:t xml:space="preserve">147</w:t>
          </w:r>
        </w:p>
        <w:p>
          <w:pPr>
            <w:pStyle w:val="TOC3"/>
            <w:tabs>
              <w:tab w:val="right" w:leader="dot" w:pos="9072"/>
            </w:tabs>
          </w:pPr>
          <w:r>
            <w:t xml:space="preserve">17.1.2 DALPAsset Contract Specification</w:t>
          </w:r>
          <w:r>
            <w:tab/>
          </w:r>
          <w:r>
            <w:t xml:space="preserve">148</w:t>
          </w:r>
        </w:p>
        <w:p>
          <w:pPr>
            <w:pStyle w:val="TOC3"/>
            <w:tabs>
              <w:tab w:val="right" w:leader="dot" w:pos="9072"/>
            </w:tabs>
          </w:pPr>
          <w:r>
            <w:t xml:space="preserve">17.1.3 Factory Deployment Details</w:t>
          </w:r>
          <w:r>
            <w:tab/>
          </w:r>
          <w:r>
            <w:t xml:space="preserve">149</w:t>
          </w:r>
        </w:p>
        <w:p>
          <w:pPr>
            <w:pStyle w:val="TOC3"/>
            <w:tabs>
              <w:tab w:val="right" w:leader="dot" w:pos="9072"/>
            </w:tabs>
          </w:pPr>
          <w:r>
            <w:t xml:space="preserve">17.1.4 Upgrade Mechanism (UUPS)</w:t>
          </w:r>
          <w:r>
            <w:tab/>
          </w:r>
          <w:r>
            <w:t xml:space="preserve">150</w:t>
          </w:r>
        </w:p>
        <w:p>
          <w:pPr>
            <w:pStyle w:val="TOC2"/>
            <w:tabs>
              <w:tab w:val="right" w:leader="dot" w:pos="9072"/>
            </w:tabs>
          </w:pPr>
          <w:r>
            <w:t xml:space="preserve">17.2 Middleware Technical Details</w:t>
          </w:r>
          <w:r>
            <w:tab/>
          </w:r>
          <w:r>
            <w:t xml:space="preserve">151</w:t>
          </w:r>
        </w:p>
        <w:p>
          <w:pPr>
            <w:pStyle w:val="TOC3"/>
            <w:tabs>
              <w:tab w:val="right" w:leader="dot" w:pos="9072"/>
            </w:tabs>
          </w:pPr>
          <w:r>
            <w:t xml:space="preserve">17.2.1 Execution Engine Architecture</w:t>
          </w:r>
          <w:r>
            <w:tab/>
          </w:r>
          <w:r>
            <w:t xml:space="preserve">152</w:t>
          </w:r>
        </w:p>
        <w:p>
          <w:pPr>
            <w:pStyle w:val="TOC3"/>
            <w:tabs>
              <w:tab w:val="right" w:leader="dot" w:pos="9072"/>
            </w:tabs>
          </w:pPr>
          <w:r>
            <w:t xml:space="preserve">17.2.2 Key Guardian Implementation</w:t>
          </w:r>
          <w:r>
            <w:tab/>
          </w:r>
          <w:r>
            <w:t xml:space="preserve">153</w:t>
          </w:r>
        </w:p>
        <w:p>
          <w:pPr>
            <w:pStyle w:val="TOC3"/>
            <w:tabs>
              <w:tab w:val="right" w:leader="dot" w:pos="9072"/>
            </w:tabs>
          </w:pPr>
          <w:r>
            <w:t xml:space="preserve">17.2.3 Transaction Signer Implementation</w:t>
          </w:r>
          <w:r>
            <w:tab/>
          </w:r>
          <w:r>
            <w:t xml:space="preserve">154</w:t>
          </w:r>
        </w:p>
        <w:p>
          <w:pPr>
            <w:pStyle w:val="TOC3"/>
            <w:tabs>
              <w:tab w:val="right" w:leader="dot" w:pos="9072"/>
            </w:tabs>
          </w:pPr>
          <w:r>
            <w:t xml:space="preserve">17.2.4 Chain Indexer Implementation</w:t>
          </w:r>
          <w:r>
            <w:tab/>
          </w:r>
          <w:r>
            <w:t xml:space="preserve">155</w:t>
          </w:r>
        </w:p>
        <w:p>
          <w:pPr>
            <w:pStyle w:val="TOC2"/>
            <w:tabs>
              <w:tab w:val="right" w:leader="dot" w:pos="9072"/>
            </w:tabs>
          </w:pPr>
          <w:r>
            <w:t xml:space="preserve">17.3 API Technical Details</w:t>
          </w:r>
          <w:r>
            <w:tab/>
          </w:r>
          <w:r>
            <w:t xml:space="preserve">156</w:t>
          </w:r>
        </w:p>
        <w:p>
          <w:pPr>
            <w:pStyle w:val="TOC3"/>
            <w:tabs>
              <w:tab w:val="right" w:leader="dot" w:pos="9072"/>
            </w:tabs>
          </w:pPr>
          <w:r>
            <w:t xml:space="preserve">17.3.1 API Structure</w:t>
          </w:r>
          <w:r>
            <w:tab/>
          </w:r>
          <w:r>
            <w:t xml:space="preserve">157</w:t>
          </w:r>
        </w:p>
        <w:p>
          <w:pPr>
            <w:pStyle w:val="TOC3"/>
            <w:tabs>
              <w:tab w:val="right" w:leader="dot" w:pos="9072"/>
            </w:tabs>
          </w:pPr>
          <w:r>
            <w:t xml:space="preserve">17.3.2 Authentication Methods</w:t>
          </w:r>
          <w:r>
            <w:tab/>
          </w:r>
          <w:r>
            <w:t xml:space="preserve">158</w:t>
          </w:r>
        </w:p>
        <w:p>
          <w:pPr>
            <w:pStyle w:val="TOC3"/>
            <w:tabs>
              <w:tab w:val="right" w:leader="dot" w:pos="9072"/>
            </w:tabs>
          </w:pPr>
          <w:r>
            <w:t xml:space="preserve">17.3.3 Error Handling</w:t>
          </w:r>
          <w:r>
            <w:tab/>
          </w:r>
          <w:r>
            <w:t xml:space="preserve">159</w:t>
          </w:r>
        </w:p>
        <w:p>
          <w:pPr>
            <w:pStyle w:val="TOC3"/>
            <w:tabs>
              <w:tab w:val="right" w:leader="dot" w:pos="9072"/>
            </w:tabs>
          </w:pPr>
          <w:r>
            <w:t xml:space="preserve">17.3.4 Rate Limiting</w:t>
          </w:r>
          <w:r>
            <w:tab/>
          </w:r>
          <w:r>
            <w:t xml:space="preserve">160</w:t>
          </w:r>
        </w:p>
        <w:p>
          <w:pPr>
            <w:pStyle w:val="TOC2"/>
            <w:tabs>
              <w:tab w:val="right" w:leader="dot" w:pos="9072"/>
            </w:tabs>
          </w:pPr>
          <w:r>
            <w:t xml:space="preserve">17.4 Observability Technical Details</w:t>
          </w:r>
          <w:r>
            <w:tab/>
          </w:r>
          <w:r>
            <w:t xml:space="preserve">161</w:t>
          </w:r>
        </w:p>
        <w:p>
          <w:pPr>
            <w:pStyle w:val="TOC3"/>
            <w:tabs>
              <w:tab w:val="right" w:leader="dot" w:pos="9072"/>
            </w:tabs>
          </w:pPr>
          <w:r>
            <w:t xml:space="preserve">17.4.1 Metrics Architecture</w:t>
          </w:r>
          <w:r>
            <w:tab/>
          </w:r>
          <w:r>
            <w:t xml:space="preserve">162</w:t>
          </w:r>
        </w:p>
        <w:p>
          <w:pPr>
            <w:pStyle w:val="TOC3"/>
            <w:tabs>
              <w:tab w:val="right" w:leader="dot" w:pos="9072"/>
            </w:tabs>
          </w:pPr>
          <w:r>
            <w:t xml:space="preserve">17.4.2 Logging Architecture</w:t>
          </w:r>
          <w:r>
            <w:tab/>
          </w:r>
          <w:r>
            <w:t xml:space="preserve">163</w:t>
          </w:r>
        </w:p>
        <w:p>
          <w:pPr>
            <w:pStyle w:val="TOC3"/>
            <w:tabs>
              <w:tab w:val="right" w:leader="dot" w:pos="9072"/>
            </w:tabs>
          </w:pPr>
          <w:r>
            <w:t xml:space="preserve">17.4.3 Distributed Tracing</w:t>
          </w:r>
          <w:r>
            <w:tab/>
          </w:r>
          <w:r>
            <w:t xml:space="preserve">164</w:t>
          </w:r>
        </w:p>
        <w:p>
          <w:pPr>
            <w:pStyle w:val="TOC3"/>
            <w:tabs>
              <w:tab w:val="right" w:leader="dot" w:pos="9072"/>
            </w:tabs>
          </w:pPr>
          <w:r>
            <w:t xml:space="preserve">17.4.4 Pre-Built Dashboards</w:t>
          </w:r>
          <w:r>
            <w:tab/>
          </w:r>
          <w:r>
            <w:t xml:space="preserve">165</w:t>
          </w:r>
        </w:p>
        <w:p>
          <w:pPr>
            <w:pStyle w:val="TOC1"/>
            <w:tabs>
              <w:tab w:val="right" w:leader="dot" w:pos="9072"/>
            </w:tabs>
          </w:pPr>
          <w:r>
            <w:t xml:space="preserve">18. Additional Reference Information</w:t>
          </w:r>
          <w:r>
            <w:tab/>
          </w:r>
          <w:r>
            <w:t xml:space="preserve">166</w:t>
          </w:r>
        </w:p>
        <w:p>
          <w:pPr>
            <w:pStyle w:val="TOC2"/>
            <w:tabs>
              <w:tab w:val="right" w:leader="dot" w:pos="9072"/>
            </w:tabs>
          </w:pPr>
          <w:r>
            <w:t xml:space="preserve">18.1 Reference Projects Summary</w:t>
          </w:r>
          <w:r>
            <w:tab/>
          </w:r>
          <w:r>
            <w:t xml:space="preserve">167</w:t>
          </w:r>
        </w:p>
        <w:p>
          <w:pPr>
            <w:pStyle w:val="TOC2"/>
            <w:tabs>
              <w:tab w:val="right" w:leader="dot" w:pos="9072"/>
            </w:tabs>
          </w:pPr>
          <w:r>
            <w:t xml:space="preserve">18.2 Certification Details</w:t>
          </w:r>
          <w:r>
            <w:tab/>
          </w:r>
          <w:r>
            <w:t xml:space="preserve">168</w:t>
          </w:r>
        </w:p>
        <w:p>
          <w:pPr>
            <w:pStyle w:val="TOC2"/>
            <w:tabs>
              <w:tab w:val="right" w:leader="dot" w:pos="9072"/>
            </w:tabs>
          </w:pPr>
          <w:r>
            <w:t xml:space="preserve">18.3 Contact Information</w:t>
          </w:r>
          <w:r>
            <w:tab/>
          </w:r>
          <w:r>
            <w:t xml:space="preserve">169</w:t>
          </w:r>
        </w:p>
        <w:p>
          <w:pPr>
            <w:pStyle w:val="TOC1"/>
            <w:tabs>
              <w:tab w:val="right" w:leader="dot" w:pos="9072"/>
            </w:tabs>
          </w:pPr>
          <w:r>
            <w:t xml:space="preserve">19. Appendix: UAE Regulatory Context</w:t>
          </w:r>
          <w:r>
            <w:tab/>
          </w:r>
          <w:r>
            <w:t xml:space="preserve">170</w:t>
          </w:r>
        </w:p>
        <w:p>
          <w:pPr>
            <w:pStyle w:val="TOC2"/>
            <w:tabs>
              <w:tab w:val="right" w:leader="dot" w:pos="9072"/>
            </w:tabs>
          </w:pPr>
          <w:r>
            <w:t xml:space="preserve">19.1 ADGM FSMR Framework Overview</w:t>
          </w:r>
          <w:r>
            <w:tab/>
          </w:r>
          <w:r>
            <w:t xml:space="preserve">171</w:t>
          </w:r>
        </w:p>
        <w:p>
          <w:pPr>
            <w:pStyle w:val="TOC2"/>
            <w:tabs>
              <w:tab w:val="right" w:leader="dot" w:pos="9072"/>
            </w:tabs>
          </w:pPr>
          <w:r>
            <w:t xml:space="preserve">19.2 UAE AML/CFT Requirements</w:t>
          </w:r>
          <w:r>
            <w:tab/>
          </w:r>
          <w:r>
            <w:t xml:space="preserve">172</w:t>
          </w:r>
        </w:p>
        <w:p>
          <w:pPr>
            <w:pStyle w:val="TOC2"/>
            <w:tabs>
              <w:tab w:val="right" w:leader="dot" w:pos="9072"/>
            </w:tabs>
          </w:pPr>
          <w:r>
            <w:t xml:space="preserve">19.3 CBUAE Digital Currency Initiatives</w:t>
          </w:r>
          <w:r>
            <w:tab/>
          </w:r>
          <w:r>
            <w:t xml:space="preserve">173</w:t>
          </w:r>
        </w:p>
        <w:p>
          <w:pPr>
            <w:pStyle w:val="TOC2"/>
            <w:tabs>
              <w:tab w:val="right" w:leader="dot" w:pos="9072"/>
            </w:tabs>
          </w:pPr>
          <w:r>
            <w:t xml:space="preserve">19.4 How DALP Addresses UAE Requirements</w:t>
          </w:r>
          <w:r>
            <w:tab/>
          </w:r>
          <w:r>
            <w:t xml:space="preserve">174</w:t>
          </w:r>
        </w:p>
        <w:p>
          <w:pPr>
            <w:pStyle w:val="TOC3"/>
            <w:tabs>
              <w:tab w:val="right" w:leader="dot" w:pos="9072"/>
            </w:tabs>
          </w:pPr>
          <w:r>
            <w:t xml:space="preserve">19.4.1 FSMR Compliance</w:t>
          </w:r>
          <w:r>
            <w:tab/>
          </w:r>
          <w:r>
            <w:t xml:space="preserve">175</w:t>
          </w:r>
        </w:p>
        <w:p>
          <w:pPr>
            <w:pStyle w:val="TOC3"/>
            <w:tabs>
              <w:tab w:val="right" w:leader="dot" w:pos="9072"/>
            </w:tabs>
          </w:pPr>
          <w:r>
            <w:t xml:space="preserve">19.4.2 AML/CFT Implementation</w:t>
          </w:r>
          <w:r>
            <w:tab/>
          </w:r>
          <w:r>
            <w:t xml:space="preserve">176</w:t>
          </w:r>
        </w:p>
        <w:p>
          <w:pPr>
            <w:pStyle w:val="TOC3"/>
            <w:tabs>
              <w:tab w:val="right" w:leader="dot" w:pos="9072"/>
            </w:tabs>
          </w:pPr>
          <w:r>
            <w:t xml:space="preserve">19.4.3 Travel Rule Compliance</w:t>
          </w:r>
          <w:r>
            <w:tab/>
          </w:r>
          <w:r>
            <w:t xml:space="preserve">177</w:t>
          </w:r>
        </w:p>
        <w:p>
          <w:pPr>
            <w:pStyle w:val="TOC1"/>
            <w:tabs>
              <w:tab w:val="right" w:leader="dot" w:pos="9072"/>
            </w:tabs>
          </w:pPr>
          <w:r>
            <w:t xml:space="preserve">20. Appendix: Glossary</w:t>
          </w:r>
          <w:r>
            <w:tab/>
          </w:r>
          <w:r>
            <w:t xml:space="preserve">178</w:t>
          </w:r>
        </w:p>
        <w:p>
          <w:pPr>
            <w:pStyle w:val="TOC1"/>
            <w:tabs>
              <w:tab w:val="right" w:leader="dot" w:pos="9072"/>
            </w:tabs>
          </w:pPr>
          <w:r>
            <w:t xml:space="preserve">21. Appendix: Implementation Risk Mitigation Strategies</w:t>
          </w:r>
          <w:r>
            <w:tab/>
          </w:r>
          <w:r>
            <w:t xml:space="preserve">179</w:t>
          </w:r>
        </w:p>
        <w:p>
          <w:pPr>
            <w:pStyle w:val="TOC2"/>
            <w:tabs>
              <w:tab w:val="right" w:leader="dot" w:pos="9072"/>
            </w:tabs>
          </w:pPr>
          <w:r>
            <w:t xml:space="preserve">21.1 Detailed Risk Mitigation</w:t>
          </w:r>
          <w:r>
            <w:tab/>
          </w:r>
          <w:r>
            <w:t xml:space="preserve">180</w:t>
          </w:r>
        </w:p>
        <w:p>
          <w:pPr>
            <w:pStyle w:val="TOC3"/>
            <w:tabs>
              <w:tab w:val="right" w:leader="dot" w:pos="9072"/>
            </w:tabs>
          </w:pPr>
          <w:r>
            <w:t xml:space="preserve">Risk 1: Regulatory Requirement Changes</w:t>
          </w:r>
          <w:r>
            <w:tab/>
          </w:r>
          <w:r>
            <w:t xml:space="preserve">181</w:t>
          </w:r>
        </w:p>
        <w:p>
          <w:pPr>
            <w:pStyle w:val="TOC3"/>
            <w:tabs>
              <w:tab w:val="right" w:leader="dot" w:pos="9072"/>
            </w:tabs>
          </w:pPr>
          <w:r>
            <w:t xml:space="preserve">Risk 2: Integration Complexity</w:t>
          </w:r>
          <w:r>
            <w:tab/>
          </w:r>
          <w:r>
            <w:t xml:space="preserve">182</w:t>
          </w:r>
        </w:p>
        <w:p>
          <w:pPr>
            <w:pStyle w:val="TOC3"/>
            <w:tabs>
              <w:tab w:val="right" w:leader="dot" w:pos="9072"/>
            </w:tabs>
          </w:pPr>
          <w:r>
            <w:t xml:space="preserve">Risk 3: Client Dependency Delays</w:t>
          </w:r>
          <w:r>
            <w:tab/>
          </w:r>
          <w:r>
            <w:t xml:space="preserve">183</w:t>
          </w:r>
        </w:p>
        <w:p>
          <w:pPr>
            <w:pStyle w:val="TOC3"/>
            <w:tabs>
              <w:tab w:val="right" w:leader="dot" w:pos="9072"/>
            </w:tabs>
          </w:pPr>
          <w:r>
            <w:t xml:space="preserve">Risk 4: Third-Party Provider Issues</w:t>
          </w:r>
          <w:r>
            <w:tab/>
          </w:r>
          <w:r>
            <w:t xml:space="preserve">184</w:t>
          </w:r>
        </w:p>
        <w:p>
          <w:pPr>
            <w:pStyle w:val="TOC3"/>
            <w:tabs>
              <w:tab w:val="right" w:leader="dot" w:pos="9072"/>
            </w:tabs>
          </w:pPr>
          <w:r>
            <w:t xml:space="preserve">Risk 5: Scope Creep</w:t>
          </w:r>
          <w:r>
            <w:tab/>
          </w:r>
          <w:r>
            <w:t xml:space="preserve">185</w:t>
          </w:r>
        </w:p>
        <w:p>
          <w:pPr>
            <w:pStyle w:val="TOC3"/>
            <w:tabs>
              <w:tab w:val="right" w:leader="dot" w:pos="9072"/>
            </w:tabs>
          </w:pPr>
          <w:r>
            <w:t xml:space="preserve">Risk 6: Security Review Delays</w:t>
          </w:r>
          <w:r>
            <w:tab/>
          </w:r>
          <w:r>
            <w:t xml:space="preserve">186</w:t>
          </w:r>
        </w:p>
        <w:p>
          <w:pPr>
            <w:pStyle w:val="TOC3"/>
            <w:tabs>
              <w:tab w:val="right" w:leader="dot" w:pos="9072"/>
            </w:tabs>
          </w:pPr>
          <w:r>
            <w:t xml:space="preserve">Risk 7: Data Residency Requirements</w:t>
          </w:r>
          <w:r>
            <w:tab/>
          </w:r>
          <w:r>
            <w:t xml:space="preserve">187</w:t>
          </w:r>
        </w:p>
        <w:p>
          <w:pPr>
            <w:pStyle w:val="TOC3"/>
            <w:tabs>
              <w:tab w:val="right" w:leader="dot" w:pos="9072"/>
            </w:tabs>
          </w:pPr>
          <w:r>
            <w:t xml:space="preserve">Risk 8: Key Personnel Availability</w:t>
          </w:r>
          <w:r>
            <w:tab/>
          </w:r>
          <w:r>
            <w:t xml:space="preserve">188</w:t>
          </w:r>
        </w:p>
        <w:p>
          <w:pPr>
            <w:pStyle w:val="TOC1"/>
            <w:tabs>
              <w:tab w:val="right" w:leader="dot" w:pos="9072"/>
            </w:tabs>
          </w:pPr>
          <w:r>
            <w:t xml:space="preserve">22. Appendix: Quality Assurance Approach</w:t>
          </w:r>
          <w:r>
            <w:tab/>
          </w:r>
          <w:r>
            <w:t xml:space="preserve">189</w:t>
          </w:r>
        </w:p>
        <w:p>
          <w:pPr>
            <w:pStyle w:val="TOC2"/>
            <w:tabs>
              <w:tab w:val="right" w:leader="dot" w:pos="9072"/>
            </w:tabs>
          </w:pPr>
          <w:r>
            <w:t xml:space="preserve">22.1 Testing Strategy</w:t>
          </w:r>
          <w:r>
            <w:tab/>
          </w:r>
          <w:r>
            <w:t xml:space="preserve">190</w:t>
          </w:r>
        </w:p>
        <w:p>
          <w:pPr>
            <w:pStyle w:val="TOC3"/>
            <w:tabs>
              <w:tab w:val="right" w:leader="dot" w:pos="9072"/>
            </w:tabs>
          </w:pPr>
          <w:r>
            <w:t xml:space="preserve">22.1.1 Unit Testing</w:t>
          </w:r>
          <w:r>
            <w:tab/>
          </w:r>
          <w:r>
            <w:t xml:space="preserve">191</w:t>
          </w:r>
        </w:p>
        <w:p>
          <w:pPr>
            <w:pStyle w:val="TOC3"/>
            <w:tabs>
              <w:tab w:val="right" w:leader="dot" w:pos="9072"/>
            </w:tabs>
          </w:pPr>
          <w:r>
            <w:t xml:space="preserve">22.1.2 Integration Testing</w:t>
          </w:r>
          <w:r>
            <w:tab/>
          </w:r>
          <w:r>
            <w:t xml:space="preserve">192</w:t>
          </w:r>
        </w:p>
        <w:p>
          <w:pPr>
            <w:pStyle w:val="TOC3"/>
            <w:tabs>
              <w:tab w:val="right" w:leader="dot" w:pos="9072"/>
            </w:tabs>
          </w:pPr>
          <w:r>
            <w:t xml:space="preserve">22.1.3 System Testing</w:t>
          </w:r>
          <w:r>
            <w:tab/>
          </w:r>
          <w:r>
            <w:t xml:space="preserve">193</w:t>
          </w:r>
        </w:p>
        <w:p>
          <w:pPr>
            <w:pStyle w:val="TOC3"/>
            <w:tabs>
              <w:tab w:val="right" w:leader="dot" w:pos="9072"/>
            </w:tabs>
          </w:pPr>
          <w:r>
            <w:t xml:space="preserve">22.1.4 Security Testing</w:t>
          </w:r>
          <w:r>
            <w:tab/>
          </w:r>
          <w:r>
            <w:t xml:space="preserve">194</w:t>
          </w:r>
        </w:p>
        <w:p>
          <w:pPr>
            <w:pStyle w:val="TOC3"/>
            <w:tabs>
              <w:tab w:val="right" w:leader="dot" w:pos="9072"/>
            </w:tabs>
          </w:pPr>
          <w:r>
            <w:t xml:space="preserve">22.1.5 Performance Testing</w:t>
          </w:r>
          <w:r>
            <w:tab/>
          </w:r>
          <w:r>
            <w:t xml:space="preserve">195</w:t>
          </w:r>
        </w:p>
        <w:p>
          <w:pPr>
            <w:pStyle w:val="TOC3"/>
            <w:tabs>
              <w:tab w:val="right" w:leader="dot" w:pos="9072"/>
            </w:tabs>
          </w:pPr>
          <w:r>
            <w:t xml:space="preserve">22.1.6 User Acceptance Testing</w:t>
          </w:r>
          <w:r>
            <w:tab/>
          </w:r>
          <w:r>
            <w:t xml:space="preserve">196</w:t>
          </w:r>
        </w:p>
        <w:p>
          <w:pPr>
            <w:pStyle w:val="TOC2"/>
            <w:tabs>
              <w:tab w:val="right" w:leader="dot" w:pos="9072"/>
            </w:tabs>
          </w:pPr>
          <w:r>
            <w:t xml:space="preserve">22.2 Defect Management</w:t>
          </w:r>
          <w:r>
            <w:tab/>
          </w:r>
          <w:r>
            <w:t xml:space="preserve">197</w:t>
          </w:r>
        </w:p>
        <w:p>
          <w:pPr>
            <w:pStyle w:val="TOC3"/>
            <w:tabs>
              <w:tab w:val="right" w:leader="dot" w:pos="9072"/>
            </w:tabs>
          </w:pPr>
          <w:r>
            <w:t xml:space="preserve">22.2.1 Severity Levels</w:t>
          </w:r>
          <w:r>
            <w:tab/>
          </w:r>
          <w:r>
            <w:t xml:space="preserve">198</w:t>
          </w:r>
        </w:p>
        <w:p>
          <w:pPr>
            <w:pStyle w:val="TOC3"/>
            <w:tabs>
              <w:tab w:val="right" w:leader="dot" w:pos="9072"/>
            </w:tabs>
          </w:pPr>
          <w:r>
            <w:t xml:space="preserve">22.2.2 Resolution Targets</w:t>
          </w:r>
          <w:r>
            <w:tab/>
          </w:r>
          <w:r>
            <w:t xml:space="preserve">199</w:t>
          </w:r>
        </w:p>
        <w:p>
          <w:pPr>
            <w:pStyle w:val="TOC1"/>
            <w:tabs>
              <w:tab w:val="right" w:leader="dot" w:pos="9072"/>
            </w:tabs>
          </w:pPr>
          <w:r>
            <w:t xml:space="preserve">23. Final Notes</w:t>
          </w:r>
          <w:r>
            <w:tab/>
          </w:r>
          <w:r>
            <w:t xml:space="preserve">200</w:t>
          </w:r>
        </w:p>
        <w:p>
          <w:pPr>
            <w:pStyle w:val="TOC1"/>
            <w:tabs>
              <w:tab w:val="right" w:leader="dot" w:pos="9072"/>
            </w:tabs>
          </w:pPr>
          <w:r>
            <w:t xml:space="preserve">24. Executive Summary: Why SettleMint Wins This Deal</w:t>
          </w:r>
          <w:r>
            <w:tab/>
          </w:r>
          <w:r>
            <w:t xml:space="preserve">201</w:t>
          </w:r>
        </w:p>
        <w:p>
          <w:pPr>
            <w:pStyle w:val="TOC2"/>
            <w:tabs>
              <w:tab w:val="right" w:leader="dot" w:pos="9072"/>
            </w:tabs>
          </w:pPr>
          <w:r>
            <w:t xml:space="preserve">24.1 Summary of Differentiators</w:t>
          </w:r>
          <w:r>
            <w:tab/>
          </w:r>
          <w:r>
            <w:t xml:space="preserve">202</w:t>
          </w:r>
        </w:p>
        <w:p>
          <w:pPr>
            <w:pStyle w:val="TOC2"/>
            <w:tabs>
              <w:tab w:val="right" w:leader="dot" w:pos="9072"/>
            </w:tabs>
          </w:pPr>
          <w:r>
            <w:t xml:space="preserve">24.2 Confidence Level</w:t>
          </w:r>
          <w:r>
            <w:tab/>
          </w:r>
          <w:r>
            <w:t xml:space="preserve">203</w:t>
          </w:r>
        </w:p>
        <w:p>
          <w:pPr>
            <w:pStyle w:val="TOC2"/>
            <w:tabs>
              <w:tab w:val="right" w:leader="dot" w:pos="9072"/>
            </w:tabs>
          </w:pPr>
          <w:r>
            <w:t xml:space="preserve">24.3 Next Steps</w:t>
          </w:r>
          <w:r>
            <w:tab/>
          </w:r>
          <w:r>
            <w:t xml:space="preserve">204</w:t>
          </w:r>
        </w:p>
        <w:p>
          <w:pPr>
            <w:pStyle w:val="TOC1"/>
            <w:tabs>
              <w:tab w:val="right" w:leader="dot" w:pos="9072"/>
            </w:tabs>
          </w:pPr>
          <w:r>
            <w:t xml:space="preserve">25. Final Appendix: Technical Specifications Summary</w:t>
          </w:r>
          <w:r>
            <w:tab/>
          </w:r>
          <w:r>
            <w:t xml:space="preserve">205</w:t>
          </w:r>
        </w:p>
        <w:p>
          <w:pPr>
            <w:pStyle w:val="TOC2"/>
            <w:tabs>
              <w:tab w:val="right" w:leader="dot" w:pos="9072"/>
            </w:tabs>
          </w:pPr>
          <w:r>
            <w:t xml:space="preserve">25.1 Platform Capacity Specifications</w:t>
          </w:r>
          <w:r>
            <w:tab/>
          </w:r>
          <w:r>
            <w:t xml:space="preserve">206</w:t>
          </w:r>
        </w:p>
        <w:p>
          <w:pPr>
            <w:pStyle w:val="TOC2"/>
            <w:tabs>
              <w:tab w:val="right" w:leader="dot" w:pos="9072"/>
            </w:tabs>
          </w:pPr>
          <w:r>
            <w:t xml:space="preserve">25.2 Infrastructure Requirements Summary</w:t>
          </w:r>
          <w:r>
            <w:tab/>
          </w:r>
          <w:r>
            <w:t xml:space="preserve">207</w:t>
          </w:r>
        </w:p>
        <w:p>
          <w:pPr>
            <w:pStyle w:val="TOC2"/>
            <w:tabs>
              <w:tab w:val="right" w:leader="dot" w:pos="9072"/>
            </w:tabs>
          </w:pPr>
          <w:r>
            <w:t xml:space="preserve">25.3 Network Support Summary</w:t>
          </w:r>
          <w:r>
            <w:tab/>
          </w:r>
          <w:r>
            <w:t xml:space="preserve">208</w:t>
          </w:r>
        </w:p>
        <w:p>
          <w:pPr>
            <w:pStyle w:val="TOC2"/>
            <w:tabs>
              <w:tab w:val="right" w:leader="dot" w:pos="9072"/>
            </w:tabs>
          </w:pPr>
          <w:r>
            <w:t xml:space="preserve">25.4 Supervisory Evidence Production and Audit Pack</w:t>
          </w:r>
          <w:r>
            <w:tab/>
          </w:r>
          <w:r>
            <w:t xml:space="preserve">209</w:t>
          </w:r>
        </w:p>
        <w:p>
          <w:pPr>
            <w:pStyle w:val="TOC2"/>
            <w:tabs>
              <w:tab w:val="right" w:leader="dot" w:pos="9072"/>
            </w:tabs>
          </w:pPr>
          <w:r>
            <w:t xml:space="preserve">25.5 Operating Model Responsibilities Summary</w:t>
          </w:r>
          <w:r>
            <w:tab/>
          </w:r>
          <w:r>
            <w:t xml:space="preserve">210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title: Technical Proposal for ADGM Digital Asset Regulatory Framework Support Platform</w:t>
      </w:r>
    </w:p>
    <w:p>
      <w:r>
        <w:rPr>
          <w:rFonts w:ascii="Figtree" w:hAnsi="Figtree"/>
          <w:b w:val="0"/>
          <w:i w:val="0"/>
          <w:sz w:val="22"/>
        </w:rPr>
        <w:t>author: SettleMint NV</w:t>
      </w:r>
    </w:p>
    <w:p>
      <w:r>
        <w:rPr>
          <w:rFonts w:ascii="Figtree" w:hAnsi="Figtree"/>
          <w:b w:val="0"/>
          <w:i w:val="0"/>
          <w:sz w:val="22"/>
        </w:rPr>
        <w:t>date: 2026-03-17</w:t>
      </w:r>
    </w:p>
    <w:p>
      <w:r>
        <w:rPr>
          <w:rFonts w:ascii="Figtree" w:hAnsi="Figtree"/>
          <w:b w:val="0"/>
          <w:i w:val="0"/>
          <w:sz w:val="22"/>
        </w:rPr>
        <w:t>version: 1.1</w:t>
      </w:r>
    </w:p>
    <w:p>
      <w:r>
        <w:rPr>
          <w:rFonts w:ascii="Figtree" w:hAnsi="Figtree"/>
          <w:b w:val="0"/>
          <w:i w:val="0"/>
          <w:sz w:val="22"/>
        </w:rPr>
        <w:t>confidentiality: Confidential</w:t>
      </w:r>
    </w:p>
    <w:p>
      <w:r>
        <w:br w:type="page"/>
      </w:r>
    </w:p>
    <w:p>
      <w:pPr>
        <w:pStyle w:val="H1"/>
        <w:numPr>
          <w:ilvl w:val="0"/>
          <w:numId w:val="1"/>
        </w:numPr>
      </w:pPr>
      <w:r>
        <w:t>Technical Proposal</w:t>
      </w:r>
    </w:p>
    <w:p>
      <w:pPr>
        <w:pStyle w:val="H2"/>
        <w:numPr>
          <w:ilvl w:val="1"/>
          <w:numId w:val="1"/>
        </w:numPr>
      </w:pPr>
      <w:r>
        <w:t>Digital Asset Regulatory Framework Support Platform</w:t>
      </w:r>
    </w:p>
    <w:p>
      <w:r>
        <w:rPr>
          <w:rFonts w:ascii="Figtree" w:hAnsi="Figtree"/>
          <w:b/>
          <w:i w:val="0"/>
          <w:sz w:val="22"/>
        </w:rPr>
        <w:t>Submitted to:</w:t>
      </w:r>
      <w:r>
        <w:rPr>
          <w:rFonts w:ascii="Figtree" w:hAnsi="Figtree"/>
          <w:b w:val="0"/>
          <w:i w:val="0"/>
          <w:sz w:val="22"/>
        </w:rPr>
        <w:t xml:space="preserve"> ADGM Abu Dhabi Global Market</w:t>
      </w:r>
    </w:p>
    <w:p>
      <w:r>
        <w:rPr>
          <w:rFonts w:ascii="Figtree" w:hAnsi="Figtree"/>
          <w:b/>
          <w:i w:val="0"/>
          <w:sz w:val="22"/>
        </w:rPr>
        <w:t>Submission Date:</w:t>
      </w:r>
      <w:r>
        <w:rPr>
          <w:rFonts w:ascii="Figtree" w:hAnsi="Figtree"/>
          <w:b w:val="0"/>
          <w:i w:val="0"/>
          <w:sz w:val="22"/>
        </w:rPr>
        <w:t xml:space="preserve"> March 17, 2026</w:t>
      </w:r>
    </w:p>
    <w:p>
      <w:r>
        <w:rPr>
          <w:rFonts w:ascii="Figtree" w:hAnsi="Figtree"/>
          <w:b/>
          <w:i w:val="0"/>
          <w:sz w:val="22"/>
        </w:rPr>
        <w:t>Version:</w:t>
      </w:r>
      <w:r>
        <w:rPr>
          <w:rFonts w:ascii="Figtree" w:hAnsi="Figtree"/>
          <w:b w:val="0"/>
          <w:i w:val="0"/>
          <w:sz w:val="22"/>
        </w:rPr>
        <w:t xml:space="preserve"> 1.1</w:t>
      </w:r>
    </w:p>
    <w:p>
      <w:r>
        <w:rPr>
          <w:rFonts w:ascii="Figtree" w:hAnsi="Figtree"/>
          <w:b/>
          <w:i w:val="0"/>
          <w:sz w:val="22"/>
        </w:rPr>
        <w:t>Classification:</w:t>
      </w:r>
      <w:r>
        <w:rPr>
          <w:rFonts w:ascii="Figtree" w:hAnsi="Figtree"/>
          <w:b w:val="0"/>
          <w:i w:val="0"/>
          <w:sz w:val="22"/>
        </w:rPr>
        <w:t xml:space="preserve"> Confidential</w:t>
      </w:r>
    </w:p>
    <w:p>
      <w:r>
        <w:rPr>
          <w:rFonts w:ascii="Figtree" w:hAnsi="Figtree"/>
          <w:b/>
          <w:i w:val="0"/>
          <w:sz w:val="22"/>
        </w:rPr>
        <w:t>Primary Contact:</w:t>
      </w:r>
      <w:r>
        <w:rPr>
          <w:rFonts w:ascii="Figtree" w:hAnsi="Figtree"/>
          <w:b w:val="0"/>
          <w:i w:val="0"/>
          <w:sz w:val="22"/>
        </w:rPr>
        <w:t xml:space="preserve"> SettleMint NV — Sales and Solutions Team</w:t>
      </w:r>
    </w:p>
    <w:p>
      <w:r>
        <w:br w:type="page"/>
      </w:r>
    </w:p>
    <w:p>
      <w:r>
        <w:rPr>
          <w:rFonts w:ascii="Figtree" w:hAnsi="Figtree"/>
          <w:b w:val="0"/>
          <w:i w:val="0"/>
          <w:sz w:val="22"/>
        </w:rPr>
        <w:t>© 2026 SettleMint NV. All rights reserved. This document contains confidential and proprietary information of SettleMint NV and is submitted solely for evaluation purposes in response to the ADGM RFP for a Digital Asset Regulatory Framework Support Platform. No part of this document may be reproduced, distributed, or disclosed to any third party without the prior written consent of SettleMint NV.</w:t>
      </w: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 (Digital Asset Lifecycle Platform)</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Deployment Model</w:t>
      </w:r>
    </w:p>
    <w:p>
      <w:pPr>
        <w:pStyle w:val="ListParagraph"/>
        <w:numPr>
          <w:ilvl w:val="0"/>
          <w:numId w:val="6"/>
        </w:numPr>
      </w:pPr>
      <w:r>
        <w:rPr>
          <w:rFonts w:ascii="Figtree" w:hAnsi="Figtree"/>
          <w:b w:val="0"/>
          <w:i w:val="0"/>
          <w:sz w:val="22"/>
        </w:rPr>
        <w:t>Project Implementation and Delivery</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pPr>
        <w:pStyle w:val="ListParagraph"/>
        <w:numPr>
          <w:ilvl w:val="0"/>
          <w:numId w:val="6"/>
        </w:numPr>
      </w:pPr>
      <w:r>
        <w:rPr>
          <w:rFonts w:ascii="Figtree" w:hAnsi="Figtree"/>
          <w:b w:val="0"/>
          <w:i w:val="0"/>
          <w:sz w:val="22"/>
        </w:rPr>
        <w:t>Appendix: Support Details</w:t>
      </w:r>
    </w:p>
    <w:p>
      <w:r>
        <w:br w:type="page"/>
      </w:r>
    </w:p>
    <w:p>
      <w:pPr>
        <w:pStyle w:val="H1"/>
        <w:numPr>
          <w:ilvl w:val="0"/>
          <w:numId w:val="1"/>
        </w:numPr>
      </w:pPr>
      <w:r>
        <w:t>1. Executive Summary</w:t>
      </w:r>
    </w:p>
    <w:p>
      <w:pPr>
        <w:pStyle w:val="H2"/>
        <w:numPr>
          <w:ilvl w:val="1"/>
          <w:numId w:val="1"/>
        </w:numPr>
      </w:pPr>
      <w:r>
        <w:t>1.1 Context and Strategic Drivers</w:t>
      </w:r>
    </w:p>
    <w:p>
      <w:r>
        <w:rPr>
          <w:rFonts w:ascii="Figtree" w:hAnsi="Figtree"/>
          <w:b w:val="0"/>
          <w:i w:val="0"/>
          <w:sz w:val="22"/>
        </w:rPr>
        <w:t>ADGM Abu Dhabi Global Market operates at the forefront of digital asset regulation in the Middle East, maintaining one of the region's most mature virtual asset regulatory regimes through the Financial Services Regulatory Authority (FSRA). The institution's Digital Asset Regulatory Framework Support Platform programme addresses the operational complexity of managing tokenized instruments, supervisory workflows, sandbox participant onboarding, and regulatory evidence production at institutional scale.</w:t>
      </w:r>
    </w:p>
    <w:p>
      <w:r>
        <w:rPr>
          <w:rFonts w:ascii="Figtree" w:hAnsi="Figtree"/>
          <w:b w:val="0"/>
          <w:i w:val="0"/>
          <w:sz w:val="22"/>
        </w:rPr>
        <w:t>The programme responds to three converging strategic drivers. First, ADGM's regulatory perimeter continues to expand as virtual asset firms, DLT foundations, tokenized funds, and digital market infrastructure providers seek licensing and supervision. Second, the UAE's national digital economy agenda—including the Digital Dirham initiative and cross-border payment modernization—creates demand for compliant tokenization infrastructure that can operate alongside traditional financial services. Third, international standards evolution (IOSCO, FATF travel rule, ERC-3643 adoption) requires ADGM to maintain evidence-capable systems that can demonstrate control integrity to peer regulators and the public.</w:t>
      </w:r>
    </w:p>
    <w:p>
      <w:r>
        <w:rPr>
          <w:rFonts w:ascii="Figtree" w:hAnsi="Figtree"/>
          <w:b w:val="0"/>
          <w:i w:val="0"/>
          <w:sz w:val="22"/>
        </w:rPr>
        <w:t>These drivers translate into a platform requirement fundamentally different from a generic tokenization engine. ADGM needs a control plane that governs the full lifecycle of regulated digital assets—issuance, compliance enforcement, transfer, settlement, and servicing—while producing the audit trails, supervisory evidence, and governance workflows that a world-class financial centre demands.</w:t>
      </w:r>
    </w:p>
    <w:p>
      <w:pPr>
        <w:pStyle w:val="H2"/>
        <w:numPr>
          <w:ilvl w:val="1"/>
          <w:numId w:val="1"/>
        </w:numPr>
      </w:pPr>
      <w:r>
        <w:t>1.2 Why This Programme Is Hard</w:t>
      </w:r>
    </w:p>
    <w:p>
      <w:r>
        <w:rPr>
          <w:rFonts w:ascii="Figtree" w:hAnsi="Figtree"/>
          <w:b w:val="0"/>
          <w:i w:val="0"/>
          <w:sz w:val="22"/>
        </w:rPr>
        <w:t>Digital asset regulatory framework support platforms are notoriously difficult to operationalize in regulated environments. The challenge is not building a tokenization engine—the underlying blockchain infrastructure is mature. The challenge is building a control layer that satisfies five competing constraints simultaneously.</w:t>
      </w:r>
    </w:p>
    <w:p>
      <w:r>
        <w:rPr>
          <w:rFonts w:ascii="Figtree" w:hAnsi="Figtree"/>
          <w:b w:val="0"/>
          <w:i w:val="0"/>
          <w:sz w:val="22"/>
        </w:rPr>
        <w:t>First, lifecycle complexity multiplies across asset classes. A single bond issuance involves coupon distributions, call/put options, seniority ranking, and maturity events. Equity tokens require dividend payments, share splits, voting rights, and corporate action notifications. Real estate tokens demand fractional ownership records, rental income distribution, and property transfer workflows. DALP manages all these events through a unified model without fragmenting into separate systems.</w:t>
      </w:r>
    </w:p>
    <w:p>
      <w:r>
        <w:rPr>
          <w:rFonts w:ascii="Figtree" w:hAnsi="Figtree"/>
          <w:b w:val="0"/>
          <w:i w:val="0"/>
          <w:sz w:val="22"/>
        </w:rPr>
        <w:t>Second, governance and compliance burden is non-negotiable. Every transfer passes through configurable compliance modules before execution. Every configuration change follows maker-checker workflows. Every operator action produces an immutable audit record. These controls cannot be added as an afterthought—they must be foundational to the platform architecture.</w:t>
      </w:r>
    </w:p>
    <w:p>
      <w:r>
        <w:rPr>
          <w:rFonts w:ascii="Figtree" w:hAnsi="Figtree"/>
          <w:b w:val="0"/>
          <w:i w:val="0"/>
          <w:sz w:val="22"/>
        </w:rPr>
        <w:t>Third, the operationalization gap between pilot and production is where most programmes fail. A demonstration environment that issues five tokens under controlled conditions bears little resemblance to a production system handling thousands of investor records, multiple asset classes, real-time compliance checks, and integration with custody providers, exchanges, and core banking systems. ADGM requires a platform that scales from initial launch to broader adoption without a fundamental architecture reset.</w:t>
      </w:r>
    </w:p>
    <w:p>
      <w:r>
        <w:rPr>
          <w:rFonts w:ascii="Figtree" w:hAnsi="Figtree"/>
          <w:b w:val="0"/>
          <w:i w:val="0"/>
          <w:sz w:val="22"/>
        </w:rPr>
        <w:t>Fourth, integration burden across custody, payments, identity, and reporting creates hidden dependencies. The platform does not operate in isolation—it exchanges data with identity services for investor verification, ledger systems for position management, sanctions screening tools for AML compliance, and reporting environments for regulatory submissions. Each integration point is a potential source of reconciliation breaks, data quality issues, and operational overhead.</w:t>
      </w:r>
    </w:p>
    <w:p>
      <w:r>
        <w:rPr>
          <w:rFonts w:ascii="Figtree" w:hAnsi="Figtree"/>
          <w:b w:val="0"/>
          <w:i w:val="0"/>
          <w:sz w:val="22"/>
        </w:rPr>
        <w:t>Fifth, the UAE regulatory environment has specific requirements—ADGM FSMR framework compliance, CBUAE payment and stored value expectations, UAE SCA rules, UAE AML/CFT law, and outsourcing/cyber resilience expectations—that must be mapped to platform controls with precision. A generic compliance engine does not suffice; the platform supports jurisdiction-specific rule configuration without code changes.</w:t>
      </w:r>
    </w:p>
    <w:p>
      <w:pPr>
        <w:pStyle w:val="H2"/>
        <w:numPr>
          <w:ilvl w:val="1"/>
          <w:numId w:val="1"/>
        </w:numPr>
      </w:pPr>
      <w:r>
        <w:t>1.3 Proposed Response</w:t>
      </w:r>
    </w:p>
    <w:p>
      <w:r>
        <w:rPr>
          <w:rFonts w:ascii="Figtree" w:hAnsi="Figtree"/>
          <w:b w:val="0"/>
          <w:i w:val="0"/>
          <w:sz w:val="22"/>
        </w:rPr>
        <w:t>SettleMint proposes DALP (Digital Asset Lifecycle Platform) as the foundational infrastructure for ADGM's Digital Asset Regulatory Framework Support Platform. DALP is a production-grade platform purpose-built for regulated financial institutions, market infrastructure providers, and sovereign entities managing digital assets across the full lifecycle.</w:t>
      </w:r>
    </w:p>
    <w:p>
      <w:r>
        <w:rPr>
          <w:rFonts w:ascii="Figtree" w:hAnsi="Figtree"/>
          <w:b w:val="0"/>
          <w:i w:val="0"/>
          <w:sz w:val="22"/>
        </w:rPr>
        <w:t>The proposed deployment model is Dedicated Private Cloud deployed within ADGM's existing cloud infrastructure (AWS, Azure, or GCP per ADGM's standard), providing full control over data residency within UAE while leveraging cloud-native scalability. This model aligns with ADGM's preference for infrastructure control while avoiding the operational overhead of on-premises deployment.</w:t>
      </w:r>
    </w:p>
    <w:p>
      <w:r>
        <w:rPr>
          <w:rFonts w:ascii="Figtree" w:hAnsi="Figtree"/>
          <w:b w:val="0"/>
          <w:i w:val="0"/>
          <w:sz w:val="22"/>
        </w:rPr>
        <w:t>The target asset scope encompasses regulatory tokens, security tokens (bonds, equity, funds), virtual asset tokens, and sandbox participant instruments. The compliance approach leverages DALP's modular ERC-3643 compliance engine with pre-built modules for investor limits, country restrictions, identity verification, transfer approval workflows, and supply caps—configurable to ADGM's specific FSMR and UAE AML/CFT requirements without smart contract redeployment.</w:t>
      </w:r>
    </w:p>
    <w:p>
      <w:r>
        <w:rPr>
          <w:rFonts w:ascii="Figtree" w:hAnsi="Figtree"/>
          <w:b w:val="0"/>
          <w:i w:val="0"/>
          <w:sz w:val="22"/>
        </w:rPr>
        <w:t>The custody model supports both self-custody (local signer with HSM) and third-party custody integration (Fireblocks, DFNS), allowing ADGM to select the appropriate model per asset class or participant category. The integration perimeter connects to ADGM's existing identity services, ledger systems, sanctions screening tools, and reporting environments through DALP's REST API and event-driven webhook architecture.</w:t>
      </w:r>
    </w:p>
    <w:p>
      <w:r>
        <w:rPr>
          <w:rFonts w:ascii="Figtree" w:hAnsi="Figtree"/>
          <w:b w:val="0"/>
          <w:i w:val="0"/>
          <w:sz w:val="22"/>
        </w:rPr>
        <w:t>The phased delivery model spans 19 weeks from kickoff to hypercare completion: Discovery (2 weeks), Foundation (3 weeks), Configuration (4 weeks), Integration and Testing (4 weeks), and Go-Live with Hypercare (6 weeks). This timeline delivers a production-ready system with all core capabilities operational, suitable for initial participant onboarding.</w:t>
      </w:r>
    </w:p>
    <w:p>
      <w:pPr>
        <w:pStyle w:val="H2"/>
        <w:numPr>
          <w:ilvl w:val="1"/>
          <w:numId w:val="1"/>
        </w:numPr>
      </w:pPr>
      <w:r>
        <w:t>1.4 Why SettleMint</w:t>
      </w:r>
    </w:p>
    <w:p>
      <w:r>
        <w:rPr>
          <w:rFonts w:ascii="Figtree" w:hAnsi="Figtree"/>
          <w:b w:val="0"/>
          <w:i w:val="0"/>
          <w:sz w:val="22"/>
        </w:rPr>
        <w:t>SettleMint brings a combination of production credibility, regulatory awareness, and regional relevance that few competitors match.</w:t>
      </w:r>
    </w:p>
    <w:p>
      <w:r>
        <w:rPr>
          <w:rFonts w:ascii="Figtree" w:hAnsi="Figtree"/>
          <w:b w:val="0"/>
          <w:i w:val="0"/>
          <w:sz w:val="22"/>
        </w:rPr>
        <w:t>The company has operated continuously since 2016, making it one of the oldest enterprise blockchain platform companies in Europe. This tenure translates into production maturity: seven years of live deployments at regulated banks in Asia and Europe, including sovereign-scale programmes in the Middle East that operate under real regulatory scrutiny.</w:t>
      </w:r>
    </w:p>
    <w:p>
      <w:r>
        <w:rPr>
          <w:rFonts w:ascii="Figtree" w:hAnsi="Figtree"/>
          <w:b w:val="0"/>
          <w:i w:val="0"/>
          <w:sz w:val="22"/>
        </w:rPr>
        <w:t>SettleMint's regional relevance is particularly strong for this procurement. The company has active sovereign programmes in the Gulf region, including the Saudi Arabia Real Estate Registry—a country-scale blockchain for property registration and fractionalization that went live in January 2026. SettleMint has also delivered the ADI-Finstreet institutional equity issuance on ADI mainnet, demonstrating direct familiarity with Abu Dhabi's digital asset ecosystem. This experience means SettleMint understands ADGM's regulatory context, market infrastructure, and operational expectations without a learning curve.</w:t>
      </w:r>
    </w:p>
    <w:p>
      <w:r>
        <w:rPr>
          <w:rFonts w:ascii="Figtree" w:hAnsi="Figtree"/>
          <w:b w:val="0"/>
          <w:i w:val="0"/>
          <w:sz w:val="22"/>
        </w:rPr>
        <w:t>The company's leadership includes executives with direct experience at Standard Chartered, SC Ventures, and major European banks, bringing financial domain expertise that pure technology vendors lack. The engineering team combines decades of experience across banking, capital markets, and blockchain engineering, operating as a focused unit that maintains architectural coherence across the full stack.</w:t>
      </w:r>
    </w:p>
    <w:p>
      <w:r>
        <w:rPr>
          <w:rFonts w:ascii="Figtree" w:hAnsi="Figtree"/>
          <w:b w:val="0"/>
          <w:i w:val="0"/>
          <w:sz w:val="22"/>
        </w:rPr>
        <w:t>SettleMint holds ISO 27001 and SOC 2 Type II certifications, confirming security controls that meet institutional standards. The company has successfully completed vendor risk assessments at tier-1 financial institutions, passing security reviews, penetration testing, and due diligence processes typical of large financial organizations.</w:t>
      </w:r>
    </w:p>
    <w:p>
      <w:pPr>
        <w:pStyle w:val="H2"/>
        <w:numPr>
          <w:ilvl w:val="1"/>
          <w:numId w:val="1"/>
        </w:numPr>
      </w:pPr>
      <w:r>
        <w:t>1.5 Why DALP</w:t>
      </w:r>
    </w:p>
    <w:p>
      <w:r>
        <w:rPr>
          <w:rFonts w:ascii="Figtree" w:hAnsi="Figtree"/>
          <w:b w:val="0"/>
          <w:i w:val="0"/>
          <w:sz w:val="22"/>
        </w:rPr>
        <w:t>DALP is purpose-built as a lifecycle platform and control plane, not a point solution for token issuance. This distinction is critical for ADGM's requirements.</w:t>
      </w:r>
    </w:p>
    <w:p>
      <w:r>
        <w:rPr>
          <w:rFonts w:ascii="Figtree" w:hAnsi="Figtree"/>
          <w:b w:val="0"/>
          <w:i w:val="0"/>
          <w:sz w:val="22"/>
        </w:rPr>
        <w:t>The platform covers the full asset lifecycle through five integrated pillars: Issuance, Compliance, Custody, Settlement, and Servicing. Each pillar provides production-grade capabilities addressing the operational realities of regulated digital asset management. Issuance handles asset configuration, minting, and lifecycle logic through the SMART Protocol (ERC-3643). Compliance enforces transfer rules through 18 modular compliance types that compose, configure, and reconfigure at runtime. Custody manages key material through Key Guardian with HSM integration and MPC provider support. Settlement provides atomic Delivery-versus-Payment (DvP) and Exchange-versus-Payment (XvP) protocols. Servicing handles corporate actions including coupon distributions, dividend payments, maturity events, and redemption.</w:t>
      </w:r>
    </w:p>
    <w:p>
      <w:r>
        <w:rPr>
          <w:rFonts w:ascii="Figtree" w:hAnsi="Figtree"/>
          <w:b w:val="0"/>
          <w:i w:val="0"/>
          <w:sz w:val="22"/>
        </w:rPr>
        <w:t>DALP's control plane positioning ensures that every transaction, every configuration change, and every operator action produces immutable evidence suitable for audit, supervisory review, and board reporting. The platform's dual-layer permission model combines off-chain RBAC (Better Auth) with on-chain role enforcement (AccessManager contracts), ensuring that no single-layer failure grants unauthorized access.</w:t>
      </w:r>
    </w:p>
    <w:p>
      <w:r>
        <w:rPr>
          <w:rFonts w:ascii="Figtree" w:hAnsi="Figtree"/>
          <w:b w:val="0"/>
          <w:i w:val="0"/>
          <w:sz w:val="22"/>
        </w:rPr>
        <w:t>The platform's interoperability and operations credentials are equally strong. DALP provides an API-first architecture with OpenAPI 3.1 specifications, a TypeScript SDK, webhook events, and enterprise messaging integration. The platform operates on any EVM-compatible blockchain—from public networks (Ethereum, Polygon, Avalanche) to private consortium networks (Hyperledger Besu)—with consistent governance across environments. The observability stack ships as code with pre-built Grafana dashboards, alerting rules, and structured logging, enabling ADGM to operate the platform without hidden dependencies.</w:t>
      </w:r>
    </w:p>
    <w:p>
      <w:pPr>
        <w:pStyle w:val="H2"/>
        <w:numPr>
          <w:ilvl w:val="1"/>
          <w:numId w:val="1"/>
        </w:numPr>
      </w:pPr>
      <w:r>
        <w:t>1.6 Reference Fit Snapshot</w:t>
      </w:r>
    </w:p>
    <w:p>
      <w:r>
        <w:rPr>
          <w:rFonts w:ascii="Figtree" w:hAnsi="Figtree"/>
          <w:b w:val="0"/>
          <w:i w:val="0"/>
          <w:sz w:val="22"/>
        </w:rPr>
        <w:t>Three references demonstrate direct relevance to ADGM's requirements:</w:t>
      </w:r>
    </w:p>
    <w:p>
      <w:r>
        <w:rPr>
          <w:rFonts w:ascii="Figtree" w:hAnsi="Figtree"/>
          <w:b/>
          <w:i w:val="0"/>
          <w:sz w:val="22"/>
        </w:rPr>
        <w:t>ADI-Finstreet (Abu Dhabi, 2025):</w:t>
      </w:r>
      <w:r>
        <w:rPr>
          <w:rFonts w:ascii="Figtree" w:hAnsi="Figtree"/>
          <w:b w:val="0"/>
          <w:i w:val="0"/>
          <w:sz w:val="22"/>
        </w:rPr>
        <w:t xml:space="preserve"> Tokenized equity issuance on ADI mainnet with corporate actions, on-chain voting, and institutional custody integration. This reference demonstrates SettleMint's direct experience with ADGM's regulatory ecosystem, digital asset infrastructure, and institutional custody arrangements. The relevance to ADGM's Digital Asset Regulatory Framework Support Platform is immediate and specific.</w:t>
      </w:r>
    </w:p>
    <w:p>
      <w:r>
        <w:rPr>
          <w:rFonts w:ascii="Figtree" w:hAnsi="Figtree"/>
          <w:b/>
          <w:i w:val="0"/>
          <w:sz w:val="22"/>
        </w:rPr>
        <w:t>Saudi Arabia Real Estate Registry (2024-present):</w:t>
      </w:r>
      <w:r>
        <w:rPr>
          <w:rFonts w:ascii="Figtree" w:hAnsi="Figtree"/>
          <w:b w:val="0"/>
          <w:i w:val="0"/>
          <w:sz w:val="22"/>
        </w:rPr>
        <w:t xml:space="preserve"> Country-scale blockchain for real estate registration, fractionalization, and digital marketplace under REGA/Vision 2030. This sovereign-scale programme demonstrates SettleMint's ability to deliver national infrastructure operating under regulatory supervision, integrating with government systems (national identity via Yakeen, payment rails via Sadad), and processing live transactions. The governance, auditability, and multi-participant coordination required for this programme align directly with ADGM's supervisory platform requirements.</w:t>
      </w:r>
    </w:p>
    <w:p>
      <w:r>
        <w:rPr>
          <w:rFonts w:ascii="Figtree" w:hAnsi="Figtree"/>
          <w:b/>
          <w:i w:val="0"/>
          <w:sz w:val="22"/>
        </w:rPr>
        <w:t>Standard Chartered Bank (Asia, Africa, Middle East, 2023-2024):</w:t>
      </w:r>
      <w:r>
        <w:rPr>
          <w:rFonts w:ascii="Figtree" w:hAnsi="Figtree"/>
          <w:b w:val="0"/>
          <w:i w:val="0"/>
          <w:sz w:val="22"/>
        </w:rPr>
        <w:t xml:space="preserve"> Digital Virtual Exchange with fractional tokenization, instant settlement, and elimination of custody intermediaries. This banking reference demonstrates DALP's capability to handle securities (shares, bonds, currencies) with institutional-grade compliance, multi-region deployment, and integration with existing banking infrastructure. The fractional ownership, compliance enforcement, and settlement finality required for this programme transfer directly to ADGM's regulatory framework support platform.</w:t>
      </w:r>
    </w:p>
    <w:p>
      <w:r>
        <w:br w:type="page"/>
      </w:r>
    </w:p>
    <w:p>
      <w:pPr>
        <w:pStyle w:val="H1"/>
        <w:numPr>
          <w:ilvl w:val="0"/>
          <w:numId w:val="1"/>
        </w:numPr>
      </w:pPr>
      <w:r>
        <w:t>2. About SettleMint</w:t>
      </w:r>
    </w:p>
    <w:p>
      <w:pPr>
        <w:pStyle w:val="H2"/>
        <w:numPr>
          <w:ilvl w:val="1"/>
          <w:numId w:val="1"/>
        </w:numPr>
      </w:pPr>
      <w:r>
        <w:t>2.1 Company Overview and Mission</w:t>
      </w:r>
    </w:p>
    <w:p>
      <w:r>
        <w:rPr>
          <w:rFonts w:ascii="Figtree" w:hAnsi="Figtree"/>
          <w:b w:val="0"/>
          <w:i w:val="0"/>
          <w:sz w:val="22"/>
        </w:rPr>
        <w:t>SettleMint exists to bridge the gap between digital asset ambitions and production-grade execution. The company's mission is to enable financial institutions, market infrastructure providers, and sovereign entities to move real-world value on-chain with a compliant, secure, production-grade digital asset lifecycle platform.</w:t>
      </w:r>
    </w:p>
    <w:p>
      <w:r>
        <w:rPr>
          <w:rFonts w:ascii="Figtree" w:hAnsi="Figtree"/>
          <w:b w:val="0"/>
          <w:i w:val="0"/>
          <w:sz w:val="22"/>
        </w:rPr>
        <w:t>Financial institutions and governments recognize that tokenization and digital assets are becoming core infrastructure for capital markets and real-world assets. Regulatory frameworks are maturing, tokenized instruments are appearing on balance sheets, and expectations are shifting from innovation theater to operational reality.</w:t>
      </w:r>
    </w:p>
    <w:p>
      <w:r>
        <w:rPr>
          <w:rFonts w:ascii="Figtree" w:hAnsi="Figtree"/>
          <w:b w:val="0"/>
          <w:i w:val="0"/>
          <w:sz w:val="22"/>
        </w:rPr>
        <w:t>Yet tokenization technology being accessible does not mean institutional-grade implementation is. The real challenge lies in doing it correctly at production scale: meeting regulatory requirements, implementing proper governance, supporting the full asset lifecycle, and ensuring that early pilots scale into real institutional infrastructure. Most organizations remain stuck in pilot mode, overwhelmed by the complexity of regulatory compliance, governance requirements, and building infrastructure that withstands production scrutiny.</w:t>
      </w:r>
    </w:p>
    <w:p>
      <w:r>
        <w:rPr>
          <w:rFonts w:ascii="Figtree" w:hAnsi="Figtree"/>
          <w:b w:val="0"/>
          <w:i w:val="0"/>
          <w:sz w:val="22"/>
        </w:rPr>
        <w:t>SettleMint solves this complexity, turning digital asset strategy into operating systems that reduce time-to-market and remove operational and regulatory risk.</w:t>
      </w:r>
    </w:p>
    <w:p>
      <w:r>
        <w:rPr>
          <w:rFonts w:ascii="Figtree" w:hAnsi="Figtree"/>
          <w:b w:val="0"/>
          <w:i w:val="0"/>
          <w:sz w:val="22"/>
        </w:rPr>
        <w:t>SettleMint is the production-grade digital asset lifecycle management company for regulated financial markets and sovereign use cases. The company provides the governance and orchestration layer between existing core financial systems and multiple blockchain networks, delivering the infrastructure required to build, deploy, and operate compliant digital asset solutions in production.</w:t>
      </w:r>
    </w:p>
    <w:p>
      <w:pPr>
        <w:pStyle w:val="H2"/>
        <w:numPr>
          <w:ilvl w:val="1"/>
          <w:numId w:val="1"/>
        </w:numPr>
      </w:pPr>
      <w:r>
        <w:t>2.2 History and Market Position</w:t>
      </w:r>
    </w:p>
    <w:p>
      <w:r>
        <w:rPr>
          <w:rFonts w:ascii="Figtree" w:hAnsi="Figtree"/>
          <w:b w:val="0"/>
          <w:i w:val="0"/>
          <w:sz w:val="22"/>
        </w:rPr>
        <w:t>SettleMint was founded in 2016 and is headquartered in Leuven, Belgium. The company was established by practitioners working in blockchain and distributed systems since the early enterprise adoption wave, with hands-on experience designing and delivering tokenization, payments, and capital markets projects, and a track record of turning prototypes into production systems that pass institutional scrutiny.</w:t>
      </w:r>
    </w:p>
    <w:p>
      <w:r>
        <w:rPr>
          <w:rFonts w:ascii="Figtree" w:hAnsi="Figtree"/>
          <w:b/>
          <w:i w:val="0"/>
          <w:sz w:val="22"/>
        </w:rPr>
        <w:t>Key Milestones:</w:t>
      </w:r>
    </w:p>
    <w:p>
      <w:pPr>
        <w:pStyle w:val="ListParagraph"/>
        <w:numPr>
          <w:ilvl w:val="0"/>
          <w:numId w:val="4"/>
        </w:numPr>
      </w:pPr>
      <w:r>
        <w:rPr>
          <w:rFonts w:ascii="Figtree" w:hAnsi="Figtree"/>
          <w:b/>
          <w:i w:val="0"/>
          <w:sz w:val="22"/>
        </w:rPr>
        <w:t>2016 - Founding:</w:t>
      </w:r>
      <w:r>
        <w:rPr>
          <w:rFonts w:ascii="Figtree" w:hAnsi="Figtree"/>
          <w:b w:val="0"/>
          <w:i w:val="0"/>
          <w:sz w:val="22"/>
        </w:rPr>
        <w:t xml:space="preserve"> Established in Leuven, Belgium, with a focus on enterprise blockchain infrastructure, recognizing that production deployment required more than proof-of-concept technology</w:t>
      </w:r>
    </w:p>
    <w:p>
      <w:pPr>
        <w:pStyle w:val="ListParagraph"/>
        <w:numPr>
          <w:ilvl w:val="0"/>
          <w:numId w:val="4"/>
        </w:numPr>
      </w:pPr>
      <w:r>
        <w:rPr>
          <w:rFonts w:ascii="Figtree" w:hAnsi="Figtree"/>
          <w:b/>
          <w:i w:val="0"/>
          <w:sz w:val="22"/>
        </w:rPr>
        <w:t>Early Production Deployments:</w:t>
      </w:r>
      <w:r>
        <w:rPr>
          <w:rFonts w:ascii="Figtree" w:hAnsi="Figtree"/>
          <w:b w:val="0"/>
          <w:i w:val="0"/>
          <w:sz w:val="22"/>
        </w:rPr>
        <w:t xml:space="preserve"> First customer programmes with tier-1 and tier-2 financial institutions, moving from innovation pilots to live transaction processing</w:t>
      </w:r>
    </w:p>
    <w:p>
      <w:pPr>
        <w:pStyle w:val="ListParagraph"/>
        <w:numPr>
          <w:ilvl w:val="0"/>
          <w:numId w:val="4"/>
        </w:numPr>
      </w:pPr>
      <w:r>
        <w:rPr>
          <w:rFonts w:ascii="Figtree" w:hAnsi="Figtree"/>
          <w:b/>
          <w:i w:val="0"/>
          <w:sz w:val="22"/>
        </w:rPr>
        <w:t>Platform Evolution:</w:t>
      </w:r>
      <w:r>
        <w:rPr>
          <w:rFonts w:ascii="Figtree" w:hAnsi="Figtree"/>
          <w:b w:val="0"/>
          <w:i w:val="0"/>
          <w:sz w:val="22"/>
        </w:rPr>
        <w:t xml:space="preserve"> Development and release of DALP (Digital Asset Lifecycle Platform), consolidating years of production experience into a unified platform architecture</w:t>
      </w:r>
    </w:p>
    <w:p>
      <w:pPr>
        <w:pStyle w:val="ListParagraph"/>
        <w:numPr>
          <w:ilvl w:val="0"/>
          <w:numId w:val="4"/>
        </w:numPr>
      </w:pPr>
      <w:r>
        <w:rPr>
          <w:rFonts w:ascii="Figtree" w:hAnsi="Figtree"/>
          <w:b/>
          <w:i w:val="0"/>
          <w:sz w:val="22"/>
        </w:rPr>
        <w:t>Geographic Expansion:</w:t>
      </w:r>
      <w:r>
        <w:rPr>
          <w:rFonts w:ascii="Figtree" w:hAnsi="Figtree"/>
          <w:b w:val="0"/>
          <w:i w:val="0"/>
          <w:sz w:val="22"/>
        </w:rPr>
        <w:t xml:space="preserve"> Expansion of operations across Europe, the Middle East (including active sovereign programmes in the Gulf region), and Asia-Pacific (including production deployments in Japan and Singapore)</w:t>
      </w:r>
    </w:p>
    <w:p>
      <w:pPr>
        <w:pStyle w:val="ListParagraph"/>
        <w:numPr>
          <w:ilvl w:val="0"/>
          <w:numId w:val="4"/>
        </w:numPr>
      </w:pPr>
      <w:r>
        <w:rPr>
          <w:rFonts w:ascii="Figtree" w:hAnsi="Figtree"/>
          <w:b/>
          <w:i w:val="0"/>
          <w:sz w:val="22"/>
        </w:rPr>
        <w:t>Sovereign-Scale Programmes:</w:t>
      </w:r>
      <w:r>
        <w:rPr>
          <w:rFonts w:ascii="Figtree" w:hAnsi="Figtree"/>
          <w:b w:val="0"/>
          <w:i w:val="0"/>
          <w:sz w:val="22"/>
        </w:rPr>
        <w:t xml:space="preserve"> Engagement with national-scale tokenization initiatives, including real estate registries and sovereign capital markets infrastructure</w:t>
      </w:r>
    </w:p>
    <w:p>
      <w:pPr>
        <w:pStyle w:val="ListParagraph"/>
        <w:numPr>
          <w:ilvl w:val="0"/>
          <w:numId w:val="4"/>
        </w:numPr>
      </w:pPr>
      <w:r>
        <w:rPr>
          <w:rFonts w:ascii="Figtree" w:hAnsi="Figtree"/>
          <w:b/>
          <w:i w:val="0"/>
          <w:sz w:val="22"/>
        </w:rPr>
        <w:t>Series A Funding:</w:t>
      </w:r>
      <w:r>
        <w:rPr>
          <w:rFonts w:ascii="Figtree" w:hAnsi="Figtree"/>
          <w:b w:val="0"/>
          <w:i w:val="0"/>
          <w:sz w:val="22"/>
        </w:rPr>
        <w:t xml:space="preserve"> Completion of Series A financing round backed by leading investors in Europe and the Middle East, providing capital to accelerate platform development and geographic expansion</w:t>
      </w:r>
    </w:p>
    <w:p>
      <w:pPr>
        <w:pStyle w:val="ListParagraph"/>
        <w:numPr>
          <w:ilvl w:val="0"/>
          <w:numId w:val="4"/>
        </w:numPr>
      </w:pPr>
      <w:r>
        <w:rPr>
          <w:rFonts w:ascii="Figtree" w:hAnsi="Figtree"/>
          <w:b/>
          <w:i w:val="0"/>
          <w:sz w:val="22"/>
        </w:rPr>
        <w:t>Continued Production Growth:</w:t>
      </w:r>
      <w:r>
        <w:rPr>
          <w:rFonts w:ascii="Figtree" w:hAnsi="Figtree"/>
          <w:b w:val="0"/>
          <w:i w:val="0"/>
          <w:sz w:val="22"/>
        </w:rPr>
        <w:t xml:space="preserve"> Years of continuous production deployments with increasing transaction volumes, asset types, and regulatory environments</w:t>
      </w:r>
    </w:p>
    <w:p>
      <w:r>
        <w:rPr>
          <w:rFonts w:ascii="Figtree" w:hAnsi="Figtree"/>
          <w:b/>
          <w:i w:val="0"/>
          <w:sz w:val="22"/>
        </w:rPr>
        <w:t>Track Record Indicators:</w:t>
      </w:r>
    </w:p>
    <w:p>
      <w:pPr>
        <w:pStyle w:val="ListParagraph"/>
        <w:numPr>
          <w:ilvl w:val="0"/>
          <w:numId w:val="4"/>
        </w:numPr>
      </w:pPr>
      <w:r>
        <w:rPr>
          <w:rFonts w:ascii="Figtree" w:hAnsi="Figtree"/>
          <w:b w:val="0"/>
          <w:i w:val="0"/>
          <w:sz w:val="22"/>
        </w:rPr>
        <w:t>Building enterprise blockchain infrastructure since 2016, with 10 years of continuous operation</w:t>
      </w:r>
    </w:p>
    <w:p>
      <w:pPr>
        <w:pStyle w:val="ListParagraph"/>
        <w:numPr>
          <w:ilvl w:val="0"/>
          <w:numId w:val="4"/>
        </w:numPr>
      </w:pPr>
      <w:r>
        <w:rPr>
          <w:rFonts w:ascii="Figtree" w:hAnsi="Figtree"/>
          <w:b w:val="0"/>
          <w:i w:val="0"/>
          <w:sz w:val="22"/>
        </w:rPr>
        <w:t>7+ years of continuous production deployments at regulated banks in Asia and Europe</w:t>
      </w:r>
    </w:p>
    <w:p>
      <w:pPr>
        <w:pStyle w:val="ListParagraph"/>
        <w:numPr>
          <w:ilvl w:val="0"/>
          <w:numId w:val="4"/>
        </w:numPr>
      </w:pPr>
      <w:r>
        <w:rPr>
          <w:rFonts w:ascii="Figtree" w:hAnsi="Figtree"/>
          <w:b w:val="0"/>
          <w:i w:val="0"/>
          <w:sz w:val="22"/>
        </w:rPr>
        <w:t>Active sovereign and national-scale programmes in the Middle East</w:t>
      </w:r>
    </w:p>
    <w:p>
      <w:pPr>
        <w:pStyle w:val="ListParagraph"/>
        <w:numPr>
          <w:ilvl w:val="0"/>
          <w:numId w:val="4"/>
        </w:numPr>
      </w:pPr>
      <w:r>
        <w:rPr>
          <w:rFonts w:ascii="Figtree" w:hAnsi="Figtree"/>
          <w:b w:val="0"/>
          <w:i w:val="0"/>
          <w:sz w:val="22"/>
        </w:rPr>
        <w:t>Live deployments across bonds, equities, deposits, stablecoins, real estate, funds, and precious minerals</w:t>
      </w:r>
    </w:p>
    <w:p>
      <w:pPr>
        <w:pStyle w:val="H2"/>
        <w:numPr>
          <w:ilvl w:val="1"/>
          <w:numId w:val="1"/>
        </w:numPr>
      </w:pPr>
      <w:r>
        <w:t>2.3 Production Credentials</w:t>
      </w:r>
    </w:p>
    <w:p>
      <w:r>
        <w:rPr>
          <w:rFonts w:ascii="Figtree" w:hAnsi="Figtree"/>
          <w:b w:val="0"/>
          <w:i w:val="0"/>
          <w:sz w:val="22"/>
        </w:rPr>
        <w:t>SettleMint's production credentials demonstrate the platform's maturity and institutional readiness: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59"/>
        <w:gridCol w:w="671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4873"/>
            <w:vAlign w:val="center"/>
          </w:tcPr>
          <w:p>
            <w:pPr>
              <w:spacing w:line="276" w:lineRule="auto" w:before="0" w:after="0"/>
            </w:pPr>
            <w:r/>
            <w:r>
              <w:rPr>
                <w:rFonts w:ascii="Figtree" w:hAnsi="Figtree"/>
                <w:b/>
                <w:i w:val="0"/>
                <w:sz w:val="20"/>
              </w:rPr>
              <w:t>Operational tenure</w:t>
            </w:r>
          </w:p>
        </w:tc>
        <w:tc>
          <w:tcPr>
            <w:tcW w:type="dxa" w:w="4873"/>
            <w:vAlign w:val="center"/>
          </w:tcPr>
          <w:p>
            <w:pPr>
              <w:spacing w:line="276" w:lineRule="auto" w:before="0" w:after="0"/>
            </w:pPr>
            <w:r/>
            <w:r>
              <w:rPr>
                <w:rFonts w:ascii="Figtree" w:hAnsi="Figtree"/>
                <w:b w:val="0"/>
                <w:i w:val="0"/>
                <w:sz w:val="20"/>
              </w:rPr>
              <w:t>10 years continuous operation in enterprise blockchain infrastructure</w:t>
            </w:r>
          </w:p>
        </w:tc>
      </w:tr>
      <w:tr>
        <w:trPr>
          <w:trHeight w:val="425" w:hRule="atLeast"/>
        </w:trPr>
        <w:tc>
          <w:tcPr>
            <w:tcW w:type="dxa" w:w="4873"/>
            <w:vAlign w:val="center"/>
          </w:tcPr>
          <w:p>
            <w:pPr>
              <w:spacing w:line="276" w:lineRule="auto" w:before="0" w:after="0"/>
            </w:pPr>
            <w:r/>
            <w:r>
              <w:rPr>
                <w:rFonts w:ascii="Figtree" w:hAnsi="Figtree"/>
                <w:b/>
                <w:i w:val="0"/>
                <w:sz w:val="20"/>
              </w:rPr>
              <w:t>Production deployments</w:t>
            </w:r>
          </w:p>
        </w:tc>
        <w:tc>
          <w:tcPr>
            <w:tcW w:type="dxa" w:w="4873"/>
            <w:vAlign w:val="center"/>
          </w:tcPr>
          <w:p>
            <w:pPr>
              <w:spacing w:line="276" w:lineRule="auto" w:before="0" w:after="0"/>
            </w:pPr>
            <w:r/>
            <w:r>
              <w:rPr>
                <w:rFonts w:ascii="Figtree" w:hAnsi="Figtree"/>
                <w:b w:val="0"/>
                <w:i w:val="0"/>
                <w:sz w:val="20"/>
              </w:rPr>
              <w:t>7+ years at regulated banks in Asia and Europe</w:t>
            </w:r>
          </w:p>
        </w:tc>
      </w:tr>
      <w:tr>
        <w:trPr>
          <w:trHeight w:val="425" w:hRule="atLeast"/>
        </w:trPr>
        <w:tc>
          <w:tcPr>
            <w:tcW w:type="dxa" w:w="4873"/>
            <w:vAlign w:val="center"/>
          </w:tcPr>
          <w:p>
            <w:pPr>
              <w:spacing w:line="276" w:lineRule="auto" w:before="0" w:after="0"/>
            </w:pPr>
            <w:r/>
            <w:r>
              <w:rPr>
                <w:rFonts w:ascii="Figtree" w:hAnsi="Figtree"/>
                <w:b/>
                <w:i w:val="0"/>
                <w:sz w:val="20"/>
              </w:rPr>
              <w:t>Sovereign programmes</w:t>
            </w:r>
          </w:p>
        </w:tc>
        <w:tc>
          <w:tcPr>
            <w:tcW w:type="dxa" w:w="4873"/>
            <w:vAlign w:val="center"/>
          </w:tcPr>
          <w:p>
            <w:pPr>
              <w:spacing w:line="276" w:lineRule="auto" w:before="0" w:after="0"/>
            </w:pPr>
            <w:r/>
            <w:r>
              <w:rPr>
                <w:rFonts w:ascii="Figtree" w:hAnsi="Figtree"/>
                <w:b w:val="0"/>
                <w:i w:val="0"/>
                <w:sz w:val="20"/>
              </w:rPr>
              <w:t>National-scale deployments in Saudi Arabia (RER), UAE (ADI), and multi-country IsDB programmes</w:t>
            </w:r>
          </w:p>
        </w:tc>
      </w:tr>
      <w:tr>
        <w:trPr>
          <w:trHeight w:val="425" w:hRule="atLeast"/>
        </w:trPr>
        <w:tc>
          <w:tcPr>
            <w:tcW w:type="dxa" w:w="4873"/>
            <w:vAlign w:val="center"/>
          </w:tcPr>
          <w:p>
            <w:pPr>
              <w:spacing w:line="276" w:lineRule="auto" w:before="0" w:after="0"/>
            </w:pPr>
            <w:r/>
            <w:r>
              <w:rPr>
                <w:rFonts w:ascii="Figtree" w:hAnsi="Figtree"/>
                <w:b/>
                <w:i w:val="0"/>
                <w:sz w:val="20"/>
              </w:rPr>
              <w:t>Asset class breadth</w:t>
            </w:r>
          </w:p>
        </w:tc>
        <w:tc>
          <w:tcPr>
            <w:tcW w:type="dxa" w:w="4873"/>
            <w:vAlign w:val="center"/>
          </w:tcPr>
          <w:p>
            <w:pPr>
              <w:spacing w:line="276" w:lineRule="auto" w:before="0" w:after="0"/>
            </w:pPr>
            <w:r/>
            <w:r>
              <w:rPr>
                <w:rFonts w:ascii="Figtree" w:hAnsi="Figtree"/>
                <w:b w:val="0"/>
                <w:i w:val="0"/>
                <w:sz w:val="20"/>
              </w:rPr>
              <w:t>Live deployments across bonds, equities, deposits, stablecoins, real estate, funds, precious minerals</w:t>
            </w:r>
          </w:p>
        </w:tc>
      </w:tr>
      <w:tr>
        <w:trPr>
          <w:trHeight w:val="425" w:hRule="atLeast"/>
        </w:trPr>
        <w:tc>
          <w:tcPr>
            <w:tcW w:type="dxa" w:w="4873"/>
            <w:vAlign w:val="center"/>
          </w:tcPr>
          <w:p>
            <w:pPr>
              <w:spacing w:line="276" w:lineRule="auto" w:before="0" w:after="0"/>
            </w:pPr>
            <w:r/>
            <w:r>
              <w:rPr>
                <w:rFonts w:ascii="Figtree" w:hAnsi="Figtree"/>
                <w:b/>
                <w:i w:val="0"/>
                <w:sz w:val="20"/>
              </w:rPr>
              <w:t>Transaction volumes</w:t>
            </w:r>
          </w:p>
        </w:tc>
        <w:tc>
          <w:tcPr>
            <w:tcW w:type="dxa" w:w="4873"/>
            <w:vAlign w:val="center"/>
          </w:tcPr>
          <w:p>
            <w:pPr>
              <w:spacing w:line="276" w:lineRule="auto" w:before="0" w:after="0"/>
            </w:pPr>
            <w:r/>
            <w:r>
              <w:rPr>
                <w:rFonts w:ascii="Figtree" w:hAnsi="Figtree"/>
                <w:b w:val="0"/>
                <w:i w:val="0"/>
                <w:sz w:val="20"/>
              </w:rPr>
              <w:t>High-volume transactional flows in payments and settlements under institutional SLAs</w:t>
            </w:r>
          </w:p>
        </w:tc>
      </w:tr>
      <w:tr>
        <w:trPr>
          <w:trHeight w:val="425" w:hRule="atLeast"/>
        </w:trPr>
        <w:tc>
          <w:tcPr>
            <w:tcW w:type="dxa" w:w="4873"/>
            <w:vAlign w:val="center"/>
          </w:tcPr>
          <w:p>
            <w:pPr>
              <w:spacing w:line="276" w:lineRule="auto" w:before="0" w:after="0"/>
            </w:pPr>
            <w:r/>
            <w:r>
              <w:rPr>
                <w:rFonts w:ascii="Figtree" w:hAnsi="Figtree"/>
                <w:b/>
                <w:i w:val="0"/>
                <w:sz w:val="20"/>
              </w:rPr>
              <w:t>Security certifications</w:t>
            </w:r>
          </w:p>
        </w:tc>
        <w:tc>
          <w:tcPr>
            <w:tcW w:type="dxa" w:w="4873"/>
            <w:vAlign w:val="center"/>
          </w:tcPr>
          <w:p>
            <w:pPr>
              <w:spacing w:line="276" w:lineRule="auto" w:before="0" w:after="0"/>
            </w:pPr>
            <w:r/>
            <w:r>
              <w:rPr>
                <w:rFonts w:ascii="Figtree" w:hAnsi="Figtree"/>
                <w:b w:val="0"/>
                <w:i w:val="0"/>
                <w:sz w:val="20"/>
              </w:rPr>
              <w:t>ISO 27001 certified; SOC 2 Type II certified</w:t>
            </w:r>
          </w:p>
        </w:tc>
      </w:tr>
      <w:tr>
        <w:trPr>
          <w:trHeight w:val="425" w:hRule="atLeast"/>
        </w:trPr>
        <w:tc>
          <w:tcPr>
            <w:tcW w:type="dxa" w:w="4873"/>
            <w:vAlign w:val="center"/>
          </w:tcPr>
          <w:p>
            <w:pPr>
              <w:spacing w:line="276" w:lineRule="auto" w:before="0" w:after="0"/>
            </w:pPr>
            <w:r/>
            <w:r>
              <w:rPr>
                <w:rFonts w:ascii="Figtree" w:hAnsi="Figtree"/>
                <w:b/>
                <w:i w:val="0"/>
                <w:sz w:val="20"/>
              </w:rPr>
              <w:t>Vendor assessments</w:t>
            </w:r>
          </w:p>
        </w:tc>
        <w:tc>
          <w:tcPr>
            <w:tcW w:type="dxa" w:w="4873"/>
            <w:vAlign w:val="center"/>
          </w:tcPr>
          <w:p>
            <w:pPr>
              <w:spacing w:line="276" w:lineRule="auto" w:before="0" w:after="0"/>
            </w:pPr>
            <w:r/>
            <w:r>
              <w:rPr>
                <w:rFonts w:ascii="Figtree" w:hAnsi="Figtree"/>
                <w:b w:val="0"/>
                <w:i w:val="0"/>
                <w:sz w:val="20"/>
              </w:rPr>
              <w:t>Successfully completed vendor risk assessments at tier-1 financial institutions</w:t>
            </w:r>
          </w:p>
        </w:tc>
      </w:tr>
      <w:tr>
        <w:trPr>
          <w:trHeight w:val="425" w:hRule="atLeast"/>
        </w:trPr>
        <w:tc>
          <w:tcPr>
            <w:tcW w:type="dxa" w:w="4873"/>
            <w:vAlign w:val="center"/>
          </w:tcPr>
          <w:p>
            <w:pPr>
              <w:spacing w:line="276" w:lineRule="auto" w:before="0" w:after="0"/>
            </w:pPr>
            <w:r/>
            <w:r>
              <w:rPr>
                <w:rFonts w:ascii="Figtree" w:hAnsi="Figtree"/>
                <w:b/>
                <w:i w:val="0"/>
                <w:sz w:val="20"/>
              </w:rPr>
              <w:t>Support infrastructure</w:t>
            </w:r>
          </w:p>
        </w:tc>
        <w:tc>
          <w:tcPr>
            <w:tcW w:type="dxa" w:w="4873"/>
            <w:vAlign w:val="center"/>
          </w:tcPr>
          <w:p>
            <w:pPr>
              <w:spacing w:line="276" w:lineRule="auto" w:before="0" w:after="0"/>
            </w:pPr>
            <w:r/>
            <w:r>
              <w:rPr>
                <w:rFonts w:ascii="Figtree" w:hAnsi="Figtree"/>
                <w:b w:val="0"/>
                <w:i w:val="0"/>
                <w:sz w:val="20"/>
              </w:rPr>
              <w:t>24/7 operational support capabilities with incident management and business continuity procedures</w:t>
            </w:r>
          </w:p>
        </w:tc>
      </w:tr>
    </w:tbl>
    <w:p>
      <w:pPr>
        <w:spacing w:before="0" w:after="0" w:line="120" w:lineRule="exact"/>
      </w:pPr>
    </w:p>
    <w:p>
      <w:pPr>
        <w:pStyle w:val="H2"/>
        <w:numPr>
          <w:ilvl w:val="1"/>
          <w:numId w:val="1"/>
        </w:numPr>
      </w:pPr>
      <w:r>
        <w:t>2.4 Regulatory Readiness</w:t>
      </w:r>
    </w:p>
    <w:p>
      <w:r>
        <w:rPr>
          <w:rFonts w:ascii="Figtree" w:hAnsi="Figtree"/>
          <w:b w:val="0"/>
          <w:i w:val="0"/>
          <w:sz w:val="22"/>
        </w:rPr>
        <w:t>SettleMint's platform and delivery teams have demonstrated capability across multiple regulatory frameworks relevant to ADGM's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98"/>
        <w:gridCol w:w="727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Regulatory Framework</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Alignment</w:t>
            </w:r>
          </w:p>
        </w:tc>
      </w:tr>
      <w:tr>
        <w:trPr>
          <w:trHeight w:val="425" w:hRule="atLeast"/>
        </w:trPr>
        <w:tc>
          <w:tcPr>
            <w:tcW w:type="dxa" w:w="4873"/>
            <w:vAlign w:val="center"/>
          </w:tcPr>
          <w:p>
            <w:pPr>
              <w:spacing w:line="276" w:lineRule="auto" w:before="0" w:after="0"/>
            </w:pPr>
            <w:r/>
            <w:r>
              <w:rPr>
                <w:rFonts w:ascii="Figtree" w:hAnsi="Figtree"/>
                <w:b/>
                <w:i w:val="0"/>
                <w:sz w:val="20"/>
              </w:rPr>
              <w:t>ADGM FSMR</w:t>
            </w:r>
          </w:p>
        </w:tc>
        <w:tc>
          <w:tcPr>
            <w:tcW w:type="dxa" w:w="4873"/>
            <w:vAlign w:val="center"/>
          </w:tcPr>
          <w:p>
            <w:pPr>
              <w:spacing w:line="276" w:lineRule="auto" w:before="0" w:after="0"/>
            </w:pPr>
            <w:r/>
            <w:r>
              <w:rPr>
                <w:rFonts w:ascii="Figtree" w:hAnsi="Figtree"/>
                <w:b w:val="0"/>
                <w:i w:val="0"/>
                <w:sz w:val="20"/>
              </w:rPr>
              <w:t>Modular compliance engine configurable to FSRA virtual asset guidance; on-chain identity and compliance enforcement</w:t>
            </w:r>
          </w:p>
        </w:tc>
      </w:tr>
      <w:tr>
        <w:trPr>
          <w:trHeight w:val="425" w:hRule="atLeast"/>
        </w:trPr>
        <w:tc>
          <w:tcPr>
            <w:tcW w:type="dxa" w:w="4873"/>
            <w:vAlign w:val="center"/>
          </w:tcPr>
          <w:p>
            <w:pPr>
              <w:spacing w:line="276" w:lineRule="auto" w:before="0" w:after="0"/>
            </w:pPr>
            <w:r/>
            <w:r>
              <w:rPr>
                <w:rFonts w:ascii="Figtree" w:hAnsi="Figtree"/>
                <w:b/>
                <w:i w:val="0"/>
                <w:sz w:val="20"/>
              </w:rPr>
              <w:t>UAE AML/CFT</w:t>
            </w:r>
          </w:p>
        </w:tc>
        <w:tc>
          <w:tcPr>
            <w:tcW w:type="dxa" w:w="4873"/>
            <w:vAlign w:val="center"/>
          </w:tcPr>
          <w:p>
            <w:pPr>
              <w:spacing w:line="276" w:lineRule="auto" w:before="0" w:after="0"/>
            </w:pPr>
            <w:r/>
            <w:r>
              <w:rPr>
                <w:rFonts w:ascii="Figtree" w:hAnsi="Figtree"/>
                <w:b w:val="0"/>
                <w:i w:val="0"/>
                <w:sz w:val="20"/>
              </w:rPr>
              <w:t>OnchainID-based identity verification; compliance modules for investor limits, country restrictions, sanctions screening integration</w:t>
            </w:r>
          </w:p>
        </w:tc>
      </w:tr>
      <w:tr>
        <w:trPr>
          <w:trHeight w:val="425" w:hRule="atLeast"/>
        </w:trPr>
        <w:tc>
          <w:tcPr>
            <w:tcW w:type="dxa" w:w="4873"/>
            <w:vAlign w:val="center"/>
          </w:tcPr>
          <w:p>
            <w:pPr>
              <w:spacing w:line="276" w:lineRule="auto" w:before="0" w:after="0"/>
            </w:pPr>
            <w:r/>
            <w:r>
              <w:rPr>
                <w:rFonts w:ascii="Figtree" w:hAnsi="Figtree"/>
                <w:b/>
                <w:i w:val="0"/>
                <w:sz w:val="20"/>
              </w:rPr>
              <w:t>CBUAE</w:t>
            </w:r>
          </w:p>
        </w:tc>
        <w:tc>
          <w:tcPr>
            <w:tcW w:type="dxa" w:w="4873"/>
            <w:vAlign w:val="center"/>
          </w:tcPr>
          <w:p>
            <w:pPr>
              <w:spacing w:line="276" w:lineRule="auto" w:before="0" w:after="0"/>
            </w:pPr>
            <w:r/>
            <w:r>
              <w:rPr>
                <w:rFonts w:ascii="Figtree" w:hAnsi="Figtree"/>
                <w:b w:val="0"/>
                <w:i w:val="0"/>
                <w:sz w:val="20"/>
              </w:rPr>
              <w:t>Payment token support; settlement finality through DvP protocols; integration with RTGS/payment rails via ISO 20022</w:t>
            </w:r>
          </w:p>
        </w:tc>
      </w:tr>
      <w:tr>
        <w:trPr>
          <w:trHeight w:val="425" w:hRule="atLeast"/>
        </w:trPr>
        <w:tc>
          <w:tcPr>
            <w:tcW w:type="dxa" w:w="4873"/>
            <w:vAlign w:val="center"/>
          </w:tcPr>
          <w:p>
            <w:pPr>
              <w:spacing w:line="276" w:lineRule="auto" w:before="0" w:after="0"/>
            </w:pPr>
            <w:r/>
            <w:r>
              <w:rPr>
                <w:rFonts w:ascii="Figtree" w:hAnsi="Figtree"/>
                <w:b/>
                <w:i w:val="0"/>
                <w:sz w:val="20"/>
              </w:rPr>
              <w:t>SCA Rules</w:t>
            </w:r>
          </w:p>
        </w:tc>
        <w:tc>
          <w:tcPr>
            <w:tcW w:type="dxa" w:w="4873"/>
            <w:vAlign w:val="center"/>
          </w:tcPr>
          <w:p>
            <w:pPr>
              <w:spacing w:line="276" w:lineRule="auto" w:before="0" w:after="0"/>
            </w:pPr>
            <w:r/>
            <w:r>
              <w:rPr>
                <w:rFonts w:ascii="Figtree" w:hAnsi="Figtree"/>
                <w:b w:val="0"/>
                <w:i w:val="0"/>
                <w:sz w:val="20"/>
              </w:rPr>
              <w:t>Configurable compliance modules for securities token requirements; corporate action handling</w:t>
            </w:r>
          </w:p>
        </w:tc>
      </w:tr>
      <w:tr>
        <w:trPr>
          <w:trHeight w:val="425" w:hRule="atLeast"/>
        </w:trPr>
        <w:tc>
          <w:tcPr>
            <w:tcW w:type="dxa" w:w="4873"/>
            <w:vAlign w:val="center"/>
          </w:tcPr>
          <w:p>
            <w:pPr>
              <w:spacing w:line="276" w:lineRule="auto" w:before="0" w:after="0"/>
            </w:pPr>
            <w:r/>
            <w:r>
              <w:rPr>
                <w:rFonts w:ascii="Figtree" w:hAnsi="Figtree"/>
                <w:b/>
                <w:i w:val="0"/>
                <w:sz w:val="20"/>
              </w:rPr>
              <w:t>FATF Travel Rule</w:t>
            </w:r>
          </w:p>
        </w:tc>
        <w:tc>
          <w:tcPr>
            <w:tcW w:type="dxa" w:w="4873"/>
            <w:vAlign w:val="center"/>
          </w:tcPr>
          <w:p>
            <w:pPr>
              <w:spacing w:line="276" w:lineRule="auto" w:before="0" w:after="0"/>
            </w:pPr>
            <w:r/>
            <w:r>
              <w:rPr>
                <w:rFonts w:ascii="Figtree" w:hAnsi="Figtree"/>
                <w:b w:val="0"/>
                <w:i w:val="0"/>
                <w:sz w:val="20"/>
              </w:rPr>
              <w:t>On-chain identity through OnchainID (ERC-734/735); configurable transfer restrictions</w:t>
            </w:r>
          </w:p>
        </w:tc>
      </w:tr>
      <w:tr>
        <w:trPr>
          <w:trHeight w:val="425" w:hRule="atLeast"/>
        </w:trPr>
        <w:tc>
          <w:tcPr>
            <w:tcW w:type="dxa" w:w="4873"/>
            <w:vAlign w:val="center"/>
          </w:tcPr>
          <w:p>
            <w:pPr>
              <w:spacing w:line="276" w:lineRule="auto" w:before="0" w:after="0"/>
            </w:pPr>
            <w:r/>
            <w:r>
              <w:rPr>
                <w:rFonts w:ascii="Figtree" w:hAnsi="Figtree"/>
                <w:b/>
                <w:i w:val="0"/>
                <w:sz w:val="20"/>
              </w:rPr>
              <w:t>MiCA (EU reference)</w:t>
            </w:r>
          </w:p>
        </w:tc>
        <w:tc>
          <w:tcPr>
            <w:tcW w:type="dxa" w:w="4873"/>
            <w:vAlign w:val="center"/>
          </w:tcPr>
          <w:p>
            <w:pPr>
              <w:spacing w:line="276" w:lineRule="auto" w:before="0" w:after="0"/>
            </w:pPr>
            <w:r/>
            <w:r>
              <w:rPr>
                <w:rFonts w:ascii="Figtree" w:hAnsi="Figtree"/>
                <w:b w:val="0"/>
                <w:i w:val="0"/>
                <w:sz w:val="20"/>
              </w:rPr>
              <w:t>Pre-built compliance templates for MiCA requirements; investor verification and reporting modules</w:t>
            </w:r>
          </w:p>
        </w:tc>
      </w:tr>
      <w:tr>
        <w:trPr>
          <w:trHeight w:val="425" w:hRule="atLeast"/>
        </w:trPr>
        <w:tc>
          <w:tcPr>
            <w:tcW w:type="dxa" w:w="4873"/>
            <w:vAlign w:val="center"/>
          </w:tcPr>
          <w:p>
            <w:pPr>
              <w:spacing w:line="276" w:lineRule="auto" w:before="0" w:after="0"/>
            </w:pPr>
            <w:r/>
            <w:r>
              <w:rPr>
                <w:rFonts w:ascii="Figtree" w:hAnsi="Figtree"/>
                <w:b/>
                <w:i w:val="0"/>
                <w:sz w:val="20"/>
              </w:rPr>
              <w:t>Islamic Finance</w:t>
            </w:r>
          </w:p>
        </w:tc>
        <w:tc>
          <w:tcPr>
            <w:tcW w:type="dxa" w:w="4873"/>
            <w:vAlign w:val="center"/>
          </w:tcPr>
          <w:p>
            <w:pPr>
              <w:spacing w:line="276" w:lineRule="auto" w:before="0" w:after="0"/>
            </w:pPr>
            <w:r/>
            <w:r>
              <w:rPr>
                <w:rFonts w:ascii="Figtree" w:hAnsi="Figtree"/>
                <w:b w:val="0"/>
                <w:i w:val="0"/>
                <w:sz w:val="20"/>
              </w:rPr>
              <w:t>Sharia-compliant implementations delivered through IsDB subsidy distribution and market stabilisation programmes</w:t>
            </w:r>
          </w:p>
        </w:tc>
      </w:tr>
    </w:tbl>
    <w:p>
      <w:pPr>
        <w:spacing w:before="0" w:after="0" w:line="120" w:lineRule="exact"/>
      </w:pPr>
    </w:p>
    <w:p>
      <w:pPr>
        <w:pStyle w:val="H2"/>
        <w:numPr>
          <w:ilvl w:val="1"/>
          <w:numId w:val="1"/>
        </w:numPr>
      </w:pPr>
      <w:r>
        <w:t>2.5 Team and Delivery Capability</w:t>
      </w:r>
    </w:p>
    <w:p>
      <w:r>
        <w:rPr>
          <w:rFonts w:ascii="Figtree" w:hAnsi="Figtree"/>
          <w:b w:val="0"/>
          <w:i w:val="0"/>
          <w:sz w:val="22"/>
        </w:rPr>
        <w:t>SettleMint's leadership combines deep technical expertise, financial domain knowledge, and enterprise delivery experience.</w:t>
      </w:r>
    </w:p>
    <w:p>
      <w:r>
        <w:rPr>
          <w:rFonts w:ascii="Figtree" w:hAnsi="Figtree"/>
          <w:b/>
          <w:i w:val="0"/>
          <w:sz w:val="22"/>
        </w:rPr>
        <w:t>Adam Popat, CEO:</w:t>
      </w:r>
      <w:r>
        <w:rPr>
          <w:rFonts w:ascii="Figtree" w:hAnsi="Figtree"/>
          <w:b w:val="0"/>
          <w:i w:val="0"/>
          <w:sz w:val="22"/>
        </w:rPr>
        <w:t xml:space="preserve"> Leads SettleMint's commercial strategy and global market expansion. Brings deep experience in finance, digital assets, M&amp;A, and institutional business development, with a background spanning Standard Chartered, SC Ventures, and capital markets. Drives SettleMint's growth across the Middle East, Asia-Pacific, and European markets.</w:t>
      </w:r>
    </w:p>
    <w:p>
      <w:r>
        <w:rPr>
          <w:rFonts w:ascii="Figtree" w:hAnsi="Figtree"/>
          <w:b/>
          <w:i w:val="0"/>
          <w:sz w:val="22"/>
        </w:rPr>
        <w:t>Matthew Van Niekerk, Co-founder and President:</w:t>
      </w:r>
      <w:r>
        <w:rPr>
          <w:rFonts w:ascii="Figtree" w:hAnsi="Figtree"/>
          <w:b w:val="0"/>
          <w:i w:val="0"/>
          <w:sz w:val="22"/>
        </w:rPr>
        <w:t xml:space="preserve"> Leads company strategy, investor relations, and market expansion. Brings extensive experience in enterprise technology, financial services, and blockchain adoption. Under his leadership, SettleMint has expanded from a European base into the Middle East and Asia-Pacific, securing sovereign-scale programmes and tier-1 bank deployments.</w:t>
      </w:r>
    </w:p>
    <w:p>
      <w:r>
        <w:rPr>
          <w:rFonts w:ascii="Figtree" w:hAnsi="Figtree"/>
          <w:b/>
          <w:i w:val="0"/>
          <w:sz w:val="22"/>
        </w:rPr>
        <w:t>Roderik van der Veer, Co-founder and CTO:</w:t>
      </w:r>
      <w:r>
        <w:rPr>
          <w:rFonts w:ascii="Figtree" w:hAnsi="Figtree"/>
          <w:b w:val="0"/>
          <w:i w:val="0"/>
          <w:sz w:val="22"/>
        </w:rPr>
        <w:t xml:space="preserve"> Oversees all technology strategy, platform architecture, and engineering execution for DALP. Deep expertise in distributed systems, blockchain protocols, enterprise software architecture, and security. Responsible for the technical evolution from early blockchain middleware to the full lifecycle platform that DALP represents today.</w:t>
      </w:r>
    </w:p>
    <w:p>
      <w:r>
        <w:rPr>
          <w:rFonts w:ascii="Figtree" w:hAnsi="Figtree"/>
          <w:b w:val="0"/>
          <w:i w:val="0"/>
          <w:sz w:val="22"/>
        </w:rPr>
        <w:t>The engineering team operates as a focused, senior unit of four core engineers responsible for the DALP platform—smart contract architecture, backend services, API layer, compliance engine, settlement workflows, and infrastructure automation. The small team size is a deliberate design choice, enabling rapid iteration, architectural coherence, and deep ownership across the full stack. AI-augmented operations act as a force multiplier, allowing the engineering team to operate at higher effective capacity.</w:t>
      </w:r>
    </w:p>
    <w:p>
      <w:r>
        <w:rPr>
          <w:rFonts w:ascii="Figtree" w:hAnsi="Figtree"/>
          <w:b w:val="0"/>
          <w:i w:val="0"/>
          <w:sz w:val="22"/>
        </w:rPr>
        <w:t>This combination enables SettleMint to speak the language of CIOs and architects (integration, resilience, scalability), COOs and product owners (operational workflows, business cases), and Risk, Compliance, and Legal (controls, governance, regulatory fit).</w:t>
      </w:r>
    </w:p>
    <w:p>
      <w:pPr>
        <w:pStyle w:val="H2"/>
        <w:numPr>
          <w:ilvl w:val="1"/>
          <w:numId w:val="1"/>
        </w:numPr>
      </w:pPr>
      <w:r>
        <w:t>2.6 Ecosystem and Partnerships</w:t>
      </w:r>
    </w:p>
    <w:p>
      <w:r>
        <w:rPr>
          <w:rFonts w:ascii="Figtree" w:hAnsi="Figtree"/>
          <w:b w:val="0"/>
          <w:i w:val="0"/>
          <w:sz w:val="22"/>
        </w:rPr>
        <w:t>SettleMint maintains a partnership ecosystem that extends delivery capability, deepens technology integration, and provides regional coverage across key markets.</w:t>
      </w:r>
    </w:p>
    <w:p>
      <w:r>
        <w:rPr>
          <w:rFonts w:ascii="Figtree" w:hAnsi="Figtree"/>
          <w:b/>
          <w:i w:val="0"/>
          <w:sz w:val="22"/>
        </w:rPr>
        <w:t>Custody Providers:</w:t>
      </w:r>
      <w:r>
        <w:rPr>
          <w:rFonts w:ascii="Figtree" w:hAnsi="Figtree"/>
          <w:b w:val="0"/>
          <w:i w:val="0"/>
          <w:sz w:val="22"/>
        </w:rPr>
        <w:t xml:space="preserve"> Fireblocks and DFNS operate under a bring-your-own-custodian model, allowing institutions to retain existing custodian relationships. DALP's unified signer abstraction makes custody providers interchangeable through configuration changes alone.</w:t>
      </w:r>
    </w:p>
    <w:p>
      <w:r>
        <w:rPr>
          <w:rFonts w:ascii="Figtree" w:hAnsi="Figtree"/>
          <w:b/>
          <w:i w:val="0"/>
          <w:sz w:val="22"/>
        </w:rPr>
        <w:t>Cloud Providers:</w:t>
      </w:r>
      <w:r>
        <w:rPr>
          <w:rFonts w:ascii="Figtree" w:hAnsi="Figtree"/>
          <w:b w:val="0"/>
          <w:i w:val="0"/>
          <w:sz w:val="22"/>
        </w:rPr>
        <w:t xml:space="preserve"> AWS, Azure, and GCP are fully supported with full deployment flexibility across cloud, on-prem, and hybrid models.</w:t>
      </w:r>
    </w:p>
    <w:p>
      <w:r>
        <w:rPr>
          <w:rFonts w:ascii="Figtree" w:hAnsi="Figtree"/>
          <w:b/>
          <w:i w:val="0"/>
          <w:sz w:val="22"/>
        </w:rPr>
        <w:t>Network Partners:</w:t>
      </w:r>
      <w:r>
        <w:rPr>
          <w:rFonts w:ascii="Figtree" w:hAnsi="Figtree"/>
          <w:b w:val="0"/>
          <w:i w:val="0"/>
          <w:sz w:val="22"/>
        </w:rPr>
        <w:t xml:space="preserve"> All EVM-compatible blockchain networks (public and permissioned) are supported, including Hyperledger Besu for private consortium deployments.</w:t>
      </w:r>
    </w:p>
    <w:p>
      <w:r>
        <w:rPr>
          <w:rFonts w:ascii="Figtree" w:hAnsi="Figtree"/>
          <w:b/>
          <w:i w:val="0"/>
          <w:sz w:val="22"/>
        </w:rPr>
        <w:t>Identity and Compliance:</w:t>
      </w:r>
      <w:r>
        <w:rPr>
          <w:rFonts w:ascii="Figtree" w:hAnsi="Figtree"/>
          <w:b w:val="0"/>
          <w:i w:val="0"/>
          <w:sz w:val="22"/>
        </w:rPr>
        <w:t xml:space="preserve"> OnchainID provides verifiable on-chain investor identities. KYC/KYB integration partners connect to external verification services.</w:t>
      </w:r>
    </w:p>
    <w:p>
      <w:r>
        <w:rPr>
          <w:rFonts w:ascii="Figtree" w:hAnsi="Figtree"/>
          <w:b/>
          <w:i w:val="0"/>
          <w:sz w:val="22"/>
        </w:rPr>
        <w:t>Payment Rails:</w:t>
      </w:r>
      <w:r>
        <w:rPr>
          <w:rFonts w:ascii="Figtree" w:hAnsi="Figtree"/>
          <w:b w:val="0"/>
          <w:i w:val="0"/>
          <w:sz w:val="22"/>
        </w:rPr>
        <w:t xml:space="preserve"> ISO 20022 integration supports SWIFT, SEPA, and RTGS connectivity for cash-leg settlement.</w:t>
      </w:r>
    </w:p>
    <w:p>
      <w:r>
        <w:rPr>
          <w:rFonts w:ascii="Figtree" w:hAnsi="Figtree"/>
          <w:b/>
          <w:i w:val="0"/>
          <w:sz w:val="22"/>
        </w:rPr>
        <w:t>Monitoring and Operations:</w:t>
      </w:r>
      <w:r>
        <w:rPr>
          <w:rFonts w:ascii="Figtree" w:hAnsi="Figtree"/>
          <w:b w:val="0"/>
          <w:i w:val="0"/>
          <w:sz w:val="22"/>
        </w:rPr>
        <w:t xml:space="preserve"> Integration points for SSO/IAM, SIEM, and enterprise audit logging ensure compatibility with existing operational infrastructure.</w:t>
      </w:r>
    </w:p>
    <w:p>
      <w:pPr>
        <w:pStyle w:val="H2"/>
        <w:numPr>
          <w:ilvl w:val="1"/>
          <w:numId w:val="1"/>
        </w:numPr>
      </w:pPr>
      <w:r>
        <w:t>2.7 Relevance to This Bid</w:t>
      </w:r>
    </w:p>
    <w:p>
      <w:r>
        <w:rPr>
          <w:rFonts w:ascii="Figtree" w:hAnsi="Figtree"/>
          <w:b w:val="0"/>
          <w:i w:val="0"/>
          <w:sz w:val="22"/>
        </w:rPr>
        <w:t>For ADGM's Digital Asset Regulatory Framework Support Platform, SettleMint brings five specific strengths:</w:t>
      </w:r>
    </w:p>
    <w:p>
      <w:r>
        <w:rPr>
          <w:rFonts w:ascii="Figtree" w:hAnsi="Figtree"/>
          <w:b/>
          <w:i w:val="0"/>
          <w:sz w:val="22"/>
        </w:rPr>
        <w:t>Direct ADGM ecosystem experience:</w:t>
      </w:r>
      <w:r>
        <w:rPr>
          <w:rFonts w:ascii="Figtree" w:hAnsi="Figtree"/>
          <w:b w:val="0"/>
          <w:i w:val="0"/>
          <w:sz w:val="22"/>
        </w:rPr>
        <w:t xml:space="preserve"> The ADI-Finstreet programme demonstrates SettleMint's familiarity with ADGM's regulatory infrastructure, digital asset platforms, and institutional custody arrangements. This eliminates the learning curve that otherwise delays implementation timelines.</w:t>
      </w:r>
    </w:p>
    <w:p>
      <w:r>
        <w:rPr>
          <w:rFonts w:ascii="Figtree" w:hAnsi="Figtree"/>
          <w:b/>
          <w:i w:val="0"/>
          <w:sz w:val="22"/>
        </w:rPr>
        <w:t>Sovereign-scale delivery credibility:</w:t>
      </w:r>
      <w:r>
        <w:rPr>
          <w:rFonts w:ascii="Figtree" w:hAnsi="Figtree"/>
          <w:b w:val="0"/>
          <w:i w:val="0"/>
          <w:sz w:val="22"/>
        </w:rPr>
        <w:t xml:space="preserve"> The Saudi Arabia Real Estate Registry programme—which went live in January 2026 as the first country-scale property blockchain—demonstrates SettleMint's ability to deliver national infrastructure under government supervision with live transaction processing.</w:t>
      </w:r>
    </w:p>
    <w:p>
      <w:r>
        <w:rPr>
          <w:rFonts w:ascii="Figtree" w:hAnsi="Figtree"/>
          <w:b/>
          <w:i w:val="0"/>
          <w:sz w:val="22"/>
        </w:rPr>
        <w:t>Regulatory compliance depth:</w:t>
      </w:r>
      <w:r>
        <w:rPr>
          <w:rFonts w:ascii="Figtree" w:hAnsi="Figtree"/>
          <w:b w:val="0"/>
          <w:i w:val="0"/>
          <w:sz w:val="22"/>
        </w:rPr>
        <w:t xml:space="preserve"> DALP's modular compliance engine (18 module types, ERC-3643 foundation, OnchainID identity) provides the granular control required for FSMR compliance, UAE AML/CFT requirements, and supervisory evidence production.</w:t>
      </w:r>
    </w:p>
    <w:p>
      <w:r>
        <w:rPr>
          <w:rFonts w:ascii="Figtree" w:hAnsi="Figtree"/>
          <w:b/>
          <w:i w:val="0"/>
          <w:sz w:val="22"/>
        </w:rPr>
        <w:t>Production-grade security:</w:t>
      </w:r>
      <w:r>
        <w:rPr>
          <w:rFonts w:ascii="Figtree" w:hAnsi="Figtree"/>
          <w:b w:val="0"/>
          <w:i w:val="0"/>
          <w:sz w:val="22"/>
        </w:rPr>
        <w:t xml:space="preserve"> ISO 27001 and SOC 2 Type II certifications, combined with successful tier-1 bank vendor assessments, meet the security posture that ADGM's procurement, risk, and information security teams require.</w:t>
      </w:r>
    </w:p>
    <w:p>
      <w:r>
        <w:rPr>
          <w:rFonts w:ascii="Figtree" w:hAnsi="Figtree"/>
          <w:b/>
          <w:i w:val="0"/>
          <w:sz w:val="22"/>
        </w:rPr>
        <w:t>Regional presence:</w:t>
      </w:r>
      <w:r>
        <w:rPr>
          <w:rFonts w:ascii="Figtree" w:hAnsi="Figtree"/>
          <w:b w:val="0"/>
          <w:i w:val="0"/>
          <w:sz w:val="22"/>
        </w:rPr>
        <w:t xml:space="preserve"> Active programmes in the Gulf region with local support capabilities provide the on-the-ground responsiveness that a programme of this strategic importance demands.</w:t>
      </w:r>
    </w:p>
    <w:p>
      <w:r>
        <w:br w:type="page"/>
      </w:r>
    </w:p>
    <w:p>
      <w:pPr>
        <w:pStyle w:val="H1"/>
        <w:numPr>
          <w:ilvl w:val="0"/>
          <w:numId w:val="1"/>
        </w:numPr>
      </w:pPr>
      <w:r>
        <w:t>3. About DALP (Digital Asset Lifecycle Platform)</w:t>
      </w:r>
    </w:p>
    <w:p>
      <w:pPr>
        <w:pStyle w:val="H2"/>
        <w:numPr>
          <w:ilvl w:val="1"/>
          <w:numId w:val="1"/>
        </w:numPr>
      </w:pPr>
      <w:r>
        <w:t>3.1 Platform Overview</w:t>
      </w:r>
    </w:p>
    <w:p>
      <w:r>
        <w:rPr>
          <w:rFonts w:ascii="Figtree" w:hAnsi="Figtree"/>
          <w:b w:val="0"/>
          <w:i w:val="0"/>
          <w:sz w:val="22"/>
        </w:rPr>
        <w:t>DALP (Digital Asset Lifecycle Platform) is a production-grade platform that serves as the governance and orchestration layer between existing core financial systems and blockchain networks. The platform is purpose-built for regulated financial institutions, market infrastructure providers, and sovereign entities managing digital assets across the full lifecycle.</w:t>
      </w:r>
    </w:p>
    <w:p>
      <w:r>
        <w:rPr>
          <w:rFonts w:ascii="Figtree" w:hAnsi="Figtree"/>
          <w:b w:val="0"/>
          <w:i w:val="0"/>
          <w:sz w:val="22"/>
        </w:rPr>
        <w:t>The platform is organized as a four-layer stack, each with distinct responsibility boundaries and well-defined interfaces:</w:t>
      </w:r>
    </w:p>
    <w:p>
      <w:pPr>
        <w:jc w:val="center"/>
      </w:pPr>
      <w:r>
        <w:drawing>
          <wp:inline xmlns:a="http://schemas.openxmlformats.org/drawingml/2006/main" xmlns:pic="http://schemas.openxmlformats.org/drawingml/2006/picture">
            <wp:extent cx="2628900" cy="4524375"/>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2628900" cy="4524375"/>
                    </a:xfrm>
                    <a:prstGeom prst="rect"/>
                  </pic:spPr>
                </pic:pic>
              </a:graphicData>
            </a:graphic>
          </wp:inline>
        </w:drawing>
      </w:r>
    </w:p>
    <w:p>
      <w:r>
        <w:rPr>
          <w:rFonts w:ascii="Figtree" w:hAnsi="Figtree"/>
          <w:b w:val="0"/>
          <w:i w:val="0"/>
          <w:sz w:val="22"/>
        </w:rPr>
        <w:t>Requests flow top-down through these layers. A user action in the Asset Console triggers an API call, which the middleware orchestrates into one or more blockchain transactions, which the smart contract layer validates and executes on-chain. Each layer independently enforces its own security controls, so no single-layer failure grants unauthorized access.</w:t>
      </w:r>
    </w:p>
    <w:p>
      <w:pPr>
        <w:pStyle w:val="H2"/>
        <w:numPr>
          <w:ilvl w:val="1"/>
          <w:numId w:val="1"/>
        </w:numPr>
      </w:pPr>
      <w:r>
        <w:t>3.2 Core Lifecycle Pillars</w:t>
      </w:r>
    </w:p>
    <w:p>
      <w:pPr>
        <w:pStyle w:val="H3"/>
        <w:numPr>
          <w:ilvl w:val="2"/>
          <w:numId w:val="1"/>
        </w:numPr>
      </w:pPr>
      <w:r>
        <w:t>3.2.1 Issuance</w:t>
      </w:r>
    </w:p>
    <w:p>
      <w:r>
        <w:rPr>
          <w:rFonts w:ascii="Figtree" w:hAnsi="Figtree"/>
          <w:b w:val="0"/>
          <w:i w:val="0"/>
          <w:sz w:val="22"/>
        </w:rPr>
        <w:t>DALP's issuance capabilities provide the foundation for creating and configuring digital assets:</w:t>
      </w:r>
    </w:p>
    <w:p>
      <w:r>
        <w:rPr>
          <w:rFonts w:ascii="Figtree" w:hAnsi="Figtree"/>
          <w:b/>
          <w:i w:val="0"/>
          <w:sz w:val="22"/>
        </w:rPr>
        <w:t>Asset Configuration:</w:t>
      </w:r>
      <w:r>
        <w:rPr>
          <w:rFonts w:ascii="Figtree" w:hAnsi="Figtree"/>
          <w:b w:val="0"/>
          <w:i w:val="0"/>
          <w:sz w:val="22"/>
        </w:rPr>
        <w:t xml:space="preserve"> DALPAsset—the recommended contract type for all new tokenization projects—extends the SMART Protocol with the SMARTConfigurable extension. This allows token features and compliance modules to be attached and reconfigured at runtime after deployment, eliminating the need to commit to a specialized contract type at deployment time. A DALPAsset token evolves: starts as a simple bearer instrument, then has fee structures added, governance enabled, or maturity and redemption logic configured, all without redeploying the contract.</w:t>
      </w:r>
    </w:p>
    <w:p>
      <w:r>
        <w:rPr>
          <w:rFonts w:ascii="Figtree" w:hAnsi="Figtree"/>
          <w:b/>
          <w:i w:val="0"/>
          <w:sz w:val="22"/>
        </w:rPr>
        <w:t>Runtime-Pluggable Features:</w:t>
      </w:r>
      <w:r>
        <w:rPr>
          <w:rFonts w:ascii="Figtree" w:hAnsi="Figtree"/>
          <w:b w:val="0"/>
          <w:i w:val="0"/>
          <w:sz w:val="22"/>
        </w:rPr>
        <w:t xml:space="preserve"> Verified available features include historical balances, voting power, permit (gasless approvals), AUM fee, maturity and redemption, fixed treasury yield, transaction fee (multiple variants), and conversion capabilities. These integrate through six lifecycle hooks (mint, burn, transfer, redeem, update, attach) via the ISMARTFeature interface.</w:t>
      </w:r>
    </w:p>
    <w:p>
      <w:r>
        <w:rPr>
          <w:rFonts w:ascii="Figtree" w:hAnsi="Figtree"/>
          <w:b/>
          <w:i w:val="0"/>
          <w:sz w:val="22"/>
        </w:rPr>
        <w:t>Factory Deployment:</w:t>
      </w:r>
      <w:r>
        <w:rPr>
          <w:rFonts w:ascii="Figtree" w:hAnsi="Figtree"/>
          <w:b w:val="0"/>
          <w:i w:val="0"/>
          <w:sz w:val="22"/>
        </w:rPr>
        <w:t xml:space="preserve"> All asset types deploy through a factory pattern using CREATE2, which provides deterministic contract addressing. Token addresses can be computed before deployment, enabling pre-configuration of external systems. The factory transaction is atomic: if any step fails, the entire deployment reverts. No partially deployed tokens exist on-chain.</w:t>
      </w:r>
    </w:p>
    <w:p>
      <w:pPr>
        <w:pStyle w:val="H3"/>
        <w:numPr>
          <w:ilvl w:val="2"/>
          <w:numId w:val="1"/>
        </w:numPr>
      </w:pPr>
      <w:r>
        <w:t>3.2.2 Compliance</w:t>
      </w:r>
    </w:p>
    <w:p>
      <w:r>
        <w:rPr>
          <w:rFonts w:ascii="Figtree" w:hAnsi="Figtree"/>
          <w:b w:val="0"/>
          <w:i w:val="0"/>
          <w:sz w:val="22"/>
        </w:rPr>
        <w:t>DALP's compliance engine is built on the ERC-3643 standard, enforcing regulatory requirements at the protocol level:</w:t>
      </w:r>
    </w:p>
    <w:p>
      <w:r>
        <w:rPr>
          <w:rFonts w:ascii="Figtree" w:hAnsi="Figtree"/>
          <w:b/>
          <w:i w:val="0"/>
          <w:sz w:val="22"/>
        </w:rPr>
        <w:t>Modular Compliance Architecture:</w:t>
      </w:r>
      <w:r>
        <w:rPr>
          <w:rFonts w:ascii="Figtree" w:hAnsi="Figtree"/>
          <w:b w:val="0"/>
          <w:i w:val="0"/>
          <w:sz w:val="22"/>
        </w:rPr>
        <w:t xml:space="preserve"> Rather than hardcoding compliance rules into token contracts, DALP uses a modular compliance engine where rules are separate contracts that the compliance orchestrator evaluates on every transfer. This approach provides regulatory flexibility (different jurisdictions require different rules), runtime reconfigurability (modules can be added, removed, or reconfigured under governance control), composability (complex compliance scenarios are built by stacking independent modules), and separation of concerns (token logic is cleanly separated from compliance logic).</w:t>
      </w:r>
    </w:p>
    <w:p>
      <w:r>
        <w:rPr>
          <w:rFonts w:ascii="Figtree" w:hAnsi="Figtree"/>
          <w:b/>
          <w:i w:val="0"/>
          <w:sz w:val="22"/>
        </w:rPr>
        <w:t>18 Compliance Module Types:</w:t>
      </w:r>
      <w:r>
        <w:rPr>
          <w:rFonts w:ascii="Figtree" w:hAnsi="Figtree"/>
          <w:b w:val="0"/>
          <w:i w:val="0"/>
          <w:sz w:val="22"/>
        </w:rPr>
        <w:t xml:space="preserve"> Documented module types include identity verification, country restrictions, identity allow/deny lists, supply and investor limits, supply cap and collateral requirements, transfer approval workflows, and timelock restrictions. Each module is testable and auditable in isolation.</w:t>
      </w:r>
    </w:p>
    <w:p>
      <w:r>
        <w:rPr>
          <w:rFonts w:ascii="Figtree" w:hAnsi="Figtree"/>
          <w:b/>
          <w:i w:val="0"/>
          <w:sz w:val="22"/>
        </w:rPr>
        <w:t>On-Chain Enforcement:</w:t>
      </w:r>
      <w:r>
        <w:rPr>
          <w:rFonts w:ascii="Figtree" w:hAnsi="Figtree"/>
          <w:b w:val="0"/>
          <w:i w:val="0"/>
          <w:sz w:val="22"/>
        </w:rPr>
        <w:t xml:space="preserve"> Compliance checks execute on-chain and cannot be bypassed by the application layer. Every transfer passes through the compliance engine before execution—this is enforced by the smart contract itself, not by off-chain validation.</w:t>
      </w:r>
    </w:p>
    <w:p>
      <w:r>
        <w:rPr>
          <w:rFonts w:ascii="Figtree" w:hAnsi="Figtree"/>
          <w:b/>
          <w:i w:val="0"/>
          <w:sz w:val="22"/>
        </w:rPr>
        <w:t>RPN Expression Support:</w:t>
      </w:r>
      <w:r>
        <w:rPr>
          <w:rFonts w:ascii="Figtree" w:hAnsi="Figtree"/>
          <w:b w:val="0"/>
          <w:i w:val="0"/>
          <w:sz w:val="22"/>
        </w:rPr>
        <w:t xml:space="preserve"> Complex regulatory configurations can be expressed using Reverse Polish Notation (RPN) for compliance rules, allowing compliance officers to configure sophisticated rule sets without modifying smart contract code.</w:t>
      </w:r>
    </w:p>
    <w:p>
      <w:pPr>
        <w:pStyle w:val="H3"/>
        <w:numPr>
          <w:ilvl w:val="2"/>
          <w:numId w:val="1"/>
        </w:numPr>
      </w:pPr>
      <w:r>
        <w:t>3.2.3 Custody</w:t>
      </w:r>
    </w:p>
    <w:p>
      <w:r>
        <w:rPr>
          <w:rFonts w:ascii="Figtree" w:hAnsi="Figtree"/>
          <w:b w:val="0"/>
          <w:i w:val="0"/>
          <w:sz w:val="22"/>
        </w:rPr>
        <w:t>DALP's custody capabilities manage cryptographic key material through defense-in-depth:</w:t>
      </w:r>
    </w:p>
    <w:p>
      <w:r>
        <w:rPr>
          <w:rFonts w:ascii="Figtree" w:hAnsi="Figtree"/>
          <w:b/>
          <w:i w:val="0"/>
          <w:sz w:val="22"/>
        </w:rPr>
        <w:t>Key Guardian Architecture:</w:t>
      </w:r>
      <w:r>
        <w:rPr>
          <w:rFonts w:ascii="Figtree" w:hAnsi="Figtree"/>
          <w:b w:val="0"/>
          <w:i w:val="0"/>
          <w:sz w:val="22"/>
        </w:rPr>
        <w:t xml:space="preserve"> The Key Guardian service manages cryptographic key material through multiple storage backends at escalating security levels. Keys never leave secure boundaries in plaintext. Available tiers include encrypted database (development/PoC), cloud secret manager (standard production), Hardware Security Modules (regulated financial services), and third-party MPC custody (highest security requirements).</w:t>
      </w:r>
    </w:p>
    <w:p>
      <w:r>
        <w:rPr>
          <w:rFonts w:ascii="Figtree" w:hAnsi="Figtree"/>
          <w:b/>
          <w:i w:val="0"/>
          <w:sz w:val="22"/>
        </w:rPr>
        <w:t>MPC Custody Integration:</w:t>
      </w:r>
      <w:r>
        <w:rPr>
          <w:rFonts w:ascii="Figtree" w:hAnsi="Figtree"/>
          <w:b w:val="0"/>
          <w:i w:val="0"/>
          <w:sz w:val="22"/>
        </w:rPr>
        <w:t xml:space="preserve"> DALP integrates with DFNS and Fireblocks for institutional-grade MPC custody. The unified signer abstraction makes custody providers interchangeable through configuration changes alone. Both providers ensure that no single private key ever exists in one place.</w:t>
      </w:r>
    </w:p>
    <w:p>
      <w:r>
        <w:rPr>
          <w:rFonts w:ascii="Figtree" w:hAnsi="Figtree"/>
          <w:b/>
          <w:i w:val="0"/>
          <w:sz w:val="22"/>
        </w:rPr>
        <w:t>Signer Abstraction:</w:t>
      </w:r>
      <w:r>
        <w:rPr>
          <w:rFonts w:ascii="Figtree" w:hAnsi="Figtree"/>
          <w:b w:val="0"/>
          <w:i w:val="0"/>
          <w:sz w:val="22"/>
        </w:rPr>
        <w:t xml:space="preserve"> The platform implements a unified signer interface that abstracts over all custody backends. Runtime capability detection allows the platform to select local or provider-delegated execution paths dynamically.</w:t>
      </w:r>
    </w:p>
    <w:p>
      <w:pPr>
        <w:pStyle w:val="H3"/>
        <w:numPr>
          <w:ilvl w:val="2"/>
          <w:numId w:val="1"/>
        </w:numPr>
      </w:pPr>
      <w:r>
        <w:t>3.2.4 Settlement</w:t>
      </w:r>
    </w:p>
    <w:p>
      <w:r>
        <w:rPr>
          <w:rFonts w:ascii="Figtree" w:hAnsi="Figtree"/>
          <w:b w:val="0"/>
          <w:i w:val="0"/>
          <w:sz w:val="22"/>
        </w:rPr>
        <w:t>DALP provides atomic settlement protocols that eliminate counterparty risk:</w:t>
      </w:r>
    </w:p>
    <w:p>
      <w:r>
        <w:rPr>
          <w:rFonts w:ascii="Figtree" w:hAnsi="Figtree"/>
          <w:b/>
          <w:i w:val="0"/>
          <w:sz w:val="22"/>
        </w:rPr>
        <w:t>Delivery-versus-Payment (DvP):</w:t>
      </w:r>
      <w:r>
        <w:rPr>
          <w:rFonts w:ascii="Figtree" w:hAnsi="Figtree"/>
          <w:b w:val="0"/>
          <w:i w:val="0"/>
          <w:sz w:val="22"/>
        </w:rPr>
        <w:t xml:space="preserve"> DALP's atomic DvP ensures that asset and cash transfer simultaneously or both revert, achieving true T+0 finality. The XvP extension coordinates multi-party exchanges with the same atomicity guarantees, removing the need for trusted intermediaries.</w:t>
      </w:r>
    </w:p>
    <w:p>
      <w:r>
        <w:rPr>
          <w:rFonts w:ascii="Figtree" w:hAnsi="Figtree"/>
          <w:b/>
          <w:i w:val="0"/>
          <w:sz w:val="22"/>
        </w:rPr>
        <w:t>Settlement Determinism:</w:t>
      </w:r>
      <w:r>
        <w:rPr>
          <w:rFonts w:ascii="Figtree" w:hAnsi="Figtree"/>
          <w:b w:val="0"/>
          <w:i w:val="0"/>
          <w:sz w:val="22"/>
        </w:rPr>
        <w:t xml:space="preserve"> All critical operations run as durable, deterministic workflows through Restate. Workflow phases are explicitly state-tracked with persisted status, enabling recovery from any interruption point. Configurable retry handling with exponential backoff ensures operations complete even through transient failures.</w:t>
      </w:r>
    </w:p>
    <w:p>
      <w:pPr>
        <w:pStyle w:val="H3"/>
        <w:numPr>
          <w:ilvl w:val="2"/>
          <w:numId w:val="1"/>
        </w:numPr>
      </w:pPr>
      <w:r>
        <w:t>3.2.5 Servicing</w:t>
      </w:r>
    </w:p>
    <w:p>
      <w:r>
        <w:rPr>
          <w:rFonts w:ascii="Figtree" w:hAnsi="Figtree"/>
          <w:b w:val="0"/>
          <w:i w:val="0"/>
          <w:sz w:val="22"/>
        </w:rPr>
        <w:t>DALP handles corporate actions and lifecycle events across the asset lifetime:</w:t>
      </w:r>
    </w:p>
    <w:p>
      <w:r>
        <w:rPr>
          <w:rFonts w:ascii="Figtree" w:hAnsi="Figtree"/>
          <w:b/>
          <w:i w:val="0"/>
          <w:sz w:val="22"/>
        </w:rPr>
        <w:t>Corporate Actions:</w:t>
      </w:r>
      <w:r>
        <w:rPr>
          <w:rFonts w:ascii="Figtree" w:hAnsi="Figtree"/>
          <w:b w:val="0"/>
          <w:i w:val="0"/>
          <w:sz w:val="22"/>
        </w:rPr>
        <w:t xml:space="preserve"> Coupon/dividend distributions, yield payments, maturity/redemption events, governance events, and operational servicing are all supported through the platform's lifecycle management capabilities.</w:t>
      </w:r>
    </w:p>
    <w:p>
      <w:r>
        <w:rPr>
          <w:rFonts w:ascii="Figtree" w:hAnsi="Figtree"/>
          <w:b/>
          <w:i w:val="0"/>
          <w:sz w:val="22"/>
        </w:rPr>
        <w:t>Addon System:</w:t>
      </w:r>
      <w:r>
        <w:rPr>
          <w:rFonts w:ascii="Figtree" w:hAnsi="Figtree"/>
          <w:b w:val="0"/>
          <w:i w:val="0"/>
          <w:sz w:val="22"/>
        </w:rPr>
        <w:t xml:space="preserve"> Operational tools extending assets include Airdrop (push, merkle-drop, vesting), Vault (multi-sig treasury), XvP Settlement (atomic DvP), Token Sale (DAIO), and Yield modules.</w:t>
      </w:r>
    </w:p>
    <w:p>
      <w:pPr>
        <w:pStyle w:val="H2"/>
        <w:numPr>
          <w:ilvl w:val="1"/>
          <w:numId w:val="1"/>
        </w:numPr>
      </w:pPr>
      <w:r>
        <w:t>3.3 Platform Foundations</w:t>
      </w:r>
    </w:p>
    <w:p>
      <w:pPr>
        <w:pStyle w:val="H3"/>
        <w:numPr>
          <w:ilvl w:val="2"/>
          <w:numId w:val="1"/>
        </w:numPr>
      </w:pPr>
      <w:r>
        <w:t>3.3.1 Identity and Access</w:t>
      </w:r>
    </w:p>
    <w:p>
      <w:r>
        <w:rPr>
          <w:rFonts w:ascii="Figtree" w:hAnsi="Figtree"/>
          <w:b w:val="0"/>
          <w:i w:val="0"/>
          <w:sz w:val="22"/>
        </w:rPr>
        <w:t>DALP implements a dual-layer permission model combining off-chain RBAC with on-chain role enforcement:</w:t>
      </w:r>
    </w:p>
    <w:p>
      <w:r>
        <w:rPr>
          <w:rFonts w:ascii="Figtree" w:hAnsi="Figtree"/>
          <w:b/>
          <w:i w:val="0"/>
          <w:sz w:val="22"/>
        </w:rPr>
        <w:t>Platform Roles (3 roles):</w:t>
      </w:r>
      <w:r>
        <w:rPr>
          <w:rFonts w:ascii="Figtree" w:hAnsi="Figtree"/>
          <w:b w:val="0"/>
          <w:i w:val="0"/>
          <w:sz w:val="22"/>
        </w:rPr>
        <w:t xml:space="preserve"> owner, admin, member—organization-scoped, managed by Better Auth. Owner has full administrative access; admin manages users and configuration; member operates based on assigned permissions.</w:t>
      </w:r>
    </w:p>
    <w:p>
      <w:r>
        <w:rPr>
          <w:rFonts w:ascii="Figtree" w:hAnsi="Figtree"/>
          <w:b/>
          <w:i w:val="0"/>
          <w:sz w:val="22"/>
        </w:rPr>
        <w:t>System People Roles (9 roles):</w:t>
      </w:r>
      <w:r>
        <w:rPr>
          <w:rFonts w:ascii="Figtree" w:hAnsi="Figtree"/>
          <w:b w:val="0"/>
          <w:i w:val="0"/>
          <w:sz w:val="22"/>
        </w:rPr>
        <w:t xml:space="preserve"> systemManager, identityManager, tokenManager, complianceManager, claimPolicyManager, organisationIdentityManager, claimIssuer, auditor, feedsManager—assigned to human operators via on-chain AccessManager.</w:t>
      </w:r>
    </w:p>
    <w:p>
      <w:r>
        <w:rPr>
          <w:rFonts w:ascii="Figtree" w:hAnsi="Figtree"/>
          <w:b/>
          <w:i w:val="0"/>
          <w:sz w:val="22"/>
        </w:rPr>
        <w:t>Per-Asset Roles (7 roles):</w:t>
      </w:r>
      <w:r>
        <w:rPr>
          <w:rFonts w:ascii="Figtree" w:hAnsi="Figtree"/>
          <w:b w:val="0"/>
          <w:i w:val="0"/>
          <w:sz w:val="22"/>
        </w:rPr>
        <w:t xml:space="preserve"> admin, governance, supplyManagement, custodian, emergency, saleAdmin, fundsManager—scoped per token contract, enabling fine-grained control over individual asset operations.</w:t>
      </w:r>
    </w:p>
    <w:p>
      <w:pPr>
        <w:pStyle w:val="H3"/>
        <w:numPr>
          <w:ilvl w:val="2"/>
          <w:numId w:val="1"/>
        </w:numPr>
      </w:pPr>
      <w:r>
        <w:t>3.3.2 Integration and Interoperability</w:t>
      </w:r>
    </w:p>
    <w:p>
      <w:r>
        <w:rPr>
          <w:rFonts w:ascii="Figtree" w:hAnsi="Figtree"/>
          <w:b w:val="0"/>
          <w:i w:val="0"/>
          <w:sz w:val="22"/>
        </w:rPr>
        <w:t>DALP provides multiple integration pathways: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94"/>
        <w:gridCol w:w="3515"/>
        <w:gridCol w:w="306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Integration Method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Authentication</w:t>
            </w:r>
          </w:p>
        </w:tc>
      </w:tr>
      <w:tr>
        <w:trPr>
          <w:trHeight w:val="425" w:hRule="atLeast"/>
        </w:trPr>
        <w:tc>
          <w:tcPr>
            <w:tcW w:type="dxa" w:w="3249"/>
            <w:vAlign w:val="center"/>
          </w:tcPr>
          <w:p>
            <w:pPr>
              <w:spacing w:line="276" w:lineRule="auto" w:before="0" w:after="0"/>
            </w:pPr>
            <w:r/>
            <w:r>
              <w:rPr>
                <w:rFonts w:ascii="Figtree" w:hAnsi="Figtree"/>
                <w:b w:val="0"/>
                <w:i w:val="0"/>
                <w:sz w:val="20"/>
              </w:rPr>
              <w:t>REST API (OpenAPI 3.1)</w:t>
            </w:r>
          </w:p>
        </w:tc>
        <w:tc>
          <w:tcPr>
            <w:tcW w:type="dxa" w:w="3249"/>
            <w:vAlign w:val="center"/>
          </w:tcPr>
          <w:p>
            <w:pPr>
              <w:spacing w:line="276" w:lineRule="auto" w:before="0" w:after="0"/>
            </w:pPr>
            <w:r/>
            <w:r>
              <w:rPr>
                <w:rFonts w:ascii="Figtree" w:hAnsi="Figtree"/>
                <w:b w:val="0"/>
                <w:i w:val="0"/>
                <w:sz w:val="20"/>
              </w:rPr>
              <w:t>System-to-system integration</w:t>
            </w:r>
          </w:p>
        </w:tc>
        <w:tc>
          <w:tcPr>
            <w:tcW w:type="dxa" w:w="3249"/>
            <w:vAlign w:val="center"/>
          </w:tcPr>
          <w:p>
            <w:pPr>
              <w:spacing w:line="276" w:lineRule="auto" w:before="0" w:after="0"/>
            </w:pPr>
            <w:r/>
            <w:r>
              <w:rPr>
                <w:rFonts w:ascii="Figtree" w:hAnsi="Figtree"/>
                <w:b w:val="0"/>
                <w:i w:val="0"/>
                <w:sz w:val="20"/>
              </w:rPr>
              <w:t>API keys, session auth, SSO</w:t>
            </w:r>
          </w:p>
        </w:tc>
      </w:tr>
      <w:tr>
        <w:trPr>
          <w:trHeight w:val="425" w:hRule="atLeast"/>
        </w:trPr>
        <w:tc>
          <w:tcPr>
            <w:tcW w:type="dxa" w:w="3249"/>
            <w:vAlign w:val="center"/>
          </w:tcPr>
          <w:p>
            <w:pPr>
              <w:spacing w:line="276" w:lineRule="auto" w:before="0" w:after="0"/>
            </w:pPr>
            <w:r/>
            <w:r>
              <w:rPr>
                <w:rFonts w:ascii="Figtree" w:hAnsi="Figtree"/>
                <w:b w:val="0"/>
                <w:i w:val="0"/>
                <w:sz w:val="20"/>
              </w:rPr>
              <w:t>TypeScript SDK</w:t>
            </w:r>
          </w:p>
        </w:tc>
        <w:tc>
          <w:tcPr>
            <w:tcW w:type="dxa" w:w="3249"/>
            <w:vAlign w:val="center"/>
          </w:tcPr>
          <w:p>
            <w:pPr>
              <w:spacing w:line="276" w:lineRule="auto" w:before="0" w:after="0"/>
            </w:pPr>
            <w:r/>
            <w:r>
              <w:rPr>
                <w:rFonts w:ascii="Figtree" w:hAnsi="Figtree"/>
                <w:b w:val="0"/>
                <w:i w:val="0"/>
                <w:sz w:val="20"/>
              </w:rPr>
              <w:t>TypeScript/Node.js applications</w:t>
            </w:r>
          </w:p>
        </w:tc>
        <w:tc>
          <w:tcPr>
            <w:tcW w:type="dxa" w:w="3249"/>
            <w:vAlign w:val="center"/>
          </w:tcPr>
          <w:p>
            <w:pPr>
              <w:spacing w:line="276" w:lineRule="auto" w:before="0" w:after="0"/>
            </w:pPr>
            <w:r/>
            <w:r>
              <w:rPr>
                <w:rFonts w:ascii="Figtree" w:hAnsi="Figtree"/>
                <w:b w:val="0"/>
                <w:i w:val="0"/>
                <w:sz w:val="20"/>
              </w:rPr>
              <w:t>API keys</w:t>
            </w:r>
          </w:p>
        </w:tc>
      </w:tr>
      <w:tr>
        <w:trPr>
          <w:trHeight w:val="425" w:hRule="atLeast"/>
        </w:trPr>
        <w:tc>
          <w:tcPr>
            <w:tcW w:type="dxa" w:w="3249"/>
            <w:vAlign w:val="center"/>
          </w:tcPr>
          <w:p>
            <w:pPr>
              <w:spacing w:line="276" w:lineRule="auto" w:before="0" w:after="0"/>
            </w:pPr>
            <w:r/>
            <w:r>
              <w:rPr>
                <w:rFonts w:ascii="Figtree" w:hAnsi="Figtree"/>
                <w:b w:val="0"/>
                <w:i w:val="0"/>
                <w:sz w:val="20"/>
              </w:rPr>
              <w:t>Webhooks</w:t>
            </w:r>
          </w:p>
        </w:tc>
        <w:tc>
          <w:tcPr>
            <w:tcW w:type="dxa" w:w="3249"/>
            <w:vAlign w:val="center"/>
          </w:tcPr>
          <w:p>
            <w:pPr>
              <w:spacing w:line="276" w:lineRule="auto" w:before="0" w:after="0"/>
            </w:pPr>
            <w:r/>
            <w:r>
              <w:rPr>
                <w:rFonts w:ascii="Figtree" w:hAnsi="Figtree"/>
                <w:b w:val="0"/>
                <w:i w:val="0"/>
                <w:sz w:val="20"/>
              </w:rPr>
              <w:t>Event-driven notifications</w:t>
            </w:r>
          </w:p>
        </w:tc>
        <w:tc>
          <w:tcPr>
            <w:tcW w:type="dxa" w:w="3249"/>
            <w:vAlign w:val="center"/>
          </w:tcPr>
          <w:p>
            <w:pPr>
              <w:spacing w:line="276" w:lineRule="auto" w:before="0" w:after="0"/>
            </w:pPr>
            <w:r/>
            <w:r>
              <w:rPr>
                <w:rFonts w:ascii="Figtree" w:hAnsi="Figtree"/>
                <w:b w:val="0"/>
                <w:i w:val="0"/>
                <w:sz w:val="20"/>
              </w:rPr>
              <w:t>Configured per endpoint</w:t>
            </w:r>
          </w:p>
        </w:tc>
      </w:tr>
      <w:tr>
        <w:trPr>
          <w:trHeight w:val="425" w:hRule="atLeast"/>
        </w:trPr>
        <w:tc>
          <w:tcPr>
            <w:tcW w:type="dxa" w:w="3249"/>
            <w:vAlign w:val="center"/>
          </w:tcPr>
          <w:p>
            <w:pPr>
              <w:spacing w:line="276" w:lineRule="auto" w:before="0" w:after="0"/>
            </w:pPr>
            <w:r/>
            <w:r>
              <w:rPr>
                <w:rFonts w:ascii="Figtree" w:hAnsi="Figtree"/>
                <w:b w:val="0"/>
                <w:i w:val="0"/>
                <w:sz w:val="20"/>
              </w:rPr>
              <w:t>Enterprise messaging</w:t>
            </w:r>
          </w:p>
        </w:tc>
        <w:tc>
          <w:tcPr>
            <w:tcW w:type="dxa" w:w="3249"/>
            <w:vAlign w:val="center"/>
          </w:tcPr>
          <w:p>
            <w:pPr>
              <w:spacing w:line="276" w:lineRule="auto" w:before="0" w:after="0"/>
            </w:pPr>
            <w:r/>
            <w:r>
              <w:rPr>
                <w:rFonts w:ascii="Figtree" w:hAnsi="Figtree"/>
                <w:b w:val="0"/>
                <w:i w:val="0"/>
                <w:sz w:val="20"/>
              </w:rPr>
              <w:t>Corporate actions, settlement</w:t>
            </w:r>
          </w:p>
        </w:tc>
        <w:tc>
          <w:tcPr>
            <w:tcW w:type="dxa" w:w="3249"/>
            <w:vAlign w:val="center"/>
          </w:tcPr>
          <w:p>
            <w:pPr>
              <w:spacing w:line="276" w:lineRule="auto" w:before="0" w:after="0"/>
            </w:pPr>
            <w:r/>
            <w:r>
              <w:rPr>
                <w:rFonts w:ascii="Figtree" w:hAnsi="Figtree"/>
                <w:b w:val="0"/>
                <w:i w:val="0"/>
                <w:sz w:val="20"/>
              </w:rPr>
              <w:t>API keys</w:t>
            </w:r>
          </w:p>
        </w:tc>
      </w:tr>
    </w:tbl>
    <w:p>
      <w:pPr>
        <w:spacing w:before="0" w:after="0" w:line="120" w:lineRule="exact"/>
      </w:pPr>
    </w:p>
    <w:p>
      <w:pPr>
        <w:pStyle w:val="H3"/>
        <w:numPr>
          <w:ilvl w:val="2"/>
          <w:numId w:val="1"/>
        </w:numPr>
      </w:pPr>
      <w:r>
        <w:t>3.3.3 Observability and Operations</w:t>
      </w:r>
    </w:p>
    <w:p>
      <w:r>
        <w:rPr>
          <w:rFonts w:ascii="Figtree" w:hAnsi="Figtree"/>
          <w:b w:val="0"/>
          <w:i w:val="0"/>
          <w:sz w:val="22"/>
        </w:rPr>
        <w:t>A comprehensive observability stack is built on three pillars:</w:t>
      </w:r>
    </w:p>
    <w:p>
      <w:r>
        <w:rPr>
          <w:rFonts w:ascii="Figtree" w:hAnsi="Figtree"/>
          <w:b/>
          <w:i w:val="0"/>
          <w:sz w:val="22"/>
        </w:rPr>
        <w:t>Metrics:</w:t>
      </w:r>
      <w:r>
        <w:rPr>
          <w:rFonts w:ascii="Figtree" w:hAnsi="Figtree"/>
          <w:b w:val="0"/>
          <w:i w:val="0"/>
          <w:sz w:val="22"/>
        </w:rPr>
        <w:t xml:space="preserve"> Time-series data captures request rates, latencies, error rates, resource utilization, transaction volumes, block lag, gas prices, and confirmation times.</w:t>
      </w:r>
    </w:p>
    <w:p>
      <w:r>
        <w:rPr>
          <w:rFonts w:ascii="Figtree" w:hAnsi="Figtree"/>
          <w:b/>
          <w:i w:val="0"/>
          <w:sz w:val="22"/>
        </w:rPr>
        <w:t>Logs:</w:t>
      </w:r>
      <w:r>
        <w:rPr>
          <w:rFonts w:ascii="Figtree" w:hAnsi="Figtree"/>
          <w:b w:val="0"/>
          <w:i w:val="0"/>
          <w:sz w:val="22"/>
        </w:rPr>
        <w:t xml:space="preserve"> Structured JSON logs with correlation identifiers link related entries across components.</w:t>
      </w:r>
    </w:p>
    <w:p>
      <w:r>
        <w:rPr>
          <w:rFonts w:ascii="Figtree" w:hAnsi="Figtree"/>
          <w:b/>
          <w:i w:val="0"/>
          <w:sz w:val="22"/>
        </w:rPr>
        <w:t>Traces:</w:t>
      </w:r>
      <w:r>
        <w:rPr>
          <w:rFonts w:ascii="Figtree" w:hAnsi="Figtree"/>
          <w:b w:val="0"/>
          <w:i w:val="0"/>
          <w:sz w:val="22"/>
        </w:rPr>
        <w:t xml:space="preserve"> Distributed traces follow operations across component boundaries with span-level timing and metadata.</w:t>
      </w:r>
    </w:p>
    <w:p>
      <w:r>
        <w:rPr>
          <w:rFonts w:ascii="Figtree" w:hAnsi="Figtree"/>
          <w:b w:val="0"/>
          <w:i w:val="0"/>
          <w:sz w:val="22"/>
        </w:rPr>
        <w:t>Pre-built dashboards cover operations overview, transaction monitoring, compliance activity, security overview, and infrastructure health.</w:t>
      </w:r>
    </w:p>
    <w:p>
      <w:pPr>
        <w:pStyle w:val="H2"/>
        <w:numPr>
          <w:ilvl w:val="1"/>
          <w:numId w:val="1"/>
        </w:numPr>
      </w:pPr>
      <w:r>
        <w:t>3.4 Supported Asset Classes</w:t>
      </w:r>
    </w:p>
    <w:p>
      <w:r>
        <w:rPr>
          <w:rFonts w:ascii="Figtree" w:hAnsi="Figtree"/>
          <w:b w:val="0"/>
          <w:i w:val="0"/>
          <w:sz w:val="22"/>
        </w:rPr>
        <w:t>DALP supports multiple asset classes through specialized contract templates: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94"/>
        <w:gridCol w:w="1355"/>
        <w:gridCol w:w="542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Asset Class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Contract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Capabilities</w:t>
            </w:r>
          </w:p>
        </w:tc>
      </w:tr>
      <w:tr>
        <w:trPr>
          <w:trHeight w:val="425" w:hRule="atLeast"/>
        </w:trPr>
        <w:tc>
          <w:tcPr>
            <w:tcW w:type="dxa" w:w="3249"/>
            <w:vAlign w:val="center"/>
          </w:tcPr>
          <w:p>
            <w:pPr>
              <w:spacing w:line="276" w:lineRule="auto" w:before="0" w:after="0"/>
            </w:pPr>
            <w:r/>
            <w:r>
              <w:rPr>
                <w:rFonts w:ascii="Figtree" w:hAnsi="Figtree"/>
                <w:b/>
                <w:i w:val="0"/>
                <w:sz w:val="20"/>
              </w:rPr>
              <w:t>Configurable Token</w:t>
            </w:r>
          </w:p>
        </w:tc>
        <w:tc>
          <w:tcPr>
            <w:tcW w:type="dxa" w:w="3249"/>
            <w:vAlign w:val="center"/>
          </w:tcPr>
          <w:p>
            <w:pPr>
              <w:spacing w:line="276" w:lineRule="auto" w:before="0" w:after="0"/>
            </w:pPr>
            <w:r/>
            <w:r>
              <w:rPr>
                <w:rFonts w:ascii="Figtree" w:hAnsi="Figtree"/>
                <w:b w:val="0"/>
                <w:i w:val="0"/>
                <w:sz w:val="20"/>
              </w:rPr>
              <w:t>DALPAsset</w:t>
            </w:r>
          </w:p>
        </w:tc>
        <w:tc>
          <w:tcPr>
            <w:tcW w:type="dxa" w:w="3249"/>
            <w:vAlign w:val="center"/>
          </w:tcPr>
          <w:p>
            <w:pPr>
              <w:spacing w:line="276" w:lineRule="auto" w:before="0" w:after="0"/>
            </w:pPr>
            <w:r/>
            <w:r>
              <w:rPr>
                <w:rFonts w:ascii="Figtree" w:hAnsi="Figtree"/>
                <w:b w:val="0"/>
                <w:i w:val="0"/>
                <w:sz w:val="20"/>
              </w:rPr>
              <w:t>Pluggable features and compliance modules at runtime</w:t>
            </w:r>
          </w:p>
        </w:tc>
      </w:tr>
      <w:tr>
        <w:trPr>
          <w:trHeight w:val="425" w:hRule="atLeast"/>
        </w:trPr>
        <w:tc>
          <w:tcPr>
            <w:tcW w:type="dxa" w:w="3249"/>
            <w:vAlign w:val="center"/>
          </w:tcPr>
          <w:p>
            <w:pPr>
              <w:spacing w:line="276" w:lineRule="auto" w:before="0" w:after="0"/>
            </w:pPr>
            <w:r/>
            <w:r>
              <w:rPr>
                <w:rFonts w:ascii="Figtree" w:hAnsi="Figtree"/>
                <w:b/>
                <w:i w:val="0"/>
                <w:sz w:val="20"/>
              </w:rPr>
              <w:t>Bonds</w:t>
            </w:r>
          </w:p>
        </w:tc>
        <w:tc>
          <w:tcPr>
            <w:tcW w:type="dxa" w:w="3249"/>
            <w:vAlign w:val="center"/>
          </w:tcPr>
          <w:p>
            <w:pPr>
              <w:spacing w:line="276" w:lineRule="auto" w:before="0" w:after="0"/>
            </w:pPr>
            <w:r/>
            <w:r>
              <w:rPr>
                <w:rFonts w:ascii="Figtree" w:hAnsi="Figtree"/>
                <w:b w:val="0"/>
                <w:i w:val="0"/>
                <w:sz w:val="20"/>
              </w:rPr>
              <w:t>Bond</w:t>
            </w:r>
          </w:p>
        </w:tc>
        <w:tc>
          <w:tcPr>
            <w:tcW w:type="dxa" w:w="3249"/>
            <w:vAlign w:val="center"/>
          </w:tcPr>
          <w:p>
            <w:pPr>
              <w:spacing w:line="276" w:lineRule="auto" w:before="0" w:after="0"/>
            </w:pPr>
            <w:r/>
            <w:r>
              <w:rPr>
                <w:rFonts w:ascii="Figtree" w:hAnsi="Figtree"/>
                <w:b w:val="0"/>
                <w:i w:val="0"/>
                <w:sz w:val="20"/>
              </w:rPr>
              <w:t>Coupon payments, maturity, call/put options</w:t>
            </w:r>
          </w:p>
        </w:tc>
      </w:tr>
      <w:tr>
        <w:trPr>
          <w:trHeight w:val="425" w:hRule="atLeast"/>
        </w:trPr>
        <w:tc>
          <w:tcPr>
            <w:tcW w:type="dxa" w:w="3249"/>
            <w:vAlign w:val="center"/>
          </w:tcPr>
          <w:p>
            <w:pPr>
              <w:spacing w:line="276" w:lineRule="auto" w:before="0" w:after="0"/>
            </w:pPr>
            <w:r/>
            <w:r>
              <w:rPr>
                <w:rFonts w:ascii="Figtree" w:hAnsi="Figtree"/>
                <w:b/>
                <w:i w:val="0"/>
                <w:sz w:val="20"/>
              </w:rPr>
              <w:t>Equity</w:t>
            </w:r>
          </w:p>
        </w:tc>
        <w:tc>
          <w:tcPr>
            <w:tcW w:type="dxa" w:w="3249"/>
            <w:vAlign w:val="center"/>
          </w:tcPr>
          <w:p>
            <w:pPr>
              <w:spacing w:line="276" w:lineRule="auto" w:before="0" w:after="0"/>
            </w:pPr>
            <w:r/>
            <w:r>
              <w:rPr>
                <w:rFonts w:ascii="Figtree" w:hAnsi="Figtree"/>
                <w:b w:val="0"/>
                <w:i w:val="0"/>
                <w:sz w:val="20"/>
              </w:rPr>
              <w:t>Equity</w:t>
            </w:r>
          </w:p>
        </w:tc>
        <w:tc>
          <w:tcPr>
            <w:tcW w:type="dxa" w:w="3249"/>
            <w:vAlign w:val="center"/>
          </w:tcPr>
          <w:p>
            <w:pPr>
              <w:spacing w:line="276" w:lineRule="auto" w:before="0" w:after="0"/>
            </w:pPr>
            <w:r/>
            <w:r>
              <w:rPr>
                <w:rFonts w:ascii="Figtree" w:hAnsi="Figtree"/>
                <w:b w:val="0"/>
                <w:i w:val="0"/>
                <w:sz w:val="20"/>
              </w:rPr>
              <w:t>Dividends, voting rights, share splits</w:t>
            </w:r>
          </w:p>
        </w:tc>
      </w:tr>
      <w:tr>
        <w:trPr>
          <w:trHeight w:val="425" w:hRule="atLeast"/>
        </w:trPr>
        <w:tc>
          <w:tcPr>
            <w:tcW w:type="dxa" w:w="3249"/>
            <w:vAlign w:val="center"/>
          </w:tcPr>
          <w:p>
            <w:pPr>
              <w:spacing w:line="276" w:lineRule="auto" w:before="0" w:after="0"/>
            </w:pPr>
            <w:r/>
            <w:r>
              <w:rPr>
                <w:rFonts w:ascii="Figtree" w:hAnsi="Figtree"/>
                <w:b/>
                <w:i w:val="0"/>
                <w:sz w:val="20"/>
              </w:rPr>
              <w:t>Funds</w:t>
            </w:r>
          </w:p>
        </w:tc>
        <w:tc>
          <w:tcPr>
            <w:tcW w:type="dxa" w:w="3249"/>
            <w:vAlign w:val="center"/>
          </w:tcPr>
          <w:p>
            <w:pPr>
              <w:spacing w:line="276" w:lineRule="auto" w:before="0" w:after="0"/>
            </w:pPr>
            <w:r/>
            <w:r>
              <w:rPr>
                <w:rFonts w:ascii="Figtree" w:hAnsi="Figtree"/>
                <w:b w:val="0"/>
                <w:i w:val="0"/>
                <w:sz w:val="20"/>
              </w:rPr>
              <w:t>Fund</w:t>
            </w:r>
          </w:p>
        </w:tc>
        <w:tc>
          <w:tcPr>
            <w:tcW w:type="dxa" w:w="3249"/>
            <w:vAlign w:val="center"/>
          </w:tcPr>
          <w:p>
            <w:pPr>
              <w:spacing w:line="276" w:lineRule="auto" w:before="0" w:after="0"/>
            </w:pPr>
            <w:r/>
            <w:r>
              <w:rPr>
                <w:rFonts w:ascii="Figtree" w:hAnsi="Figtree"/>
                <w:b w:val="0"/>
                <w:i w:val="0"/>
                <w:sz w:val="20"/>
              </w:rPr>
              <w:t>NAV calculation, redemption, fee structures</w:t>
            </w:r>
          </w:p>
        </w:tc>
      </w:tr>
      <w:tr>
        <w:trPr>
          <w:trHeight w:val="425" w:hRule="atLeast"/>
        </w:trPr>
        <w:tc>
          <w:tcPr>
            <w:tcW w:type="dxa" w:w="3249"/>
            <w:vAlign w:val="center"/>
          </w:tcPr>
          <w:p>
            <w:pPr>
              <w:spacing w:line="276" w:lineRule="auto" w:before="0" w:after="0"/>
            </w:pPr>
            <w:r/>
            <w:r>
              <w:rPr>
                <w:rFonts w:ascii="Figtree" w:hAnsi="Figtree"/>
                <w:b/>
                <w:i w:val="0"/>
                <w:sz w:val="20"/>
              </w:rPr>
              <w:t>Deposits</w:t>
            </w:r>
          </w:p>
        </w:tc>
        <w:tc>
          <w:tcPr>
            <w:tcW w:type="dxa" w:w="3249"/>
            <w:vAlign w:val="center"/>
          </w:tcPr>
          <w:p>
            <w:pPr>
              <w:spacing w:line="276" w:lineRule="auto" w:before="0" w:after="0"/>
            </w:pPr>
            <w:r/>
            <w:r>
              <w:rPr>
                <w:rFonts w:ascii="Figtree" w:hAnsi="Figtree"/>
                <w:b w:val="0"/>
                <w:i w:val="0"/>
                <w:sz w:val="20"/>
              </w:rPr>
              <w:t>Deposit</w:t>
            </w:r>
          </w:p>
        </w:tc>
        <w:tc>
          <w:tcPr>
            <w:tcW w:type="dxa" w:w="3249"/>
            <w:vAlign w:val="center"/>
          </w:tcPr>
          <w:p>
            <w:pPr>
              <w:spacing w:line="276" w:lineRule="auto" w:before="0" w:after="0"/>
            </w:pPr>
            <w:r/>
            <w:r>
              <w:rPr>
                <w:rFonts w:ascii="Figtree" w:hAnsi="Figtree"/>
                <w:b w:val="0"/>
                <w:i w:val="0"/>
                <w:sz w:val="20"/>
              </w:rPr>
              <w:t>Interest accrual, withdrawal rules</w:t>
            </w:r>
          </w:p>
        </w:tc>
      </w:tr>
      <w:tr>
        <w:trPr>
          <w:trHeight w:val="425" w:hRule="atLeast"/>
        </w:trPr>
        <w:tc>
          <w:tcPr>
            <w:tcW w:type="dxa" w:w="3249"/>
            <w:vAlign w:val="center"/>
          </w:tcPr>
          <w:p>
            <w:pPr>
              <w:spacing w:line="276" w:lineRule="auto" w:before="0" w:after="0"/>
            </w:pPr>
            <w:r/>
            <w:r>
              <w:rPr>
                <w:rFonts w:ascii="Figtree" w:hAnsi="Figtree"/>
                <w:b/>
                <w:i w:val="0"/>
                <w:sz w:val="20"/>
              </w:rPr>
              <w:t>Stablecoins</w:t>
            </w:r>
          </w:p>
        </w:tc>
        <w:tc>
          <w:tcPr>
            <w:tcW w:type="dxa" w:w="3249"/>
            <w:vAlign w:val="center"/>
          </w:tcPr>
          <w:p>
            <w:pPr>
              <w:spacing w:line="276" w:lineRule="auto" w:before="0" w:after="0"/>
            </w:pPr>
            <w:r/>
            <w:r>
              <w:rPr>
                <w:rFonts w:ascii="Figtree" w:hAnsi="Figtree"/>
                <w:b w:val="0"/>
                <w:i w:val="0"/>
                <w:sz w:val="20"/>
              </w:rPr>
              <w:t>StableCoin</w:t>
            </w:r>
          </w:p>
        </w:tc>
        <w:tc>
          <w:tcPr>
            <w:tcW w:type="dxa" w:w="3249"/>
            <w:vAlign w:val="center"/>
          </w:tcPr>
          <w:p>
            <w:pPr>
              <w:spacing w:line="276" w:lineRule="auto" w:before="0" w:after="0"/>
            </w:pPr>
            <w:r/>
            <w:r>
              <w:rPr>
                <w:rFonts w:ascii="Figtree" w:hAnsi="Figtree"/>
                <w:b w:val="0"/>
                <w:i w:val="0"/>
                <w:sz w:val="20"/>
              </w:rPr>
              <w:t>Collateral backing, supply management</w:t>
            </w:r>
          </w:p>
        </w:tc>
      </w:tr>
      <w:tr>
        <w:trPr>
          <w:trHeight w:val="425" w:hRule="atLeast"/>
        </w:trPr>
        <w:tc>
          <w:tcPr>
            <w:tcW w:type="dxa" w:w="3249"/>
            <w:vAlign w:val="center"/>
          </w:tcPr>
          <w:p>
            <w:pPr>
              <w:spacing w:line="276" w:lineRule="auto" w:before="0" w:after="0"/>
            </w:pPr>
            <w:r/>
            <w:r>
              <w:rPr>
                <w:rFonts w:ascii="Figtree" w:hAnsi="Figtree"/>
                <w:b/>
                <w:i w:val="0"/>
                <w:sz w:val="20"/>
              </w:rPr>
              <w:t>Real Estate</w:t>
            </w:r>
          </w:p>
        </w:tc>
        <w:tc>
          <w:tcPr>
            <w:tcW w:type="dxa" w:w="3249"/>
            <w:vAlign w:val="center"/>
          </w:tcPr>
          <w:p>
            <w:pPr>
              <w:spacing w:line="276" w:lineRule="auto" w:before="0" w:after="0"/>
            </w:pPr>
            <w:r/>
            <w:r>
              <w:rPr>
                <w:rFonts w:ascii="Figtree" w:hAnsi="Figtree"/>
                <w:b w:val="0"/>
                <w:i w:val="0"/>
                <w:sz w:val="20"/>
              </w:rPr>
              <w:t>RealEstate</w:t>
            </w:r>
          </w:p>
        </w:tc>
        <w:tc>
          <w:tcPr>
            <w:tcW w:type="dxa" w:w="3249"/>
            <w:vAlign w:val="center"/>
          </w:tcPr>
          <w:p>
            <w:pPr>
              <w:spacing w:line="276" w:lineRule="auto" w:before="0" w:after="0"/>
            </w:pPr>
            <w:r/>
            <w:r>
              <w:rPr>
                <w:rFonts w:ascii="Figtree" w:hAnsi="Figtree"/>
                <w:b w:val="0"/>
                <w:i w:val="0"/>
                <w:sz w:val="20"/>
              </w:rPr>
              <w:t>Fractional ownership, rental distribution</w:t>
            </w:r>
          </w:p>
        </w:tc>
      </w:tr>
      <w:tr>
        <w:trPr>
          <w:trHeight w:val="425" w:hRule="atLeast"/>
        </w:trPr>
        <w:tc>
          <w:tcPr>
            <w:tcW w:type="dxa" w:w="3249"/>
            <w:vAlign w:val="center"/>
          </w:tcPr>
          <w:p>
            <w:pPr>
              <w:spacing w:line="276" w:lineRule="auto" w:before="0" w:after="0"/>
            </w:pPr>
            <w:r/>
            <w:r>
              <w:rPr>
                <w:rFonts w:ascii="Figtree" w:hAnsi="Figtree"/>
                <w:b/>
                <w:i w:val="0"/>
                <w:sz w:val="20"/>
              </w:rPr>
              <w:t>Precious Metals</w:t>
            </w:r>
          </w:p>
        </w:tc>
        <w:tc>
          <w:tcPr>
            <w:tcW w:type="dxa" w:w="3249"/>
            <w:vAlign w:val="center"/>
          </w:tcPr>
          <w:p>
            <w:pPr>
              <w:spacing w:line="276" w:lineRule="auto" w:before="0" w:after="0"/>
            </w:pPr>
            <w:r/>
            <w:r>
              <w:rPr>
                <w:rFonts w:ascii="Figtree" w:hAnsi="Figtree"/>
                <w:b w:val="0"/>
                <w:i w:val="0"/>
                <w:sz w:val="20"/>
              </w:rPr>
              <w:t>PreciousMetal</w:t>
            </w:r>
          </w:p>
        </w:tc>
        <w:tc>
          <w:tcPr>
            <w:tcW w:type="dxa" w:w="3249"/>
            <w:vAlign w:val="center"/>
          </w:tcPr>
          <w:p>
            <w:pPr>
              <w:spacing w:line="276" w:lineRule="auto" w:before="0" w:after="0"/>
            </w:pPr>
            <w:r/>
            <w:r>
              <w:rPr>
                <w:rFonts w:ascii="Figtree" w:hAnsi="Figtree"/>
                <w:b w:val="0"/>
                <w:i w:val="0"/>
                <w:sz w:val="20"/>
              </w:rPr>
              <w:t>Custody proof, ownership transfer</w:t>
            </w:r>
          </w:p>
        </w:tc>
      </w:tr>
    </w:tbl>
    <w:p>
      <w:pPr>
        <w:spacing w:before="0" w:after="0" w:line="120" w:lineRule="exact"/>
      </w:pPr>
    </w:p>
    <w:p>
      <w:pPr>
        <w:pStyle w:val="H2"/>
        <w:numPr>
          <w:ilvl w:val="1"/>
          <w:numId w:val="1"/>
        </w:numPr>
      </w:pPr>
      <w:r>
        <w:t>3.5 Standards and Protocols</w:t>
      </w:r>
    </w:p>
    <w:p>
      <w:r>
        <w:rPr>
          <w:rFonts w:ascii="Figtree" w:hAnsi="Figtree"/>
          <w:b w:val="0"/>
          <w:i w:val="0"/>
          <w:sz w:val="22"/>
        </w:rPr>
        <w:t>DALP is built on open standards that ensure interoperability and regulatory alignment: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01"/>
        <w:gridCol w:w="3335"/>
        <w:gridCol w:w="373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Standard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r>
      <w:tr>
        <w:trPr>
          <w:trHeight w:val="425" w:hRule="atLeast"/>
        </w:trPr>
        <w:tc>
          <w:tcPr>
            <w:tcW w:type="dxa" w:w="3249"/>
            <w:vAlign w:val="center"/>
          </w:tcPr>
          <w:p>
            <w:pPr>
              <w:spacing w:line="276" w:lineRule="auto" w:before="0" w:after="0"/>
            </w:pPr>
            <w:r/>
            <w:r>
              <w:rPr>
                <w:rFonts w:ascii="Figtree" w:hAnsi="Figtree"/>
                <w:b/>
                <w:i w:val="0"/>
                <w:sz w:val="20"/>
              </w:rPr>
              <w:t>ERC-3643</w:t>
            </w:r>
          </w:p>
        </w:tc>
        <w:tc>
          <w:tcPr>
            <w:tcW w:type="dxa" w:w="3249"/>
            <w:vAlign w:val="center"/>
          </w:tcPr>
          <w:p>
            <w:pPr>
              <w:spacing w:line="276" w:lineRule="auto" w:before="0" w:after="0"/>
            </w:pPr>
            <w:r/>
            <w:r>
              <w:rPr>
                <w:rFonts w:ascii="Figtree" w:hAnsi="Figtree"/>
                <w:b w:val="0"/>
                <w:i w:val="0"/>
                <w:sz w:val="20"/>
              </w:rPr>
              <w:t>Regulated security tokens</w:t>
            </w:r>
          </w:p>
        </w:tc>
        <w:tc>
          <w:tcPr>
            <w:tcW w:type="dxa" w:w="3249"/>
            <w:vAlign w:val="center"/>
          </w:tcPr>
          <w:p>
            <w:pPr>
              <w:spacing w:line="276" w:lineRule="auto" w:before="0" w:after="0"/>
            </w:pPr>
            <w:r/>
            <w:r>
              <w:rPr>
                <w:rFonts w:ascii="Figtree" w:hAnsi="Figtree"/>
                <w:b w:val="0"/>
                <w:i w:val="0"/>
                <w:sz w:val="20"/>
              </w:rPr>
              <w:t>SMART Protocol foundation</w:t>
            </w:r>
          </w:p>
        </w:tc>
      </w:tr>
      <w:tr>
        <w:trPr>
          <w:trHeight w:val="425" w:hRule="atLeast"/>
        </w:trPr>
        <w:tc>
          <w:tcPr>
            <w:tcW w:type="dxa" w:w="3249"/>
            <w:vAlign w:val="center"/>
          </w:tcPr>
          <w:p>
            <w:pPr>
              <w:spacing w:line="276" w:lineRule="auto" w:before="0" w:after="0"/>
            </w:pPr>
            <w:r/>
            <w:r>
              <w:rPr>
                <w:rFonts w:ascii="Figtree" w:hAnsi="Figtree"/>
                <w:b/>
                <w:i w:val="0"/>
                <w:sz w:val="20"/>
              </w:rPr>
              <w:t>ERC-20</w:t>
            </w:r>
          </w:p>
        </w:tc>
        <w:tc>
          <w:tcPr>
            <w:tcW w:type="dxa" w:w="3249"/>
            <w:vAlign w:val="center"/>
          </w:tcPr>
          <w:p>
            <w:pPr>
              <w:spacing w:line="276" w:lineRule="auto" w:before="0" w:after="0"/>
            </w:pPr>
            <w:r/>
            <w:r>
              <w:rPr>
                <w:rFonts w:ascii="Figtree" w:hAnsi="Figtree"/>
                <w:b w:val="0"/>
                <w:i w:val="0"/>
                <w:sz w:val="20"/>
              </w:rPr>
              <w:t>Token interface</w:t>
            </w:r>
          </w:p>
        </w:tc>
        <w:tc>
          <w:tcPr>
            <w:tcW w:type="dxa" w:w="3249"/>
            <w:vAlign w:val="center"/>
          </w:tcPr>
          <w:p>
            <w:pPr>
              <w:spacing w:line="276" w:lineRule="auto" w:before="0" w:after="0"/>
            </w:pPr>
            <w:r/>
            <w:r>
              <w:rPr>
                <w:rFonts w:ascii="Figtree" w:hAnsi="Figtree"/>
                <w:b w:val="0"/>
                <w:i w:val="0"/>
                <w:sz w:val="20"/>
              </w:rPr>
              <w:t>Compatible base</w:t>
            </w:r>
          </w:p>
        </w:tc>
      </w:tr>
      <w:tr>
        <w:trPr>
          <w:trHeight w:val="425" w:hRule="atLeast"/>
        </w:trPr>
        <w:tc>
          <w:tcPr>
            <w:tcW w:type="dxa" w:w="3249"/>
            <w:vAlign w:val="center"/>
          </w:tcPr>
          <w:p>
            <w:pPr>
              <w:spacing w:line="276" w:lineRule="auto" w:before="0" w:after="0"/>
            </w:pPr>
            <w:r/>
            <w:r>
              <w:rPr>
                <w:rFonts w:ascii="Figtree" w:hAnsi="Figtree"/>
                <w:b/>
                <w:i w:val="0"/>
                <w:sz w:val="20"/>
              </w:rPr>
              <w:t>ERC-734/735</w:t>
            </w:r>
          </w:p>
        </w:tc>
        <w:tc>
          <w:tcPr>
            <w:tcW w:type="dxa" w:w="3249"/>
            <w:vAlign w:val="center"/>
          </w:tcPr>
          <w:p>
            <w:pPr>
              <w:spacing w:line="276" w:lineRule="auto" w:before="0" w:after="0"/>
            </w:pPr>
            <w:r/>
            <w:r>
              <w:rPr>
                <w:rFonts w:ascii="Figtree" w:hAnsi="Figtree"/>
                <w:b w:val="0"/>
                <w:i w:val="0"/>
                <w:sz w:val="20"/>
              </w:rPr>
              <w:t>OnchainID identity</w:t>
            </w:r>
          </w:p>
        </w:tc>
        <w:tc>
          <w:tcPr>
            <w:tcW w:type="dxa" w:w="3249"/>
            <w:vAlign w:val="center"/>
          </w:tcPr>
          <w:p>
            <w:pPr>
              <w:spacing w:line="276" w:lineRule="auto" w:before="0" w:after="0"/>
            </w:pPr>
            <w:r/>
            <w:r>
              <w:rPr>
                <w:rFonts w:ascii="Figtree" w:hAnsi="Figtree"/>
                <w:b w:val="0"/>
                <w:i w:val="0"/>
                <w:sz w:val="20"/>
              </w:rPr>
              <w:t>Identity registry and claims</w:t>
            </w:r>
          </w:p>
        </w:tc>
      </w:tr>
      <w:tr>
        <w:trPr>
          <w:trHeight w:val="425" w:hRule="atLeast"/>
        </w:trPr>
        <w:tc>
          <w:tcPr>
            <w:tcW w:type="dxa" w:w="3249"/>
            <w:vAlign w:val="center"/>
          </w:tcPr>
          <w:p>
            <w:pPr>
              <w:spacing w:line="276" w:lineRule="auto" w:before="0" w:after="0"/>
            </w:pPr>
            <w:r/>
            <w:r>
              <w:rPr>
                <w:rFonts w:ascii="Figtree" w:hAnsi="Figtree"/>
                <w:b/>
                <w:i w:val="0"/>
                <w:sz w:val="20"/>
              </w:rPr>
              <w:t>ERC-2771</w:t>
            </w:r>
          </w:p>
        </w:tc>
        <w:tc>
          <w:tcPr>
            <w:tcW w:type="dxa" w:w="3249"/>
            <w:vAlign w:val="center"/>
          </w:tcPr>
          <w:p>
            <w:pPr>
              <w:spacing w:line="276" w:lineRule="auto" w:before="0" w:after="0"/>
            </w:pPr>
            <w:r/>
            <w:r>
              <w:rPr>
                <w:rFonts w:ascii="Figtree" w:hAnsi="Figtree"/>
                <w:b w:val="0"/>
                <w:i w:val="0"/>
                <w:sz w:val="20"/>
              </w:rPr>
              <w:t>Meta-transactions</w:t>
            </w:r>
          </w:p>
        </w:tc>
        <w:tc>
          <w:tcPr>
            <w:tcW w:type="dxa" w:w="3249"/>
            <w:vAlign w:val="center"/>
          </w:tcPr>
          <w:p>
            <w:pPr>
              <w:spacing w:line="276" w:lineRule="auto" w:before="0" w:after="0"/>
            </w:pPr>
            <w:r/>
            <w:r>
              <w:rPr>
                <w:rFonts w:ascii="Figtree" w:hAnsi="Figtree"/>
                <w:b w:val="0"/>
                <w:i w:val="0"/>
                <w:sz w:val="20"/>
              </w:rPr>
              <w:t>Gasless transaction support</w:t>
            </w:r>
          </w:p>
        </w:tc>
      </w:tr>
      <w:tr>
        <w:trPr>
          <w:trHeight w:val="425" w:hRule="atLeast"/>
        </w:trPr>
        <w:tc>
          <w:tcPr>
            <w:tcW w:type="dxa" w:w="3249"/>
            <w:vAlign w:val="center"/>
          </w:tcPr>
          <w:p>
            <w:pPr>
              <w:spacing w:line="276" w:lineRule="auto" w:before="0" w:after="0"/>
            </w:pPr>
            <w:r/>
            <w:r>
              <w:rPr>
                <w:rFonts w:ascii="Figtree" w:hAnsi="Figtree"/>
                <w:b/>
                <w:i w:val="0"/>
                <w:sz w:val="20"/>
              </w:rPr>
              <w:t>ISO 20022</w:t>
            </w:r>
          </w:p>
        </w:tc>
        <w:tc>
          <w:tcPr>
            <w:tcW w:type="dxa" w:w="3249"/>
            <w:vAlign w:val="center"/>
          </w:tcPr>
          <w:p>
            <w:pPr>
              <w:spacing w:line="276" w:lineRule="auto" w:before="0" w:after="0"/>
            </w:pPr>
            <w:r/>
            <w:r>
              <w:rPr>
                <w:rFonts w:ascii="Figtree" w:hAnsi="Figtree"/>
                <w:b w:val="0"/>
                <w:i w:val="0"/>
                <w:sz w:val="20"/>
              </w:rPr>
              <w:t>Financial messaging</w:t>
            </w:r>
          </w:p>
        </w:tc>
        <w:tc>
          <w:tcPr>
            <w:tcW w:type="dxa" w:w="3249"/>
            <w:vAlign w:val="center"/>
          </w:tcPr>
          <w:p>
            <w:pPr>
              <w:spacing w:line="276" w:lineRule="auto" w:before="0" w:after="0"/>
            </w:pPr>
            <w:r/>
            <w:r>
              <w:rPr>
                <w:rFonts w:ascii="Figtree" w:hAnsi="Figtree"/>
                <w:b w:val="0"/>
                <w:i w:val="0"/>
                <w:sz w:val="20"/>
              </w:rPr>
              <w:t>Payment rail integration</w:t>
            </w:r>
          </w:p>
        </w:tc>
      </w:tr>
    </w:tbl>
    <w:p>
      <w:pPr>
        <w:spacing w:before="0" w:after="0" w:line="120" w:lineRule="exact"/>
      </w:pPr>
    </w:p>
    <w:p>
      <w:r>
        <w:br w:type="page"/>
      </w:r>
    </w:p>
    <w:p>
      <w:pPr>
        <w:pStyle w:val="H1"/>
        <w:numPr>
          <w:ilvl w:val="0"/>
          <w:numId w:val="1"/>
        </w:numPr>
      </w:pPr>
      <w:r>
        <w:t>4. Understanding of Requirements</w:t>
      </w:r>
    </w:p>
    <w:p>
      <w:pPr>
        <w:pStyle w:val="H2"/>
        <w:numPr>
          <w:ilvl w:val="1"/>
          <w:numId w:val="1"/>
        </w:numPr>
      </w:pPr>
      <w:r>
        <w:t>4.1 ADGM Context</w:t>
      </w:r>
    </w:p>
    <w:p>
      <w:r>
        <w:rPr>
          <w:rFonts w:ascii="Figtree" w:hAnsi="Figtree"/>
          <w:b w:val="0"/>
          <w:i w:val="0"/>
          <w:sz w:val="22"/>
        </w:rPr>
        <w:t>ADGM Abu Dhabi Global Market is treating digital asset regulatory framework support platform as a business-critical capability that must be implemented with the same discipline applied to core regulated systems. The solution under consideration operates inside a control environment shaped by business ownership, architecture standards, security review, legal interpretation, compliance sign-off, and internal audit expectations. This is not a speculative innovation exercise. It is a procurement intended to test whether the market can supply a dependable platform and implementation model for the target operating state.</w:t>
      </w:r>
    </w:p>
    <w:p>
      <w:r>
        <w:rPr>
          <w:rFonts w:ascii="Figtree" w:hAnsi="Figtree"/>
          <w:b w:val="0"/>
          <w:i w:val="0"/>
          <w:sz w:val="22"/>
        </w:rPr>
        <w:t>ADGM's review team looks beyond product feature lists. It tests whether bidders can explain how the platform behaves when confronted with real-world operational pressure: incomplete onboarding data, limit breaches, approvals delayed by governance, partner outages, regulatory evidence requests, bulk corrections, data retention obligations, and phased rollout constraints.</w:t>
      </w:r>
    </w:p>
    <w:p>
      <w:r>
        <w:rPr>
          <w:rFonts w:ascii="Figtree" w:hAnsi="Figtree"/>
          <w:b w:val="0"/>
          <w:i w:val="0"/>
          <w:sz w:val="22"/>
        </w:rPr>
        <w:t>Regional conditions in UAE matter significantly. The response anchors in actual market infrastructure and supervisory realities, including the pace of domestic policy development, the role of regulated intermediaries, and the practical limits of cross-border interoperability.</w:t>
      </w:r>
    </w:p>
    <w:p>
      <w:pPr>
        <w:pStyle w:val="H2"/>
        <w:numPr>
          <w:ilvl w:val="1"/>
          <w:numId w:val="1"/>
        </w:numPr>
      </w:pPr>
      <w:r>
        <w:t>4.2 Requirement Domains</w:t>
      </w:r>
    </w:p>
    <w:p>
      <w:r>
        <w:rPr>
          <w:rFonts w:ascii="Figtree" w:hAnsi="Figtree"/>
          <w:b w:val="0"/>
          <w:i w:val="0"/>
          <w:sz w:val="22"/>
        </w:rPr>
        <w:t>The following requirement domains map directly to ADGM's RFP specification: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96"/>
        <w:gridCol w:w="2721"/>
        <w:gridCol w:w="525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Alignment</w:t>
            </w:r>
          </w:p>
        </w:tc>
      </w:tr>
      <w:tr>
        <w:trPr>
          <w:trHeight w:val="425" w:hRule="atLeast"/>
        </w:trPr>
        <w:tc>
          <w:tcPr>
            <w:tcW w:type="dxa" w:w="3249"/>
            <w:vAlign w:val="center"/>
          </w:tcPr>
          <w:p>
            <w:pPr>
              <w:spacing w:line="276" w:lineRule="auto" w:before="0" w:after="0"/>
            </w:pPr>
            <w:r/>
            <w:r>
              <w:rPr>
                <w:rFonts w:ascii="Figtree" w:hAnsi="Figtree"/>
                <w:b/>
                <w:i w:val="0"/>
                <w:sz w:val="20"/>
              </w:rPr>
              <w:t>Product/Asset Scope</w:t>
            </w:r>
          </w:p>
        </w:tc>
        <w:tc>
          <w:tcPr>
            <w:tcW w:type="dxa" w:w="3249"/>
            <w:vAlign w:val="center"/>
          </w:tcPr>
          <w:p>
            <w:pPr>
              <w:spacing w:line="276" w:lineRule="auto" w:before="0" w:after="0"/>
            </w:pPr>
            <w:r/>
            <w:r>
              <w:rPr>
                <w:rFonts w:ascii="Figtree" w:hAnsi="Figtree"/>
                <w:b w:val="0"/>
                <w:i w:val="0"/>
                <w:sz w:val="20"/>
              </w:rPr>
              <w:t>Regulatory tokens, security tokens, virtual assets, sandbox instruments</w:t>
            </w:r>
          </w:p>
        </w:tc>
        <w:tc>
          <w:tcPr>
            <w:tcW w:type="dxa" w:w="3249"/>
            <w:vAlign w:val="center"/>
          </w:tcPr>
          <w:p>
            <w:pPr>
              <w:spacing w:line="276" w:lineRule="auto" w:before="0" w:after="0"/>
            </w:pPr>
            <w:r/>
            <w:r>
              <w:rPr>
                <w:rFonts w:ascii="Figtree" w:hAnsi="Figtree"/>
                <w:b w:val="0"/>
                <w:i w:val="0"/>
                <w:sz w:val="20"/>
              </w:rPr>
              <w:t>DALPAsset with configurable features; multiple contract templates (bond, equity, fund, stablecoin, real estate); ERC-3643 compliance engine</w:t>
            </w:r>
          </w:p>
        </w:tc>
      </w:tr>
      <w:tr>
        <w:trPr>
          <w:trHeight w:val="425" w:hRule="atLeast"/>
        </w:trPr>
        <w:tc>
          <w:tcPr>
            <w:tcW w:type="dxa" w:w="3249"/>
            <w:vAlign w:val="center"/>
          </w:tcPr>
          <w:p>
            <w:pPr>
              <w:spacing w:line="276" w:lineRule="auto" w:before="0" w:after="0"/>
            </w:pPr>
            <w:r/>
            <w:r>
              <w:rPr>
                <w:rFonts w:ascii="Figtree" w:hAnsi="Figtree"/>
                <w:b/>
                <w:i w:val="0"/>
                <w:sz w:val="20"/>
              </w:rPr>
              <w:t>Identity/Onboarding</w:t>
            </w:r>
          </w:p>
        </w:tc>
        <w:tc>
          <w:tcPr>
            <w:tcW w:type="dxa" w:w="3249"/>
            <w:vAlign w:val="center"/>
          </w:tcPr>
          <w:p>
            <w:pPr>
              <w:spacing w:line="276" w:lineRule="auto" w:before="0" w:after="0"/>
            </w:pPr>
            <w:r/>
            <w:r>
              <w:rPr>
                <w:rFonts w:ascii="Figtree" w:hAnsi="Figtree"/>
                <w:b w:val="0"/>
                <w:i w:val="0"/>
                <w:sz w:val="20"/>
              </w:rPr>
              <w:t>Investor verification, claims management, sandbox participant onboarding</w:t>
            </w:r>
          </w:p>
        </w:tc>
        <w:tc>
          <w:tcPr>
            <w:tcW w:type="dxa" w:w="3249"/>
            <w:vAlign w:val="center"/>
          </w:tcPr>
          <w:p>
            <w:pPr>
              <w:spacing w:line="276" w:lineRule="auto" w:before="0" w:after="0"/>
            </w:pPr>
            <w:r/>
            <w:r>
              <w:rPr>
                <w:rFonts w:ascii="Figtree" w:hAnsi="Figtree"/>
                <w:b w:val="0"/>
                <w:i w:val="0"/>
                <w:sz w:val="20"/>
              </w:rPr>
              <w:t>OnchainID (ERC-734/735); configurable claim topics; trusted issuer tiers; onboarding workflow engine</w:t>
            </w:r>
          </w:p>
        </w:tc>
      </w:tr>
      <w:tr>
        <w:trPr>
          <w:trHeight w:val="425" w:hRule="atLeast"/>
        </w:trPr>
        <w:tc>
          <w:tcPr>
            <w:tcW w:type="dxa" w:w="3249"/>
            <w:vAlign w:val="center"/>
          </w:tcPr>
          <w:p>
            <w:pPr>
              <w:spacing w:line="276" w:lineRule="auto" w:before="0" w:after="0"/>
            </w:pPr>
            <w:r/>
            <w:r>
              <w:rPr>
                <w:rFonts w:ascii="Figtree" w:hAnsi="Figtree"/>
                <w:b/>
                <w:i w:val="0"/>
                <w:sz w:val="20"/>
              </w:rPr>
              <w:t>Compliance/Control</w:t>
            </w:r>
          </w:p>
        </w:tc>
        <w:tc>
          <w:tcPr>
            <w:tcW w:type="dxa" w:w="3249"/>
            <w:vAlign w:val="center"/>
          </w:tcPr>
          <w:p>
            <w:pPr>
              <w:spacing w:line="276" w:lineRule="auto" w:before="0" w:after="0"/>
            </w:pPr>
            <w:r/>
            <w:r>
              <w:rPr>
                <w:rFonts w:ascii="Figtree" w:hAnsi="Figtree"/>
                <w:b w:val="0"/>
                <w:i w:val="0"/>
                <w:sz w:val="20"/>
              </w:rPr>
              <w:t>Transfer rules, investor limits, country restrictions, AML integration</w:t>
            </w:r>
          </w:p>
        </w:tc>
        <w:tc>
          <w:tcPr>
            <w:tcW w:type="dxa" w:w="3249"/>
            <w:vAlign w:val="center"/>
          </w:tcPr>
          <w:p>
            <w:pPr>
              <w:spacing w:line="276" w:lineRule="auto" w:before="0" w:after="0"/>
            </w:pPr>
            <w:r/>
            <w:r>
              <w:rPr>
                <w:rFonts w:ascii="Figtree" w:hAnsi="Figtree"/>
                <w:b w:val="0"/>
                <w:i w:val="0"/>
                <w:sz w:val="20"/>
              </w:rPr>
              <w:t>18 modular compliance types; on-chain enforcement via ERC-3643; sanctions screening integration points</w:t>
            </w:r>
          </w:p>
        </w:tc>
      </w:tr>
      <w:tr>
        <w:trPr>
          <w:trHeight w:val="425" w:hRule="atLeast"/>
        </w:trPr>
        <w:tc>
          <w:tcPr>
            <w:tcW w:type="dxa" w:w="3249"/>
            <w:vAlign w:val="center"/>
          </w:tcPr>
          <w:p>
            <w:pPr>
              <w:spacing w:line="276" w:lineRule="auto" w:before="0" w:after="0"/>
            </w:pPr>
            <w:r/>
            <w:r>
              <w:rPr>
                <w:rFonts w:ascii="Figtree" w:hAnsi="Figtree"/>
                <w:b/>
                <w:i w:val="0"/>
                <w:sz w:val="20"/>
              </w:rPr>
              <w:t>Settlement/Cash Leg</w:t>
            </w:r>
          </w:p>
        </w:tc>
        <w:tc>
          <w:tcPr>
            <w:tcW w:type="dxa" w:w="3249"/>
            <w:vAlign w:val="center"/>
          </w:tcPr>
          <w:p>
            <w:pPr>
              <w:spacing w:line="276" w:lineRule="auto" w:before="0" w:after="0"/>
            </w:pPr>
            <w:r/>
            <w:r>
              <w:rPr>
                <w:rFonts w:ascii="Figtree" w:hAnsi="Figtree"/>
                <w:b w:val="0"/>
                <w:i w:val="0"/>
                <w:sz w:val="20"/>
              </w:rPr>
              <w:t>DvP, XvP, payment rail integration, atomic settlement</w:t>
            </w:r>
          </w:p>
        </w:tc>
        <w:tc>
          <w:tcPr>
            <w:tcW w:type="dxa" w:w="3249"/>
            <w:vAlign w:val="center"/>
          </w:tcPr>
          <w:p>
            <w:pPr>
              <w:spacing w:line="276" w:lineRule="auto" w:before="0" w:after="0"/>
            </w:pPr>
            <w:r/>
            <w:r>
              <w:rPr>
                <w:rFonts w:ascii="Figtree" w:hAnsi="Figtree"/>
                <w:b w:val="0"/>
                <w:i w:val="0"/>
                <w:sz w:val="20"/>
              </w:rPr>
              <w:t>Atomic DvP/XvP protocols; ISO 20022 integration; REST API for payment systems</w:t>
            </w:r>
          </w:p>
        </w:tc>
      </w:tr>
      <w:tr>
        <w:trPr>
          <w:trHeight w:val="425" w:hRule="atLeast"/>
        </w:trPr>
        <w:tc>
          <w:tcPr>
            <w:tcW w:type="dxa" w:w="3249"/>
            <w:vAlign w:val="center"/>
          </w:tcPr>
          <w:p>
            <w:pPr>
              <w:spacing w:line="276" w:lineRule="auto" w:before="0" w:after="0"/>
            </w:pPr>
            <w:r/>
            <w:r>
              <w:rPr>
                <w:rFonts w:ascii="Figtree" w:hAnsi="Figtree"/>
                <w:b/>
                <w:i w:val="0"/>
                <w:sz w:val="20"/>
              </w:rPr>
              <w:t>Integration/Reporting</w:t>
            </w:r>
          </w:p>
        </w:tc>
        <w:tc>
          <w:tcPr>
            <w:tcW w:type="dxa" w:w="3249"/>
            <w:vAlign w:val="center"/>
          </w:tcPr>
          <w:p>
            <w:pPr>
              <w:spacing w:line="276" w:lineRule="auto" w:before="0" w:after="0"/>
            </w:pPr>
            <w:r/>
            <w:r>
              <w:rPr>
                <w:rFonts w:ascii="Figtree" w:hAnsi="Figtree"/>
                <w:b w:val="0"/>
                <w:i w:val="0"/>
                <w:sz w:val="20"/>
              </w:rPr>
              <w:t>Core system connectivity, supervisory evidence, board reporting</w:t>
            </w:r>
          </w:p>
        </w:tc>
        <w:tc>
          <w:tcPr>
            <w:tcW w:type="dxa" w:w="3249"/>
            <w:vAlign w:val="center"/>
          </w:tcPr>
          <w:p>
            <w:pPr>
              <w:spacing w:line="276" w:lineRule="auto" w:before="0" w:after="0"/>
            </w:pPr>
            <w:r/>
            <w:r>
              <w:rPr>
                <w:rFonts w:ascii="Figtree" w:hAnsi="Figtree"/>
                <w:b w:val="0"/>
                <w:i w:val="0"/>
                <w:sz w:val="20"/>
              </w:rPr>
              <w:t>REST API with OpenAPI 3.1; webhook events; SIEM integration; audit logging</w:t>
            </w:r>
          </w:p>
        </w:tc>
      </w:tr>
      <w:tr>
        <w:trPr>
          <w:trHeight w:val="425" w:hRule="atLeast"/>
        </w:trPr>
        <w:tc>
          <w:tcPr>
            <w:tcW w:type="dxa" w:w="3249"/>
            <w:vAlign w:val="center"/>
          </w:tcPr>
          <w:p>
            <w:pPr>
              <w:spacing w:line="276" w:lineRule="auto" w:before="0" w:after="0"/>
            </w:pPr>
            <w:r/>
            <w:r>
              <w:rPr>
                <w:rFonts w:ascii="Figtree" w:hAnsi="Figtree"/>
                <w:b/>
                <w:i w:val="0"/>
                <w:sz w:val="20"/>
              </w:rPr>
              <w:t>Infrastructure/Operations</w:t>
            </w:r>
          </w:p>
        </w:tc>
        <w:tc>
          <w:tcPr>
            <w:tcW w:type="dxa" w:w="3249"/>
            <w:vAlign w:val="center"/>
          </w:tcPr>
          <w:p>
            <w:pPr>
              <w:spacing w:line="276" w:lineRule="auto" w:before="0" w:after="0"/>
            </w:pPr>
            <w:r/>
            <w:r>
              <w:rPr>
                <w:rFonts w:ascii="Figtree" w:hAnsi="Figtree"/>
                <w:b w:val="0"/>
                <w:i w:val="0"/>
                <w:sz w:val="20"/>
              </w:rPr>
              <w:t>Deployment model, data residency, observability, support</w:t>
            </w:r>
          </w:p>
        </w:tc>
        <w:tc>
          <w:tcPr>
            <w:tcW w:type="dxa" w:w="3249"/>
            <w:vAlign w:val="center"/>
          </w:tcPr>
          <w:p>
            <w:pPr>
              <w:spacing w:line="276" w:lineRule="auto" w:before="0" w:after="0"/>
            </w:pPr>
            <w:r/>
            <w:r>
              <w:rPr>
                <w:rFonts w:ascii="Figtree" w:hAnsi="Figtree"/>
                <w:b w:val="0"/>
                <w:i w:val="0"/>
                <w:sz w:val="20"/>
              </w:rPr>
              <w:t>Private cloud, on-prem, hybrid options; UAE data residency; Grafana/Loki/Tempo stack; tiered support</w:t>
            </w:r>
          </w:p>
        </w:tc>
      </w:tr>
    </w:tbl>
    <w:p>
      <w:pPr>
        <w:spacing w:before="0" w:after="0" w:line="120" w:lineRule="exact"/>
      </w:pPr>
    </w:p>
    <w:p>
      <w:pPr>
        <w:pStyle w:val="H2"/>
        <w:numPr>
          <w:ilvl w:val="1"/>
          <w:numId w:val="1"/>
        </w:numPr>
      </w:pPr>
      <w:r>
        <w:t>4.3 Key Challenges Identified</w:t>
      </w:r>
    </w:p>
    <w:p>
      <w:r>
        <w:rPr>
          <w:rFonts w:ascii="Figtree" w:hAnsi="Figtree"/>
          <w:b/>
          <w:i w:val="0"/>
          <w:sz w:val="22"/>
        </w:rPr>
        <w:t>Challenge 1: Control Integrity</w:t>
      </w:r>
    </w:p>
    <w:p>
      <w:r>
        <w:rPr>
          <w:rFonts w:ascii="Figtree" w:hAnsi="Figtree"/>
          <w:b w:val="0"/>
          <w:i w:val="0"/>
          <w:sz w:val="22"/>
        </w:rPr>
        <w:t>ADGM must be able to identify who initiated a change or transaction, which policy checks applied, who approved the event, and how the resulting state can be reconstructed later. This requires immutable audit trails, maker-checker controls, and complete event provenance at both the platform and blockchain layers.</w:t>
      </w:r>
    </w:p>
    <w:p>
      <w:r>
        <w:rPr>
          <w:rFonts w:ascii="Figtree" w:hAnsi="Figtree"/>
          <w:b w:val="0"/>
          <w:i/>
          <w:sz w:val="22"/>
        </w:rPr>
        <w:t>DALP Response:</w:t>
      </w:r>
      <w:r>
        <w:rPr>
          <w:rFonts w:ascii="Figtree" w:hAnsi="Figtree"/>
          <w:b w:val="0"/>
          <w:i w:val="0"/>
          <w:sz w:val="22"/>
        </w:rPr>
        <w:t xml:space="preserve"> DALP produces tamper-evident audit logs at every layer—authentication events, authorization decisions, configuration changes, and blockchain transactions. The on-chain AccessManager contract is the authoritative source for all role assignments. Every state-changing function checks the caller's on-chain role before execution.</w:t>
      </w:r>
    </w:p>
    <w:p>
      <w:r>
        <w:rPr>
          <w:rFonts w:ascii="Figtree" w:hAnsi="Figtree"/>
          <w:b/>
          <w:i w:val="0"/>
          <w:sz w:val="22"/>
        </w:rPr>
        <w:t>Challenge 2: Coexistence with Enterprise Systems</w:t>
      </w:r>
    </w:p>
    <w:p>
      <w:r>
        <w:rPr>
          <w:rFonts w:ascii="Figtree" w:hAnsi="Figtree"/>
          <w:b w:val="0"/>
          <w:i w:val="0"/>
          <w:sz w:val="22"/>
        </w:rPr>
        <w:t>The selected solution cannot become a reconciliation sinkhole that generates more manual work than it removes. Integration must be seamless, data must be consistent, and breaks must be visible and actionable.</w:t>
      </w:r>
    </w:p>
    <w:p>
      <w:r>
        <w:rPr>
          <w:rFonts w:ascii="Figtree" w:hAnsi="Figtree"/>
          <w:b w:val="0"/>
          <w:i/>
          <w:sz w:val="22"/>
        </w:rPr>
        <w:t>DALP Response:</w:t>
      </w:r>
      <w:r>
        <w:rPr>
          <w:rFonts w:ascii="Figtree" w:hAnsi="Figtree"/>
          <w:b w:val="0"/>
          <w:i w:val="0"/>
          <w:sz w:val="22"/>
        </w:rPr>
        <w:t xml:space="preserve"> DALP's API-first architecture exposes well-defined interfaces for all operations. The Chain Indexer processes blockchain events into queryable state, enabling reconciliation with internal books. Event-driven webhooks notify external systems of state changes, reducing polling overhead.</w:t>
      </w:r>
    </w:p>
    <w:p>
      <w:r>
        <w:rPr>
          <w:rFonts w:ascii="Figtree" w:hAnsi="Figtree"/>
          <w:b/>
          <w:i w:val="0"/>
          <w:sz w:val="22"/>
        </w:rPr>
        <w:t>Challenge 3: Phased Scalability</w:t>
      </w:r>
    </w:p>
    <w:p>
      <w:r>
        <w:rPr>
          <w:rFonts w:ascii="Figtree" w:hAnsi="Figtree"/>
          <w:b w:val="0"/>
          <w:i w:val="0"/>
          <w:sz w:val="22"/>
        </w:rPr>
        <w:t>ADGM wants to move from initial launch to broader adoption without a platform reset. The architecture must support incremental capacity addition, new asset class introduction, and expanded participant onboarding without fundamental rework.</w:t>
      </w:r>
    </w:p>
    <w:p>
      <w:r>
        <w:rPr>
          <w:rFonts w:ascii="Figtree" w:hAnsi="Figtree"/>
          <w:b w:val="0"/>
          <w:i/>
          <w:sz w:val="22"/>
        </w:rPr>
        <w:t>DALP Response:</w:t>
      </w:r>
      <w:r>
        <w:rPr>
          <w:rFonts w:ascii="Figtree" w:hAnsi="Figtree"/>
          <w:b w:val="0"/>
          <w:i w:val="0"/>
          <w:sz w:val="22"/>
        </w:rPr>
        <w:t xml:space="preserve"> DALP's modular architecture—pluggable compliance modules, configurable token features, and multi-chain support—enables phased expansion. The platform's Kubernetes-based deployment supports horizontal scaling. New asset types are configured through the factory pattern without code changes.</w:t>
      </w:r>
    </w:p>
    <w:p>
      <w:r>
        <w:rPr>
          <w:rFonts w:ascii="Figtree" w:hAnsi="Figtree"/>
          <w:b/>
          <w:i w:val="0"/>
          <w:sz w:val="22"/>
        </w:rPr>
        <w:t>Challenge 4: Regulatory Evidence Production</w:t>
      </w:r>
    </w:p>
    <w:p>
      <w:r>
        <w:rPr>
          <w:rFonts w:ascii="Figtree" w:hAnsi="Figtree"/>
          <w:b w:val="0"/>
          <w:i w:val="0"/>
          <w:sz w:val="22"/>
        </w:rPr>
        <w:t>The platform must support evidence extraction for audit, supervisory review, and board reporting. Evidence must be complete, traceable, and produced in formats that satisfy compliance and risk teams.</w:t>
      </w:r>
    </w:p>
    <w:p>
      <w:r>
        <w:rPr>
          <w:rFonts w:ascii="Figtree" w:hAnsi="Figtree"/>
          <w:b w:val="0"/>
          <w:i/>
          <w:sz w:val="22"/>
        </w:rPr>
        <w:t>DALP Response:</w:t>
      </w:r>
      <w:r>
        <w:rPr>
          <w:rFonts w:ascii="Figtree" w:hAnsi="Figtree"/>
          <w:b w:val="0"/>
          <w:i w:val="0"/>
          <w:sz w:val="22"/>
        </w:rPr>
        <w:t xml:space="preserve"> Every platform action generates structured audit logs with correlation identifiers. The compliance engine records every transfer check with rule details and outcome. Dashboard exports and API queries support board reporting. SOC 2 Type II and ISO 27001 certifications provide external assurance.</w:t>
      </w:r>
    </w:p>
    <w:p>
      <w:r>
        <w:rPr>
          <w:rFonts w:ascii="Figtree" w:hAnsi="Figtree"/>
          <w:b/>
          <w:i w:val="0"/>
          <w:sz w:val="22"/>
        </w:rPr>
        <w:t>Challenge 5: UAE Regulatory Specificity</w:t>
      </w:r>
    </w:p>
    <w:p>
      <w:r>
        <w:rPr>
          <w:rFonts w:ascii="Figtree" w:hAnsi="Figtree"/>
          <w:b w:val="0"/>
          <w:i w:val="0"/>
          <w:sz w:val="22"/>
        </w:rPr>
        <w:t>The platform must map to ADGM FSMR framework, CBUAE payment expectations, UAE AML/CFT law, and outsourcing/cyber resilience expectations without requiring bespoke development.</w:t>
      </w:r>
    </w:p>
    <w:p>
      <w:r>
        <w:rPr>
          <w:rFonts w:ascii="Figtree" w:hAnsi="Figtree"/>
          <w:b w:val="0"/>
          <w:i/>
          <w:sz w:val="22"/>
        </w:rPr>
        <w:t>DALP Response:</w:t>
      </w:r>
      <w:r>
        <w:rPr>
          <w:rFonts w:ascii="Figtree" w:hAnsi="Figtree"/>
          <w:b w:val="0"/>
          <w:i w:val="0"/>
          <w:sz w:val="22"/>
        </w:rPr>
        <w:t xml:space="preserve"> DALP's compliance module library includes pre-built templates that can be configured to UAE requirements. The modular architecture means jurisdiction-specific rules are implemented as configuration, not code changes. SettleMint's regional experience includes direct delivery on ADI mainnet, demonstrating familiarity with Abu Dhabi's regulatory ecosystem.</w:t>
      </w:r>
    </w:p>
    <w:p>
      <w:pPr>
        <w:pStyle w:val="H2"/>
        <w:numPr>
          <w:ilvl w:val="1"/>
          <w:numId w:val="1"/>
        </w:numPr>
      </w:pPr>
      <w:r>
        <w:t>4.4 Requirement Prioritization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55"/>
        <w:gridCol w:w="5690"/>
        <w:gridCol w:w="242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Priority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Requirement 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ADGM Impact</w:t>
            </w:r>
          </w:p>
        </w:tc>
      </w:tr>
      <w:tr>
        <w:trPr>
          <w:trHeight w:val="425" w:hRule="atLeast"/>
        </w:trPr>
        <w:tc>
          <w:tcPr>
            <w:tcW w:type="dxa" w:w="3249"/>
            <w:vAlign w:val="center"/>
          </w:tcPr>
          <w:p>
            <w:pPr>
              <w:spacing w:line="276" w:lineRule="auto" w:before="0" w:after="0"/>
            </w:pPr>
            <w:r/>
            <w:r>
              <w:rPr>
                <w:rFonts w:ascii="Figtree" w:hAnsi="Figtree"/>
                <w:b/>
                <w:i w:val="0"/>
                <w:sz w:val="20"/>
              </w:rPr>
              <w:t>Mandatory</w:t>
            </w:r>
          </w:p>
        </w:tc>
        <w:tc>
          <w:tcPr>
            <w:tcW w:type="dxa" w:w="3249"/>
            <w:vAlign w:val="center"/>
          </w:tcPr>
          <w:p>
            <w:pPr>
              <w:spacing w:line="276" w:lineRule="auto" w:before="0" w:after="0"/>
            </w:pPr>
            <w:r/>
            <w:r>
              <w:rPr>
                <w:rFonts w:ascii="Figtree" w:hAnsi="Figtree"/>
                <w:b w:val="0"/>
                <w:i w:val="0"/>
                <w:sz w:val="20"/>
              </w:rPr>
              <w:t>Architecture supporting segregated environments (dev, test, UAT, DR, production)</w:t>
            </w:r>
          </w:p>
        </w:tc>
        <w:tc>
          <w:tcPr>
            <w:tcW w:type="dxa" w:w="3249"/>
            <w:vAlign w:val="center"/>
          </w:tcPr>
          <w:p>
            <w:pPr>
              <w:spacing w:line="276" w:lineRule="auto" w:before="0" w:after="0"/>
            </w:pPr>
            <w:r/>
            <w:r>
              <w:rPr>
                <w:rFonts w:ascii="Figtree" w:hAnsi="Figtree"/>
                <w:b w:val="0"/>
                <w:i w:val="0"/>
                <w:sz w:val="20"/>
              </w:rPr>
              <w:t>Essential for control environment</w:t>
            </w:r>
          </w:p>
        </w:tc>
      </w:tr>
      <w:tr>
        <w:trPr>
          <w:trHeight w:val="425" w:hRule="atLeast"/>
        </w:trPr>
        <w:tc>
          <w:tcPr>
            <w:tcW w:type="dxa" w:w="3249"/>
            <w:vAlign w:val="center"/>
          </w:tcPr>
          <w:p>
            <w:pPr>
              <w:spacing w:line="276" w:lineRule="auto" w:before="0" w:after="0"/>
            </w:pPr>
            <w:r/>
            <w:r>
              <w:rPr>
                <w:rFonts w:ascii="Figtree" w:hAnsi="Figtree"/>
                <w:b/>
                <w:i w:val="0"/>
                <w:sz w:val="20"/>
              </w:rPr>
              <w:t>Mandatory</w:t>
            </w:r>
          </w:p>
        </w:tc>
        <w:tc>
          <w:tcPr>
            <w:tcW w:type="dxa" w:w="3249"/>
            <w:vAlign w:val="center"/>
          </w:tcPr>
          <w:p>
            <w:pPr>
              <w:spacing w:line="276" w:lineRule="auto" w:before="0" w:after="0"/>
            </w:pPr>
            <w:r/>
            <w:r>
              <w:rPr>
                <w:rFonts w:ascii="Figtree" w:hAnsi="Figtree"/>
                <w:b w:val="0"/>
                <w:i w:val="0"/>
                <w:sz w:val="20"/>
              </w:rPr>
              <w:t>API-first interfaces, eventing, version governance</w:t>
            </w:r>
          </w:p>
        </w:tc>
        <w:tc>
          <w:tcPr>
            <w:tcW w:type="dxa" w:w="3249"/>
            <w:vAlign w:val="center"/>
          </w:tcPr>
          <w:p>
            <w:pPr>
              <w:spacing w:line="276" w:lineRule="auto" w:before="0" w:after="0"/>
            </w:pPr>
            <w:r/>
            <w:r>
              <w:rPr>
                <w:rFonts w:ascii="Figtree" w:hAnsi="Figtree"/>
                <w:b w:val="0"/>
                <w:i w:val="0"/>
                <w:sz w:val="20"/>
              </w:rPr>
              <w:t>Enables enterprise integration</w:t>
            </w:r>
          </w:p>
        </w:tc>
      </w:tr>
      <w:tr>
        <w:trPr>
          <w:trHeight w:val="425" w:hRule="atLeast"/>
        </w:trPr>
        <w:tc>
          <w:tcPr>
            <w:tcW w:type="dxa" w:w="3249"/>
            <w:vAlign w:val="center"/>
          </w:tcPr>
          <w:p>
            <w:pPr>
              <w:spacing w:line="276" w:lineRule="auto" w:before="0" w:after="0"/>
            </w:pPr>
            <w:r/>
            <w:r>
              <w:rPr>
                <w:rFonts w:ascii="Figtree" w:hAnsi="Figtree"/>
                <w:b/>
                <w:i w:val="0"/>
                <w:sz w:val="20"/>
              </w:rPr>
              <w:t>Mandatory</w:t>
            </w:r>
          </w:p>
        </w:tc>
        <w:tc>
          <w:tcPr>
            <w:tcW w:type="dxa" w:w="3249"/>
            <w:vAlign w:val="center"/>
          </w:tcPr>
          <w:p>
            <w:pPr>
              <w:spacing w:line="276" w:lineRule="auto" w:before="0" w:after="0"/>
            </w:pPr>
            <w:r/>
            <w:r>
              <w:rPr>
                <w:rFonts w:ascii="Figtree" w:hAnsi="Figtree"/>
                <w:b w:val="0"/>
                <w:i w:val="0"/>
                <w:sz w:val="20"/>
              </w:rPr>
              <w:t>RBAC, segregation of duties, maker-checker, complete audit logs</w:t>
            </w:r>
          </w:p>
        </w:tc>
        <w:tc>
          <w:tcPr>
            <w:tcW w:type="dxa" w:w="3249"/>
            <w:vAlign w:val="center"/>
          </w:tcPr>
          <w:p>
            <w:pPr>
              <w:spacing w:line="276" w:lineRule="auto" w:before="0" w:after="0"/>
            </w:pPr>
            <w:r/>
            <w:r>
              <w:rPr>
                <w:rFonts w:ascii="Figtree" w:hAnsi="Figtree"/>
                <w:b w:val="0"/>
                <w:i w:val="0"/>
                <w:sz w:val="20"/>
              </w:rPr>
              <w:t>Control integrity requirement</w:t>
            </w:r>
          </w:p>
        </w:tc>
      </w:tr>
      <w:tr>
        <w:trPr>
          <w:trHeight w:val="425" w:hRule="atLeast"/>
        </w:trPr>
        <w:tc>
          <w:tcPr>
            <w:tcW w:type="dxa" w:w="3249"/>
            <w:vAlign w:val="center"/>
          </w:tcPr>
          <w:p>
            <w:pPr>
              <w:spacing w:line="276" w:lineRule="auto" w:before="0" w:after="0"/>
            </w:pPr>
            <w:r/>
            <w:r>
              <w:rPr>
                <w:rFonts w:ascii="Figtree" w:hAnsi="Figtree"/>
                <w:b/>
                <w:i w:val="0"/>
                <w:sz w:val="20"/>
              </w:rPr>
              <w:t>Mandatory</w:t>
            </w:r>
          </w:p>
        </w:tc>
        <w:tc>
          <w:tcPr>
            <w:tcW w:type="dxa" w:w="3249"/>
            <w:vAlign w:val="center"/>
          </w:tcPr>
          <w:p>
            <w:pPr>
              <w:spacing w:line="276" w:lineRule="auto" w:before="0" w:after="0"/>
            </w:pPr>
            <w:r/>
            <w:r>
              <w:rPr>
                <w:rFonts w:ascii="Figtree" w:hAnsi="Figtree"/>
                <w:b w:val="0"/>
                <w:i w:val="0"/>
                <w:sz w:val="20"/>
              </w:rPr>
              <w:t>Configurable lifecycle states, policy controls, limits, exceptions, reconciliations</w:t>
            </w:r>
          </w:p>
        </w:tc>
        <w:tc>
          <w:tcPr>
            <w:tcW w:type="dxa" w:w="3249"/>
            <w:vAlign w:val="center"/>
          </w:tcPr>
          <w:p>
            <w:pPr>
              <w:spacing w:line="276" w:lineRule="auto" w:before="0" w:after="0"/>
            </w:pPr>
            <w:r/>
            <w:r>
              <w:rPr>
                <w:rFonts w:ascii="Figtree" w:hAnsi="Figtree"/>
                <w:b w:val="0"/>
                <w:i w:val="0"/>
                <w:sz w:val="20"/>
              </w:rPr>
              <w:t>Core platform capability</w:t>
            </w:r>
          </w:p>
        </w:tc>
      </w:tr>
      <w:tr>
        <w:trPr>
          <w:trHeight w:val="425" w:hRule="atLeast"/>
        </w:trPr>
        <w:tc>
          <w:tcPr>
            <w:tcW w:type="dxa" w:w="3249"/>
            <w:vAlign w:val="center"/>
          </w:tcPr>
          <w:p>
            <w:pPr>
              <w:spacing w:line="276" w:lineRule="auto" w:before="0" w:after="0"/>
            </w:pPr>
            <w:r/>
            <w:r>
              <w:rPr>
                <w:rFonts w:ascii="Figtree" w:hAnsi="Figtree"/>
                <w:b/>
                <w:i w:val="0"/>
                <w:sz w:val="20"/>
              </w:rPr>
              <w:t>Mandatory</w:t>
            </w:r>
          </w:p>
        </w:tc>
        <w:tc>
          <w:tcPr>
            <w:tcW w:type="dxa" w:w="3249"/>
            <w:vAlign w:val="center"/>
          </w:tcPr>
          <w:p>
            <w:pPr>
              <w:spacing w:line="276" w:lineRule="auto" w:before="0" w:after="0"/>
            </w:pPr>
            <w:r/>
            <w:r>
              <w:rPr>
                <w:rFonts w:ascii="Figtree" w:hAnsi="Figtree"/>
                <w:b w:val="0"/>
                <w:i w:val="0"/>
                <w:sz w:val="20"/>
              </w:rPr>
              <w:t>Third-party dependencies and operational responsibilities disclosure</w:t>
            </w:r>
          </w:p>
        </w:tc>
        <w:tc>
          <w:tcPr>
            <w:tcW w:type="dxa" w:w="3249"/>
            <w:vAlign w:val="center"/>
          </w:tcPr>
          <w:p>
            <w:pPr>
              <w:spacing w:line="276" w:lineRule="auto" w:before="0" w:after="0"/>
            </w:pPr>
            <w:r/>
            <w:r>
              <w:rPr>
                <w:rFonts w:ascii="Figtree" w:hAnsi="Figtree"/>
                <w:b w:val="0"/>
                <w:i w:val="0"/>
                <w:sz w:val="20"/>
              </w:rPr>
              <w:t>Procurement transparency</w:t>
            </w:r>
          </w:p>
        </w:tc>
      </w:tr>
      <w:tr>
        <w:trPr>
          <w:trHeight w:val="425" w:hRule="atLeast"/>
        </w:trPr>
        <w:tc>
          <w:tcPr>
            <w:tcW w:type="dxa" w:w="3249"/>
            <w:vAlign w:val="center"/>
          </w:tcPr>
          <w:p>
            <w:pPr>
              <w:spacing w:line="276" w:lineRule="auto" w:before="0" w:after="0"/>
            </w:pPr>
            <w:r/>
            <w:r>
              <w:rPr>
                <w:rFonts w:ascii="Figtree" w:hAnsi="Figtree"/>
                <w:b/>
                <w:i w:val="0"/>
                <w:sz w:val="20"/>
              </w:rPr>
              <w:t>Mandatory</w:t>
            </w:r>
          </w:p>
        </w:tc>
        <w:tc>
          <w:tcPr>
            <w:tcW w:type="dxa" w:w="3249"/>
            <w:vAlign w:val="center"/>
          </w:tcPr>
          <w:p>
            <w:pPr>
              <w:spacing w:line="276" w:lineRule="auto" w:before="0" w:after="0"/>
            </w:pPr>
            <w:r/>
            <w:r>
              <w:rPr>
                <w:rFonts w:ascii="Figtree" w:hAnsi="Figtree"/>
                <w:b w:val="0"/>
                <w:i w:val="0"/>
                <w:sz w:val="20"/>
              </w:rPr>
              <w:t>Resilience, recovery, backup, monitoring, incident management</w:t>
            </w:r>
          </w:p>
        </w:tc>
        <w:tc>
          <w:tcPr>
            <w:tcW w:type="dxa" w:w="3249"/>
            <w:vAlign w:val="center"/>
          </w:tcPr>
          <w:p>
            <w:pPr>
              <w:spacing w:line="276" w:lineRule="auto" w:before="0" w:after="0"/>
            </w:pPr>
            <w:r/>
            <w:r>
              <w:rPr>
                <w:rFonts w:ascii="Figtree" w:hAnsi="Figtree"/>
                <w:b w:val="0"/>
                <w:i w:val="0"/>
                <w:sz w:val="20"/>
              </w:rPr>
              <w:t>Operational continuity</w:t>
            </w:r>
          </w:p>
        </w:tc>
      </w:tr>
      <w:tr>
        <w:trPr>
          <w:trHeight w:val="425" w:hRule="atLeast"/>
        </w:trPr>
        <w:tc>
          <w:tcPr>
            <w:tcW w:type="dxa" w:w="3249"/>
            <w:vAlign w:val="center"/>
          </w:tcPr>
          <w:p>
            <w:pPr>
              <w:spacing w:line="276" w:lineRule="auto" w:before="0" w:after="0"/>
            </w:pPr>
            <w:r/>
            <w:r>
              <w:rPr>
                <w:rFonts w:ascii="Figtree" w:hAnsi="Figtree"/>
                <w:b/>
                <w:i w:val="0"/>
                <w:sz w:val="20"/>
              </w:rPr>
              <w:t>Mandatory</w:t>
            </w:r>
          </w:p>
        </w:tc>
        <w:tc>
          <w:tcPr>
            <w:tcW w:type="dxa" w:w="3249"/>
            <w:vAlign w:val="center"/>
          </w:tcPr>
          <w:p>
            <w:pPr>
              <w:spacing w:line="276" w:lineRule="auto" w:before="0" w:after="0"/>
            </w:pPr>
            <w:r/>
            <w:r>
              <w:rPr>
                <w:rFonts w:ascii="Figtree" w:hAnsi="Figtree"/>
                <w:b w:val="0"/>
                <w:i w:val="0"/>
                <w:sz w:val="20"/>
              </w:rPr>
              <w:t>Delivery method, client effort assumptions, phased implementation</w:t>
            </w:r>
          </w:p>
        </w:tc>
        <w:tc>
          <w:tcPr>
            <w:tcW w:type="dxa" w:w="3249"/>
            <w:vAlign w:val="center"/>
          </w:tcPr>
          <w:p>
            <w:pPr>
              <w:spacing w:line="276" w:lineRule="auto" w:before="0" w:after="0"/>
            </w:pPr>
            <w:r/>
            <w:r>
              <w:rPr>
                <w:rFonts w:ascii="Figtree" w:hAnsi="Figtree"/>
                <w:b w:val="0"/>
                <w:i w:val="0"/>
                <w:sz w:val="20"/>
              </w:rPr>
              <w:t>Realistic delivery planning</w:t>
            </w:r>
          </w:p>
        </w:tc>
      </w:tr>
      <w:tr>
        <w:trPr>
          <w:trHeight w:val="425" w:hRule="atLeast"/>
        </w:trPr>
        <w:tc>
          <w:tcPr>
            <w:tcW w:type="dxa" w:w="3249"/>
            <w:vAlign w:val="center"/>
          </w:tcPr>
          <w:p>
            <w:pPr>
              <w:spacing w:line="276" w:lineRule="auto" w:before="0" w:after="0"/>
            </w:pPr>
            <w:r/>
            <w:r>
              <w:rPr>
                <w:rFonts w:ascii="Figtree" w:hAnsi="Figtree"/>
                <w:b/>
                <w:i w:val="0"/>
                <w:sz w:val="20"/>
              </w:rPr>
              <w:t>Mandatory</w:t>
            </w:r>
          </w:p>
        </w:tc>
        <w:tc>
          <w:tcPr>
            <w:tcW w:type="dxa" w:w="3249"/>
            <w:vAlign w:val="center"/>
          </w:tcPr>
          <w:p>
            <w:pPr>
              <w:spacing w:line="276" w:lineRule="auto" w:before="0" w:after="0"/>
            </w:pPr>
            <w:r/>
            <w:r>
              <w:rPr>
                <w:rFonts w:ascii="Figtree" w:hAnsi="Figtree"/>
                <w:b w:val="0"/>
                <w:i w:val="0"/>
                <w:sz w:val="20"/>
              </w:rPr>
              <w:t>Evidence extraction for audit, supervisory review, board reporting</w:t>
            </w:r>
          </w:p>
        </w:tc>
        <w:tc>
          <w:tcPr>
            <w:tcW w:type="dxa" w:w="3249"/>
            <w:vAlign w:val="center"/>
          </w:tcPr>
          <w:p>
            <w:pPr>
              <w:spacing w:line="276" w:lineRule="auto" w:before="0" w:after="0"/>
            </w:pPr>
            <w:r/>
            <w:r>
              <w:rPr>
                <w:rFonts w:ascii="Figtree" w:hAnsi="Figtree"/>
                <w:b w:val="0"/>
                <w:i w:val="0"/>
                <w:sz w:val="20"/>
              </w:rPr>
              <w:t>Regulatory requirement</w:t>
            </w:r>
          </w:p>
        </w:tc>
      </w:tr>
      <w:tr>
        <w:trPr>
          <w:trHeight w:val="425" w:hRule="atLeast"/>
        </w:trPr>
        <w:tc>
          <w:tcPr>
            <w:tcW w:type="dxa" w:w="3249"/>
            <w:vAlign w:val="center"/>
          </w:tcPr>
          <w:p>
            <w:pPr>
              <w:spacing w:line="276" w:lineRule="auto" w:before="0" w:after="0"/>
            </w:pPr>
            <w:r/>
            <w:r>
              <w:rPr>
                <w:rFonts w:ascii="Figtree" w:hAnsi="Figtree"/>
                <w:b/>
                <w:i w:val="0"/>
                <w:sz w:val="20"/>
              </w:rPr>
              <w:t>High</w:t>
            </w:r>
          </w:p>
        </w:tc>
        <w:tc>
          <w:tcPr>
            <w:tcW w:type="dxa" w:w="3249"/>
            <w:vAlign w:val="center"/>
          </w:tcPr>
          <w:p>
            <w:pPr>
              <w:spacing w:line="276" w:lineRule="auto" w:before="0" w:after="0"/>
            </w:pPr>
            <w:r/>
            <w:r>
              <w:rPr>
                <w:rFonts w:ascii="Figtree" w:hAnsi="Figtree"/>
                <w:b w:val="0"/>
                <w:i w:val="0"/>
                <w:sz w:val="20"/>
              </w:rPr>
              <w:t>Platform-wide configuration governance, observability, phased promotion</w:t>
            </w:r>
          </w:p>
        </w:tc>
        <w:tc>
          <w:tcPr>
            <w:tcW w:type="dxa" w:w="3249"/>
            <w:vAlign w:val="center"/>
          </w:tcPr>
          <w:p>
            <w:pPr>
              <w:spacing w:line="276" w:lineRule="auto" w:before="0" w:after="0"/>
            </w:pPr>
            <w:r/>
            <w:r>
              <w:rPr>
                <w:rFonts w:ascii="Figtree" w:hAnsi="Figtree"/>
                <w:b w:val="0"/>
                <w:i w:val="0"/>
                <w:sz w:val="20"/>
              </w:rPr>
              <w:t>Operational management</w:t>
            </w:r>
          </w:p>
        </w:tc>
      </w:tr>
      <w:tr>
        <w:trPr>
          <w:trHeight w:val="425" w:hRule="atLeast"/>
        </w:trPr>
        <w:tc>
          <w:tcPr>
            <w:tcW w:type="dxa" w:w="3249"/>
            <w:vAlign w:val="center"/>
          </w:tcPr>
          <w:p>
            <w:pPr>
              <w:spacing w:line="276" w:lineRule="auto" w:before="0" w:after="0"/>
            </w:pPr>
            <w:r/>
            <w:r>
              <w:rPr>
                <w:rFonts w:ascii="Figtree" w:hAnsi="Figtree"/>
                <w:b/>
                <w:i w:val="0"/>
                <w:sz w:val="20"/>
              </w:rPr>
              <w:t>High</w:t>
            </w:r>
          </w:p>
        </w:tc>
        <w:tc>
          <w:tcPr>
            <w:tcW w:type="dxa" w:w="3249"/>
            <w:vAlign w:val="center"/>
          </w:tcPr>
          <w:p>
            <w:pPr>
              <w:spacing w:line="276" w:lineRule="auto" w:before="0" w:after="0"/>
            </w:pPr>
            <w:r/>
            <w:r>
              <w:rPr>
                <w:rFonts w:ascii="Figtree" w:hAnsi="Figtree"/>
                <w:b w:val="0"/>
                <w:i w:val="0"/>
                <w:sz w:val="20"/>
              </w:rPr>
              <w:t>Participant supervision, policy analytics, sandbox control requirements</w:t>
            </w:r>
          </w:p>
        </w:tc>
        <w:tc>
          <w:tcPr>
            <w:tcW w:type="dxa" w:w="3249"/>
            <w:vAlign w:val="center"/>
          </w:tcPr>
          <w:p>
            <w:pPr>
              <w:spacing w:line="276" w:lineRule="auto" w:before="0" w:after="0"/>
            </w:pPr>
            <w:r/>
            <w:r>
              <w:rPr>
                <w:rFonts w:ascii="Figtree" w:hAnsi="Figtree"/>
                <w:b w:val="0"/>
                <w:i w:val="0"/>
                <w:sz w:val="20"/>
              </w:rPr>
              <w:t>ADGM-specific use case</w:t>
            </w:r>
          </w:p>
        </w:tc>
      </w:tr>
    </w:tbl>
    <w:p>
      <w:pPr>
        <w:spacing w:before="0" w:after="0" w:line="120" w:lineRule="exact"/>
      </w:pPr>
    </w:p>
    <w:p>
      <w:pPr>
        <w:pStyle w:val="H2"/>
        <w:numPr>
          <w:ilvl w:val="1"/>
          <w:numId w:val="1"/>
        </w:numPr>
      </w:pPr>
      <w:r>
        <w:t>4.5 Response Principles</w:t>
      </w:r>
    </w:p>
    <w:p>
      <w:r>
        <w:rPr>
          <w:rFonts w:ascii="Figtree" w:hAnsi="Figtree"/>
          <w:b w:val="0"/>
          <w:i w:val="0"/>
          <w:sz w:val="22"/>
        </w:rPr>
        <w:t>SettleMint's response follows six principles that guide all proposal claims:</w:t>
      </w:r>
    </w:p>
    <w:p>
      <w:pPr>
        <w:pStyle w:val="ListParagraph"/>
        <w:numPr>
          <w:ilvl w:val="0"/>
          <w:numId w:val="7"/>
        </w:numPr>
      </w:pPr>
      <w:r>
        <w:rPr>
          <w:rFonts w:ascii="Figtree" w:hAnsi="Figtree"/>
          <w:b/>
          <w:i w:val="0"/>
          <w:sz w:val="22"/>
        </w:rPr>
        <w:t>Control before speed:</w:t>
      </w:r>
      <w:r>
        <w:rPr>
          <w:rFonts w:ascii="Figtree" w:hAnsi="Figtree"/>
          <w:b w:val="0"/>
          <w:i w:val="0"/>
          <w:sz w:val="22"/>
        </w:rPr>
        <w:t xml:space="preserve"> Every optimization respects the control environment. Compliance enforcement happens before transaction execution, not after.</w:t>
      </w:r>
    </w:p>
    <w:p>
      <w:pPr>
        <w:pStyle w:val="ListParagraph"/>
        <w:numPr>
          <w:ilvl w:val="0"/>
          <w:numId w:val="7"/>
        </w:numPr>
      </w:pPr>
      <w:r>
        <w:rPr>
          <w:rFonts w:ascii="Figtree" w:hAnsi="Figtree"/>
          <w:b/>
          <w:i w:val="0"/>
          <w:sz w:val="22"/>
        </w:rPr>
        <w:t>Evidence over assertions:</w:t>
      </w:r>
      <w:r>
        <w:rPr>
          <w:rFonts w:ascii="Figtree" w:hAnsi="Figtree"/>
          <w:b w:val="0"/>
          <w:i w:val="0"/>
          <w:sz w:val="22"/>
        </w:rPr>
        <w:t xml:space="preserve"> Every capability claim is backed by production evidence or architectural mechanism. No roadmap-as-capability language.</w:t>
      </w:r>
    </w:p>
    <w:p>
      <w:pPr>
        <w:pStyle w:val="ListParagraph"/>
        <w:numPr>
          <w:ilvl w:val="0"/>
          <w:numId w:val="7"/>
        </w:numPr>
      </w:pPr>
      <w:r>
        <w:rPr>
          <w:rFonts w:ascii="Figtree" w:hAnsi="Figtree"/>
          <w:b/>
          <w:i w:val="0"/>
          <w:sz w:val="22"/>
        </w:rPr>
        <w:t>Phased delivery:</w:t>
      </w:r>
      <w:r>
        <w:rPr>
          <w:rFonts w:ascii="Figtree" w:hAnsi="Figtree"/>
          <w:b w:val="0"/>
          <w:i w:val="0"/>
          <w:sz w:val="22"/>
        </w:rPr>
        <w:t xml:space="preserve"> The implementation plan delivers incremental value with clear acceptance gates. No single go-live event with unbounded scope.</w:t>
      </w:r>
    </w:p>
    <w:p>
      <w:pPr>
        <w:pStyle w:val="ListParagraph"/>
        <w:numPr>
          <w:ilvl w:val="0"/>
          <w:numId w:val="7"/>
        </w:numPr>
      </w:pPr>
      <w:r>
        <w:rPr>
          <w:rFonts w:ascii="Figtree" w:hAnsi="Figtree"/>
          <w:b/>
          <w:i w:val="0"/>
          <w:sz w:val="22"/>
        </w:rPr>
        <w:t>Integration as first-class:</w:t>
      </w:r>
      <w:r>
        <w:rPr>
          <w:rFonts w:ascii="Figtree" w:hAnsi="Figtree"/>
          <w:b w:val="0"/>
          <w:i w:val="0"/>
          <w:sz w:val="22"/>
        </w:rPr>
        <w:t xml:space="preserve"> The platform is designed for enterprise coexistence, not as an isolated island. Every integration point has defined contracts, failure modes, and reconciliation approaches.</w:t>
      </w:r>
    </w:p>
    <w:p>
      <w:pPr>
        <w:pStyle w:val="ListParagraph"/>
        <w:numPr>
          <w:ilvl w:val="0"/>
          <w:numId w:val="7"/>
        </w:numPr>
      </w:pPr>
      <w:r>
        <w:rPr>
          <w:rFonts w:ascii="Figtree" w:hAnsi="Figtree"/>
          <w:b/>
          <w:i w:val="0"/>
          <w:sz w:val="22"/>
        </w:rPr>
        <w:t>Regulatory specificity:</w:t>
      </w:r>
      <w:r>
        <w:rPr>
          <w:rFonts w:ascii="Figtree" w:hAnsi="Figtree"/>
          <w:b w:val="0"/>
          <w:i w:val="0"/>
          <w:sz w:val="22"/>
        </w:rPr>
        <w:t xml:space="preserve"> Configuration over customization. UAE regulatory requirements are addressed through the platform's configurable compliance engine, not through bespoke development.</w:t>
      </w:r>
    </w:p>
    <w:p>
      <w:pPr>
        <w:pStyle w:val="ListParagraph"/>
        <w:numPr>
          <w:ilvl w:val="0"/>
          <w:numId w:val="7"/>
        </w:numPr>
      </w:pPr>
      <w:r>
        <w:rPr>
          <w:rFonts w:ascii="Figtree" w:hAnsi="Figtree"/>
          <w:b/>
          <w:i w:val="0"/>
          <w:sz w:val="22"/>
        </w:rPr>
        <w:t>Operational ownership:</w:t>
      </w:r>
      <w:r>
        <w:rPr>
          <w:rFonts w:ascii="Figtree" w:hAnsi="Figtree"/>
          <w:b w:val="0"/>
          <w:i w:val="0"/>
          <w:sz w:val="22"/>
        </w:rPr>
        <w:t xml:space="preserve"> Knowledge transfer, documentation, and runbooks ensure ADGM owns the platform after hypercare, not SettleMint.</w:t>
      </w:r>
    </w:p>
    <w:p>
      <w:r>
        <w:br w:type="page"/>
      </w:r>
    </w:p>
    <w:p>
      <w:pPr>
        <w:pStyle w:val="H1"/>
        <w:numPr>
          <w:ilvl w:val="0"/>
          <w:numId w:val="1"/>
        </w:numPr>
      </w:pPr>
      <w:r>
        <w:t>5. Proposed Solution and Functional Capabilities</w:t>
      </w:r>
    </w:p>
    <w:p>
      <w:pPr>
        <w:pStyle w:val="H2"/>
        <w:numPr>
          <w:ilvl w:val="1"/>
          <w:numId w:val="1"/>
        </w:numPr>
      </w:pPr>
      <w:r>
        <w:t>5.1 Solution Overview</w:t>
      </w:r>
    </w:p>
    <w:p>
      <w:r>
        <w:rPr>
          <w:rFonts w:ascii="Figtree" w:hAnsi="Figtree"/>
          <w:b w:val="0"/>
          <w:i w:val="0"/>
          <w:sz w:val="22"/>
        </w:rPr>
        <w:t>SettleMint proposes DALP as the foundational infrastructure for ADGM's Digital Asset Regulatory Framework Support Platform. The solution encompasses the full technology stack required to issue, manage, transfer, settle, and service regulated digital assets under ADGM's supervisory framework.</w:t>
      </w:r>
    </w:p>
    <w:p>
      <w:pPr>
        <w:jc w:val="center"/>
      </w:pPr>
      <w:r>
        <w:drawing>
          <wp:inline xmlns:a="http://schemas.openxmlformats.org/drawingml/2006/main" xmlns:pic="http://schemas.openxmlformats.org/drawingml/2006/picture">
            <wp:extent cx="5486400" cy="3079102"/>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3079102"/>
                    </a:xfrm>
                    <a:prstGeom prst="rect"/>
                  </pic:spPr>
                </pic:pic>
              </a:graphicData>
            </a:graphic>
          </wp:inline>
        </w:drawing>
      </w:r>
    </w:p>
    <w:p>
      <w:r>
        <w:rPr>
          <w:rFonts w:ascii="Figtree" w:hAnsi="Figtree"/>
          <w:b w:val="0"/>
          <w:i w:val="0"/>
          <w:sz w:val="22"/>
        </w:rPr>
        <w:t>The solution boundary encompasses: the DALP platform deployed within ADGM's private</w:t>
      </w:r>
    </w:p>
    <w:p>
      <w:r>
        <w:rPr>
          <w:rFonts w:ascii="Figtree" w:hAnsi="Figtree"/>
          <w:b w:val="0"/>
          <w:i w:val="0"/>
          <w:sz w:val="22"/>
        </w:rPr>
        <w:t>cloud environment; the Asset Console for operator and supervisory access; the Unified API for system integration; the blockchain network (private Hyperledger Besu for regulatory control); and integration adapters connecting to ADGM's existing identity services, core banking/ledger systems, sanctions screening tools, and reporting environments.</w:t>
      </w:r>
    </w:p>
    <w:p>
      <w:r>
        <w:rPr>
          <w:rFonts w:ascii="Figtree" w:hAnsi="Figtree"/>
          <w:b w:val="0"/>
          <w:i w:val="0"/>
          <w:sz w:val="22"/>
        </w:rPr>
        <w:t>The deployment assumption is Dedicated Private Cloud within ADGM's existing AWS, Azure, or GCP tenancy, with data residency constrained to UAE. Network connectivity assumes ADGM-provided VPN or private link between DALP and existing enterprise systems.</w:t>
      </w:r>
    </w:p>
    <w:p>
      <w:pPr>
        <w:pStyle w:val="H2"/>
        <w:numPr>
          <w:ilvl w:val="1"/>
          <w:numId w:val="1"/>
        </w:numPr>
      </w:pPr>
      <w:r>
        <w:t>5.2 Issuance and Asset Configuration</w:t>
      </w:r>
    </w:p>
    <w:p>
      <w:r>
        <w:rPr>
          <w:rFonts w:ascii="Figtree" w:hAnsi="Figtree"/>
          <w:b w:val="0"/>
          <w:i w:val="0"/>
          <w:sz w:val="22"/>
        </w:rPr>
        <w:t>DALP handles asset issuance through a factory-based deployment model that ensures consistency, security, and auditability:</w:t>
      </w:r>
    </w:p>
    <w:p>
      <w:r>
        <w:rPr>
          <w:rFonts w:ascii="Figtree" w:hAnsi="Figtree"/>
          <w:b/>
          <w:i w:val="0"/>
          <w:sz w:val="22"/>
        </w:rPr>
        <w:t>Asset Setup:</w:t>
      </w:r>
      <w:r>
        <w:rPr>
          <w:rFonts w:ascii="Figtree" w:hAnsi="Figtree"/>
          <w:b w:val="0"/>
          <w:i w:val="0"/>
          <w:sz w:val="22"/>
        </w:rPr>
        <w:t xml:space="preserve"> The platform supports creation of multiple asset types through the DALPAsset contract type, which provides runtime-configurable token features and compliance modules. Assets are deployed using the CREATE2 factory pattern, ensuring deterministic addressing and atomic deployment.</w:t>
      </w:r>
    </w:p>
    <w:p>
      <w:r>
        <w:rPr>
          <w:rFonts w:ascii="Figtree" w:hAnsi="Figtree"/>
          <w:b/>
          <w:i w:val="0"/>
          <w:sz w:val="22"/>
        </w:rPr>
        <w:t>Lifecycle Logic:</w:t>
      </w:r>
      <w:r>
        <w:rPr>
          <w:rFonts w:ascii="Figtree" w:hAnsi="Figtree"/>
          <w:b w:val="0"/>
          <w:i w:val="0"/>
          <w:sz w:val="22"/>
        </w:rPr>
        <w:t xml:space="preserve"> Each asset type carries its own lifecycle logic—bond contracts include coupon schedules and maturity handling; equity contracts include dividend distribution and voting mechanics; fund contracts include NAV calculation and redemption workflows. Lifecycle logic is defined at configuration time and embedded in the smart contract.</w:t>
      </w:r>
    </w:p>
    <w:p>
      <w:r>
        <w:rPr>
          <w:rFonts w:ascii="Figtree" w:hAnsi="Figtree"/>
          <w:b/>
          <w:i w:val="0"/>
          <w:sz w:val="22"/>
        </w:rPr>
        <w:t>Governance Before Activation:</w:t>
      </w:r>
      <w:r>
        <w:rPr>
          <w:rFonts w:ascii="Figtree" w:hAnsi="Figtree"/>
          <w:b w:val="0"/>
          <w:i w:val="0"/>
          <w:sz w:val="22"/>
        </w:rPr>
        <w:t xml:space="preserve"> No asset becomes operational until governance reviews the configuration. The factory deployment process enforces this through role assignments: governance roles must be assigned before transfers are enabled. The maker-checker pattern is implemented through the platform's dual-layer permission model (off-chain approval followed by on-chain role validation).</w:t>
      </w:r>
    </w:p>
    <w:p>
      <w:r>
        <w:rPr>
          <w:rFonts w:ascii="Figtree" w:hAnsi="Figtree"/>
          <w:b/>
          <w:i w:val="0"/>
          <w:sz w:val="22"/>
        </w:rPr>
        <w:t>Token Issuance Flow:</w:t>
      </w:r>
    </w:p>
    <w:p>
      <w:pPr>
        <w:jc w:val="center"/>
      </w:pPr>
      <w:r>
        <w:drawing>
          <wp:inline xmlns:a="http://schemas.openxmlformats.org/drawingml/2006/main" xmlns:pic="http://schemas.openxmlformats.org/drawingml/2006/picture">
            <wp:extent cx="5486400" cy="2652227"/>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2652227"/>
                    </a:xfrm>
                    <a:prstGeom prst="rect"/>
                  </pic:spPr>
                </pic:pic>
              </a:graphicData>
            </a:graphic>
          </wp:inline>
        </w:drawing>
      </w:r>
    </w:p>
    <w:p>
      <w:pPr>
        <w:pStyle w:val="H2"/>
        <w:numPr>
          <w:ilvl w:val="1"/>
          <w:numId w:val="1"/>
        </w:numPr>
      </w:pPr>
      <w:r>
        <w:t>5.3 Identity and Eligibility</w:t>
      </w:r>
    </w:p>
    <w:p>
      <w:r>
        <w:rPr>
          <w:rFonts w:ascii="Figtree" w:hAnsi="Figtree"/>
          <w:b w:val="0"/>
          <w:i w:val="0"/>
          <w:sz w:val="22"/>
        </w:rPr>
        <w:t>DALP implements identity management through OnchainID (ERC-734/735), providing verifiable on-chain investor identities:</w:t>
      </w:r>
    </w:p>
    <w:p>
      <w:r>
        <w:rPr>
          <w:rFonts w:ascii="Figtree" w:hAnsi="Figtree"/>
          <w:b/>
          <w:i w:val="0"/>
          <w:sz w:val="22"/>
        </w:rPr>
        <w:t>OnchainID Role:</w:t>
      </w:r>
      <w:r>
        <w:rPr>
          <w:rFonts w:ascii="Figtree" w:hAnsi="Figtree"/>
          <w:b w:val="0"/>
          <w:i w:val="0"/>
          <w:sz w:val="22"/>
        </w:rPr>
        <w:t xml:space="preserve"> Every investor identity exists as an OnchainID contract on-chain. This contract stores KYC/AML claims issued by trusted parties. The identity serves as the root of trust for all transfer eligibility decisions.</w:t>
      </w:r>
    </w:p>
    <w:p>
      <w:r>
        <w:rPr>
          <w:rFonts w:ascii="Figtree" w:hAnsi="Figtree"/>
          <w:b/>
          <w:i w:val="0"/>
          <w:sz w:val="22"/>
        </w:rPr>
        <w:t>Claims Model:</w:t>
      </w:r>
      <w:r>
        <w:rPr>
          <w:rFonts w:ascii="Figtree" w:hAnsi="Figtree"/>
          <w:b w:val="0"/>
          <w:i w:val="0"/>
          <w:sz w:val="22"/>
        </w:rPr>
        <w:t xml:space="preserve"> Claims are issued by trusted claim issuers (typically the regulated entity's compliance team or a delegated KYC provider). Each claim has a topic, scheme, and expiry date. Claims can be revoked, updated, or renewed. The compliance engine evaluates active, non-expired claims before allowing transfers.</w:t>
      </w:r>
    </w:p>
    <w:p>
      <w:r>
        <w:rPr>
          <w:rFonts w:ascii="Figtree" w:hAnsi="Figtree"/>
          <w:b/>
          <w:i w:val="0"/>
          <w:sz w:val="22"/>
        </w:rPr>
        <w:t>Issuer Trust Model:</w:t>
      </w:r>
      <w:r>
        <w:rPr>
          <w:rFonts w:ascii="Figtree" w:hAnsi="Figtree"/>
          <w:b w:val="0"/>
          <w:i w:val="0"/>
          <w:sz w:val="22"/>
        </w:rPr>
        <w:t xml:space="preserve"> DALP implements a tiered trusted issuer system: global issuers (recognized across the platform), system issuers (specific to ADGM's deployment), and subject-scoped issuers (specific to individual asset programs). This hierarchy allows ADGM to control which claim issuers are recognized for which purposes.</w:t>
      </w:r>
    </w:p>
    <w:p>
      <w:r>
        <w:rPr>
          <w:rFonts w:ascii="Figtree" w:hAnsi="Figtree"/>
          <w:b/>
          <w:i w:val="0"/>
          <w:sz w:val="22"/>
        </w:rPr>
        <w:t>Onboarding Workflow:</w:t>
      </w:r>
      <w:r>
        <w:rPr>
          <w:rFonts w:ascii="Figtree" w:hAnsi="Figtree"/>
          <w:b w:val="0"/>
          <w:i w:val="0"/>
          <w:sz w:val="22"/>
        </w:rPr>
        <w:t xml:space="preserve"> The platform provides an onboarding workflow that connects to external KYC providers through API integration. The workflow captures investor information, submits it to the KYC provider, receives verification results, and issues the corresponding OnchainID claims. All onboarding steps produce audit logs suitable for regulatory examination.</w:t>
      </w:r>
    </w:p>
    <w:p>
      <w:pPr>
        <w:pStyle w:val="H2"/>
        <w:numPr>
          <w:ilvl w:val="1"/>
          <w:numId w:val="1"/>
        </w:numPr>
      </w:pPr>
      <w:r>
        <w:t>5.4 Compliance Enforcement</w:t>
      </w:r>
    </w:p>
    <w:p>
      <w:r>
        <w:rPr>
          <w:rFonts w:ascii="Figtree" w:hAnsi="Figtree"/>
          <w:b w:val="0"/>
          <w:i w:val="0"/>
          <w:sz w:val="22"/>
        </w:rPr>
        <w:t>DALP enforces compliance through a multi-layered architecture that ensures regulatory requirements are met at every transaction:</w:t>
      </w:r>
    </w:p>
    <w:p>
      <w:r>
        <w:rPr>
          <w:rFonts w:ascii="Figtree" w:hAnsi="Figtree"/>
          <w:b/>
          <w:i w:val="0"/>
          <w:sz w:val="22"/>
        </w:rPr>
        <w:t>Ex-ante Checks:</w:t>
      </w:r>
      <w:r>
        <w:rPr>
          <w:rFonts w:ascii="Figtree" w:hAnsi="Figtree"/>
          <w:b w:val="0"/>
          <w:i w:val="0"/>
          <w:sz w:val="22"/>
        </w:rPr>
        <w:t xml:space="preserve"> Every transfer request is evaluated against the compliance engine before execution. The compliance engine runs on-chain as part of the ERC-3643 transfer validation. No transfer executes if any compliance module returns a failure result. This ex-ante approach ensures that non-compliant transactions never reach the blockchain.</w:t>
      </w:r>
    </w:p>
    <w:p>
      <w:r>
        <w:rPr>
          <w:rFonts w:ascii="Figtree" w:hAnsi="Figtree"/>
          <w:b/>
          <w:i w:val="0"/>
          <w:sz w:val="22"/>
        </w:rPr>
        <w:t>Module Composition:</w:t>
      </w:r>
      <w:r>
        <w:rPr>
          <w:rFonts w:ascii="Figtree" w:hAnsi="Figtree"/>
          <w:b w:val="0"/>
          <w:i w:val="0"/>
          <w:sz w:val="22"/>
        </w:rPr>
        <w:t xml:space="preserve"> Complex compliance requirements are built by composing multiple modules. A typical configuration for a regulated security token includes: identity verification (is the sender verified?), country restrictions (is the sender's jurisdiction allowed?), investor limits (does the sender's holdings exceed the limit?), and transfer approval (has this specific transfer been pre-approved?). Each module operates independently, and all must pass.</w:t>
      </w:r>
    </w:p>
    <w:p>
      <w:r>
        <w:rPr>
          <w:rFonts w:ascii="Figtree" w:hAnsi="Figtree"/>
          <w:b/>
          <w:i w:val="0"/>
          <w:sz w:val="22"/>
        </w:rPr>
        <w:t>Transfer Controls:</w:t>
      </w:r>
      <w:r>
        <w:rPr>
          <w:rFonts w:ascii="Figtree" w:hAnsi="Figtree"/>
          <w:b w:val="0"/>
          <w:i w:val="0"/>
          <w:sz w:val="22"/>
        </w:rPr>
        <w:t xml:space="preserve"> Beyond blocking transfers, the compliance engine supports granular controls: rate limiting (maximum transfers per time window), timelock (minimum holding period before transfer), and approval workflows (transfer requires pending approval from a compliance officer). These controls are configured per asset and can be changed by governance.</w:t>
      </w:r>
    </w:p>
    <w:p>
      <w:r>
        <w:rPr>
          <w:rFonts w:ascii="Figtree" w:hAnsi="Figtree"/>
          <w:b/>
          <w:i w:val="0"/>
          <w:sz w:val="22"/>
        </w:rPr>
        <w:t>Auditability:</w:t>
      </w:r>
      <w:r>
        <w:rPr>
          <w:rFonts w:ascii="Figtree" w:hAnsi="Figtree"/>
          <w:b w:val="0"/>
          <w:i w:val="0"/>
          <w:sz w:val="22"/>
        </w:rPr>
        <w:t xml:space="preserve"> Every compliance check logs its evaluation: which modules were evaluated, what inputs were checked, what the result was, and what the reason was if blocked. These logs feed into the platform's audit trail and are queryable through the API.</w:t>
      </w:r>
    </w:p>
    <w:p>
      <w:pPr>
        <w:jc w:val="center"/>
      </w:pPr>
      <w:r>
        <w:drawing>
          <wp:inline xmlns:a="http://schemas.openxmlformats.org/drawingml/2006/main" xmlns:pic="http://schemas.openxmlformats.org/drawingml/2006/picture">
            <wp:extent cx="5486400" cy="2582247"/>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2582247"/>
                    </a:xfrm>
                    <a:prstGeom prst="rect"/>
                  </pic:spPr>
                </pic:pic>
              </a:graphicData>
            </a:graphic>
          </wp:inline>
        </w:drawing>
      </w:r>
    </w:p>
    <w:p>
      <w:pPr>
        <w:pStyle w:val="H2"/>
        <w:numPr>
          <w:ilvl w:val="1"/>
          <w:numId w:val="1"/>
        </w:numPr>
      </w:pPr>
      <w:r>
        <w:t>5.5 Transfer, Settlement, and Cash-Leg Coordination</w:t>
      </w:r>
    </w:p>
    <w:p>
      <w:r>
        <w:rPr>
          <w:rFonts w:ascii="Figtree" w:hAnsi="Figtree"/>
          <w:b w:val="0"/>
          <w:i w:val="0"/>
          <w:sz w:val="22"/>
        </w:rPr>
        <w:t>DALP provides atomic settlement protocols that eliminate counterparty risk:</w:t>
      </w:r>
    </w:p>
    <w:p>
      <w:r>
        <w:rPr>
          <w:rFonts w:ascii="Figtree" w:hAnsi="Figtree"/>
          <w:b/>
          <w:i w:val="0"/>
          <w:sz w:val="22"/>
        </w:rPr>
        <w:t>Transfer Path:</w:t>
      </w:r>
      <w:r>
        <w:rPr>
          <w:rFonts w:ascii="Figtree" w:hAnsi="Figtree"/>
          <w:b w:val="0"/>
          <w:i w:val="0"/>
          <w:sz w:val="22"/>
        </w:rPr>
        <w:t xml:space="preserve"> Transfers flow through the platform's execution engine, which orchestrates the transaction lifecycle: preparing the transaction, estimating gas, submitting to the blockchain, monitoring confirmation, and recording the final state. The execution engine handles retries, nonce management, and failure recovery.</w:t>
      </w:r>
    </w:p>
    <w:p>
      <w:r>
        <w:rPr>
          <w:rFonts w:ascii="Figtree" w:hAnsi="Figtree"/>
          <w:b/>
          <w:i w:val="0"/>
          <w:sz w:val="22"/>
        </w:rPr>
        <w:t>DvP/XvP Model:</w:t>
      </w:r>
      <w:r>
        <w:rPr>
          <w:rFonts w:ascii="Figtree" w:hAnsi="Figtree"/>
          <w:b w:val="0"/>
          <w:i w:val="0"/>
          <w:sz w:val="22"/>
        </w:rPr>
        <w:t xml:space="preserve"> DALP's Delivery-versus-Payment (DvP) protocol ensures atomic settlement: the asset transfer and cash transfer execute as a single atomic transaction—if either leg fails, both legs revert. The Exchange-versus-Payment (XvP) extension supports multi-party exchanges (such as cross-currency swaps) with the same atomicity guarantees.</w:t>
      </w:r>
    </w:p>
    <w:p>
      <w:r>
        <w:rPr>
          <w:rFonts w:ascii="Figtree" w:hAnsi="Figtree"/>
          <w:b/>
          <w:i w:val="0"/>
          <w:sz w:val="22"/>
        </w:rPr>
        <w:t>Failure Behavior:</w:t>
      </w:r>
      <w:r>
        <w:rPr>
          <w:rFonts w:ascii="Figtree" w:hAnsi="Figtree"/>
          <w:b w:val="0"/>
          <w:i w:val="0"/>
          <w:sz w:val="22"/>
        </w:rPr>
        <w:t xml:space="preserve"> Settlement failures are handled through deterministic workflows. If a settlement times out or fails, the workflow executes the configured recovery action: revert, retry, or escalate to manual intervention. All failure events are logged with full context for dispute resolution.</w:t>
      </w:r>
    </w:p>
    <w:p>
      <w:r>
        <w:rPr>
          <w:rFonts w:ascii="Figtree" w:hAnsi="Figtree"/>
          <w:b/>
          <w:i w:val="0"/>
          <w:sz w:val="22"/>
        </w:rPr>
        <w:t>Determinism:</w:t>
      </w:r>
      <w:r>
        <w:rPr>
          <w:rFonts w:ascii="Figtree" w:hAnsi="Figtree"/>
          <w:b w:val="0"/>
          <w:i w:val="0"/>
          <w:sz w:val="22"/>
        </w:rPr>
        <w:t xml:space="preserve"> The settlement system achieves determinism through durable workflow orchestration. Every settlement operation runs as a Restate workflow with explicitly tracked phases. The workflow survives infrastructure failures, process restarts, and network partitions without data loss or inconsistent state.</w:t>
      </w:r>
    </w:p>
    <w:p>
      <w:pPr>
        <w:pStyle w:val="H2"/>
        <w:numPr>
          <w:ilvl w:val="1"/>
          <w:numId w:val="1"/>
        </w:numPr>
      </w:pPr>
      <w:r>
        <w:t>5.6 Lifecycle Servicing and Corporate Actions</w:t>
      </w:r>
    </w:p>
    <w:p>
      <w:r>
        <w:rPr>
          <w:rFonts w:ascii="Figtree" w:hAnsi="Figtree"/>
          <w:b w:val="0"/>
          <w:i w:val="0"/>
          <w:sz w:val="22"/>
        </w:rPr>
        <w:t>DALP manages corporate actions through its servicing layer:</w:t>
      </w:r>
    </w:p>
    <w:p>
      <w:r>
        <w:rPr>
          <w:rFonts w:ascii="Figtree" w:hAnsi="Figtree"/>
          <w:b/>
          <w:i w:val="0"/>
          <w:sz w:val="22"/>
        </w:rPr>
        <w:t>Coupon/Dividend/Yield:</w:t>
      </w:r>
      <w:r>
        <w:rPr>
          <w:rFonts w:ascii="Figtree" w:hAnsi="Figtree"/>
          <w:b w:val="0"/>
          <w:i w:val="0"/>
          <w:sz w:val="22"/>
        </w:rPr>
        <w:t xml:space="preserve"> The platform supports scheduled yield distributions. Operators configure the distribution parameters (amount, schedule, eligible holders), and the platform executes the distribution through batched transfers or airdrop mechanisms. Distribution history is recorded on-chain for auditability.</w:t>
      </w:r>
    </w:p>
    <w:p>
      <w:r>
        <w:rPr>
          <w:rFonts w:ascii="Figtree" w:hAnsi="Figtree"/>
          <w:b/>
          <w:i w:val="0"/>
          <w:sz w:val="22"/>
        </w:rPr>
        <w:t>Maturity/Redemption:</w:t>
      </w:r>
      <w:r>
        <w:rPr>
          <w:rFonts w:ascii="Figtree" w:hAnsi="Figtree"/>
          <w:b w:val="0"/>
          <w:i w:val="0"/>
          <w:sz w:val="22"/>
        </w:rPr>
        <w:t xml:space="preserve"> Bond and deposit contracts include maturity handling. At maturity, the contract enforces redemption logic: holders can redeem their tokens for the underlying asset or cash equivalent based on configured terms. Redemption workflows include validation (is the holder eligible?), processing (execute the redemption), and recording (update balances and emit events).</w:t>
      </w:r>
    </w:p>
    <w:p>
      <w:r>
        <w:rPr>
          <w:rFonts w:ascii="Figtree" w:hAnsi="Figtree"/>
          <w:b/>
          <w:i w:val="0"/>
          <w:sz w:val="22"/>
        </w:rPr>
        <w:t>Governance Events:</w:t>
      </w:r>
      <w:r>
        <w:rPr>
          <w:rFonts w:ascii="Figtree" w:hAnsi="Figtree"/>
          <w:b w:val="0"/>
          <w:i w:val="0"/>
          <w:sz w:val="22"/>
        </w:rPr>
        <w:t xml:space="preserve"> On-chain voting and governance events are supported through the governance addon. Proposals are submitted, voting periods open, votes are recorded on-chain, and outcomes are automatically executed. This enables shareholder voting, policy changes, and other governance actions to occur entirely on-chain.</w:t>
      </w:r>
    </w:p>
    <w:p>
      <w:r>
        <w:rPr>
          <w:rFonts w:ascii="Figtree" w:hAnsi="Figtree"/>
          <w:b/>
          <w:i w:val="0"/>
          <w:sz w:val="22"/>
        </w:rPr>
        <w:t>Operational Servicing:</w:t>
      </w:r>
      <w:r>
        <w:rPr>
          <w:rFonts w:ascii="Figtree" w:hAnsi="Figtree"/>
          <w:b w:val="0"/>
          <w:i w:val="0"/>
          <w:sz w:val="22"/>
        </w:rPr>
        <w:t xml:space="preserve"> Beyond standard corporate actions, the platform supports operational servicing such as fee collection, airdrops, and vesting schedules. These are implemented through dedicated addon modules that extend the base asset functionality.</w:t>
      </w:r>
    </w:p>
    <w:p>
      <w:pPr>
        <w:pStyle w:val="H2"/>
        <w:numPr>
          <w:ilvl w:val="1"/>
          <w:numId w:val="1"/>
        </w:numPr>
      </w:pPr>
      <w:r>
        <w:t>5.7 Integration and Interoperability</w:t>
      </w:r>
    </w:p>
    <w:p>
      <w:r>
        <w:rPr>
          <w:rFonts w:ascii="Figtree" w:hAnsi="Figtree"/>
          <w:b w:val="0"/>
          <w:i w:val="0"/>
          <w:sz w:val="22"/>
        </w:rPr>
        <w:t>DALP provides multiple integration pathways designed for enterprise environments:</w:t>
      </w:r>
    </w:p>
    <w:p>
      <w:r>
        <w:rPr>
          <w:rFonts w:ascii="Figtree" w:hAnsi="Figtree"/>
          <w:b/>
          <w:i w:val="0"/>
          <w:sz w:val="22"/>
        </w:rPr>
        <w:t>API/SDK/CLI:</w:t>
      </w:r>
      <w:r>
        <w:rPr>
          <w:rFonts w:ascii="Figtree" w:hAnsi="Figtree"/>
          <w:b w:val="0"/>
          <w:i w:val="0"/>
          <w:sz w:val="22"/>
        </w:rPr>
        <w:t xml:space="preserve"> The Unified API exposes all platform capabilities through OpenAPI 3.1 specifications. The TypeScript SDK provides typed programmatic access. The CLI provides operator access for common tasks. All three interfaces provide consistent behavior and authentication.</w:t>
      </w:r>
    </w:p>
    <w:p>
      <w:r>
        <w:rPr>
          <w:rFonts w:ascii="Figtree" w:hAnsi="Figtree"/>
          <w:b/>
          <w:i w:val="0"/>
          <w:sz w:val="22"/>
        </w:rPr>
        <w:t>Core System Integration:</w:t>
      </w:r>
      <w:r>
        <w:rPr>
          <w:rFonts w:ascii="Figtree" w:hAnsi="Figtree"/>
          <w:b w:val="0"/>
          <w:i w:val="0"/>
          <w:sz w:val="22"/>
        </w:rPr>
        <w:t xml:space="preserve"> DALP connects to core banking systems, ledger systems, and position management systems through the REST API. Webhook events notify external systems of state changes, enabling near-real-time synchronization. The platform supports both pull (API queries) and push (webhook notifications) integration patterns.</w:t>
      </w:r>
    </w:p>
    <w:p>
      <w:r>
        <w:rPr>
          <w:rFonts w:ascii="Figtree" w:hAnsi="Figtree"/>
          <w:b/>
          <w:i w:val="0"/>
          <w:sz w:val="22"/>
        </w:rPr>
        <w:t>Custody and Payments:</w:t>
      </w:r>
      <w:r>
        <w:rPr>
          <w:rFonts w:ascii="Figtree" w:hAnsi="Figtree"/>
          <w:b w:val="0"/>
          <w:i w:val="0"/>
          <w:sz w:val="22"/>
        </w:rPr>
        <w:t xml:space="preserve"> Custody integration connects through the unified signer abstraction. Fireblocks and DFNS are supported for MPC custody. Payment integration supports ISO 20022 for SWIFT, SEPA, and RTGS connectivity, enabling cash-leg settlement for DvP transactions.</w:t>
      </w:r>
    </w:p>
    <w:p>
      <w:r>
        <w:rPr>
          <w:rFonts w:ascii="Figtree" w:hAnsi="Figtree"/>
          <w:b/>
          <w:i w:val="0"/>
          <w:sz w:val="22"/>
        </w:rPr>
        <w:t>Feeds/Reporting/Events:</w:t>
      </w:r>
      <w:r>
        <w:rPr>
          <w:rFonts w:ascii="Figtree" w:hAnsi="Figtree"/>
          <w:b w:val="0"/>
          <w:i w:val="0"/>
          <w:sz w:val="22"/>
        </w:rPr>
        <w:t xml:space="preserve"> The Feeds System integrates price feeds, NAV feeds, and exchange rate data. Structured audit logs feed into SIEM systems for security monitoring. Dashboard exports and API queries support board reporting and regulatory submissions.</w:t>
      </w:r>
    </w:p>
    <w:p>
      <w:pPr>
        <w:pStyle w:val="H2"/>
        <w:numPr>
          <w:ilvl w:val="1"/>
          <w:numId w:val="1"/>
        </w:numPr>
      </w:pPr>
      <w:r>
        <w:t>5.8 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49"/>
        <w:gridCol w:w="2180"/>
        <w:gridCol w:w="1687"/>
        <w:gridCol w:w="105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Functional 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Source Reference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 Status</w:t>
            </w:r>
          </w:p>
        </w:tc>
      </w:tr>
      <w:tr>
        <w:trPr>
          <w:trHeight w:val="425" w:hRule="atLeast"/>
        </w:trPr>
        <w:tc>
          <w:tcPr>
            <w:tcW w:type="dxa" w:w="2436"/>
            <w:vAlign w:val="center"/>
          </w:tcPr>
          <w:p>
            <w:pPr>
              <w:spacing w:line="276" w:lineRule="auto" w:before="0" w:after="0"/>
            </w:pPr>
            <w:r/>
            <w:r>
              <w:rPr>
                <w:rFonts w:ascii="Figtree" w:hAnsi="Figtree"/>
                <w:b w:val="0"/>
                <w:i w:val="0"/>
                <w:sz w:val="20"/>
              </w:rPr>
              <w:t>Asset lifecycle management (issuance, transfer, redemption)</w:t>
            </w:r>
          </w:p>
        </w:tc>
        <w:tc>
          <w:tcPr>
            <w:tcW w:type="dxa" w:w="2436"/>
            <w:vAlign w:val="center"/>
          </w:tcPr>
          <w:p>
            <w:pPr>
              <w:spacing w:line="276" w:lineRule="auto" w:before="0" w:after="0"/>
            </w:pPr>
            <w:r/>
            <w:r>
              <w:rPr>
                <w:rFonts w:ascii="Figtree" w:hAnsi="Figtree"/>
                <w:b w:val="0"/>
                <w:i w:val="0"/>
                <w:sz w:val="20"/>
              </w:rPr>
              <w:t>DALPAsset with SMART Protocol</w:t>
            </w:r>
          </w:p>
        </w:tc>
        <w:tc>
          <w:tcPr>
            <w:tcW w:type="dxa" w:w="2436"/>
            <w:vAlign w:val="center"/>
          </w:tcPr>
          <w:p>
            <w:pPr>
              <w:spacing w:line="276" w:lineRule="auto" w:before="0" w:after="0"/>
            </w:pPr>
            <w:r/>
            <w:r>
              <w:rPr>
                <w:rFonts w:ascii="Figtree" w:hAnsi="Figtree"/>
                <w:b w:val="0"/>
                <w:i w:val="0"/>
                <w:sz w:val="20"/>
              </w:rPr>
              <w:t>Architecture Section 2.2</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Configurable compliance rules</w:t>
            </w:r>
          </w:p>
        </w:tc>
        <w:tc>
          <w:tcPr>
            <w:tcW w:type="dxa" w:w="2436"/>
            <w:vAlign w:val="center"/>
          </w:tcPr>
          <w:p>
            <w:pPr>
              <w:spacing w:line="276" w:lineRule="auto" w:before="0" w:after="0"/>
            </w:pPr>
            <w:r/>
            <w:r>
              <w:rPr>
                <w:rFonts w:ascii="Figtree" w:hAnsi="Figtree"/>
                <w:b w:val="0"/>
                <w:i w:val="0"/>
                <w:sz w:val="20"/>
              </w:rPr>
              <w:t>18 modular compliance types</w:t>
            </w:r>
          </w:p>
        </w:tc>
        <w:tc>
          <w:tcPr>
            <w:tcW w:type="dxa" w:w="2436"/>
            <w:vAlign w:val="center"/>
          </w:tcPr>
          <w:p>
            <w:pPr>
              <w:spacing w:line="276" w:lineRule="auto" w:before="0" w:after="0"/>
            </w:pPr>
            <w:r/>
            <w:r>
              <w:rPr>
                <w:rFonts w:ascii="Figtree" w:hAnsi="Figtree"/>
                <w:b w:val="0"/>
                <w:i w:val="0"/>
                <w:sz w:val="20"/>
              </w:rPr>
              <w:t>Compliance Section 3.2.2</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On-chain identity verification</w:t>
            </w:r>
          </w:p>
        </w:tc>
        <w:tc>
          <w:tcPr>
            <w:tcW w:type="dxa" w:w="2436"/>
            <w:vAlign w:val="center"/>
          </w:tcPr>
          <w:p>
            <w:pPr>
              <w:spacing w:line="276" w:lineRule="auto" w:before="0" w:after="0"/>
            </w:pPr>
            <w:r/>
            <w:r>
              <w:rPr>
                <w:rFonts w:ascii="Figtree" w:hAnsi="Figtree"/>
                <w:b w:val="0"/>
                <w:i w:val="0"/>
                <w:sz w:val="20"/>
              </w:rPr>
              <w:t>OnchainID (ERC-734/735)</w:t>
            </w:r>
          </w:p>
        </w:tc>
        <w:tc>
          <w:tcPr>
            <w:tcW w:type="dxa" w:w="2436"/>
            <w:vAlign w:val="center"/>
          </w:tcPr>
          <w:p>
            <w:pPr>
              <w:spacing w:line="276" w:lineRule="auto" w:before="0" w:after="0"/>
            </w:pPr>
            <w:r/>
            <w:r>
              <w:rPr>
                <w:rFonts w:ascii="Figtree" w:hAnsi="Figtree"/>
                <w:b w:val="0"/>
                <w:i w:val="0"/>
                <w:sz w:val="20"/>
              </w:rPr>
              <w:t>Identity Section 5.3</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Atomic DvP settlement</w:t>
            </w:r>
          </w:p>
        </w:tc>
        <w:tc>
          <w:tcPr>
            <w:tcW w:type="dxa" w:w="2436"/>
            <w:vAlign w:val="center"/>
          </w:tcPr>
          <w:p>
            <w:pPr>
              <w:spacing w:line="276" w:lineRule="auto" w:before="0" w:after="0"/>
            </w:pPr>
            <w:r/>
            <w:r>
              <w:rPr>
                <w:rFonts w:ascii="Figtree" w:hAnsi="Figtree"/>
                <w:b w:val="0"/>
                <w:i w:val="0"/>
                <w:sz w:val="20"/>
              </w:rPr>
              <w:t>XvP Settlement addon</w:t>
            </w:r>
          </w:p>
        </w:tc>
        <w:tc>
          <w:tcPr>
            <w:tcW w:type="dxa" w:w="2436"/>
            <w:vAlign w:val="center"/>
          </w:tcPr>
          <w:p>
            <w:pPr>
              <w:spacing w:line="276" w:lineRule="auto" w:before="0" w:after="0"/>
            </w:pPr>
            <w:r/>
            <w:r>
              <w:rPr>
                <w:rFonts w:ascii="Figtree" w:hAnsi="Figtree"/>
                <w:b w:val="0"/>
                <w:i w:val="0"/>
                <w:sz w:val="20"/>
              </w:rPr>
              <w:t>Settlement Section 5.5</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Corporate action handling</w:t>
            </w:r>
          </w:p>
        </w:tc>
        <w:tc>
          <w:tcPr>
            <w:tcW w:type="dxa" w:w="2436"/>
            <w:vAlign w:val="center"/>
          </w:tcPr>
          <w:p>
            <w:pPr>
              <w:spacing w:line="276" w:lineRule="auto" w:before="0" w:after="0"/>
            </w:pPr>
            <w:r/>
            <w:r>
              <w:rPr>
                <w:rFonts w:ascii="Figtree" w:hAnsi="Figtree"/>
                <w:b w:val="0"/>
                <w:i w:val="0"/>
                <w:sz w:val="20"/>
              </w:rPr>
              <w:t>Servicing layer with addons</w:t>
            </w:r>
          </w:p>
        </w:tc>
        <w:tc>
          <w:tcPr>
            <w:tcW w:type="dxa" w:w="2436"/>
            <w:vAlign w:val="center"/>
          </w:tcPr>
          <w:p>
            <w:pPr>
              <w:spacing w:line="276" w:lineRule="auto" w:before="0" w:after="0"/>
            </w:pPr>
            <w:r/>
            <w:r>
              <w:rPr>
                <w:rFonts w:ascii="Figtree" w:hAnsi="Figtree"/>
                <w:b w:val="0"/>
                <w:i w:val="0"/>
                <w:sz w:val="20"/>
              </w:rPr>
              <w:t>Servicing Section 5.6</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API-first integration</w:t>
            </w:r>
          </w:p>
        </w:tc>
        <w:tc>
          <w:tcPr>
            <w:tcW w:type="dxa" w:w="2436"/>
            <w:vAlign w:val="center"/>
          </w:tcPr>
          <w:p>
            <w:pPr>
              <w:spacing w:line="276" w:lineRule="auto" w:before="0" w:after="0"/>
            </w:pPr>
            <w:r/>
            <w:r>
              <w:rPr>
                <w:rFonts w:ascii="Figtree" w:hAnsi="Figtree"/>
                <w:b w:val="0"/>
                <w:i w:val="0"/>
                <w:sz w:val="20"/>
              </w:rPr>
              <w:t>OpenAPI 3.1 + TypeScript SDK</w:t>
            </w:r>
          </w:p>
        </w:tc>
        <w:tc>
          <w:tcPr>
            <w:tcW w:type="dxa" w:w="2436"/>
            <w:vAlign w:val="center"/>
          </w:tcPr>
          <w:p>
            <w:pPr>
              <w:spacing w:line="276" w:lineRule="auto" w:before="0" w:after="0"/>
            </w:pPr>
            <w:r/>
            <w:r>
              <w:rPr>
                <w:rFonts w:ascii="Figtree" w:hAnsi="Figtree"/>
                <w:b w:val="0"/>
                <w:i w:val="0"/>
                <w:sz w:val="20"/>
              </w:rPr>
              <w:t>Integration Section 5.7</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Multi-environment support</w:t>
            </w:r>
          </w:p>
        </w:tc>
        <w:tc>
          <w:tcPr>
            <w:tcW w:type="dxa" w:w="2436"/>
            <w:vAlign w:val="center"/>
          </w:tcPr>
          <w:p>
            <w:pPr>
              <w:spacing w:line="276" w:lineRule="auto" w:before="0" w:after="0"/>
            </w:pPr>
            <w:r/>
            <w:r>
              <w:rPr>
                <w:rFonts w:ascii="Figtree" w:hAnsi="Figtree"/>
                <w:b w:val="0"/>
                <w:i w:val="0"/>
                <w:sz w:val="20"/>
              </w:rPr>
              <w:t>Kubernetes deployment</w:t>
            </w:r>
          </w:p>
        </w:tc>
        <w:tc>
          <w:tcPr>
            <w:tcW w:type="dxa" w:w="2436"/>
            <w:vAlign w:val="center"/>
          </w:tcPr>
          <w:p>
            <w:pPr>
              <w:spacing w:line="276" w:lineRule="auto" w:before="0" w:after="0"/>
            </w:pPr>
            <w:r/>
            <w:r>
              <w:rPr>
                <w:rFonts w:ascii="Figtree" w:hAnsi="Figtree"/>
                <w:b w:val="0"/>
                <w:i w:val="0"/>
                <w:sz w:val="20"/>
              </w:rPr>
              <w:t>Architecture Section 6</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Audit trail and evidence</w:t>
            </w:r>
          </w:p>
        </w:tc>
        <w:tc>
          <w:tcPr>
            <w:tcW w:type="dxa" w:w="2436"/>
            <w:vAlign w:val="center"/>
          </w:tcPr>
          <w:p>
            <w:pPr>
              <w:spacing w:line="276" w:lineRule="auto" w:before="0" w:after="0"/>
            </w:pPr>
            <w:r/>
            <w:r>
              <w:rPr>
                <w:rFonts w:ascii="Figtree" w:hAnsi="Figtree"/>
                <w:b w:val="0"/>
                <w:i w:val="0"/>
                <w:sz w:val="20"/>
              </w:rPr>
              <w:t>Structured logging + dashboards</w:t>
            </w:r>
          </w:p>
        </w:tc>
        <w:tc>
          <w:tcPr>
            <w:tcW w:type="dxa" w:w="2436"/>
            <w:vAlign w:val="center"/>
          </w:tcPr>
          <w:p>
            <w:pPr>
              <w:spacing w:line="276" w:lineRule="auto" w:before="0" w:after="0"/>
            </w:pPr>
            <w:r/>
            <w:r>
              <w:rPr>
                <w:rFonts w:ascii="Figtree" w:hAnsi="Figtree"/>
                <w:b w:val="0"/>
                <w:i w:val="0"/>
                <w:sz w:val="20"/>
              </w:rPr>
              <w:t>Security Section 7</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HSM key management</w:t>
            </w:r>
          </w:p>
        </w:tc>
        <w:tc>
          <w:tcPr>
            <w:tcW w:type="dxa" w:w="2436"/>
            <w:vAlign w:val="center"/>
          </w:tcPr>
          <w:p>
            <w:pPr>
              <w:spacing w:line="276" w:lineRule="auto" w:before="0" w:after="0"/>
            </w:pPr>
            <w:r/>
            <w:r>
              <w:rPr>
                <w:rFonts w:ascii="Figtree" w:hAnsi="Figtree"/>
                <w:b w:val="0"/>
                <w:i w:val="0"/>
                <w:sz w:val="20"/>
              </w:rPr>
              <w:t>Key Guardian with HSM tier</w:t>
            </w:r>
          </w:p>
        </w:tc>
        <w:tc>
          <w:tcPr>
            <w:tcW w:type="dxa" w:w="2436"/>
            <w:vAlign w:val="center"/>
          </w:tcPr>
          <w:p>
            <w:pPr>
              <w:spacing w:line="276" w:lineRule="auto" w:before="0" w:after="0"/>
            </w:pPr>
            <w:r/>
            <w:r>
              <w:rPr>
                <w:rFonts w:ascii="Figtree" w:hAnsi="Figtree"/>
                <w:b w:val="0"/>
                <w:i w:val="0"/>
                <w:sz w:val="20"/>
              </w:rPr>
              <w:t>Custody Section 3.2.3</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Regulatory reporting</w:t>
            </w:r>
          </w:p>
        </w:tc>
        <w:tc>
          <w:tcPr>
            <w:tcW w:type="dxa" w:w="2436"/>
            <w:vAlign w:val="center"/>
          </w:tcPr>
          <w:p>
            <w:pPr>
              <w:spacing w:line="276" w:lineRule="auto" w:before="0" w:after="0"/>
            </w:pPr>
            <w:r/>
            <w:r>
              <w:rPr>
                <w:rFonts w:ascii="Figtree" w:hAnsi="Figtree"/>
                <w:b w:val="0"/>
                <w:i w:val="0"/>
                <w:sz w:val="20"/>
              </w:rPr>
              <w:t>API queries + dashboard exports</w:t>
            </w:r>
          </w:p>
        </w:tc>
        <w:tc>
          <w:tcPr>
            <w:tcW w:type="dxa" w:w="2436"/>
            <w:vAlign w:val="center"/>
          </w:tcPr>
          <w:p>
            <w:pPr>
              <w:spacing w:line="276" w:lineRule="auto" w:before="0" w:after="0"/>
            </w:pPr>
            <w:r/>
            <w:r>
              <w:rPr>
                <w:rFonts w:ascii="Figtree" w:hAnsi="Figtree"/>
                <w:b w:val="0"/>
                <w:i w:val="0"/>
                <w:sz w:val="20"/>
              </w:rPr>
              <w:t>Reporting Section 5.7</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Sandbox participant onboarding</w:t>
            </w:r>
          </w:p>
        </w:tc>
        <w:tc>
          <w:tcPr>
            <w:tcW w:type="dxa" w:w="2436"/>
            <w:vAlign w:val="center"/>
          </w:tcPr>
          <w:p>
            <w:pPr>
              <w:spacing w:line="276" w:lineRule="auto" w:before="0" w:after="0"/>
            </w:pPr>
            <w:r/>
            <w:r>
              <w:rPr>
                <w:rFonts w:ascii="Figtree" w:hAnsi="Figtree"/>
                <w:b w:val="0"/>
                <w:i w:val="0"/>
                <w:sz w:val="20"/>
              </w:rPr>
              <w:t>OnchainID + onboarding workflow</w:t>
            </w:r>
          </w:p>
        </w:tc>
        <w:tc>
          <w:tcPr>
            <w:tcW w:type="dxa" w:w="2436"/>
            <w:vAlign w:val="center"/>
          </w:tcPr>
          <w:p>
            <w:pPr>
              <w:spacing w:line="276" w:lineRule="auto" w:before="0" w:after="0"/>
            </w:pPr>
            <w:r/>
            <w:r>
              <w:rPr>
                <w:rFonts w:ascii="Figtree" w:hAnsi="Figtree"/>
                <w:b w:val="0"/>
                <w:i w:val="0"/>
                <w:sz w:val="20"/>
              </w:rPr>
              <w:t>Identity Section 5.3</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Supervisory oversight</w:t>
            </w:r>
          </w:p>
        </w:tc>
        <w:tc>
          <w:tcPr>
            <w:tcW w:type="dxa" w:w="2436"/>
            <w:vAlign w:val="center"/>
          </w:tcPr>
          <w:p>
            <w:pPr>
              <w:spacing w:line="276" w:lineRule="auto" w:before="0" w:after="0"/>
            </w:pPr>
            <w:r/>
            <w:r>
              <w:rPr>
                <w:rFonts w:ascii="Figtree" w:hAnsi="Figtree"/>
                <w:b w:val="0"/>
                <w:i w:val="0"/>
                <w:sz w:val="20"/>
              </w:rPr>
              <w:t>Role-based access + audit logs</w:t>
            </w:r>
          </w:p>
        </w:tc>
        <w:tc>
          <w:tcPr>
            <w:tcW w:type="dxa" w:w="2436"/>
            <w:vAlign w:val="center"/>
          </w:tcPr>
          <w:p>
            <w:pPr>
              <w:spacing w:line="276" w:lineRule="auto" w:before="0" w:after="0"/>
            </w:pPr>
            <w:r/>
            <w:r>
              <w:rPr>
                <w:rFonts w:ascii="Figtree" w:hAnsi="Figtree"/>
                <w:b w:val="0"/>
                <w:i w:val="0"/>
                <w:sz w:val="20"/>
              </w:rPr>
              <w:t>Security Section 7</w:t>
            </w:r>
          </w:p>
        </w:tc>
        <w:tc>
          <w:tcPr>
            <w:tcW w:type="dxa" w:w="2436"/>
            <w:vAlign w:val="center"/>
          </w:tcPr>
          <w:p>
            <w:pPr>
              <w:spacing w:line="276" w:lineRule="auto" w:before="0" w:after="0"/>
            </w:pPr>
            <w:r/>
            <w:r>
              <w:rPr>
                <w:rFonts w:ascii="Figtree" w:hAnsi="Figtree"/>
                <w:b w:val="0"/>
                <w:i w:val="0"/>
                <w:sz w:val="20"/>
              </w:rPr>
              <w:t>Full</w:t>
            </w:r>
          </w:p>
        </w:tc>
      </w:tr>
    </w:tbl>
    <w:p>
      <w:pPr>
        <w:spacing w:before="0" w:after="0" w:line="120" w:lineRule="exact"/>
      </w:pPr>
    </w:p>
    <w:p>
      <w:r>
        <w:br w:type="page"/>
      </w:r>
    </w:p>
    <w:p>
      <w:pPr>
        <w:pStyle w:val="H1"/>
        <w:numPr>
          <w:ilvl w:val="0"/>
          <w:numId w:val="1"/>
        </w:numPr>
      </w:pPr>
      <w:r>
        <w:t>6. Technical Architecture</w:t>
      </w:r>
    </w:p>
    <w:p>
      <w:pPr>
        <w:pStyle w:val="H2"/>
        <w:numPr>
          <w:ilvl w:val="1"/>
          <w:numId w:val="1"/>
        </w:numPr>
      </w:pPr>
      <w:r>
        <w:t>6.1 Architectural Principles</w:t>
      </w:r>
    </w:p>
    <w:p>
      <w:r>
        <w:rPr>
          <w:rFonts w:ascii="Figtree" w:hAnsi="Figtree"/>
          <w:b w:val="0"/>
          <w:i w:val="0"/>
          <w:sz w:val="22"/>
        </w:rPr>
        <w:t>DALP's architecture follows five guiding principles:</w:t>
      </w:r>
    </w:p>
    <w:p>
      <w:r>
        <w:rPr>
          <w:rFonts w:ascii="Figtree" w:hAnsi="Figtree"/>
          <w:b/>
          <w:i w:val="0"/>
          <w:sz w:val="22"/>
        </w:rPr>
        <w:t>Lifecycle-First:</w:t>
      </w:r>
      <w:r>
        <w:rPr>
          <w:rFonts w:ascii="Figtree" w:hAnsi="Figtree"/>
          <w:b w:val="0"/>
          <w:i w:val="0"/>
          <w:sz w:val="22"/>
        </w:rPr>
        <w:t xml:space="preserve"> The platform organizes around asset lifecycle rather than technical layers. Every capability—from issuance through servicing—serves the lifecycle. This ensures that ADGM's regulatory and operational requirements map cleanly to platform capabilities.</w:t>
      </w:r>
    </w:p>
    <w:p>
      <w:r>
        <w:rPr>
          <w:rFonts w:ascii="Figtree" w:hAnsi="Figtree"/>
          <w:b/>
          <w:i w:val="0"/>
          <w:sz w:val="22"/>
        </w:rPr>
        <w:t>Durable Execution:</w:t>
      </w:r>
      <w:r>
        <w:rPr>
          <w:rFonts w:ascii="Figtree" w:hAnsi="Figtree"/>
          <w:b w:val="0"/>
          <w:i w:val="0"/>
          <w:sz w:val="22"/>
        </w:rPr>
        <w:t xml:space="preserve"> All critical operations execute as durable workflows that survive infrastructure failures. The execution engine (Restate) provides exactly-once semantics, explicit state tracking, and automatic retry handling. No operation is lost to system failures.</w:t>
      </w:r>
    </w:p>
    <w:p>
      <w:r>
        <w:rPr>
          <w:rFonts w:ascii="Figtree" w:hAnsi="Figtree"/>
          <w:b/>
          <w:i w:val="0"/>
          <w:sz w:val="22"/>
        </w:rPr>
        <w:t>Defense-in-Depth:</w:t>
      </w:r>
      <w:r>
        <w:rPr>
          <w:rFonts w:ascii="Figtree" w:hAnsi="Figtree"/>
          <w:b w:val="0"/>
          <w:i w:val="0"/>
          <w:sz w:val="22"/>
        </w:rPr>
        <w:t xml:space="preserve"> Security controls exist at every layer—application, API, middleware, and blockchain. Each layer enforces its own controls independently. No single-layer failure grants unauthorized access.</w:t>
      </w:r>
    </w:p>
    <w:p>
      <w:r>
        <w:rPr>
          <w:rFonts w:ascii="Figtree" w:hAnsi="Figtree"/>
          <w:b/>
          <w:i w:val="0"/>
          <w:sz w:val="22"/>
        </w:rPr>
        <w:t>Separation of Concerns:</w:t>
      </w:r>
      <w:r>
        <w:rPr>
          <w:rFonts w:ascii="Figtree" w:hAnsi="Figtree"/>
          <w:b w:val="0"/>
          <w:i w:val="0"/>
          <w:sz w:val="22"/>
        </w:rPr>
        <w:t xml:space="preserve"> The platform maintains clear boundaries between user-facing interfaces (Asset Console), integration surfaces (API), orchestration logic (Execution Engine), and enforcement logic (Smart Contracts). Each boundary is an API contract with defined behavior.</w:t>
      </w:r>
    </w:p>
    <w:p>
      <w:r>
        <w:rPr>
          <w:rFonts w:ascii="Figtree" w:hAnsi="Figtree"/>
          <w:b/>
          <w:i w:val="0"/>
          <w:sz w:val="22"/>
        </w:rPr>
        <w:t>Provider Abstraction:</w:t>
      </w:r>
      <w:r>
        <w:rPr>
          <w:rFonts w:ascii="Figtree" w:hAnsi="Figtree"/>
          <w:b w:val="0"/>
          <w:i w:val="0"/>
          <w:sz w:val="22"/>
        </w:rPr>
        <w:t xml:space="preserve"> Blockchain networks, custody providers, and cloud infrastructure are abstracted behind well-defined interfaces. Switching from one provider to another requires configuration changes, not code changes.</w:t>
      </w:r>
    </w:p>
    <w:p>
      <w:pPr>
        <w:pStyle w:val="H2"/>
        <w:numPr>
          <w:ilvl w:val="1"/>
          <w:numId w:val="1"/>
        </w:numPr>
      </w:pPr>
      <w:r>
        <w:t>6.2 Layered Architecture</w:t>
      </w:r>
    </w:p>
    <w:p>
      <w:pPr>
        <w:jc w:val="center"/>
      </w:pPr>
      <w:r>
        <w:drawing>
          <wp:inline xmlns:a="http://schemas.openxmlformats.org/drawingml/2006/main" xmlns:pic="http://schemas.openxmlformats.org/drawingml/2006/picture">
            <wp:extent cx="5486400" cy="3995835"/>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3995835"/>
                    </a:xfrm>
                    <a:prstGeom prst="rect"/>
                  </pic:spPr>
                </pic:pic>
              </a:graphicData>
            </a:graphic>
          </wp:inline>
        </w:drawing>
      </w:r>
    </w:p>
    <w:p>
      <w:pPr>
        <w:pStyle w:val="H3"/>
        <w:numPr>
          <w:ilvl w:val="2"/>
          <w:numId w:val="1"/>
        </w:numPr>
      </w:pPr>
      <w:r>
        <w:t>On-Chain Layer</w:t>
      </w:r>
    </w:p>
    <w:p>
      <w:r>
        <w:rPr>
          <w:rFonts w:ascii="Figtree" w:hAnsi="Figtree"/>
          <w:b w:val="0"/>
          <w:i w:val="0"/>
          <w:sz w:val="22"/>
        </w:rPr>
        <w:t>The smart contract layer implements the ERC-3643 SMART Protocol. All token logic, compliance enforcement, and identity management execute on-chain. This layer is the authoritative source of state—off-chain systems derive their view from on-chain events.</w:t>
      </w:r>
    </w:p>
    <w:p>
      <w:pPr>
        <w:pStyle w:val="H3"/>
        <w:numPr>
          <w:ilvl w:val="2"/>
          <w:numId w:val="1"/>
        </w:numPr>
      </w:pPr>
      <w:r>
        <w:t>Execution/Orchestration Layer</w:t>
      </w:r>
    </w:p>
    <w:p>
      <w:r>
        <w:rPr>
          <w:rFonts w:ascii="Figtree" w:hAnsi="Figtree"/>
          <w:b w:val="0"/>
          <w:i w:val="0"/>
          <w:sz w:val="22"/>
        </w:rPr>
        <w:t>The middleware layer orchestrates blockchain interactions. The Execution Engine manages durable workflows. The Key Guardian handles key operations. The Transaction Signer manages transaction preparation, signing, and submission. The Chain Indexer processes events into queryable state. The Chain Gateway provides blockchain network connectivity.</w:t>
      </w:r>
    </w:p>
    <w:p>
      <w:pPr>
        <w:pStyle w:val="H3"/>
        <w:numPr>
          <w:ilvl w:val="2"/>
          <w:numId w:val="1"/>
        </w:numPr>
      </w:pPr>
      <w:r>
        <w:t>API/Integration Layer</w:t>
      </w:r>
    </w:p>
    <w:p>
      <w:r>
        <w:rPr>
          <w:rFonts w:ascii="Figtree" w:hAnsi="Figtree"/>
          <w:b w:val="0"/>
          <w:i w:val="0"/>
          <w:sz w:val="22"/>
        </w:rPr>
        <w:t>The API layer exposes platform capabilities to external systems. The Unified API follows OpenAPI 3.1. The TypeScript SDK provides programmatic access. Both enforce authentication, authorization, and input validation.</w:t>
      </w:r>
    </w:p>
    <w:p>
      <w:pPr>
        <w:pStyle w:val="H3"/>
        <w:numPr>
          <w:ilvl w:val="2"/>
          <w:numId w:val="1"/>
        </w:numPr>
      </w:pPr>
      <w:r>
        <w:t>Presentation/Operations Layer</w:t>
      </w:r>
    </w:p>
    <w:p>
      <w:r>
        <w:rPr>
          <w:rFonts w:ascii="Figtree" w:hAnsi="Figtree"/>
          <w:b w:val="0"/>
          <w:i w:val="0"/>
          <w:sz w:val="22"/>
        </w:rPr>
        <w:t>The Asset Console provides the web-based interface for operators, issuers, and compliance officers. The console supports asset management, compliance workflows, portfolio views, and system monitoring.</w:t>
      </w:r>
    </w:p>
    <w:p>
      <w:pPr>
        <w:pStyle w:val="H2"/>
        <w:numPr>
          <w:ilvl w:val="1"/>
          <w:numId w:val="1"/>
        </w:numPr>
      </w:pPr>
      <w:r>
        <w:t>6.3 Data Architecture</w:t>
      </w:r>
    </w:p>
    <w:p>
      <w:r>
        <w:rPr>
          <w:rFonts w:ascii="Figtree" w:hAnsi="Figtree"/>
          <w:b w:val="0"/>
          <w:i w:val="0"/>
          <w:sz w:val="22"/>
        </w:rPr>
        <w:t>DALP maintains four distinct data domains:</w:t>
      </w:r>
    </w:p>
    <w:p>
      <w:r>
        <w:rPr>
          <w:rFonts w:ascii="Figtree" w:hAnsi="Figtree"/>
          <w:b/>
          <w:i w:val="0"/>
          <w:sz w:val="22"/>
        </w:rPr>
        <w:t>Chain State:</w:t>
      </w:r>
      <w:r>
        <w:rPr>
          <w:rFonts w:ascii="Figtree" w:hAnsi="Figtree"/>
          <w:b w:val="0"/>
          <w:i w:val="0"/>
          <w:sz w:val="22"/>
        </w:rPr>
        <w:t xml:space="preserve"> The authoritative source of truth. Includes token balances, compliance configurations, identity records, and transaction history recorded on the blockchain. Chain state is immutable once confirmed.</w:t>
      </w:r>
    </w:p>
    <w:p>
      <w:r>
        <w:rPr>
          <w:rFonts w:ascii="Figtree" w:hAnsi="Figtree"/>
          <w:b/>
          <w:i w:val="0"/>
          <w:sz w:val="22"/>
        </w:rPr>
        <w:t>Application State:</w:t>
      </w:r>
      <w:r>
        <w:rPr>
          <w:rFonts w:ascii="Figtree" w:hAnsi="Figtree"/>
          <w:b w:val="0"/>
          <w:i w:val="0"/>
          <w:sz w:val="22"/>
        </w:rPr>
        <w:t xml:space="preserve"> The platform's operational state, including user accounts, organization memberships, API keys, and configuration. Managed through PostgreSQL with application-level encryption.</w:t>
      </w:r>
    </w:p>
    <w:p>
      <w:r>
        <w:rPr>
          <w:rFonts w:ascii="Figtree" w:hAnsi="Figtree"/>
          <w:b/>
          <w:i w:val="0"/>
          <w:sz w:val="22"/>
        </w:rPr>
        <w:t>Indexed/Analytical State:</w:t>
      </w:r>
      <w:r>
        <w:rPr>
          <w:rFonts w:ascii="Figtree" w:hAnsi="Figtree"/>
          <w:b w:val="0"/>
          <w:i w:val="0"/>
          <w:sz w:val="22"/>
        </w:rPr>
        <w:t xml:space="preserve"> Derived state constructed by processing blockchain events. The Chain Indexer reads on-chain events and populates queryable data structures optimized for read performance. Indexed state supports dashboards, searches, and reconciliation.</w:t>
      </w:r>
    </w:p>
    <w:p>
      <w:r>
        <w:rPr>
          <w:rFonts w:ascii="Figtree" w:hAnsi="Figtree"/>
          <w:b/>
          <w:i w:val="0"/>
          <w:sz w:val="22"/>
        </w:rPr>
        <w:t>Audit Evidence Model:</w:t>
      </w:r>
      <w:r>
        <w:rPr>
          <w:rFonts w:ascii="Figtree" w:hAnsi="Figtree"/>
          <w:b w:val="0"/>
          <w:i w:val="0"/>
          <w:sz w:val="22"/>
        </w:rPr>
        <w:t xml:space="preserve"> Structured logs capturing every platform action with sufficient context for regulatory evidence production. Logs include correlation identifiers linking related operations across components.</w:t>
      </w:r>
    </w:p>
    <w:p>
      <w:pPr>
        <w:pStyle w:val="H2"/>
        <w:numPr>
          <w:ilvl w:val="1"/>
          <w:numId w:val="1"/>
        </w:numPr>
      </w:pPr>
      <w:r>
        <w:t>6.4 Network and Chain Topology</w:t>
      </w:r>
    </w:p>
    <w:p>
      <w:r>
        <w:rPr>
          <w:rFonts w:ascii="Figtree" w:hAnsi="Figtree"/>
          <w:b w:val="0"/>
          <w:i w:val="0"/>
          <w:sz w:val="22"/>
        </w:rPr>
        <w:t>DALP supports operation across multiple blockchain networks:</w:t>
      </w:r>
    </w:p>
    <w:p>
      <w:r>
        <w:rPr>
          <w:rFonts w:ascii="Figtree" w:hAnsi="Figtree"/>
          <w:b/>
          <w:i w:val="0"/>
          <w:sz w:val="22"/>
        </w:rPr>
        <w:t>Private/Consortium Networks:</w:t>
      </w:r>
      <w:r>
        <w:rPr>
          <w:rFonts w:ascii="Figtree" w:hAnsi="Figtree"/>
          <w:b w:val="0"/>
          <w:i w:val="0"/>
          <w:sz w:val="22"/>
        </w:rPr>
        <w:t xml:space="preserve"> Recommended for ADGM. Hyperledger Besu with IBFT 2.0 or QBFT consensus provides a permissioned network with controlled participation, no public gas costs, and configurable privacy.</w:t>
      </w:r>
    </w:p>
    <w:p>
      <w:r>
        <w:rPr>
          <w:rFonts w:ascii="Figtree" w:hAnsi="Figtree"/>
          <w:b/>
          <w:i w:val="0"/>
          <w:sz w:val="22"/>
        </w:rPr>
        <w:t>Public Networks:</w:t>
      </w:r>
      <w:r>
        <w:rPr>
          <w:rFonts w:ascii="Figtree" w:hAnsi="Figtree"/>
          <w:b w:val="0"/>
          <w:i w:val="0"/>
          <w:sz w:val="22"/>
        </w:rPr>
        <w:t xml:space="preserve"> Ethereum, Polygon, Avalanche, and BNB Smart Chain are supported for scenarios requiring broader accessibility or integration with public DeFi ecosystems.</w:t>
      </w:r>
    </w:p>
    <w:p>
      <w:r>
        <w:rPr>
          <w:rFonts w:ascii="Figtree" w:hAnsi="Figtree"/>
          <w:b/>
          <w:i w:val="0"/>
          <w:sz w:val="22"/>
        </w:rPr>
        <w:t>Multi-Chain Operation:</w:t>
      </w:r>
      <w:r>
        <w:rPr>
          <w:rFonts w:ascii="Figtree" w:hAnsi="Figtree"/>
          <w:b w:val="0"/>
          <w:i w:val="0"/>
          <w:sz w:val="22"/>
        </w:rPr>
        <w:t xml:space="preserve"> DALP supports simultaneous operation across multiple chains with identity, compliance, and indexer isolation per chain.</w:t>
      </w:r>
    </w:p>
    <w:p>
      <w:r>
        <w:rPr>
          <w:rFonts w:ascii="Figtree" w:hAnsi="Figtree"/>
          <w:b w:val="0"/>
          <w:i w:val="0"/>
          <w:sz w:val="22"/>
        </w:rPr>
        <w:t>The recommended model for ADGM is a private Hyperledger Besu network with validator nodes operated by ADGM or its designated participants. This provides regulatory control over the network while enabling the performance and cost benefits of a permissioned chain.</w:t>
      </w:r>
    </w:p>
    <w:p>
      <w:pPr>
        <w:pStyle w:val="H2"/>
        <w:numPr>
          <w:ilvl w:val="1"/>
          <w:numId w:val="1"/>
        </w:numPr>
      </w:pPr>
      <w:r>
        <w:t>6.5 Multi-Tenancy and Environment Segregation</w:t>
      </w:r>
    </w:p>
    <w:p>
      <w:r>
        <w:rPr>
          <w:rFonts w:ascii="Figtree" w:hAnsi="Figtree"/>
          <w:b/>
          <w:i w:val="0"/>
          <w:sz w:val="22"/>
        </w:rPr>
        <w:t>Tenant Isolation:</w:t>
      </w:r>
      <w:r>
        <w:rPr>
          <w:rFonts w:ascii="Figtree" w:hAnsi="Figtree"/>
          <w:b w:val="0"/>
          <w:i w:val="0"/>
          <w:sz w:val="22"/>
        </w:rPr>
        <w:t xml:space="preserve"> DALP enforces tenant isolation at the database query level. Every API request is scoped to an organization. Cross-tenant operations are architecturally impossible.</w:t>
      </w:r>
    </w:p>
    <w:p>
      <w:r>
        <w:rPr>
          <w:rFonts w:ascii="Figtree" w:hAnsi="Figtree"/>
          <w:b/>
          <w:i w:val="0"/>
          <w:sz w:val="22"/>
        </w:rPr>
        <w:t>Environment Separation:</w:t>
      </w:r>
      <w:r>
        <w:rPr>
          <w:rFonts w:ascii="Figtree" w:hAnsi="Figtree"/>
          <w:b w:val="0"/>
          <w:i w:val="0"/>
          <w:sz w:val="22"/>
        </w:rPr>
        <w:t xml:space="preserve"> The platform supports multiple environments (development, staging, production) with strict separation. Each environment has its own database, blockchain network, and identity realm. Configuration promotion follows controlled workflows with approval gates.</w:t>
      </w:r>
    </w:p>
    <w:p>
      <w:r>
        <w:rPr>
          <w:rFonts w:ascii="Figtree" w:hAnsi="Figtree"/>
          <w:b/>
          <w:i w:val="0"/>
          <w:sz w:val="22"/>
        </w:rPr>
        <w:t>Governance Boundaries:</w:t>
      </w:r>
      <w:r>
        <w:rPr>
          <w:rFonts w:ascii="Figtree" w:hAnsi="Figtree"/>
          <w:b w:val="0"/>
          <w:i w:val="0"/>
          <w:sz w:val="22"/>
        </w:rPr>
        <w:t xml:space="preserve"> On-chain roles define governance boundaries. System-level roles (managing multiple assets) are separated from asset-level roles (managing single assets). Role assignments follow maker-checker workflows.</w:t>
      </w:r>
    </w:p>
    <w:p>
      <w:pPr>
        <w:pStyle w:val="H2"/>
        <w:numPr>
          <w:ilvl w:val="1"/>
          <w:numId w:val="1"/>
        </w:numPr>
      </w:pPr>
      <w:r>
        <w:t>6.6 Operational Architecture</w:t>
      </w:r>
    </w:p>
    <w:p>
      <w:r>
        <w:rPr>
          <w:rFonts w:ascii="Figtree" w:hAnsi="Figtree"/>
          <w:b/>
          <w:i w:val="0"/>
          <w:sz w:val="22"/>
        </w:rPr>
        <w:t>Execution Reliability:</w:t>
      </w:r>
      <w:r>
        <w:rPr>
          <w:rFonts w:ascii="Figtree" w:hAnsi="Figtree"/>
          <w:b w:val="0"/>
          <w:i w:val="0"/>
          <w:sz w:val="22"/>
        </w:rPr>
        <w:t xml:space="preserve"> The Execution Engine (Restate) provides durable workflow execution. Workflows persist their state to PostgreSQL at every phase. If a process crashes, the workflow resumes from the last persisted state.</w:t>
      </w:r>
    </w:p>
    <w:p>
      <w:r>
        <w:rPr>
          <w:rFonts w:ascii="Figtree" w:hAnsi="Figtree"/>
          <w:b/>
          <w:i w:val="0"/>
          <w:sz w:val="22"/>
        </w:rPr>
        <w:t>Workflow Durability:</w:t>
      </w:r>
      <w:r>
        <w:rPr>
          <w:rFonts w:ascii="Figtree" w:hAnsi="Figtree"/>
          <w:b w:val="0"/>
          <w:i w:val="0"/>
          <w:sz w:val="22"/>
        </w:rPr>
        <w:t xml:space="preserve"> Every critical operation—asset deployment, transfer, settlement, corporate action—runs as a workflow. Workflows have explicit phases, timeout handling, and retry logic. Failed workflows expose recovery surfaces for operator intervention.</w:t>
      </w:r>
    </w:p>
    <w:p>
      <w:r>
        <w:rPr>
          <w:rFonts w:ascii="Figtree" w:hAnsi="Figtree"/>
          <w:b/>
          <w:i w:val="0"/>
          <w:sz w:val="22"/>
        </w:rPr>
        <w:t>Transaction Lifecycle:</w:t>
      </w:r>
      <w:r>
        <w:rPr>
          <w:rFonts w:ascii="Figtree" w:hAnsi="Figtree"/>
          <w:b w:val="0"/>
          <w:i w:val="0"/>
          <w:sz w:val="22"/>
        </w:rPr>
        <w:t xml:space="preserve"> Transaction management includes: prepare (build transaction), estimate (calculate gas), sign ( custody provider or local signer), submit (broadcast to network), confirm (wait for confirmations), and record (update indexed state). Each phase is logged.</w:t>
      </w:r>
    </w:p>
    <w:p>
      <w:r>
        <w:rPr>
          <w:rFonts w:ascii="Figtree" w:hAnsi="Figtree"/>
          <w:b/>
          <w:i w:val="0"/>
          <w:sz w:val="22"/>
        </w:rPr>
        <w:t>Indexer/Read-Model Behavior:</w:t>
      </w:r>
      <w:r>
        <w:rPr>
          <w:rFonts w:ascii="Figtree" w:hAnsi="Figtree"/>
          <w:b w:val="0"/>
          <w:i w:val="0"/>
          <w:sz w:val="22"/>
        </w:rPr>
        <w:t xml:space="preserve"> The Chain Indexer processes blocks in order, extracting events and constructing indexed state. Indexer lag is monitored and surfaced to operators. The console compensates for indexer lag by deriving effective status from both indexed and on-chain sources.</w:t>
      </w:r>
    </w:p>
    <w:p>
      <w:r>
        <w:br w:type="page"/>
      </w:r>
    </w:p>
    <w:p>
      <w:pPr>
        <w:pStyle w:val="H1"/>
        <w:numPr>
          <w:ilvl w:val="0"/>
          <w:numId w:val="1"/>
        </w:numPr>
      </w:pPr>
      <w:r>
        <w:t>7. Security Architecture</w:t>
      </w:r>
    </w:p>
    <w:p>
      <w:pPr>
        <w:pStyle w:val="H2"/>
        <w:numPr>
          <w:ilvl w:val="1"/>
          <w:numId w:val="1"/>
        </w:numPr>
      </w:pPr>
      <w:r>
        <w:t>7.1 Security Model Overview</w:t>
      </w:r>
    </w:p>
    <w:p>
      <w:r>
        <w:rPr>
          <w:rFonts w:ascii="Figtree" w:hAnsi="Figtree"/>
          <w:b w:val="0"/>
          <w:i w:val="0"/>
          <w:sz w:val="22"/>
        </w:rPr>
        <w:t>DALP implements defense-in-depth across five independent control layers:</w:t>
      </w:r>
    </w:p>
    <w:p>
      <w:pPr>
        <w:jc w:val="center"/>
      </w:pPr>
      <w:r>
        <w:drawing>
          <wp:inline xmlns:a="http://schemas.openxmlformats.org/drawingml/2006/main" xmlns:pic="http://schemas.openxmlformats.org/drawingml/2006/picture">
            <wp:extent cx="2352675" cy="5486400"/>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2352675" cy="5486400"/>
                    </a:xfrm>
                    <a:prstGeom prst="rect"/>
                  </pic:spPr>
                </pic:pic>
              </a:graphicData>
            </a:graphic>
          </wp:inline>
        </w:drawing>
      </w:r>
    </w:p>
    <w:p>
      <w:r>
        <w:rPr>
          <w:rFonts w:ascii="Figtree" w:hAnsi="Figtree"/>
          <w:b w:val="0"/>
          <w:i w:val="0"/>
          <w:sz w:val="22"/>
        </w:rPr>
        <w:t>No single layer failure grants unauthorized access. Compromised credentials are blocked by wallet verification. Bypassed API authorization is blocked by on-chain compliance. Custody provider policies provide the final gate before any transaction reaches the blockchain.</w:t>
      </w:r>
    </w:p>
    <w:p>
      <w:pPr>
        <w:pStyle w:val="H2"/>
        <w:numPr>
          <w:ilvl w:val="1"/>
          <w:numId w:val="1"/>
        </w:numPr>
      </w:pPr>
      <w:r>
        <w:t>7.2 Authentication and Access Control</w:t>
      </w:r>
    </w:p>
    <w:p>
      <w:r>
        <w:rPr>
          <w:rFonts w:ascii="Figtree" w:hAnsi="Figtree"/>
          <w:b/>
          <w:i w:val="0"/>
          <w:sz w:val="22"/>
        </w:rPr>
        <w:t>Session vs API Auth Boundary:</w:t>
      </w:r>
      <w:r>
        <w:rPr>
          <w:rFonts w:ascii="Figtree" w:hAnsi="Figtree"/>
          <w:b w:val="0"/>
          <w:i w:val="0"/>
          <w:sz w:val="22"/>
        </w:rPr>
        <w:t xml:space="preserve"> Session authentication (browser-based) uses HTTP-only cookies with Secure and SameSite flags. API authentication uses scoped API keys. Both methods are tracked in audit logs.</w:t>
      </w:r>
    </w:p>
    <w:p>
      <w:r>
        <w:rPr>
          <w:rFonts w:ascii="Figtree" w:hAnsi="Figtree"/>
          <w:b/>
          <w:i w:val="0"/>
          <w:sz w:val="22"/>
        </w:rPr>
        <w:t>RBAC Implementation:</w:t>
      </w:r>
      <w:r>
        <w:rPr>
          <w:rFonts w:ascii="Figtree" w:hAnsi="Figtree"/>
          <w:b w:val="0"/>
          <w:i w:val="0"/>
          <w:sz w:val="22"/>
        </w:rPr>
        <w:t xml:space="preserve"> Role-based access control operates at two layers. Off-chain RBAC (Better Auth) manages platform access—users, sessions, and organization membership. On-chain RBAC (AccessManager contracts) manages blockchain operations—token transfers, configuration changes, and compliance overrides. Both layers must authorize an operation.</w:t>
      </w:r>
    </w:p>
    <w:p>
      <w:r>
        <w:rPr>
          <w:rFonts w:ascii="Figtree" w:hAnsi="Figtree"/>
          <w:b/>
          <w:i w:val="0"/>
          <w:sz w:val="22"/>
        </w:rPr>
        <w:t>Verification Gates:</w:t>
      </w:r>
      <w:r>
        <w:rPr>
          <w:rFonts w:ascii="Figtree" w:hAnsi="Figtree"/>
          <w:b w:val="0"/>
          <w:i w:val="0"/>
          <w:sz w:val="22"/>
        </w:rPr>
        <w:t xml:space="preserve"> Blockchain write operations require wallet verification as a second factor. Users must prove wallet control through PIN, TOTP, backup codes, or passkey before any on-chain transaction executes.</w:t>
      </w:r>
    </w:p>
    <w:p>
      <w:r>
        <w:rPr>
          <w:rFonts w:ascii="Figtree" w:hAnsi="Figtree"/>
          <w:b/>
          <w:i w:val="0"/>
          <w:sz w:val="22"/>
        </w:rPr>
        <w:t>Separation of Duties:</w:t>
      </w:r>
      <w:r>
        <w:rPr>
          <w:rFonts w:ascii="Figtree" w:hAnsi="Figtree"/>
          <w:b w:val="0"/>
          <w:i w:val="0"/>
          <w:sz w:val="22"/>
        </w:rPr>
        <w:t xml:space="preserve"> Different roles control different functions. The complianceManager role cannot transfer tokens. The custodian role can execute forced transfers but cannot change compliance rules. The governance role controls role assignments. This separation ensures no single compromised account can subvert controls.</w:t>
      </w:r>
    </w:p>
    <w:p>
      <w:pPr>
        <w:pStyle w:val="H2"/>
        <w:numPr>
          <w:ilvl w:val="1"/>
          <w:numId w:val="1"/>
        </w:numPr>
      </w:pPr>
      <w:r>
        <w:t>7.3 Key Management and Custody Integration</w:t>
      </w:r>
    </w:p>
    <w:p>
      <w:r>
        <w:rPr>
          <w:rFonts w:ascii="Figtree" w:hAnsi="Figtree"/>
          <w:b/>
          <w:i w:val="0"/>
          <w:sz w:val="22"/>
        </w:rPr>
        <w:t>Key Guardian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88"/>
        <w:gridCol w:w="3136"/>
        <w:gridCol w:w="324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Storage 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Protection Level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r>
      <w:tr>
        <w:trPr>
          <w:trHeight w:val="425" w:hRule="atLeast"/>
        </w:trPr>
        <w:tc>
          <w:tcPr>
            <w:tcW w:type="dxa" w:w="3249"/>
            <w:vAlign w:val="center"/>
          </w:tcPr>
          <w:p>
            <w:pPr>
              <w:spacing w:line="276" w:lineRule="auto" w:before="0" w:after="0"/>
            </w:pPr>
            <w:r/>
            <w:r>
              <w:rPr>
                <w:rFonts w:ascii="Figtree" w:hAnsi="Figtree"/>
                <w:b w:val="0"/>
                <w:i w:val="0"/>
                <w:sz w:val="20"/>
              </w:rPr>
              <w:t>Encrypted database</w:t>
            </w:r>
          </w:p>
        </w:tc>
        <w:tc>
          <w:tcPr>
            <w:tcW w:type="dxa" w:w="3249"/>
            <w:vAlign w:val="center"/>
          </w:tcPr>
          <w:p>
            <w:pPr>
              <w:spacing w:line="276" w:lineRule="auto" w:before="0" w:after="0"/>
            </w:pPr>
            <w:r/>
            <w:r>
              <w:rPr>
                <w:rFonts w:ascii="Figtree" w:hAnsi="Figtree"/>
                <w:b w:val="0"/>
                <w:i w:val="0"/>
                <w:sz w:val="20"/>
              </w:rPr>
              <w:t>Application-level encryption</w:t>
            </w:r>
          </w:p>
        </w:tc>
        <w:tc>
          <w:tcPr>
            <w:tcW w:type="dxa" w:w="3249"/>
            <w:vAlign w:val="center"/>
          </w:tcPr>
          <w:p>
            <w:pPr>
              <w:spacing w:line="276" w:lineRule="auto" w:before="0" w:after="0"/>
            </w:pPr>
            <w:r/>
            <w:r>
              <w:rPr>
                <w:rFonts w:ascii="Figtree" w:hAnsi="Figtree"/>
                <w:b w:val="0"/>
                <w:i w:val="0"/>
                <w:sz w:val="20"/>
              </w:rPr>
              <w:t>Development and PoC</w:t>
            </w:r>
          </w:p>
        </w:tc>
      </w:tr>
      <w:tr>
        <w:trPr>
          <w:trHeight w:val="425" w:hRule="atLeast"/>
        </w:trPr>
        <w:tc>
          <w:tcPr>
            <w:tcW w:type="dxa" w:w="3249"/>
            <w:vAlign w:val="center"/>
          </w:tcPr>
          <w:p>
            <w:pPr>
              <w:spacing w:line="276" w:lineRule="auto" w:before="0" w:after="0"/>
            </w:pPr>
            <w:r/>
            <w:r>
              <w:rPr>
                <w:rFonts w:ascii="Figtree" w:hAnsi="Figtree"/>
                <w:b w:val="0"/>
                <w:i w:val="0"/>
                <w:sz w:val="20"/>
              </w:rPr>
              <w:t>Cloud secret manager</w:t>
            </w:r>
          </w:p>
        </w:tc>
        <w:tc>
          <w:tcPr>
            <w:tcW w:type="dxa" w:w="3249"/>
            <w:vAlign w:val="center"/>
          </w:tcPr>
          <w:p>
            <w:pPr>
              <w:spacing w:line="276" w:lineRule="auto" w:before="0" w:after="0"/>
            </w:pPr>
            <w:r/>
            <w:r>
              <w:rPr>
                <w:rFonts w:ascii="Figtree" w:hAnsi="Figtree"/>
                <w:b w:val="0"/>
                <w:i w:val="0"/>
                <w:sz w:val="20"/>
              </w:rPr>
              <w:t>Platform-managed encryption</w:t>
            </w:r>
          </w:p>
        </w:tc>
        <w:tc>
          <w:tcPr>
            <w:tcW w:type="dxa" w:w="3249"/>
            <w:vAlign w:val="center"/>
          </w:tcPr>
          <w:p>
            <w:pPr>
              <w:spacing w:line="276" w:lineRule="auto" w:before="0" w:after="0"/>
            </w:pPr>
            <w:r/>
            <w:r>
              <w:rPr>
                <w:rFonts w:ascii="Figtree" w:hAnsi="Figtree"/>
                <w:b w:val="0"/>
                <w:i w:val="0"/>
                <w:sz w:val="20"/>
              </w:rPr>
              <w:t>Standard production</w:t>
            </w:r>
          </w:p>
        </w:tc>
      </w:tr>
      <w:tr>
        <w:trPr>
          <w:trHeight w:val="425" w:hRule="atLeast"/>
        </w:trPr>
        <w:tc>
          <w:tcPr>
            <w:tcW w:type="dxa" w:w="3249"/>
            <w:vAlign w:val="center"/>
          </w:tcPr>
          <w:p>
            <w:pPr>
              <w:spacing w:line="276" w:lineRule="auto" w:before="0" w:after="0"/>
            </w:pPr>
            <w:r/>
            <w:r>
              <w:rPr>
                <w:rFonts w:ascii="Figtree" w:hAnsi="Figtree"/>
                <w:b w:val="0"/>
                <w:i w:val="0"/>
                <w:sz w:val="20"/>
              </w:rPr>
              <w:t>Hardware Security Module</w:t>
            </w:r>
          </w:p>
        </w:tc>
        <w:tc>
          <w:tcPr>
            <w:tcW w:type="dxa" w:w="3249"/>
            <w:vAlign w:val="center"/>
          </w:tcPr>
          <w:p>
            <w:pPr>
              <w:spacing w:line="276" w:lineRule="auto" w:before="0" w:after="0"/>
            </w:pPr>
            <w:r/>
            <w:r>
              <w:rPr>
                <w:rFonts w:ascii="Figtree" w:hAnsi="Figtree"/>
                <w:b w:val="0"/>
                <w:i w:val="0"/>
                <w:sz w:val="20"/>
              </w:rPr>
              <w:t>FIPS 140-2 Level 3</w:t>
            </w:r>
          </w:p>
        </w:tc>
        <w:tc>
          <w:tcPr>
            <w:tcW w:type="dxa" w:w="3249"/>
            <w:vAlign w:val="center"/>
          </w:tcPr>
          <w:p>
            <w:pPr>
              <w:spacing w:line="276" w:lineRule="auto" w:before="0" w:after="0"/>
            </w:pPr>
            <w:r/>
            <w:r>
              <w:rPr>
                <w:rFonts w:ascii="Figtree" w:hAnsi="Figtree"/>
                <w:b w:val="0"/>
                <w:i w:val="0"/>
                <w:sz w:val="20"/>
              </w:rPr>
              <w:t>Regulated financial services</w:t>
            </w:r>
          </w:p>
        </w:tc>
      </w:tr>
      <w:tr>
        <w:trPr>
          <w:trHeight w:val="425" w:hRule="atLeast"/>
        </w:trPr>
        <w:tc>
          <w:tcPr>
            <w:tcW w:type="dxa" w:w="3249"/>
            <w:vAlign w:val="center"/>
          </w:tcPr>
          <w:p>
            <w:pPr>
              <w:spacing w:line="276" w:lineRule="auto" w:before="0" w:after="0"/>
            </w:pPr>
            <w:r/>
            <w:r>
              <w:rPr>
                <w:rFonts w:ascii="Figtree" w:hAnsi="Figtree"/>
                <w:b w:val="0"/>
                <w:i w:val="0"/>
                <w:sz w:val="20"/>
              </w:rPr>
              <w:t>Third-party MPC</w:t>
            </w:r>
          </w:p>
        </w:tc>
        <w:tc>
          <w:tcPr>
            <w:tcW w:type="dxa" w:w="3249"/>
            <w:vAlign w:val="center"/>
          </w:tcPr>
          <w:p>
            <w:pPr>
              <w:spacing w:line="276" w:lineRule="auto" w:before="0" w:after="0"/>
            </w:pPr>
            <w:r/>
            <w:r>
              <w:rPr>
                <w:rFonts w:ascii="Figtree" w:hAnsi="Figtree"/>
                <w:b w:val="0"/>
                <w:i w:val="0"/>
                <w:sz w:val="20"/>
              </w:rPr>
              <w:t>Delegated institutional MPC</w:t>
            </w:r>
          </w:p>
        </w:tc>
        <w:tc>
          <w:tcPr>
            <w:tcW w:type="dxa" w:w="3249"/>
            <w:vAlign w:val="center"/>
          </w:tcPr>
          <w:p>
            <w:pPr>
              <w:spacing w:line="276" w:lineRule="auto" w:before="0" w:after="0"/>
            </w:pPr>
            <w:r/>
            <w:r>
              <w:rPr>
                <w:rFonts w:ascii="Figtree" w:hAnsi="Figtree"/>
                <w:b w:val="0"/>
                <w:i w:val="0"/>
                <w:sz w:val="20"/>
              </w:rPr>
              <w:t>Highest security requirements</w:t>
            </w:r>
          </w:p>
        </w:tc>
      </w:tr>
    </w:tbl>
    <w:p>
      <w:pPr>
        <w:spacing w:before="0" w:after="0" w:line="120" w:lineRule="exact"/>
      </w:pPr>
    </w:p>
    <w:p>
      <w:r>
        <w:rPr>
          <w:rFonts w:ascii="Figtree" w:hAnsi="Figtree"/>
          <w:b/>
          <w:i w:val="0"/>
          <w:sz w:val="22"/>
        </w:rPr>
        <w:t>DFNS/Fireblocks Patterns:</w:t>
      </w:r>
      <w:r>
        <w:rPr>
          <w:rFonts w:ascii="Figtree" w:hAnsi="Figtree"/>
          <w:b w:val="0"/>
          <w:i w:val="0"/>
          <w:sz w:val="22"/>
        </w:rPr>
        <w:t xml:space="preserve"> Both providers implement threshold MPC where no single private key exists in one place. DALP's unified signer abstraction makes them interchangeable through configuration. DFNS provides API-driven policy enforcement. Fireblocks provides TAP (Transaction Authorization Policy) with amount thresholds and multi-approver requirements.</w:t>
      </w:r>
    </w:p>
    <w:p>
      <w:r>
        <w:rPr>
          <w:rFonts w:ascii="Figtree" w:hAnsi="Figtree"/>
          <w:b/>
          <w:i w:val="0"/>
          <w:sz w:val="22"/>
        </w:rPr>
        <w:t>Maker-Checker:</w:t>
      </w:r>
      <w:r>
        <w:rPr>
          <w:rFonts w:ascii="Figtree" w:hAnsi="Figtree"/>
          <w:b w:val="0"/>
          <w:i w:val="0"/>
          <w:sz w:val="22"/>
        </w:rPr>
        <w:t xml:space="preserve"> Key operations follow maker-checker workflows. Signing key generation requires approval. Configuration changes require dual authorization. The maker-checker pattern is implemented through the platform's role and approval workflows.</w:t>
      </w:r>
    </w:p>
    <w:p>
      <w:pPr>
        <w:pStyle w:val="H2"/>
        <w:numPr>
          <w:ilvl w:val="1"/>
          <w:numId w:val="1"/>
        </w:numPr>
      </w:pPr>
      <w:r>
        <w:t>7.4 Data Protection and Encryption</w:t>
      </w:r>
    </w:p>
    <w:p>
      <w:r>
        <w:rPr>
          <w:rFonts w:ascii="Figtree" w:hAnsi="Figtree"/>
          <w:b/>
          <w:i w:val="0"/>
          <w:sz w:val="22"/>
        </w:rPr>
        <w:t>Encryption at Rest:</w:t>
      </w:r>
      <w:r>
        <w:rPr>
          <w:rFonts w:ascii="Figtree" w:hAnsi="Figtree"/>
          <w:b w:val="0"/>
          <w:i w:val="0"/>
          <w:sz w:val="22"/>
        </w:rPr>
        <w:t xml:space="preserve"> Database-managed keys are encrypted at application level. Cloud secret manager backends provide platform-managed encryption. HSM-backed keys never leave the hardware boundary.</w:t>
      </w:r>
    </w:p>
    <w:p>
      <w:r>
        <w:rPr>
          <w:rFonts w:ascii="Figtree" w:hAnsi="Figtree"/>
          <w:b/>
          <w:i w:val="0"/>
          <w:sz w:val="22"/>
        </w:rPr>
        <w:t>Encryption in Transit:</w:t>
      </w:r>
      <w:r>
        <w:rPr>
          <w:rFonts w:ascii="Figtree" w:hAnsi="Figtree"/>
          <w:b w:val="0"/>
          <w:i w:val="0"/>
          <w:sz w:val="22"/>
        </w:rPr>
        <w:t xml:space="preserve"> All API communication uses TLS. Inter-service communication within Kubernetes uses cluster-internal networking. Session cookies carry the Secure flag.</w:t>
      </w:r>
    </w:p>
    <w:p>
      <w:r>
        <w:rPr>
          <w:rFonts w:ascii="Figtree" w:hAnsi="Figtree"/>
          <w:b/>
          <w:i w:val="0"/>
          <w:sz w:val="22"/>
        </w:rPr>
        <w:t>Field-Level Secrets Handling:</w:t>
      </w:r>
      <w:r>
        <w:rPr>
          <w:rFonts w:ascii="Figtree" w:hAnsi="Figtree"/>
          <w:b w:val="0"/>
          <w:i w:val="0"/>
          <w:sz w:val="22"/>
        </w:rPr>
        <w:t xml:space="preserve"> API keys are hashed in the database; cleartext shows once at creation and never stored. Wallet verification credentials (PINs, TOTP secrets, backup codes) are stored with cryptographic protections.</w:t>
      </w:r>
    </w:p>
    <w:p>
      <w:pPr>
        <w:pStyle w:val="H2"/>
        <w:numPr>
          <w:ilvl w:val="1"/>
          <w:numId w:val="1"/>
        </w:numPr>
      </w:pPr>
      <w:r>
        <w:t>7.5 Compliance Controls and Auditability</w:t>
      </w:r>
    </w:p>
    <w:p>
      <w:r>
        <w:rPr>
          <w:rFonts w:ascii="Figtree" w:hAnsi="Figtree"/>
          <w:b/>
          <w:i w:val="0"/>
          <w:sz w:val="22"/>
        </w:rPr>
        <w:t>Immutable Evidence:</w:t>
      </w:r>
      <w:r>
        <w:rPr>
          <w:rFonts w:ascii="Figtree" w:hAnsi="Figtree"/>
          <w:b w:val="0"/>
          <w:i w:val="0"/>
          <w:sz w:val="22"/>
        </w:rPr>
        <w:t xml:space="preserve"> Every platform action generates structured audit logs with correlation identifiers. Logs are tamper-evident through write-once storage patterns. Log integrity can be verified cryptographically.</w:t>
      </w:r>
    </w:p>
    <w:p>
      <w:r>
        <w:rPr>
          <w:rFonts w:ascii="Figtree" w:hAnsi="Figtree"/>
          <w:b/>
          <w:i w:val="0"/>
          <w:sz w:val="22"/>
        </w:rPr>
        <w:t>Event Logs:</w:t>
      </w:r>
      <w:r>
        <w:rPr>
          <w:rFonts w:ascii="Figtree" w:hAnsi="Figtree"/>
          <w:b w:val="0"/>
          <w:i w:val="0"/>
          <w:sz w:val="22"/>
        </w:rPr>
        <w:t xml:space="preserve"> Authentication events, authorization decisions, configuration changes, and blockchain transactions are all logged. Each log entry includes timestamp, actor, action, resource, and outcome.</w:t>
      </w:r>
    </w:p>
    <w:p>
      <w:r>
        <w:rPr>
          <w:rFonts w:ascii="Figtree" w:hAnsi="Figtree"/>
          <w:b/>
          <w:i w:val="0"/>
          <w:sz w:val="22"/>
        </w:rPr>
        <w:t>SIEM Compatibility:</w:t>
      </w:r>
      <w:r>
        <w:rPr>
          <w:rFonts w:ascii="Figtree" w:hAnsi="Figtree"/>
          <w:b w:val="0"/>
          <w:i w:val="0"/>
          <w:sz w:val="22"/>
        </w:rPr>
        <w:t xml:space="preserve"> Structured logs export to SIEM systems through OTLP integration. Dashboard visualizations support security operations center workflows.</w:t>
      </w:r>
    </w:p>
    <w:p>
      <w:pPr>
        <w:pStyle w:val="H2"/>
        <w:numPr>
          <w:ilvl w:val="1"/>
          <w:numId w:val="1"/>
        </w:numPr>
      </w:pPr>
      <w:r>
        <w:t>7.6 Testing and Assurance</w:t>
      </w:r>
    </w:p>
    <w:p>
      <w:r>
        <w:rPr>
          <w:rFonts w:ascii="Figtree" w:hAnsi="Figtree"/>
          <w:b/>
          <w:i w:val="0"/>
          <w:sz w:val="22"/>
        </w:rPr>
        <w:t>Penetration Testing:</w:t>
      </w:r>
      <w:r>
        <w:rPr>
          <w:rFonts w:ascii="Figtree" w:hAnsi="Figtree"/>
          <w:b w:val="0"/>
          <w:i w:val="0"/>
          <w:sz w:val="22"/>
        </w:rPr>
        <w:t xml:space="preserve"> Regular penetration testing is conducted by independent third parties. Findings are classified by severity and remediated according to risk management procedures.</w:t>
      </w:r>
    </w:p>
    <w:p>
      <w:r>
        <w:rPr>
          <w:rFonts w:ascii="Figtree" w:hAnsi="Figtree"/>
          <w:b/>
          <w:i w:val="0"/>
          <w:sz w:val="22"/>
        </w:rPr>
        <w:t>Vulnerability Management:</w:t>
      </w:r>
      <w:r>
        <w:rPr>
          <w:rFonts w:ascii="Figtree" w:hAnsi="Figtree"/>
          <w:b w:val="0"/>
          <w:i w:val="0"/>
          <w:sz w:val="22"/>
        </w:rPr>
        <w:t xml:space="preserve"> The platform incorporates multiple layers of vulnerability prevention: rate limiting (API keys and wallet verification), input validation (Zod schemas), path traversal protection, and HMAC-signed presigned URLs.</w:t>
      </w:r>
    </w:p>
    <w:p>
      <w:r>
        <w:rPr>
          <w:rFonts w:ascii="Figtree" w:hAnsi="Figtree"/>
          <w:b/>
          <w:i w:val="0"/>
          <w:sz w:val="22"/>
        </w:rPr>
        <w:t>Evidence Sharing:</w:t>
      </w:r>
      <w:r>
        <w:rPr>
          <w:rFonts w:ascii="Figtree" w:hAnsi="Figtree"/>
          <w:b w:val="0"/>
          <w:i w:val="0"/>
          <w:sz w:val="22"/>
        </w:rPr>
        <w:t xml:space="preserve"> Audit reports and security assessments are shared with clients under NDA as part of vendor due diligence processes.</w:t>
      </w:r>
    </w:p>
    <w:p>
      <w:pPr>
        <w:pStyle w:val="H2"/>
        <w:numPr>
          <w:ilvl w:val="1"/>
          <w:numId w:val="1"/>
        </w:numPr>
      </w:pPr>
      <w:r>
        <w:t>7.7 Security 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65"/>
        <w:gridCol w:w="2245"/>
        <w:gridCol w:w="2335"/>
        <w:gridCol w:w="242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 Responsibility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Client Responsibility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Shared Notes</w:t>
            </w:r>
          </w:p>
        </w:tc>
      </w:tr>
      <w:tr>
        <w:trPr>
          <w:trHeight w:val="425" w:hRule="atLeast"/>
        </w:trPr>
        <w:tc>
          <w:tcPr>
            <w:tcW w:type="dxa" w:w="2436"/>
            <w:vAlign w:val="center"/>
          </w:tcPr>
          <w:p>
            <w:pPr>
              <w:spacing w:line="276" w:lineRule="auto" w:before="0" w:after="0"/>
            </w:pPr>
            <w:r/>
            <w:r>
              <w:rPr>
                <w:rFonts w:ascii="Figtree" w:hAnsi="Figtree"/>
                <w:b w:val="0"/>
                <w:i w:val="0"/>
                <w:sz w:val="20"/>
              </w:rPr>
              <w:t>Platform security</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ISO 27001/SOC 2 certified</w:t>
            </w:r>
          </w:p>
        </w:tc>
      </w:tr>
      <w:tr>
        <w:trPr>
          <w:trHeight w:val="425" w:hRule="atLeast"/>
        </w:trPr>
        <w:tc>
          <w:tcPr>
            <w:tcW w:type="dxa" w:w="2436"/>
            <w:vAlign w:val="center"/>
          </w:tcPr>
          <w:p>
            <w:pPr>
              <w:spacing w:line="276" w:lineRule="auto" w:before="0" w:after="0"/>
            </w:pPr>
            <w:r/>
            <w:r>
              <w:rPr>
                <w:rFonts w:ascii="Figtree" w:hAnsi="Figtree"/>
                <w:b w:val="0"/>
                <w:i w:val="0"/>
                <w:sz w:val="20"/>
              </w:rPr>
              <w:t>Infrastructure security</w:t>
            </w:r>
          </w:p>
        </w:tc>
        <w:tc>
          <w:tcPr>
            <w:tcW w:type="dxa" w:w="2436"/>
            <w:vAlign w:val="center"/>
          </w:tcPr>
          <w:p>
            <w:pPr>
              <w:spacing w:line="276" w:lineRule="auto" w:before="0" w:after="0"/>
            </w:pPr>
            <w:r/>
            <w:r>
              <w:rPr>
                <w:rFonts w:ascii="Figtree" w:hAnsi="Figtree"/>
                <w:b w:val="0"/>
                <w:i w:val="0"/>
                <w:sz w:val="20"/>
              </w:rPr>
              <w:t>Configuration guidance</w:t>
            </w:r>
          </w:p>
        </w:tc>
        <w:tc>
          <w:tcPr>
            <w:tcW w:type="dxa" w:w="2436"/>
            <w:vAlign w:val="center"/>
          </w:tcPr>
          <w:p>
            <w:pPr>
              <w:spacing w:line="276" w:lineRule="auto" w:before="0" w:after="0"/>
            </w:pPr>
            <w:r/>
            <w:r>
              <w:rPr>
                <w:rFonts w:ascii="Figtree" w:hAnsi="Figtree"/>
                <w:b w:val="0"/>
                <w:i w:val="0"/>
                <w:sz w:val="20"/>
              </w:rPr>
              <w:t>Implementation</w:t>
            </w:r>
          </w:p>
        </w:tc>
        <w:tc>
          <w:tcPr>
            <w:tcW w:type="dxa" w:w="2436"/>
            <w:vAlign w:val="center"/>
          </w:tcPr>
          <w:p>
            <w:pPr>
              <w:spacing w:line="276" w:lineRule="auto" w:before="0" w:after="0"/>
            </w:pPr>
            <w:r/>
            <w:r>
              <w:rPr>
                <w:rFonts w:ascii="Figtree" w:hAnsi="Figtree"/>
                <w:b w:val="0"/>
                <w:i w:val="0"/>
                <w:sz w:val="20"/>
              </w:rPr>
              <w:t>Cloud-native security</w:t>
            </w:r>
          </w:p>
        </w:tc>
      </w:tr>
      <w:tr>
        <w:trPr>
          <w:trHeight w:val="425" w:hRule="atLeast"/>
        </w:trPr>
        <w:tc>
          <w:tcPr>
            <w:tcW w:type="dxa" w:w="2436"/>
            <w:vAlign w:val="center"/>
          </w:tcPr>
          <w:p>
            <w:pPr>
              <w:spacing w:line="276" w:lineRule="auto" w:before="0" w:after="0"/>
            </w:pPr>
            <w:r/>
            <w:r>
              <w:rPr>
                <w:rFonts w:ascii="Figtree" w:hAnsi="Figtree"/>
                <w:b w:val="0"/>
                <w:i w:val="0"/>
                <w:sz w:val="20"/>
              </w:rPr>
              <w:t>Key management</w:t>
            </w:r>
          </w:p>
        </w:tc>
        <w:tc>
          <w:tcPr>
            <w:tcW w:type="dxa" w:w="2436"/>
            <w:vAlign w:val="center"/>
          </w:tcPr>
          <w:p>
            <w:pPr>
              <w:spacing w:line="276" w:lineRule="auto" w:before="0" w:after="0"/>
            </w:pPr>
            <w:r/>
            <w:r>
              <w:rPr>
                <w:rFonts w:ascii="Figtree" w:hAnsi="Figtree"/>
                <w:b w:val="0"/>
                <w:i w:val="0"/>
                <w:sz w:val="20"/>
              </w:rPr>
              <w:t>Key Guardian service</w:t>
            </w:r>
          </w:p>
        </w:tc>
        <w:tc>
          <w:tcPr>
            <w:tcW w:type="dxa" w:w="2436"/>
            <w:vAlign w:val="center"/>
          </w:tcPr>
          <w:p>
            <w:pPr>
              <w:spacing w:line="276" w:lineRule="auto" w:before="0" w:after="0"/>
            </w:pPr>
            <w:r/>
            <w:r>
              <w:rPr>
                <w:rFonts w:ascii="Figtree" w:hAnsi="Figtree"/>
                <w:b w:val="0"/>
                <w:i w:val="0"/>
                <w:sz w:val="20"/>
              </w:rPr>
              <w:t>Key material ownership</w:t>
            </w:r>
          </w:p>
        </w:tc>
        <w:tc>
          <w:tcPr>
            <w:tcW w:type="dxa" w:w="2436"/>
            <w:vAlign w:val="center"/>
          </w:tcPr>
          <w:p>
            <w:pPr>
              <w:spacing w:line="276" w:lineRule="auto" w:before="0" w:after="0"/>
            </w:pPr>
            <w:r/>
            <w:r>
              <w:rPr>
                <w:rFonts w:ascii="Figtree" w:hAnsi="Figtree"/>
                <w:b w:val="0"/>
                <w:i w:val="0"/>
                <w:sz w:val="20"/>
              </w:rPr>
              <w:t>HSM or MPC provider</w:t>
            </w:r>
          </w:p>
        </w:tc>
      </w:tr>
      <w:tr>
        <w:trPr>
          <w:trHeight w:val="425" w:hRule="atLeast"/>
        </w:trPr>
        <w:tc>
          <w:tcPr>
            <w:tcW w:type="dxa" w:w="2436"/>
            <w:vAlign w:val="center"/>
          </w:tcPr>
          <w:p>
            <w:pPr>
              <w:spacing w:line="276" w:lineRule="auto" w:before="0" w:after="0"/>
            </w:pPr>
            <w:r/>
            <w:r>
              <w:rPr>
                <w:rFonts w:ascii="Figtree" w:hAnsi="Figtree"/>
                <w:b w:val="0"/>
                <w:i w:val="0"/>
                <w:sz w:val="20"/>
              </w:rPr>
              <w:t>Access control</w:t>
            </w:r>
          </w:p>
        </w:tc>
        <w:tc>
          <w:tcPr>
            <w:tcW w:type="dxa" w:w="2436"/>
            <w:vAlign w:val="center"/>
          </w:tcPr>
          <w:p>
            <w:pPr>
              <w:spacing w:line="276" w:lineRule="auto" w:before="0" w:after="0"/>
            </w:pPr>
            <w:r/>
            <w:r>
              <w:rPr>
                <w:rFonts w:ascii="Figtree" w:hAnsi="Figtree"/>
                <w:b w:val="0"/>
                <w:i w:val="0"/>
                <w:sz w:val="20"/>
              </w:rPr>
              <w:t>RBAC implementation</w:t>
            </w:r>
          </w:p>
        </w:tc>
        <w:tc>
          <w:tcPr>
            <w:tcW w:type="dxa" w:w="2436"/>
            <w:vAlign w:val="center"/>
          </w:tcPr>
          <w:p>
            <w:pPr>
              <w:spacing w:line="276" w:lineRule="auto" w:before="0" w:after="0"/>
            </w:pPr>
            <w:r/>
            <w:r>
              <w:rPr>
                <w:rFonts w:ascii="Figtree" w:hAnsi="Figtree"/>
                <w:b w:val="0"/>
                <w:i w:val="0"/>
                <w:sz w:val="20"/>
              </w:rPr>
              <w:t>User provisioning</w:t>
            </w:r>
          </w:p>
        </w:tc>
        <w:tc>
          <w:tcPr>
            <w:tcW w:type="dxa" w:w="2436"/>
            <w:vAlign w:val="center"/>
          </w:tcPr>
          <w:p>
            <w:pPr>
              <w:spacing w:line="276" w:lineRule="auto" w:before="0" w:after="0"/>
            </w:pPr>
            <w:r/>
            <w:r>
              <w:rPr>
                <w:rFonts w:ascii="Figtree" w:hAnsi="Figtree"/>
                <w:b w:val="0"/>
                <w:i w:val="0"/>
                <w:sz w:val="20"/>
              </w:rPr>
              <w:t>Organization administration</w:t>
            </w:r>
          </w:p>
        </w:tc>
      </w:tr>
      <w:tr>
        <w:trPr>
          <w:trHeight w:val="425" w:hRule="atLeast"/>
        </w:trPr>
        <w:tc>
          <w:tcPr>
            <w:tcW w:type="dxa" w:w="2436"/>
            <w:vAlign w:val="center"/>
          </w:tcPr>
          <w:p>
            <w:pPr>
              <w:spacing w:line="276" w:lineRule="auto" w:before="0" w:after="0"/>
            </w:pPr>
            <w:r/>
            <w:r>
              <w:rPr>
                <w:rFonts w:ascii="Figtree" w:hAnsi="Figtree"/>
                <w:b w:val="0"/>
                <w:i w:val="0"/>
                <w:sz w:val="20"/>
              </w:rPr>
              <w:t>Network security</w:t>
            </w:r>
          </w:p>
        </w:tc>
        <w:tc>
          <w:tcPr>
            <w:tcW w:type="dxa" w:w="2436"/>
            <w:vAlign w:val="center"/>
          </w:tcPr>
          <w:p>
            <w:pPr>
              <w:spacing w:line="276" w:lineRule="auto" w:before="0" w:after="0"/>
            </w:pPr>
            <w:r/>
            <w:r>
              <w:rPr>
                <w:rFonts w:ascii="Figtree" w:hAnsi="Figtree"/>
                <w:b w:val="0"/>
                <w:i w:val="0"/>
                <w:sz w:val="20"/>
              </w:rPr>
              <w:t>TLS, segmentation</w:t>
            </w:r>
          </w:p>
        </w:tc>
        <w:tc>
          <w:tcPr>
            <w:tcW w:type="dxa" w:w="2436"/>
            <w:vAlign w:val="center"/>
          </w:tcPr>
          <w:p>
            <w:pPr>
              <w:spacing w:line="276" w:lineRule="auto" w:before="0" w:after="0"/>
            </w:pPr>
            <w:r/>
            <w:r>
              <w:rPr>
                <w:rFonts w:ascii="Figtree" w:hAnsi="Figtree"/>
                <w:b w:val="0"/>
                <w:i w:val="0"/>
                <w:sz w:val="20"/>
              </w:rPr>
              <w:t>VPN/firewall configuration</w:t>
            </w:r>
          </w:p>
        </w:tc>
        <w:tc>
          <w:tcPr>
            <w:tcW w:type="dxa" w:w="2436"/>
            <w:vAlign w:val="center"/>
          </w:tcPr>
          <w:p>
            <w:pPr>
              <w:spacing w:line="276" w:lineRule="auto" w:before="0" w:after="0"/>
            </w:pPr>
            <w:r/>
            <w:r>
              <w:rPr>
                <w:rFonts w:ascii="Figtree" w:hAnsi="Figtree"/>
                <w:b w:val="0"/>
                <w:i w:val="0"/>
                <w:sz w:val="20"/>
              </w:rPr>
              <w:t>Private link recommended</w:t>
            </w:r>
          </w:p>
        </w:tc>
      </w:tr>
      <w:tr>
        <w:trPr>
          <w:trHeight w:val="425" w:hRule="atLeast"/>
        </w:trPr>
        <w:tc>
          <w:tcPr>
            <w:tcW w:type="dxa" w:w="2436"/>
            <w:vAlign w:val="center"/>
          </w:tcPr>
          <w:p>
            <w:pPr>
              <w:spacing w:line="276" w:lineRule="auto" w:before="0" w:after="0"/>
            </w:pPr>
            <w:r/>
            <w:r>
              <w:rPr>
                <w:rFonts w:ascii="Figtree" w:hAnsi="Figtree"/>
                <w:b w:val="0"/>
                <w:i w:val="0"/>
                <w:sz w:val="20"/>
              </w:rPr>
              <w:t>Audit logging</w:t>
            </w:r>
          </w:p>
        </w:tc>
        <w:tc>
          <w:tcPr>
            <w:tcW w:type="dxa" w:w="2436"/>
            <w:vAlign w:val="center"/>
          </w:tcPr>
          <w:p>
            <w:pPr>
              <w:spacing w:line="276" w:lineRule="auto" w:before="0" w:after="0"/>
            </w:pPr>
            <w:r/>
            <w:r>
              <w:rPr>
                <w:rFonts w:ascii="Figtree" w:hAnsi="Figtree"/>
                <w:b w:val="0"/>
                <w:i w:val="0"/>
                <w:sz w:val="20"/>
              </w:rPr>
              <w:t>Structured logs</w:t>
            </w:r>
          </w:p>
        </w:tc>
        <w:tc>
          <w:tcPr>
            <w:tcW w:type="dxa" w:w="2436"/>
            <w:vAlign w:val="center"/>
          </w:tcPr>
          <w:p>
            <w:pPr>
              <w:spacing w:line="276" w:lineRule="auto" w:before="0" w:after="0"/>
            </w:pPr>
            <w:r/>
            <w:r>
              <w:rPr>
                <w:rFonts w:ascii="Figtree" w:hAnsi="Figtree"/>
                <w:b w:val="0"/>
                <w:i w:val="0"/>
                <w:sz w:val="20"/>
              </w:rPr>
              <w:t>Log analysis</w:t>
            </w:r>
          </w:p>
        </w:tc>
        <w:tc>
          <w:tcPr>
            <w:tcW w:type="dxa" w:w="2436"/>
            <w:vAlign w:val="center"/>
          </w:tcPr>
          <w:p>
            <w:pPr>
              <w:spacing w:line="276" w:lineRule="auto" w:before="0" w:after="0"/>
            </w:pPr>
            <w:r/>
            <w:r>
              <w:rPr>
                <w:rFonts w:ascii="Figtree" w:hAnsi="Figtree"/>
                <w:b w:val="0"/>
                <w:i w:val="0"/>
                <w:sz w:val="20"/>
              </w:rPr>
              <w:t>SIEM integration available</w:t>
            </w:r>
          </w:p>
        </w:tc>
      </w:tr>
      <w:tr>
        <w:trPr>
          <w:trHeight w:val="425" w:hRule="atLeast"/>
        </w:trPr>
        <w:tc>
          <w:tcPr>
            <w:tcW w:type="dxa" w:w="2436"/>
            <w:vAlign w:val="center"/>
          </w:tcPr>
          <w:p>
            <w:pPr>
              <w:spacing w:line="276" w:lineRule="auto" w:before="0" w:after="0"/>
            </w:pPr>
            <w:r/>
            <w:r>
              <w:rPr>
                <w:rFonts w:ascii="Figtree" w:hAnsi="Figtree"/>
                <w:b w:val="0"/>
                <w:i w:val="0"/>
                <w:sz w:val="20"/>
              </w:rPr>
              <w:t>Incident response</w:t>
            </w:r>
          </w:p>
        </w:tc>
        <w:tc>
          <w:tcPr>
            <w:tcW w:type="dxa" w:w="2436"/>
            <w:vAlign w:val="center"/>
          </w:tcPr>
          <w:p>
            <w:pPr>
              <w:spacing w:line="276" w:lineRule="auto" w:before="0" w:after="0"/>
            </w:pPr>
            <w:r/>
            <w:r>
              <w:rPr>
                <w:rFonts w:ascii="Figtree" w:hAnsi="Figtree"/>
                <w:b w:val="0"/>
                <w:i w:val="0"/>
                <w:sz w:val="20"/>
              </w:rPr>
              <w:t>Triage and escalation</w:t>
            </w:r>
          </w:p>
        </w:tc>
        <w:tc>
          <w:tcPr>
            <w:tcW w:type="dxa" w:w="2436"/>
            <w:vAlign w:val="center"/>
          </w:tcPr>
          <w:p>
            <w:pPr>
              <w:spacing w:line="276" w:lineRule="auto" w:before="0" w:after="0"/>
            </w:pPr>
            <w:r/>
            <w:r>
              <w:rPr>
                <w:rFonts w:ascii="Figtree" w:hAnsi="Figtree"/>
                <w:b w:val="0"/>
                <w:i w:val="0"/>
                <w:sz w:val="20"/>
              </w:rPr>
              <w:t>Business continuity</w:t>
            </w:r>
          </w:p>
        </w:tc>
        <w:tc>
          <w:tcPr>
            <w:tcW w:type="dxa" w:w="2436"/>
            <w:vAlign w:val="center"/>
          </w:tcPr>
          <w:p>
            <w:pPr>
              <w:spacing w:line="276" w:lineRule="auto" w:before="0" w:after="0"/>
            </w:pPr>
            <w:r/>
            <w:r>
              <w:rPr>
                <w:rFonts w:ascii="Figtree" w:hAnsi="Figtree"/>
                <w:b w:val="0"/>
                <w:i w:val="0"/>
                <w:sz w:val="20"/>
              </w:rPr>
              <w:t>Shared runbook development</w:t>
            </w:r>
          </w:p>
        </w:tc>
      </w:tr>
    </w:tbl>
    <w:p>
      <w:pPr>
        <w:spacing w:before="0" w:after="0" w:line="120" w:lineRule="exact"/>
      </w:pPr>
    </w:p>
    <w:p>
      <w:r>
        <w:br w:type="page"/>
      </w:r>
    </w:p>
    <w:p>
      <w:pPr>
        <w:pStyle w:val="H1"/>
        <w:numPr>
          <w:ilvl w:val="0"/>
          <w:numId w:val="1"/>
        </w:numPr>
      </w:pPr>
      <w:r>
        <w:t>8. Deployment Model</w:t>
      </w:r>
    </w:p>
    <w:p>
      <w:pPr>
        <w:pStyle w:val="H2"/>
        <w:numPr>
          <w:ilvl w:val="1"/>
          <w:numId w:val="1"/>
        </w:numPr>
      </w:pPr>
      <w:r>
        <w:t>8.1 Deployment Principles</w:t>
      </w:r>
    </w:p>
    <w:p>
      <w:r>
        <w:rPr>
          <w:rFonts w:ascii="Figtree" w:hAnsi="Figtree"/>
          <w:b w:val="0"/>
          <w:i w:val="0"/>
          <w:sz w:val="22"/>
        </w:rPr>
        <w:t>DALP deployment follows three principles:</w:t>
      </w:r>
    </w:p>
    <w:p>
      <w:r>
        <w:rPr>
          <w:rFonts w:ascii="Figtree" w:hAnsi="Figtree"/>
          <w:b/>
          <w:i w:val="0"/>
          <w:sz w:val="22"/>
        </w:rPr>
        <w:t>Portability:</w:t>
      </w:r>
      <w:r>
        <w:rPr>
          <w:rFonts w:ascii="Figtree" w:hAnsi="Figtree"/>
          <w:b w:val="0"/>
          <w:i w:val="0"/>
          <w:sz w:val="22"/>
        </w:rPr>
        <w:t xml:space="preserve"> The platform deploys consistently across cloud providers and on-premises environments. No provider-specific lock-in exists. Kubernetes and Helm provide the deployment abstraction.</w:t>
      </w:r>
    </w:p>
    <w:p>
      <w:r>
        <w:rPr>
          <w:rFonts w:ascii="Figtree" w:hAnsi="Figtree"/>
          <w:b/>
          <w:i w:val="0"/>
          <w:sz w:val="22"/>
        </w:rPr>
        <w:t>Capability Consistency:</w:t>
      </w:r>
      <w:r>
        <w:rPr>
          <w:rFonts w:ascii="Figtree" w:hAnsi="Figtree"/>
          <w:b w:val="0"/>
          <w:i w:val="0"/>
          <w:sz w:val="22"/>
        </w:rPr>
        <w:t xml:space="preserve"> All deployment models deliver the same platform capabilities—the same lifecycle modules, compliance engine, settlement protocols, and API surface. The choice of deployment model is driven by institutional requirements, not capability trade-offs.</w:t>
      </w:r>
    </w:p>
    <w:p>
      <w:r>
        <w:rPr>
          <w:rFonts w:ascii="Figtree" w:hAnsi="Figtree"/>
          <w:b/>
          <w:i w:val="0"/>
          <w:sz w:val="22"/>
        </w:rPr>
        <w:t>Security and Residency Alignment:</w:t>
      </w:r>
      <w:r>
        <w:rPr>
          <w:rFonts w:ascii="Figtree" w:hAnsi="Figtree"/>
          <w:b w:val="0"/>
          <w:i w:val="0"/>
          <w:sz w:val="22"/>
        </w:rPr>
        <w:t xml:space="preserve"> The deployment model ensures that data residency, regulatory compliance, and security requirements are met. Private cloud deployments provide full control over data location and network isolation.</w:t>
      </w:r>
    </w:p>
    <w:p>
      <w:pPr>
        <w:pStyle w:val="H2"/>
        <w:numPr>
          <w:ilvl w:val="1"/>
          <w:numId w:val="1"/>
        </w:numPr>
      </w:pPr>
      <w:r>
        <w:t>8.2 Recommended Deployment Model: Dedicated Private Cloud</w:t>
      </w:r>
    </w:p>
    <w:p>
      <w:r>
        <w:rPr>
          <w:rFonts w:ascii="Figtree" w:hAnsi="Figtree"/>
          <w:b w:val="0"/>
          <w:i w:val="0"/>
          <w:sz w:val="22"/>
        </w:rPr>
        <w:t>For ADGM, SettleMint recommends Dedicated Private Cloud within ADGM's existing cloud tenancy (AWS, Azure, or GCP). This model provides:</w:t>
      </w:r>
    </w:p>
    <w:p>
      <w:pPr>
        <w:pStyle w:val="ListParagraph"/>
        <w:numPr>
          <w:ilvl w:val="0"/>
          <w:numId w:val="4"/>
        </w:numPr>
      </w:pPr>
      <w:r>
        <w:rPr>
          <w:rFonts w:ascii="Figtree" w:hAnsi="Figtree"/>
          <w:b w:val="0"/>
          <w:i w:val="0"/>
          <w:sz w:val="22"/>
        </w:rPr>
        <w:t>Full control over data residency within UAE</w:t>
      </w:r>
    </w:p>
    <w:p>
      <w:pPr>
        <w:pStyle w:val="ListParagraph"/>
        <w:numPr>
          <w:ilvl w:val="0"/>
          <w:numId w:val="4"/>
        </w:numPr>
      </w:pPr>
      <w:r>
        <w:rPr>
          <w:rFonts w:ascii="Figtree" w:hAnsi="Figtree"/>
          <w:b w:val="0"/>
          <w:i w:val="0"/>
          <w:sz w:val="22"/>
        </w:rPr>
        <w:t>Integration with ADGM's existing identity and security infrastructure</w:t>
      </w:r>
    </w:p>
    <w:p>
      <w:pPr>
        <w:pStyle w:val="ListParagraph"/>
        <w:numPr>
          <w:ilvl w:val="0"/>
          <w:numId w:val="4"/>
        </w:numPr>
      </w:pPr>
      <w:r>
        <w:rPr>
          <w:rFonts w:ascii="Figtree" w:hAnsi="Figtree"/>
          <w:b w:val="0"/>
          <w:i w:val="0"/>
          <w:sz w:val="22"/>
        </w:rPr>
        <w:t>No public internet exposure for the blockchain network</w:t>
      </w:r>
    </w:p>
    <w:p>
      <w:pPr>
        <w:pStyle w:val="ListParagraph"/>
        <w:numPr>
          <w:ilvl w:val="0"/>
          <w:numId w:val="4"/>
        </w:numPr>
      </w:pPr>
      <w:r>
        <w:rPr>
          <w:rFonts w:ascii="Figtree" w:hAnsi="Figtree"/>
          <w:b w:val="0"/>
          <w:i w:val="0"/>
          <w:sz w:val="22"/>
        </w:rPr>
        <w:t>Operational flexibility with cloud-native scaling</w:t>
      </w:r>
    </w:p>
    <w:p>
      <w:r>
        <w:rPr>
          <w:rFonts w:ascii="Figtree" w:hAnsi="Figtree"/>
          <w:b/>
          <w:i w:val="0"/>
          <w:sz w:val="22"/>
        </w:rPr>
        <w:t>Key Assumptions:</w:t>
      </w:r>
    </w:p>
    <w:p>
      <w:pPr>
        <w:pStyle w:val="ListParagraph"/>
        <w:numPr>
          <w:ilvl w:val="0"/>
          <w:numId w:val="4"/>
        </w:numPr>
      </w:pPr>
      <w:r>
        <w:rPr>
          <w:rFonts w:ascii="Figtree" w:hAnsi="Figtree"/>
          <w:b w:val="0"/>
          <w:i w:val="0"/>
          <w:sz w:val="22"/>
        </w:rPr>
        <w:t>ADGM provides cloud tenancy and networking</w:t>
      </w:r>
    </w:p>
    <w:p>
      <w:pPr>
        <w:pStyle w:val="ListParagraph"/>
        <w:numPr>
          <w:ilvl w:val="0"/>
          <w:numId w:val="4"/>
        </w:numPr>
      </w:pPr>
      <w:r>
        <w:rPr>
          <w:rFonts w:ascii="Figtree" w:hAnsi="Figtree"/>
          <w:b w:val="0"/>
          <w:i w:val="0"/>
          <w:sz w:val="22"/>
        </w:rPr>
        <w:t>SettleMint provides Helm charts and deployment guidance</w:t>
      </w:r>
    </w:p>
    <w:p>
      <w:pPr>
        <w:pStyle w:val="ListParagraph"/>
        <w:numPr>
          <w:ilvl w:val="0"/>
          <w:numId w:val="4"/>
        </w:numPr>
      </w:pPr>
      <w:r>
        <w:rPr>
          <w:rFonts w:ascii="Figtree" w:hAnsi="Figtree"/>
          <w:b w:val="0"/>
          <w:i w:val="0"/>
          <w:sz w:val="22"/>
        </w:rPr>
        <w:t>ADGM manages Kubernetes operations or contracts managed Kubernetes services</w:t>
      </w:r>
    </w:p>
    <w:p>
      <w:pPr>
        <w:pStyle w:val="ListParagraph"/>
        <w:numPr>
          <w:ilvl w:val="0"/>
          <w:numId w:val="4"/>
        </w:numPr>
      </w:pPr>
      <w:r>
        <w:rPr>
          <w:rFonts w:ascii="Figtree" w:hAnsi="Figtree"/>
          <w:b w:val="0"/>
          <w:i w:val="0"/>
          <w:sz w:val="22"/>
        </w:rPr>
        <w:t>Blockchain network is private (Hyperledger Besu)</w:t>
      </w:r>
    </w:p>
    <w:p>
      <w:pPr>
        <w:pStyle w:val="H2"/>
        <w:numPr>
          <w:ilvl w:val="1"/>
          <w:numId w:val="1"/>
        </w:numPr>
      </w:pPr>
      <w:r>
        <w:t>8.3 Deployment Options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68"/>
        <w:gridCol w:w="1723"/>
        <w:gridCol w:w="1814"/>
        <w:gridCol w:w="1632"/>
        <w:gridCol w:w="1632"/>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Managed SaaS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Private Cloud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On-Premises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Hybrid</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management</w:t>
            </w:r>
          </w:p>
        </w:tc>
        <w:tc>
          <w:tcPr>
            <w:tcW w:type="dxa" w:w="1949"/>
            <w:vAlign w:val="center"/>
          </w:tcPr>
          <w:p>
            <w:pPr>
              <w:spacing w:line="276" w:lineRule="auto" w:before="0" w:after="0"/>
            </w:pPr>
            <w:r/>
            <w:r>
              <w:rPr>
                <w:rFonts w:ascii="Figtree" w:hAnsi="Figtree"/>
                <w:b w:val="0"/>
                <w:i w:val="0"/>
                <w:sz w:val="20"/>
              </w:rPr>
              <w:t>SettleMint</w:t>
            </w:r>
          </w:p>
        </w:tc>
        <w:tc>
          <w:tcPr>
            <w:tcW w:type="dxa" w:w="1949"/>
            <w:vAlign w:val="center"/>
          </w:tcPr>
          <w:p>
            <w:pPr>
              <w:spacing w:line="276" w:lineRule="auto" w:before="0" w:after="0"/>
            </w:pPr>
            <w:r/>
            <w:r>
              <w:rPr>
                <w:rFonts w:ascii="Figtree" w:hAnsi="Figtree"/>
                <w:b w:val="0"/>
                <w:i w:val="0"/>
                <w:sz w:val="20"/>
              </w:rPr>
              <w:t>Client/co-managed</w:t>
            </w:r>
          </w:p>
        </w:tc>
        <w:tc>
          <w:tcPr>
            <w:tcW w:type="dxa" w:w="1949"/>
            <w:vAlign w:val="center"/>
          </w:tcPr>
          <w:p>
            <w:pPr>
              <w:spacing w:line="276" w:lineRule="auto" w:before="0" w:after="0"/>
            </w:pPr>
            <w:r/>
            <w:r>
              <w:rPr>
                <w:rFonts w:ascii="Figtree" w:hAnsi="Figtree"/>
                <w:b w:val="0"/>
                <w:i w:val="0"/>
                <w:sz w:val="20"/>
              </w:rPr>
              <w:t>Client</w:t>
            </w:r>
          </w:p>
        </w:tc>
        <w:tc>
          <w:tcPr>
            <w:tcW w:type="dxa" w:w="1949"/>
            <w:vAlign w:val="center"/>
          </w:tcPr>
          <w:p>
            <w:pPr>
              <w:spacing w:line="276" w:lineRule="auto" w:before="0" w:after="0"/>
            </w:pPr>
            <w:r/>
            <w:r>
              <w:rPr>
                <w:rFonts w:ascii="Figtree" w:hAnsi="Figtree"/>
                <w:b w:val="0"/>
                <w:i w:val="0"/>
                <w:sz w:val="20"/>
              </w:rPr>
              <w:t>Split by component</w:t>
            </w:r>
          </w:p>
        </w:tc>
      </w:tr>
      <w:tr>
        <w:trPr>
          <w:trHeight w:val="425" w:hRule="atLeast"/>
        </w:trPr>
        <w:tc>
          <w:tcPr>
            <w:tcW w:type="dxa" w:w="1949"/>
            <w:vAlign w:val="center"/>
          </w:tcPr>
          <w:p>
            <w:pPr>
              <w:spacing w:line="276" w:lineRule="auto" w:before="0" w:after="0"/>
            </w:pPr>
            <w:r/>
            <w:r>
              <w:rPr>
                <w:rFonts w:ascii="Figtree" w:hAnsi="Figtree"/>
                <w:b w:val="0"/>
                <w:i w:val="0"/>
                <w:sz w:val="20"/>
              </w:rPr>
              <w:t>Data residency</w:t>
            </w:r>
          </w:p>
        </w:tc>
        <w:tc>
          <w:tcPr>
            <w:tcW w:type="dxa" w:w="1949"/>
            <w:vAlign w:val="center"/>
          </w:tcPr>
          <w:p>
            <w:pPr>
              <w:spacing w:line="276" w:lineRule="auto" w:before="0" w:after="0"/>
            </w:pPr>
            <w:r/>
            <w:r>
              <w:rPr>
                <w:rFonts w:ascii="Figtree" w:hAnsi="Figtree"/>
                <w:b w:val="0"/>
                <w:i w:val="0"/>
                <w:sz w:val="20"/>
              </w:rPr>
              <w:t>Configurable region</w:t>
            </w:r>
          </w:p>
        </w:tc>
        <w:tc>
          <w:tcPr>
            <w:tcW w:type="dxa" w:w="1949"/>
            <w:vAlign w:val="center"/>
          </w:tcPr>
          <w:p>
            <w:pPr>
              <w:spacing w:line="276" w:lineRule="auto" w:before="0" w:after="0"/>
            </w:pPr>
            <w:r/>
            <w:r>
              <w:rPr>
                <w:rFonts w:ascii="Figtree" w:hAnsi="Figtree"/>
                <w:b w:val="0"/>
                <w:i w:val="0"/>
                <w:sz w:val="20"/>
              </w:rPr>
              <w:t>Full control</w:t>
            </w:r>
          </w:p>
        </w:tc>
        <w:tc>
          <w:tcPr>
            <w:tcW w:type="dxa" w:w="1949"/>
            <w:vAlign w:val="center"/>
          </w:tcPr>
          <w:p>
            <w:pPr>
              <w:spacing w:line="276" w:lineRule="auto" w:before="0" w:after="0"/>
            </w:pPr>
            <w:r/>
            <w:r>
              <w:rPr>
                <w:rFonts w:ascii="Figtree" w:hAnsi="Figtree"/>
                <w:b w:val="0"/>
                <w:i w:val="0"/>
                <w:sz w:val="20"/>
              </w:rPr>
              <w:t>Full control</w:t>
            </w:r>
          </w:p>
        </w:tc>
        <w:tc>
          <w:tcPr>
            <w:tcW w:type="dxa" w:w="1949"/>
            <w:vAlign w:val="center"/>
          </w:tcPr>
          <w:p>
            <w:pPr>
              <w:spacing w:line="276" w:lineRule="auto" w:before="0" w:after="0"/>
            </w:pPr>
            <w:r/>
            <w:r>
              <w:rPr>
                <w:rFonts w:ascii="Figtree" w:hAnsi="Figtree"/>
                <w:b w:val="0"/>
                <w:i w:val="0"/>
                <w:sz w:val="20"/>
              </w:rPr>
              <w:t>Component-level</w:t>
            </w:r>
          </w:p>
        </w:tc>
      </w:tr>
      <w:tr>
        <w:trPr>
          <w:trHeight w:val="425" w:hRule="atLeast"/>
        </w:trPr>
        <w:tc>
          <w:tcPr>
            <w:tcW w:type="dxa" w:w="1949"/>
            <w:vAlign w:val="center"/>
          </w:tcPr>
          <w:p>
            <w:pPr>
              <w:spacing w:line="276" w:lineRule="auto" w:before="0" w:after="0"/>
            </w:pPr>
            <w:r/>
            <w:r>
              <w:rPr>
                <w:rFonts w:ascii="Figtree" w:hAnsi="Figtree"/>
                <w:b w:val="0"/>
                <w:i w:val="0"/>
                <w:sz w:val="20"/>
              </w:rPr>
              <w:t>Network connectivity</w:t>
            </w:r>
          </w:p>
        </w:tc>
        <w:tc>
          <w:tcPr>
            <w:tcW w:type="dxa" w:w="1949"/>
            <w:vAlign w:val="center"/>
          </w:tcPr>
          <w:p>
            <w:pPr>
              <w:spacing w:line="276" w:lineRule="auto" w:before="0" w:after="0"/>
            </w:pPr>
            <w:r/>
            <w:r>
              <w:rPr>
                <w:rFonts w:ascii="Figtree" w:hAnsi="Figtree"/>
                <w:b w:val="0"/>
                <w:i w:val="0"/>
                <w:sz w:val="20"/>
              </w:rPr>
              <w:t>Internet/VPN</w:t>
            </w:r>
          </w:p>
        </w:tc>
        <w:tc>
          <w:tcPr>
            <w:tcW w:type="dxa" w:w="1949"/>
            <w:vAlign w:val="center"/>
          </w:tcPr>
          <w:p>
            <w:pPr>
              <w:spacing w:line="276" w:lineRule="auto" w:before="0" w:after="0"/>
            </w:pPr>
            <w:r/>
            <w:r>
              <w:rPr>
                <w:rFonts w:ascii="Figtree" w:hAnsi="Figtree"/>
                <w:b w:val="0"/>
                <w:i w:val="0"/>
                <w:sz w:val="20"/>
              </w:rPr>
              <w:t>Private link</w:t>
            </w:r>
          </w:p>
        </w:tc>
        <w:tc>
          <w:tcPr>
            <w:tcW w:type="dxa" w:w="1949"/>
            <w:vAlign w:val="center"/>
          </w:tcPr>
          <w:p>
            <w:pPr>
              <w:spacing w:line="276" w:lineRule="auto" w:before="0" w:after="0"/>
            </w:pPr>
            <w:r/>
            <w:r>
              <w:rPr>
                <w:rFonts w:ascii="Figtree" w:hAnsi="Figtree"/>
                <w:b w:val="0"/>
                <w:i w:val="0"/>
                <w:sz w:val="20"/>
              </w:rPr>
              <w:t>Air-gapped capable</w:t>
            </w:r>
          </w:p>
        </w:tc>
        <w:tc>
          <w:tcPr>
            <w:tcW w:type="dxa" w:w="1949"/>
            <w:vAlign w:val="center"/>
          </w:tcPr>
          <w:p>
            <w:pPr>
              <w:spacing w:line="276" w:lineRule="auto" w:before="0" w:after="0"/>
            </w:pPr>
            <w:r/>
            <w:r>
              <w:rPr>
                <w:rFonts w:ascii="Figtree" w:hAnsi="Figtree"/>
                <w:b w:val="0"/>
                <w:i w:val="0"/>
                <w:sz w:val="20"/>
              </w:rPr>
              <w:t>Mixed</w:t>
            </w:r>
          </w:p>
        </w:tc>
      </w:tr>
      <w:tr>
        <w:trPr>
          <w:trHeight w:val="425" w:hRule="atLeast"/>
        </w:trPr>
        <w:tc>
          <w:tcPr>
            <w:tcW w:type="dxa" w:w="1949"/>
            <w:vAlign w:val="center"/>
          </w:tcPr>
          <w:p>
            <w:pPr>
              <w:spacing w:line="276" w:lineRule="auto" w:before="0" w:after="0"/>
            </w:pPr>
            <w:r/>
            <w:r>
              <w:rPr>
                <w:rFonts w:ascii="Figtree" w:hAnsi="Figtree"/>
                <w:b w:val="0"/>
                <w:i w:val="0"/>
                <w:sz w:val="20"/>
              </w:rPr>
              <w:t>Update management</w:t>
            </w:r>
          </w:p>
        </w:tc>
        <w:tc>
          <w:tcPr>
            <w:tcW w:type="dxa" w:w="1949"/>
            <w:vAlign w:val="center"/>
          </w:tcPr>
          <w:p>
            <w:pPr>
              <w:spacing w:line="276" w:lineRule="auto" w:before="0" w:after="0"/>
            </w:pPr>
            <w:r/>
            <w:r>
              <w:rPr>
                <w:rFonts w:ascii="Figtree" w:hAnsi="Figtree"/>
                <w:b w:val="0"/>
                <w:i w:val="0"/>
                <w:sz w:val="20"/>
              </w:rPr>
              <w:t>Automated</w:t>
            </w:r>
          </w:p>
        </w:tc>
        <w:tc>
          <w:tcPr>
            <w:tcW w:type="dxa" w:w="1949"/>
            <w:vAlign w:val="center"/>
          </w:tcPr>
          <w:p>
            <w:pPr>
              <w:spacing w:line="276" w:lineRule="auto" w:before="0" w:after="0"/>
            </w:pPr>
            <w:r/>
            <w:r>
              <w:rPr>
                <w:rFonts w:ascii="Figtree" w:hAnsi="Figtree"/>
                <w:b w:val="0"/>
                <w:i w:val="0"/>
                <w:sz w:val="20"/>
              </w:rPr>
              <w:t>Coordinated releases</w:t>
            </w:r>
          </w:p>
        </w:tc>
        <w:tc>
          <w:tcPr>
            <w:tcW w:type="dxa" w:w="1949"/>
            <w:vAlign w:val="center"/>
          </w:tcPr>
          <w:p>
            <w:pPr>
              <w:spacing w:line="276" w:lineRule="auto" w:before="0" w:after="0"/>
            </w:pPr>
            <w:r/>
            <w:r>
              <w:rPr>
                <w:rFonts w:ascii="Figtree" w:hAnsi="Figtree"/>
                <w:b w:val="0"/>
                <w:i w:val="0"/>
                <w:sz w:val="20"/>
              </w:rPr>
              <w:t>Client-controlled</w:t>
            </w:r>
          </w:p>
        </w:tc>
        <w:tc>
          <w:tcPr>
            <w:tcW w:type="dxa" w:w="1949"/>
            <w:vAlign w:val="center"/>
          </w:tcPr>
          <w:p>
            <w:pPr>
              <w:spacing w:line="276" w:lineRule="auto" w:before="0" w:after="0"/>
            </w:pPr>
            <w:r/>
            <w:r>
              <w:rPr>
                <w:rFonts w:ascii="Figtree" w:hAnsi="Figtree"/>
                <w:b w:val="0"/>
                <w:i w:val="0"/>
                <w:sz w:val="20"/>
              </w:rPr>
              <w:t>Component-specific</w:t>
            </w:r>
          </w:p>
        </w:tc>
      </w:tr>
      <w:tr>
        <w:trPr>
          <w:trHeight w:val="425" w:hRule="atLeast"/>
        </w:trPr>
        <w:tc>
          <w:tcPr>
            <w:tcW w:type="dxa" w:w="1949"/>
            <w:vAlign w:val="center"/>
          </w:tcPr>
          <w:p>
            <w:pPr>
              <w:spacing w:line="276" w:lineRule="auto" w:before="0" w:after="0"/>
            </w:pPr>
            <w:r/>
            <w:r>
              <w:rPr>
                <w:rFonts w:ascii="Figtree" w:hAnsi="Figtree"/>
                <w:b w:val="0"/>
                <w:i w:val="0"/>
                <w:sz w:val="20"/>
              </w:rPr>
              <w:t>Scaling</w:t>
            </w:r>
          </w:p>
        </w:tc>
        <w:tc>
          <w:tcPr>
            <w:tcW w:type="dxa" w:w="1949"/>
            <w:vAlign w:val="center"/>
          </w:tcPr>
          <w:p>
            <w:pPr>
              <w:spacing w:line="276" w:lineRule="auto" w:before="0" w:after="0"/>
            </w:pPr>
            <w:r/>
            <w:r>
              <w:rPr>
                <w:rFonts w:ascii="Figtree" w:hAnsi="Figtree"/>
                <w:b w:val="0"/>
                <w:i w:val="0"/>
                <w:sz w:val="20"/>
              </w:rPr>
              <w:t>Auto-scaling</w:t>
            </w:r>
          </w:p>
        </w:tc>
        <w:tc>
          <w:tcPr>
            <w:tcW w:type="dxa" w:w="1949"/>
            <w:vAlign w:val="center"/>
          </w:tcPr>
          <w:p>
            <w:pPr>
              <w:spacing w:line="276" w:lineRule="auto" w:before="0" w:after="0"/>
            </w:pPr>
            <w:r/>
            <w:r>
              <w:rPr>
                <w:rFonts w:ascii="Figtree" w:hAnsi="Figtree"/>
                <w:b w:val="0"/>
                <w:i w:val="0"/>
                <w:sz w:val="20"/>
              </w:rPr>
              <w:t>Client-provisioned</w:t>
            </w:r>
          </w:p>
        </w:tc>
        <w:tc>
          <w:tcPr>
            <w:tcW w:type="dxa" w:w="1949"/>
            <w:vAlign w:val="center"/>
          </w:tcPr>
          <w:p>
            <w:pPr>
              <w:spacing w:line="276" w:lineRule="auto" w:before="0" w:after="0"/>
            </w:pPr>
            <w:r/>
            <w:r>
              <w:rPr>
                <w:rFonts w:ascii="Figtree" w:hAnsi="Figtree"/>
                <w:b w:val="0"/>
                <w:i w:val="0"/>
                <w:sz w:val="20"/>
              </w:rPr>
              <w:t>Client-provisioned</w:t>
            </w:r>
          </w:p>
        </w:tc>
        <w:tc>
          <w:tcPr>
            <w:tcW w:type="dxa" w:w="1949"/>
            <w:vAlign w:val="center"/>
          </w:tcPr>
          <w:p>
            <w:pPr>
              <w:spacing w:line="276" w:lineRule="auto" w:before="0" w:after="0"/>
            </w:pPr>
            <w:r/>
            <w:r>
              <w:rPr>
                <w:rFonts w:ascii="Figtree" w:hAnsi="Figtree"/>
                <w:b w:val="0"/>
                <w:i w:val="0"/>
                <w:sz w:val="20"/>
              </w:rPr>
              <w:t>Component-specific</w:t>
            </w:r>
          </w:p>
        </w:tc>
      </w:tr>
    </w:tbl>
    <w:p>
      <w:pPr>
        <w:spacing w:before="0" w:after="0" w:line="120" w:lineRule="exact"/>
      </w:pPr>
    </w:p>
    <w:p>
      <w:pPr>
        <w:pStyle w:val="H2"/>
        <w:numPr>
          <w:ilvl w:val="1"/>
          <w:numId w:val="1"/>
        </w:numPr>
      </w:pPr>
      <w:r>
        <w:t>8.4 Infrastructure Requirements</w:t>
      </w:r>
    </w:p>
    <w:p>
      <w:r>
        <w:rPr>
          <w:rFonts w:ascii="Figtree" w:hAnsi="Figtree"/>
          <w:b/>
          <w:i w:val="0"/>
          <w:sz w:val="22"/>
        </w:rPr>
        <w:t>Kubernetes Cluster: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49"/>
        <w:gridCol w:w="2761"/>
        <w:gridCol w:w="276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Minimum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Recommended</w:t>
            </w:r>
          </w:p>
        </w:tc>
      </w:tr>
      <w:tr>
        <w:trPr>
          <w:trHeight w:val="425" w:hRule="atLeast"/>
        </w:trPr>
        <w:tc>
          <w:tcPr>
            <w:tcW w:type="dxa" w:w="3249"/>
            <w:vAlign w:val="center"/>
          </w:tcPr>
          <w:p>
            <w:pPr>
              <w:spacing w:line="276" w:lineRule="auto" w:before="0" w:after="0"/>
            </w:pPr>
            <w:r/>
            <w:r>
              <w:rPr>
                <w:rFonts w:ascii="Figtree" w:hAnsi="Figtree"/>
                <w:b w:val="0"/>
                <w:i w:val="0"/>
                <w:sz w:val="20"/>
              </w:rPr>
              <w:t>Kubernetes version</w:t>
            </w:r>
          </w:p>
        </w:tc>
        <w:tc>
          <w:tcPr>
            <w:tcW w:type="dxa" w:w="3249"/>
            <w:vAlign w:val="center"/>
          </w:tcPr>
          <w:p>
            <w:pPr>
              <w:spacing w:line="276" w:lineRule="auto" w:before="0" w:after="0"/>
            </w:pPr>
            <w:r/>
            <w:r>
              <w:rPr>
                <w:rFonts w:ascii="Figtree" w:hAnsi="Figtree"/>
                <w:b w:val="0"/>
                <w:i w:val="0"/>
                <w:sz w:val="20"/>
              </w:rPr>
              <w:t>1.27+</w:t>
            </w:r>
          </w:p>
        </w:tc>
        <w:tc>
          <w:tcPr>
            <w:tcW w:type="dxa" w:w="3249"/>
            <w:vAlign w:val="center"/>
          </w:tcPr>
          <w:p>
            <w:pPr>
              <w:spacing w:line="276" w:lineRule="auto" w:before="0" w:after="0"/>
            </w:pPr>
            <w:r/>
            <w:r>
              <w:rPr>
                <w:rFonts w:ascii="Figtree" w:hAnsi="Figtree"/>
                <w:b w:val="0"/>
                <w:i w:val="0"/>
                <w:sz w:val="20"/>
              </w:rPr>
              <w:t>1.29+</w:t>
            </w:r>
          </w:p>
        </w:tc>
      </w:tr>
      <w:tr>
        <w:trPr>
          <w:trHeight w:val="425" w:hRule="atLeast"/>
        </w:trPr>
        <w:tc>
          <w:tcPr>
            <w:tcW w:type="dxa" w:w="3249"/>
            <w:vAlign w:val="center"/>
          </w:tcPr>
          <w:p>
            <w:pPr>
              <w:spacing w:line="276" w:lineRule="auto" w:before="0" w:after="0"/>
            </w:pPr>
            <w:r/>
            <w:r>
              <w:rPr>
                <w:rFonts w:ascii="Figtree" w:hAnsi="Figtree"/>
                <w:b w:val="0"/>
                <w:i w:val="0"/>
                <w:sz w:val="20"/>
              </w:rPr>
              <w:t>Node count</w:t>
            </w:r>
          </w:p>
        </w:tc>
        <w:tc>
          <w:tcPr>
            <w:tcW w:type="dxa" w:w="3249"/>
            <w:vAlign w:val="center"/>
          </w:tcPr>
          <w:p>
            <w:pPr>
              <w:spacing w:line="276" w:lineRule="auto" w:before="0" w:after="0"/>
            </w:pPr>
            <w:r/>
            <w:r>
              <w:rPr>
                <w:rFonts w:ascii="Figtree" w:hAnsi="Figtree"/>
                <w:b w:val="0"/>
                <w:i w:val="0"/>
                <w:sz w:val="20"/>
              </w:rPr>
              <w:t>3</w:t>
            </w:r>
          </w:p>
        </w:tc>
        <w:tc>
          <w:tcPr>
            <w:tcW w:type="dxa" w:w="3249"/>
            <w:vAlign w:val="center"/>
          </w:tcPr>
          <w:p>
            <w:pPr>
              <w:spacing w:line="276" w:lineRule="auto" w:before="0" w:after="0"/>
            </w:pPr>
            <w:r/>
            <w:r>
              <w:rPr>
                <w:rFonts w:ascii="Figtree" w:hAnsi="Figtree"/>
                <w:b w:val="0"/>
                <w:i w:val="0"/>
                <w:sz w:val="20"/>
              </w:rPr>
              <w:t>6+</w:t>
            </w:r>
          </w:p>
        </w:tc>
      </w:tr>
      <w:tr>
        <w:trPr>
          <w:trHeight w:val="425" w:hRule="atLeast"/>
        </w:trPr>
        <w:tc>
          <w:tcPr>
            <w:tcW w:type="dxa" w:w="3249"/>
            <w:vAlign w:val="center"/>
          </w:tcPr>
          <w:p>
            <w:pPr>
              <w:spacing w:line="276" w:lineRule="auto" w:before="0" w:after="0"/>
            </w:pPr>
            <w:r/>
            <w:r>
              <w:rPr>
                <w:rFonts w:ascii="Figtree" w:hAnsi="Figtree"/>
                <w:b w:val="0"/>
                <w:i w:val="0"/>
                <w:sz w:val="20"/>
              </w:rPr>
              <w:t>Node size</w:t>
            </w:r>
          </w:p>
        </w:tc>
        <w:tc>
          <w:tcPr>
            <w:tcW w:type="dxa" w:w="3249"/>
            <w:vAlign w:val="center"/>
          </w:tcPr>
          <w:p>
            <w:pPr>
              <w:spacing w:line="276" w:lineRule="auto" w:before="0" w:after="0"/>
            </w:pPr>
            <w:r/>
            <w:r>
              <w:rPr>
                <w:rFonts w:ascii="Figtree" w:hAnsi="Figtree"/>
                <w:b w:val="0"/>
                <w:i w:val="0"/>
                <w:sz w:val="20"/>
              </w:rPr>
              <w:t>4 vCPU / 16 GB</w:t>
            </w:r>
          </w:p>
        </w:tc>
        <w:tc>
          <w:tcPr>
            <w:tcW w:type="dxa" w:w="3249"/>
            <w:vAlign w:val="center"/>
          </w:tcPr>
          <w:p>
            <w:pPr>
              <w:spacing w:line="276" w:lineRule="auto" w:before="0" w:after="0"/>
            </w:pPr>
            <w:r/>
            <w:r>
              <w:rPr>
                <w:rFonts w:ascii="Figtree" w:hAnsi="Figtree"/>
                <w:b w:val="0"/>
                <w:i w:val="0"/>
                <w:sz w:val="20"/>
              </w:rPr>
              <w:t>8 vCPU / 32 GB</w:t>
            </w:r>
          </w:p>
        </w:tc>
      </w:tr>
      <w:tr>
        <w:trPr>
          <w:trHeight w:val="425" w:hRule="atLeast"/>
        </w:trPr>
        <w:tc>
          <w:tcPr>
            <w:tcW w:type="dxa" w:w="3249"/>
            <w:vAlign w:val="center"/>
          </w:tcPr>
          <w:p>
            <w:pPr>
              <w:spacing w:line="276" w:lineRule="auto" w:before="0" w:after="0"/>
            </w:pPr>
            <w:r/>
            <w:r>
              <w:rPr>
                <w:rFonts w:ascii="Figtree" w:hAnsi="Figtree"/>
                <w:b w:val="0"/>
                <w:i w:val="0"/>
                <w:sz w:val="20"/>
              </w:rPr>
              <w:t>Availability zones</w:t>
            </w:r>
          </w:p>
        </w:tc>
        <w:tc>
          <w:tcPr>
            <w:tcW w:type="dxa" w:w="3249"/>
            <w:vAlign w:val="center"/>
          </w:tcPr>
          <w:p>
            <w:pPr>
              <w:spacing w:line="276" w:lineRule="auto" w:before="0" w:after="0"/>
            </w:pPr>
            <w:r/>
            <w:r>
              <w:rPr>
                <w:rFonts w:ascii="Figtree" w:hAnsi="Figtree"/>
                <w:b w:val="0"/>
                <w:i w:val="0"/>
                <w:sz w:val="20"/>
              </w:rPr>
              <w:t>3</w:t>
            </w:r>
          </w:p>
        </w:tc>
        <w:tc>
          <w:tcPr>
            <w:tcW w:type="dxa" w:w="3249"/>
            <w:vAlign w:val="center"/>
          </w:tcPr>
          <w:p>
            <w:pPr>
              <w:spacing w:line="276" w:lineRule="auto" w:before="0" w:after="0"/>
            </w:pPr>
            <w:r/>
            <w:r>
              <w:rPr>
                <w:rFonts w:ascii="Figtree" w:hAnsi="Figtree"/>
                <w:b w:val="0"/>
                <w:i w:val="0"/>
                <w:sz w:val="20"/>
              </w:rPr>
              <w:t>3+</w:t>
            </w:r>
          </w:p>
        </w:tc>
      </w:tr>
    </w:tbl>
    <w:p>
      <w:pPr>
        <w:spacing w:before="0" w:after="0" w:line="120" w:lineRule="exact"/>
      </w:pPr>
    </w:p>
    <w:p>
      <w:r>
        <w:rPr>
          <w:rFonts w:ascii="Figtree" w:hAnsi="Figtree"/>
          <w:b/>
          <w:i w:val="0"/>
          <w:sz w:val="22"/>
        </w:rPr>
        <w:t>Database:</w:t>
      </w:r>
      <w:r>
        <w:rPr>
          <w:rFonts w:ascii="Figtree" w:hAnsi="Figtree"/>
          <w:b w:val="0"/>
          <w:i w:val="0"/>
          <w:sz w:val="22"/>
        </w:rPr>
        <w:t xml:space="preserve"> PostgreSQL 17.x with multi-AZ HA, point-in-time recovery, SSL/TLS.</w:t>
      </w:r>
    </w:p>
    <w:p>
      <w:r>
        <w:rPr>
          <w:rFonts w:ascii="Figtree" w:hAnsi="Figtree"/>
          <w:b/>
          <w:i w:val="0"/>
          <w:sz w:val="22"/>
        </w:rPr>
        <w:t>Cache:</w:t>
      </w:r>
      <w:r>
        <w:rPr>
          <w:rFonts w:ascii="Figtree" w:hAnsi="Figtree"/>
          <w:b w:val="0"/>
          <w:i w:val="0"/>
          <w:sz w:val="22"/>
        </w:rPr>
        <w:t xml:space="preserve"> Redis 8.x with cluster mode disabled, multi-AZ redundancy, TLS encryption.</w:t>
      </w:r>
    </w:p>
    <w:p>
      <w:r>
        <w:rPr>
          <w:rFonts w:ascii="Figtree" w:hAnsi="Figtree"/>
          <w:b/>
          <w:i w:val="0"/>
          <w:sz w:val="22"/>
        </w:rPr>
        <w:t>Object Storage:</w:t>
      </w:r>
      <w:r>
        <w:rPr>
          <w:rFonts w:ascii="Figtree" w:hAnsi="Figtree"/>
          <w:b w:val="0"/>
          <w:i w:val="0"/>
          <w:sz w:val="22"/>
        </w:rPr>
        <w:t xml:space="preserve"> S3-compatible with versioning enabled.</w:t>
      </w:r>
    </w:p>
    <w:p>
      <w:r>
        <w:rPr>
          <w:rFonts w:ascii="Figtree" w:hAnsi="Figtree"/>
          <w:b/>
          <w:i w:val="0"/>
          <w:sz w:val="22"/>
        </w:rPr>
        <w:t>Networking:</w:t>
      </w:r>
      <w:r>
        <w:rPr>
          <w:rFonts w:ascii="Figtree" w:hAnsi="Figtree"/>
          <w:b w:val="0"/>
          <w:i w:val="0"/>
          <w:sz w:val="22"/>
        </w:rPr>
        <w:t xml:space="preserve"> Outbound access to harbor.settlemint.com for container images; SMTP access for transactional email; LoadBalancer for ingress.</w:t>
      </w:r>
    </w:p>
    <w:p>
      <w:pPr>
        <w:pStyle w:val="H2"/>
        <w:numPr>
          <w:ilvl w:val="1"/>
          <w:numId w:val="1"/>
        </w:numPr>
      </w:pPr>
      <w:r>
        <w:t>8.5 Availability, Resilience, and DR Approach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48"/>
        <w:gridCol w:w="1587"/>
        <w:gridCol w:w="2154"/>
        <w:gridCol w:w="238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Scenario</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RTO</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RPO</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r>
      <w:tr>
        <w:trPr>
          <w:trHeight w:val="425" w:hRule="atLeast"/>
        </w:trPr>
        <w:tc>
          <w:tcPr>
            <w:tcW w:type="dxa" w:w="2436"/>
            <w:vAlign w:val="center"/>
          </w:tcPr>
          <w:p>
            <w:pPr>
              <w:spacing w:line="276" w:lineRule="auto" w:before="0" w:after="0"/>
            </w:pPr>
            <w:r/>
            <w:r>
              <w:rPr>
                <w:rFonts w:ascii="Figtree" w:hAnsi="Figtree"/>
                <w:b w:val="0"/>
                <w:i w:val="0"/>
                <w:sz w:val="20"/>
              </w:rPr>
              <w:t>Cloud-native (recommended)</w:t>
            </w:r>
          </w:p>
        </w:tc>
        <w:tc>
          <w:tcPr>
            <w:tcW w:type="dxa" w:w="2436"/>
            <w:vAlign w:val="center"/>
          </w:tcPr>
          <w:p>
            <w:pPr>
              <w:spacing w:line="276" w:lineRule="auto" w:before="0" w:after="0"/>
            </w:pPr>
            <w:r/>
            <w:r>
              <w:rPr>
                <w:rFonts w:ascii="Figtree" w:hAnsi="Figtree"/>
                <w:b w:val="0"/>
                <w:i w:val="0"/>
                <w:sz w:val="20"/>
              </w:rPr>
              <w:t>2-15 minutes</w:t>
            </w:r>
          </w:p>
        </w:tc>
        <w:tc>
          <w:tcPr>
            <w:tcW w:type="dxa" w:w="2436"/>
            <w:vAlign w:val="center"/>
          </w:tcPr>
          <w:p>
            <w:pPr>
              <w:spacing w:line="276" w:lineRule="auto" w:before="0" w:after="0"/>
            </w:pPr>
            <w:r/>
            <w:r>
              <w:rPr>
                <w:rFonts w:ascii="Figtree" w:hAnsi="Figtree"/>
                <w:b w:val="0"/>
                <w:i w:val="0"/>
                <w:sz w:val="20"/>
              </w:rPr>
              <w:t>Seconds to 1 minute</w:t>
            </w:r>
          </w:p>
        </w:tc>
        <w:tc>
          <w:tcPr>
            <w:tcW w:type="dxa" w:w="2436"/>
            <w:vAlign w:val="center"/>
          </w:tcPr>
          <w:p>
            <w:pPr>
              <w:spacing w:line="276" w:lineRule="auto" w:before="0" w:after="0"/>
            </w:pPr>
            <w:r/>
            <w:r>
              <w:rPr>
                <w:rFonts w:ascii="Figtree" w:hAnsi="Figtree"/>
                <w:b w:val="0"/>
                <w:i w:val="0"/>
                <w:sz w:val="20"/>
              </w:rPr>
              <w:t>Most deployments</w:t>
            </w:r>
          </w:p>
        </w:tc>
      </w:tr>
      <w:tr>
        <w:trPr>
          <w:trHeight w:val="425" w:hRule="atLeast"/>
        </w:trPr>
        <w:tc>
          <w:tcPr>
            <w:tcW w:type="dxa" w:w="2436"/>
            <w:vAlign w:val="center"/>
          </w:tcPr>
          <w:p>
            <w:pPr>
              <w:spacing w:line="276" w:lineRule="auto" w:before="0" w:after="0"/>
            </w:pPr>
            <w:r/>
            <w:r>
              <w:rPr>
                <w:rFonts w:ascii="Figtree" w:hAnsi="Figtree"/>
                <w:b w:val="0"/>
                <w:i w:val="0"/>
                <w:sz w:val="20"/>
              </w:rPr>
              <w:t>Hot-warm (active-standby)</w:t>
            </w:r>
          </w:p>
        </w:tc>
        <w:tc>
          <w:tcPr>
            <w:tcW w:type="dxa" w:w="2436"/>
            <w:vAlign w:val="center"/>
          </w:tcPr>
          <w:p>
            <w:pPr>
              <w:spacing w:line="276" w:lineRule="auto" w:before="0" w:after="0"/>
            </w:pPr>
            <w:r/>
            <w:r>
              <w:rPr>
                <w:rFonts w:ascii="Figtree" w:hAnsi="Figtree"/>
                <w:b w:val="0"/>
                <w:i w:val="0"/>
                <w:sz w:val="20"/>
              </w:rPr>
              <w:t>30-180 minutes</w:t>
            </w:r>
          </w:p>
        </w:tc>
        <w:tc>
          <w:tcPr>
            <w:tcW w:type="dxa" w:w="2436"/>
            <w:vAlign w:val="center"/>
          </w:tcPr>
          <w:p>
            <w:pPr>
              <w:spacing w:line="276" w:lineRule="auto" w:before="0" w:after="0"/>
            </w:pPr>
            <w:r/>
            <w:r>
              <w:rPr>
                <w:rFonts w:ascii="Figtree" w:hAnsi="Figtree"/>
                <w:b w:val="0"/>
                <w:i w:val="0"/>
                <w:sz w:val="20"/>
              </w:rPr>
              <w:t>5-60 minutes</w:t>
            </w:r>
          </w:p>
        </w:tc>
        <w:tc>
          <w:tcPr>
            <w:tcW w:type="dxa" w:w="2436"/>
            <w:vAlign w:val="center"/>
          </w:tcPr>
          <w:p>
            <w:pPr>
              <w:spacing w:line="276" w:lineRule="auto" w:before="0" w:after="0"/>
            </w:pPr>
            <w:r/>
            <w:r>
              <w:rPr>
                <w:rFonts w:ascii="Figtree" w:hAnsi="Figtree"/>
                <w:b w:val="0"/>
                <w:i w:val="0"/>
                <w:sz w:val="20"/>
              </w:rPr>
              <w:t>Geographic redundancy</w:t>
            </w:r>
          </w:p>
        </w:tc>
      </w:tr>
      <w:tr>
        <w:trPr>
          <w:trHeight w:val="425" w:hRule="atLeast"/>
        </w:trPr>
        <w:tc>
          <w:tcPr>
            <w:tcW w:type="dxa" w:w="2436"/>
            <w:vAlign w:val="center"/>
          </w:tcPr>
          <w:p>
            <w:pPr>
              <w:spacing w:line="276" w:lineRule="auto" w:before="0" w:after="0"/>
            </w:pPr>
            <w:r/>
            <w:r>
              <w:rPr>
                <w:rFonts w:ascii="Figtree" w:hAnsi="Figtree"/>
                <w:b w:val="0"/>
                <w:i w:val="0"/>
                <w:sz w:val="20"/>
              </w:rPr>
              <w:t>Hot-cold (backup-based)</w:t>
            </w:r>
          </w:p>
        </w:tc>
        <w:tc>
          <w:tcPr>
            <w:tcW w:type="dxa" w:w="2436"/>
            <w:vAlign w:val="center"/>
          </w:tcPr>
          <w:p>
            <w:pPr>
              <w:spacing w:line="276" w:lineRule="auto" w:before="0" w:after="0"/>
            </w:pPr>
            <w:r/>
            <w:r>
              <w:rPr>
                <w:rFonts w:ascii="Figtree" w:hAnsi="Figtree"/>
                <w:b w:val="0"/>
                <w:i w:val="0"/>
                <w:sz w:val="20"/>
              </w:rPr>
              <w:t>8-72 hours</w:t>
            </w:r>
          </w:p>
        </w:tc>
        <w:tc>
          <w:tcPr>
            <w:tcW w:type="dxa" w:w="2436"/>
            <w:vAlign w:val="center"/>
          </w:tcPr>
          <w:p>
            <w:pPr>
              <w:spacing w:line="276" w:lineRule="auto" w:before="0" w:after="0"/>
            </w:pPr>
            <w:r/>
            <w:r>
              <w:rPr>
                <w:rFonts w:ascii="Figtree" w:hAnsi="Figtree"/>
                <w:b w:val="0"/>
                <w:i w:val="0"/>
                <w:sz w:val="20"/>
              </w:rPr>
              <w:t>4-24 hours</w:t>
            </w:r>
          </w:p>
        </w:tc>
        <w:tc>
          <w:tcPr>
            <w:tcW w:type="dxa" w:w="2436"/>
            <w:vAlign w:val="center"/>
          </w:tcPr>
          <w:p>
            <w:pPr>
              <w:spacing w:line="276" w:lineRule="auto" w:before="0" w:after="0"/>
            </w:pPr>
            <w:r/>
            <w:r>
              <w:rPr>
                <w:rFonts w:ascii="Figtree" w:hAnsi="Figtree"/>
                <w:b w:val="0"/>
                <w:i w:val="0"/>
                <w:sz w:val="20"/>
              </w:rPr>
              <w:t>Cost optimization</w:t>
            </w:r>
          </w:p>
        </w:tc>
      </w:tr>
    </w:tbl>
    <w:p>
      <w:pPr>
        <w:spacing w:before="0" w:after="0" w:line="120" w:lineRule="exact"/>
      </w:pPr>
    </w:p>
    <w:p>
      <w:r>
        <w:rPr>
          <w:rFonts w:ascii="Figtree" w:hAnsi="Figtree"/>
          <w:b/>
          <w:i w:val="0"/>
          <w:sz w:val="22"/>
        </w:rPr>
        <w:t>Recommended Pattern:</w:t>
      </w:r>
      <w:r>
        <w:rPr>
          <w:rFonts w:ascii="Figtree" w:hAnsi="Figtree"/>
          <w:b w:val="0"/>
          <w:i w:val="0"/>
          <w:sz w:val="22"/>
        </w:rPr>
        <w:t xml:space="preserve"> Cloud-native with multi-AZ pod distribution, managed PostgreSQL with HA, and Velero backup. RTO of 2-15 minutes and RPO of seconds to 1 minute meet ADGM's operational continuity requirements.</w:t>
      </w:r>
    </w:p>
    <w:p>
      <w:pPr>
        <w:pStyle w:val="H2"/>
        <w:numPr>
          <w:ilvl w:val="1"/>
          <w:numId w:val="1"/>
        </w:numPr>
      </w:pPr>
      <w:r>
        <w:t>8.6 Data Residency and Sovereignty</w:t>
      </w:r>
    </w:p>
    <w:p>
      <w:r>
        <w:rPr>
          <w:rFonts w:ascii="Figtree" w:hAnsi="Figtree"/>
          <w:b w:val="0"/>
          <w:i w:val="0"/>
          <w:sz w:val="22"/>
        </w:rPr>
        <w:t>The Dedicated Private Cloud model ensures data residency within UAE:</w:t>
      </w:r>
    </w:p>
    <w:p>
      <w:pPr>
        <w:pStyle w:val="ListParagraph"/>
        <w:numPr>
          <w:ilvl w:val="0"/>
          <w:numId w:val="4"/>
        </w:numPr>
      </w:pPr>
      <w:r>
        <w:rPr>
          <w:rFonts w:ascii="Figtree" w:hAnsi="Figtree"/>
          <w:b w:val="0"/>
          <w:i w:val="0"/>
          <w:sz w:val="22"/>
        </w:rPr>
        <w:t>All data stores (PostgreSQL, Redis, object storage) are provisioned in ADGM's specified region</w:t>
      </w:r>
    </w:p>
    <w:p>
      <w:pPr>
        <w:pStyle w:val="ListParagraph"/>
        <w:numPr>
          <w:ilvl w:val="0"/>
          <w:numId w:val="4"/>
        </w:numPr>
      </w:pPr>
      <w:r>
        <w:rPr>
          <w:rFonts w:ascii="Figtree" w:hAnsi="Figtree"/>
          <w:b w:val="0"/>
          <w:i w:val="0"/>
          <w:sz w:val="22"/>
        </w:rPr>
        <w:t>The blockchain network operates within ADGM's private network</w:t>
      </w:r>
    </w:p>
    <w:p>
      <w:pPr>
        <w:pStyle w:val="ListParagraph"/>
        <w:numPr>
          <w:ilvl w:val="0"/>
          <w:numId w:val="4"/>
        </w:numPr>
      </w:pPr>
      <w:r>
        <w:rPr>
          <w:rFonts w:ascii="Figtree" w:hAnsi="Figtree"/>
          <w:b w:val="0"/>
          <w:i w:val="0"/>
          <w:sz w:val="22"/>
        </w:rPr>
        <w:t>No data leaves the designated region without explicit configuration</w:t>
      </w:r>
    </w:p>
    <w:p>
      <w:pPr>
        <w:pStyle w:val="ListParagraph"/>
        <w:numPr>
          <w:ilvl w:val="0"/>
          <w:numId w:val="4"/>
        </w:numPr>
      </w:pPr>
      <w:r>
        <w:rPr>
          <w:rFonts w:ascii="Figtree" w:hAnsi="Figtree"/>
          <w:b w:val="0"/>
          <w:i w:val="0"/>
          <w:sz w:val="22"/>
        </w:rPr>
        <w:t>Cross-region replication is disabled by default</w:t>
      </w:r>
    </w:p>
    <w:p>
      <w:r>
        <w:br w:type="page"/>
      </w:r>
    </w:p>
    <w:p>
      <w:pPr>
        <w:pStyle w:val="H1"/>
        <w:numPr>
          <w:ilvl w:val="0"/>
          <w:numId w:val="1"/>
        </w:numPr>
      </w:pPr>
      <w:r>
        <w:t>9. Project Implementation and Delivery</w:t>
      </w:r>
    </w:p>
    <w:p>
      <w:pPr>
        <w:pStyle w:val="H2"/>
        <w:numPr>
          <w:ilvl w:val="1"/>
          <w:numId w:val="1"/>
        </w:numPr>
      </w:pPr>
      <w:r>
        <w:t>9.1 Delivery Overview</w:t>
      </w:r>
    </w:p>
    <w:p>
      <w:r>
        <w:rPr>
          <w:rFonts w:ascii="Figtree" w:hAnsi="Figtree"/>
          <w:b w:val="0"/>
          <w:i w:val="0"/>
          <w:sz w:val="22"/>
        </w:rPr>
        <w:t>SettleMint follows a structured, phase-gated implementation methodology refined through production deployments with regulated banks, market infrastructure providers, and sovereign entities. The standard implementation spans 19 weeks from kickoff to the end of hypercare.</w:t>
      </w:r>
    </w:p>
    <w:p>
      <w:pPr>
        <w:jc w:val="center"/>
      </w:pPr>
      <w:r>
        <w:drawing>
          <wp:inline xmlns:a="http://schemas.openxmlformats.org/drawingml/2006/main" xmlns:pic="http://schemas.openxmlformats.org/drawingml/2006/picture">
            <wp:extent cx="5486400" cy="1539551"/>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1539551"/>
                    </a:xfrm>
                    <a:prstGeom prst="rect"/>
                  </pic:spPr>
                </pic:pic>
              </a:graphicData>
            </a:graphic>
          </wp:inline>
        </w:drawing>
      </w:r>
    </w:p>
    <w:p>
      <w:r>
        <w:rPr>
          <w:rFonts w:ascii="Figtree" w:hAnsi="Figtree"/>
          <w:b w:val="0"/>
          <w:i w:val="0"/>
          <w:sz w:val="22"/>
        </w:rPr>
        <w:t>Each phase concludes with a formal gate review involving key stakeholders from both SettleMint and ADGM. Progression to the next phase requires sign-off on defined deliverables and acceptance criteria.</w:t>
      </w:r>
    </w:p>
    <w:p>
      <w:pPr>
        <w:pStyle w:val="H2"/>
        <w:numPr>
          <w:ilvl w:val="1"/>
          <w:numId w:val="1"/>
        </w:numPr>
      </w:pPr>
      <w:r>
        <w:t>9.2 Phase Plan</w:t>
      </w:r>
    </w:p>
    <w:p>
      <w:pPr>
        <w:pStyle w:val="H3"/>
        <w:numPr>
          <w:ilvl w:val="2"/>
          <w:numId w:val="1"/>
        </w:numPr>
      </w:pPr>
      <w:r>
        <w:t>Phase 1: Discovery and Requirements (Weeks 1-2)</w:t>
      </w:r>
    </w:p>
    <w:p>
      <w:r>
        <w:rPr>
          <w:rFonts w:ascii="Figtree" w:hAnsi="Figtree"/>
          <w:b/>
          <w:i w:val="0"/>
          <w:sz w:val="22"/>
        </w:rPr>
        <w:t>Objective:</w:t>
      </w:r>
      <w:r>
        <w:rPr>
          <w:rFonts w:ascii="Figtree" w:hAnsi="Figtree"/>
          <w:b w:val="0"/>
          <w:i w:val="0"/>
          <w:sz w:val="22"/>
        </w:rPr>
        <w:t xml:space="preserve"> Establish a validated understanding of ADGM's business objectives, technical landscape, regulatory environment, and operational requirements.</w:t>
      </w:r>
    </w:p>
    <w:p>
      <w:r>
        <w:rPr>
          <w:rFonts w:ascii="Figtree" w:hAnsi="Figtree"/>
          <w:b/>
          <w:i w:val="0"/>
          <w:sz w:val="22"/>
        </w:rPr>
        <w:t>Key Activities:</w:t>
      </w:r>
    </w:p>
    <w:p>
      <w:pPr>
        <w:pStyle w:val="ListParagraph"/>
        <w:numPr>
          <w:ilvl w:val="0"/>
          <w:numId w:val="4"/>
        </w:numPr>
      </w:pPr>
      <w:r>
        <w:rPr>
          <w:rFonts w:ascii="Figtree" w:hAnsi="Figtree"/>
          <w:b w:val="0"/>
          <w:i w:val="0"/>
          <w:sz w:val="22"/>
        </w:rPr>
        <w:t>Stakeholder interviews with business sponsors, technology leadership, compliance officers, and operations teams</w:t>
      </w:r>
    </w:p>
    <w:p>
      <w:pPr>
        <w:pStyle w:val="ListParagraph"/>
        <w:numPr>
          <w:ilvl w:val="0"/>
          <w:numId w:val="4"/>
        </w:numPr>
      </w:pPr>
      <w:r>
        <w:rPr>
          <w:rFonts w:ascii="Figtree" w:hAnsi="Figtree"/>
          <w:b w:val="0"/>
          <w:i w:val="0"/>
          <w:sz w:val="22"/>
        </w:rPr>
        <w:t>Current-state assessment of existing systems landscape</w:t>
      </w:r>
    </w:p>
    <w:p>
      <w:pPr>
        <w:pStyle w:val="ListParagraph"/>
        <w:numPr>
          <w:ilvl w:val="0"/>
          <w:numId w:val="4"/>
        </w:numPr>
      </w:pPr>
      <w:r>
        <w:rPr>
          <w:rFonts w:ascii="Figtree" w:hAnsi="Figtree"/>
          <w:b w:val="0"/>
          <w:i w:val="0"/>
          <w:sz w:val="22"/>
        </w:rPr>
        <w:t>Regulatory and compliance mapping to DALP compliance modules</w:t>
      </w:r>
    </w:p>
    <w:p>
      <w:pPr>
        <w:pStyle w:val="ListParagraph"/>
        <w:numPr>
          <w:ilvl w:val="0"/>
          <w:numId w:val="4"/>
        </w:numPr>
      </w:pPr>
      <w:r>
        <w:rPr>
          <w:rFonts w:ascii="Figtree" w:hAnsi="Figtree"/>
          <w:b w:val="0"/>
          <w:i w:val="0"/>
          <w:sz w:val="22"/>
        </w:rPr>
        <w:t>Asset class and lifecycle scoping</w:t>
      </w:r>
    </w:p>
    <w:p>
      <w:pPr>
        <w:pStyle w:val="ListParagraph"/>
        <w:numPr>
          <w:ilvl w:val="0"/>
          <w:numId w:val="4"/>
        </w:numPr>
      </w:pPr>
      <w:r>
        <w:rPr>
          <w:rFonts w:ascii="Figtree" w:hAnsi="Figtree"/>
          <w:b w:val="0"/>
          <w:i w:val="0"/>
          <w:sz w:val="22"/>
        </w:rPr>
        <w:t>Architecture design sessions</w:t>
      </w:r>
    </w:p>
    <w:p>
      <w:r>
        <w:rPr>
          <w:rFonts w:ascii="Figtree" w:hAnsi="Figtree"/>
          <w:b/>
          <w:i w:val="0"/>
          <w:sz w:val="22"/>
        </w:rPr>
        <w:t>Deliverables:</w:t>
      </w:r>
    </w:p>
    <w:p>
      <w:pPr>
        <w:pStyle w:val="ListParagraph"/>
        <w:numPr>
          <w:ilvl w:val="0"/>
          <w:numId w:val="4"/>
        </w:numPr>
      </w:pPr>
      <w:r>
        <w:rPr>
          <w:rFonts w:ascii="Figtree" w:hAnsi="Figtree"/>
          <w:b w:val="0"/>
          <w:i w:val="0"/>
          <w:sz w:val="22"/>
        </w:rPr>
        <w:t>Business Requirements Document</w:t>
      </w:r>
    </w:p>
    <w:p>
      <w:pPr>
        <w:pStyle w:val="ListParagraph"/>
        <w:numPr>
          <w:ilvl w:val="0"/>
          <w:numId w:val="4"/>
        </w:numPr>
      </w:pPr>
      <w:r>
        <w:rPr>
          <w:rFonts w:ascii="Figtree" w:hAnsi="Figtree"/>
          <w:b w:val="0"/>
          <w:i w:val="0"/>
          <w:sz w:val="22"/>
        </w:rPr>
        <w:t>Regulatory and Compliance Matrix</w:t>
      </w:r>
    </w:p>
    <w:p>
      <w:pPr>
        <w:pStyle w:val="ListParagraph"/>
        <w:numPr>
          <w:ilvl w:val="0"/>
          <w:numId w:val="4"/>
        </w:numPr>
      </w:pPr>
      <w:r>
        <w:rPr>
          <w:rFonts w:ascii="Figtree" w:hAnsi="Figtree"/>
          <w:b w:val="0"/>
          <w:i w:val="0"/>
          <w:sz w:val="22"/>
        </w:rPr>
        <w:t>Target Architecture Document</w:t>
      </w:r>
    </w:p>
    <w:p>
      <w:pPr>
        <w:pStyle w:val="ListParagraph"/>
        <w:numPr>
          <w:ilvl w:val="0"/>
          <w:numId w:val="4"/>
        </w:numPr>
      </w:pPr>
      <w:r>
        <w:rPr>
          <w:rFonts w:ascii="Figtree" w:hAnsi="Figtree"/>
          <w:b w:val="0"/>
          <w:i w:val="0"/>
          <w:sz w:val="22"/>
        </w:rPr>
        <w:t>Implementation Roadmap</w:t>
      </w:r>
    </w:p>
    <w:p>
      <w:pPr>
        <w:pStyle w:val="ListParagraph"/>
        <w:numPr>
          <w:ilvl w:val="0"/>
          <w:numId w:val="4"/>
        </w:numPr>
      </w:pPr>
      <w:r>
        <w:rPr>
          <w:rFonts w:ascii="Figtree" w:hAnsi="Figtree"/>
          <w:b w:val="0"/>
          <w:i w:val="0"/>
          <w:sz w:val="22"/>
        </w:rPr>
        <w:t>RACI Matrix</w:t>
      </w:r>
    </w:p>
    <w:p>
      <w:r>
        <w:rPr>
          <w:rFonts w:ascii="Figtree" w:hAnsi="Figtree"/>
          <w:b/>
          <w:i w:val="0"/>
          <w:sz w:val="22"/>
        </w:rPr>
        <w:t>Gate 1 Criteria:</w:t>
      </w:r>
      <w:r>
        <w:rPr>
          <w:rFonts w:ascii="Figtree" w:hAnsi="Figtree"/>
          <w:b w:val="0"/>
          <w:i w:val="0"/>
          <w:sz w:val="22"/>
        </w:rPr>
        <w:t xml:space="preserve"> All stakeholder interviews completed; regulatory matrix reviewed by compliance team; architecture accepted by technology leadership; resource availability confirmed.</w:t>
      </w:r>
    </w:p>
    <w:p>
      <w:pPr>
        <w:pStyle w:val="H3"/>
        <w:numPr>
          <w:ilvl w:val="2"/>
          <w:numId w:val="1"/>
        </w:numPr>
      </w:pPr>
      <w:r>
        <w:t>Phase 2: Foundation and Setup (Weeks 3-5)</w:t>
      </w:r>
    </w:p>
    <w:p>
      <w:r>
        <w:rPr>
          <w:rFonts w:ascii="Figtree" w:hAnsi="Figtree"/>
          <w:b/>
          <w:i w:val="0"/>
          <w:sz w:val="22"/>
        </w:rPr>
        <w:t>Objective:</w:t>
      </w:r>
      <w:r>
        <w:rPr>
          <w:rFonts w:ascii="Figtree" w:hAnsi="Figtree"/>
          <w:b w:val="0"/>
          <w:i w:val="0"/>
          <w:sz w:val="22"/>
        </w:rPr>
        <w:t xml:space="preserve"> Provision the DALP environment, configure the blockchain network, establish the identity and access framework, and prepare the integration layer.</w:t>
      </w:r>
    </w:p>
    <w:p>
      <w:r>
        <w:rPr>
          <w:rFonts w:ascii="Figtree" w:hAnsi="Figtree"/>
          <w:b/>
          <w:i w:val="0"/>
          <w:sz w:val="22"/>
        </w:rPr>
        <w:t>Key Activities:</w:t>
      </w:r>
    </w:p>
    <w:p>
      <w:pPr>
        <w:pStyle w:val="ListParagraph"/>
        <w:numPr>
          <w:ilvl w:val="0"/>
          <w:numId w:val="4"/>
        </w:numPr>
      </w:pPr>
      <w:r>
        <w:rPr>
          <w:rFonts w:ascii="Figtree" w:hAnsi="Figtree"/>
          <w:b w:val="0"/>
          <w:i w:val="0"/>
          <w:sz w:val="22"/>
        </w:rPr>
        <w:t>Environment provisioning (development, staging, production)</w:t>
      </w:r>
    </w:p>
    <w:p>
      <w:pPr>
        <w:pStyle w:val="ListParagraph"/>
        <w:numPr>
          <w:ilvl w:val="0"/>
          <w:numId w:val="4"/>
        </w:numPr>
      </w:pPr>
      <w:r>
        <w:rPr>
          <w:rFonts w:ascii="Figtree" w:hAnsi="Figtree"/>
          <w:b w:val="0"/>
          <w:i w:val="0"/>
          <w:sz w:val="22"/>
        </w:rPr>
        <w:t>Network configuration (Hyperledger Besu validators and RPC nodes)</w:t>
      </w:r>
    </w:p>
    <w:p>
      <w:pPr>
        <w:pStyle w:val="ListParagraph"/>
        <w:numPr>
          <w:ilvl w:val="0"/>
          <w:numId w:val="4"/>
        </w:numPr>
      </w:pPr>
      <w:r>
        <w:rPr>
          <w:rFonts w:ascii="Figtree" w:hAnsi="Figtree"/>
          <w:b w:val="0"/>
          <w:i w:val="0"/>
          <w:sz w:val="22"/>
        </w:rPr>
        <w:t>Identity and access framework setup (OnchainID, RBAC)</w:t>
      </w:r>
    </w:p>
    <w:p>
      <w:pPr>
        <w:pStyle w:val="ListParagraph"/>
        <w:numPr>
          <w:ilvl w:val="0"/>
          <w:numId w:val="4"/>
        </w:numPr>
      </w:pPr>
      <w:r>
        <w:rPr>
          <w:rFonts w:ascii="Figtree" w:hAnsi="Figtree"/>
          <w:b w:val="0"/>
          <w:i w:val="0"/>
          <w:sz w:val="22"/>
        </w:rPr>
        <w:t>Key management configuration (HSM or MPC provider)</w:t>
      </w:r>
    </w:p>
    <w:p>
      <w:pPr>
        <w:pStyle w:val="ListParagraph"/>
        <w:numPr>
          <w:ilvl w:val="0"/>
          <w:numId w:val="4"/>
        </w:numPr>
      </w:pPr>
      <w:r>
        <w:rPr>
          <w:rFonts w:ascii="Figtree" w:hAnsi="Figtree"/>
          <w:b w:val="0"/>
          <w:i w:val="0"/>
          <w:sz w:val="22"/>
        </w:rPr>
        <w:t>Observability stack deployment</w:t>
      </w:r>
    </w:p>
    <w:p>
      <w:r>
        <w:rPr>
          <w:rFonts w:ascii="Figtree" w:hAnsi="Figtree"/>
          <w:b/>
          <w:i w:val="0"/>
          <w:sz w:val="22"/>
        </w:rPr>
        <w:t>Deliverables:</w:t>
      </w:r>
    </w:p>
    <w:p>
      <w:pPr>
        <w:pStyle w:val="ListParagraph"/>
        <w:numPr>
          <w:ilvl w:val="0"/>
          <w:numId w:val="4"/>
        </w:numPr>
      </w:pPr>
      <w:r>
        <w:rPr>
          <w:rFonts w:ascii="Figtree" w:hAnsi="Figtree"/>
          <w:b w:val="0"/>
          <w:i w:val="0"/>
          <w:sz w:val="22"/>
        </w:rPr>
        <w:t>Provisioned environments with health checks</w:t>
      </w:r>
    </w:p>
    <w:p>
      <w:pPr>
        <w:pStyle w:val="ListParagraph"/>
        <w:numPr>
          <w:ilvl w:val="0"/>
          <w:numId w:val="4"/>
        </w:numPr>
      </w:pPr>
      <w:r>
        <w:rPr>
          <w:rFonts w:ascii="Figtree" w:hAnsi="Figtree"/>
          <w:b w:val="0"/>
          <w:i w:val="0"/>
          <w:sz w:val="22"/>
        </w:rPr>
        <w:t>Network configuration documentation</w:t>
      </w:r>
    </w:p>
    <w:p>
      <w:pPr>
        <w:pStyle w:val="ListParagraph"/>
        <w:numPr>
          <w:ilvl w:val="0"/>
          <w:numId w:val="4"/>
        </w:numPr>
      </w:pPr>
      <w:r>
        <w:rPr>
          <w:rFonts w:ascii="Figtree" w:hAnsi="Figtree"/>
          <w:b w:val="0"/>
          <w:i w:val="0"/>
          <w:sz w:val="22"/>
        </w:rPr>
        <w:t>Identity and access design</w:t>
      </w:r>
    </w:p>
    <w:p>
      <w:pPr>
        <w:pStyle w:val="ListParagraph"/>
        <w:numPr>
          <w:ilvl w:val="0"/>
          <w:numId w:val="4"/>
        </w:numPr>
      </w:pPr>
      <w:r>
        <w:rPr>
          <w:rFonts w:ascii="Figtree" w:hAnsi="Figtree"/>
          <w:b w:val="0"/>
          <w:i w:val="0"/>
          <w:sz w:val="22"/>
        </w:rPr>
        <w:t>Key management configuration</w:t>
      </w:r>
    </w:p>
    <w:p>
      <w:pPr>
        <w:pStyle w:val="ListParagraph"/>
        <w:numPr>
          <w:ilvl w:val="0"/>
          <w:numId w:val="4"/>
        </w:numPr>
      </w:pPr>
      <w:r>
        <w:rPr>
          <w:rFonts w:ascii="Figtree" w:hAnsi="Figtree"/>
          <w:b w:val="0"/>
          <w:i w:val="0"/>
          <w:sz w:val="22"/>
        </w:rPr>
        <w:t>Observability setup report</w:t>
      </w:r>
    </w:p>
    <w:p>
      <w:r>
        <w:rPr>
          <w:rFonts w:ascii="Figtree" w:hAnsi="Figtree"/>
          <w:b/>
          <w:i w:val="0"/>
          <w:sz w:val="22"/>
        </w:rPr>
        <w:t>Gate 2 Criteria:</w:t>
      </w:r>
      <w:r>
        <w:rPr>
          <w:rFonts w:ascii="Figtree" w:hAnsi="Figtree"/>
          <w:b w:val="0"/>
          <w:i w:val="0"/>
          <w:sz w:val="22"/>
        </w:rPr>
        <w:t xml:space="preserve"> All environments provisioned; blockchain network operational; identity framework functional; key management verified; observability stack operational.</w:t>
      </w:r>
    </w:p>
    <w:p>
      <w:pPr>
        <w:pStyle w:val="H3"/>
        <w:numPr>
          <w:ilvl w:val="2"/>
          <w:numId w:val="1"/>
        </w:numPr>
      </w:pPr>
      <w:r>
        <w:t>Phase 3: Configuration and Compliance (Weeks 6-9)</w:t>
      </w:r>
    </w:p>
    <w:p>
      <w:r>
        <w:rPr>
          <w:rFonts w:ascii="Figtree" w:hAnsi="Figtree"/>
          <w:b/>
          <w:i w:val="0"/>
          <w:sz w:val="22"/>
        </w:rPr>
        <w:t>Objective:</w:t>
      </w:r>
      <w:r>
        <w:rPr>
          <w:rFonts w:ascii="Figtree" w:hAnsi="Figtree"/>
          <w:b w:val="0"/>
          <w:i w:val="0"/>
          <w:sz w:val="22"/>
        </w:rPr>
        <w:t xml:space="preserve"> Configure asset types, compliance modules, data feeds, and operational workflows to match ADGM's specific requirements.</w:t>
      </w:r>
    </w:p>
    <w:p>
      <w:r>
        <w:rPr>
          <w:rFonts w:ascii="Figtree" w:hAnsi="Figtree"/>
          <w:b/>
          <w:i w:val="0"/>
          <w:sz w:val="22"/>
        </w:rPr>
        <w:t>Key Activities:</w:t>
      </w:r>
    </w:p>
    <w:p>
      <w:pPr>
        <w:pStyle w:val="ListParagraph"/>
        <w:numPr>
          <w:ilvl w:val="0"/>
          <w:numId w:val="4"/>
        </w:numPr>
      </w:pPr>
      <w:r>
        <w:rPr>
          <w:rFonts w:ascii="Figtree" w:hAnsi="Figtree"/>
          <w:b w:val="0"/>
          <w:i w:val="0"/>
          <w:sz w:val="22"/>
        </w:rPr>
        <w:t>Token and asset configuration (bond, equity, fund, stablecoin templates)</w:t>
      </w:r>
    </w:p>
    <w:p>
      <w:pPr>
        <w:pStyle w:val="ListParagraph"/>
        <w:numPr>
          <w:ilvl w:val="0"/>
          <w:numId w:val="4"/>
        </w:numPr>
      </w:pPr>
      <w:r>
        <w:rPr>
          <w:rFonts w:ascii="Figtree" w:hAnsi="Figtree"/>
          <w:b w:val="0"/>
          <w:i w:val="0"/>
          <w:sz w:val="22"/>
        </w:rPr>
        <w:t>Compliance module setup (investor limits, country restrictions, identity verification)</w:t>
      </w:r>
    </w:p>
    <w:p>
      <w:pPr>
        <w:pStyle w:val="ListParagraph"/>
        <w:numPr>
          <w:ilvl w:val="0"/>
          <w:numId w:val="4"/>
        </w:numPr>
      </w:pPr>
      <w:r>
        <w:rPr>
          <w:rFonts w:ascii="Figtree" w:hAnsi="Figtree"/>
          <w:b w:val="0"/>
          <w:i w:val="0"/>
          <w:sz w:val="22"/>
        </w:rPr>
        <w:t>Claims and trusted issuer configuration</w:t>
      </w:r>
    </w:p>
    <w:p>
      <w:pPr>
        <w:pStyle w:val="ListParagraph"/>
        <w:numPr>
          <w:ilvl w:val="0"/>
          <w:numId w:val="4"/>
        </w:numPr>
      </w:pPr>
      <w:r>
        <w:rPr>
          <w:rFonts w:ascii="Figtree" w:hAnsi="Figtree"/>
          <w:b w:val="0"/>
          <w:i w:val="0"/>
          <w:sz w:val="22"/>
        </w:rPr>
        <w:t>Feed configuration (price feeds, NAV feeds)</w:t>
      </w:r>
    </w:p>
    <w:p>
      <w:pPr>
        <w:pStyle w:val="ListParagraph"/>
        <w:numPr>
          <w:ilvl w:val="0"/>
          <w:numId w:val="4"/>
        </w:numPr>
      </w:pPr>
      <w:r>
        <w:rPr>
          <w:rFonts w:ascii="Figtree" w:hAnsi="Figtree"/>
          <w:b w:val="0"/>
          <w:i w:val="0"/>
          <w:sz w:val="22"/>
        </w:rPr>
        <w:t>Operational workflow design</w:t>
      </w:r>
    </w:p>
    <w:p>
      <w:r>
        <w:rPr>
          <w:rFonts w:ascii="Figtree" w:hAnsi="Figtree"/>
          <w:b/>
          <w:i w:val="0"/>
          <w:sz w:val="22"/>
        </w:rPr>
        <w:t>Deliverables:</w:t>
      </w:r>
    </w:p>
    <w:p>
      <w:pPr>
        <w:pStyle w:val="ListParagraph"/>
        <w:numPr>
          <w:ilvl w:val="0"/>
          <w:numId w:val="4"/>
        </w:numPr>
      </w:pPr>
      <w:r>
        <w:rPr>
          <w:rFonts w:ascii="Figtree" w:hAnsi="Figtree"/>
          <w:b w:val="0"/>
          <w:i w:val="0"/>
          <w:sz w:val="22"/>
        </w:rPr>
        <w:t>Asset configuration documentation</w:t>
      </w:r>
    </w:p>
    <w:p>
      <w:pPr>
        <w:pStyle w:val="ListParagraph"/>
        <w:numPr>
          <w:ilvl w:val="0"/>
          <w:numId w:val="4"/>
        </w:numPr>
      </w:pPr>
      <w:r>
        <w:rPr>
          <w:rFonts w:ascii="Figtree" w:hAnsi="Figtree"/>
          <w:b w:val="0"/>
          <w:i w:val="0"/>
          <w:sz w:val="22"/>
        </w:rPr>
        <w:t>Compliance module configuration</w:t>
      </w:r>
    </w:p>
    <w:p>
      <w:pPr>
        <w:pStyle w:val="ListParagraph"/>
        <w:numPr>
          <w:ilvl w:val="0"/>
          <w:numId w:val="4"/>
        </w:numPr>
      </w:pPr>
      <w:r>
        <w:rPr>
          <w:rFonts w:ascii="Figtree" w:hAnsi="Figtree"/>
          <w:b w:val="0"/>
          <w:i w:val="0"/>
          <w:sz w:val="22"/>
        </w:rPr>
        <w:t>Claims and feed configuration</w:t>
      </w:r>
    </w:p>
    <w:p>
      <w:pPr>
        <w:pStyle w:val="ListParagraph"/>
        <w:numPr>
          <w:ilvl w:val="0"/>
          <w:numId w:val="4"/>
        </w:numPr>
      </w:pPr>
      <w:r>
        <w:rPr>
          <w:rFonts w:ascii="Figtree" w:hAnsi="Figtree"/>
          <w:b w:val="0"/>
          <w:i w:val="0"/>
          <w:sz w:val="22"/>
        </w:rPr>
        <w:t>Integration design document</w:t>
      </w:r>
    </w:p>
    <w:p>
      <w:pPr>
        <w:pStyle w:val="ListParagraph"/>
        <w:numPr>
          <w:ilvl w:val="0"/>
          <w:numId w:val="4"/>
        </w:numPr>
      </w:pPr>
      <w:r>
        <w:rPr>
          <w:rFonts w:ascii="Figtree" w:hAnsi="Figtree"/>
          <w:b w:val="0"/>
          <w:i w:val="0"/>
          <w:sz w:val="22"/>
        </w:rPr>
        <w:t>Operational workflow documentation</w:t>
      </w:r>
    </w:p>
    <w:p>
      <w:r>
        <w:rPr>
          <w:rFonts w:ascii="Figtree" w:hAnsi="Figtree"/>
          <w:b/>
          <w:i w:val="0"/>
          <w:sz w:val="22"/>
        </w:rPr>
        <w:t>Gate 3 Criteria:</w:t>
      </w:r>
      <w:r>
        <w:rPr>
          <w:rFonts w:ascii="Figtree" w:hAnsi="Figtree"/>
          <w:b w:val="0"/>
          <w:i w:val="0"/>
          <w:sz w:val="22"/>
        </w:rPr>
        <w:t xml:space="preserve"> All asset types configured; compliance modules tested (allow and block scenarios); claims verified; feeds operational; workflows reviewed by operations team.</w:t>
      </w:r>
    </w:p>
    <w:p>
      <w:pPr>
        <w:pStyle w:val="H3"/>
        <w:numPr>
          <w:ilvl w:val="2"/>
          <w:numId w:val="1"/>
        </w:numPr>
      </w:pPr>
      <w:r>
        <w:t>Phase 4: Integration and Testing (Weeks 10-13)</w:t>
      </w:r>
    </w:p>
    <w:p>
      <w:r>
        <w:rPr>
          <w:rFonts w:ascii="Figtree" w:hAnsi="Figtree"/>
          <w:b/>
          <w:i w:val="0"/>
          <w:sz w:val="22"/>
        </w:rPr>
        <w:t>Objective:</w:t>
      </w:r>
      <w:r>
        <w:rPr>
          <w:rFonts w:ascii="Figtree" w:hAnsi="Figtree"/>
          <w:b w:val="0"/>
          <w:i w:val="0"/>
          <w:sz w:val="22"/>
        </w:rPr>
        <w:t xml:space="preserve"> Connect DALP to ADGM's existing systems and validate the complete deployment.</w:t>
      </w:r>
    </w:p>
    <w:p>
      <w:r>
        <w:rPr>
          <w:rFonts w:ascii="Figtree" w:hAnsi="Figtree"/>
          <w:b/>
          <w:i w:val="0"/>
          <w:sz w:val="22"/>
        </w:rPr>
        <w:t>Key Activities:</w:t>
      </w:r>
    </w:p>
    <w:p>
      <w:pPr>
        <w:pStyle w:val="ListParagraph"/>
        <w:numPr>
          <w:ilvl w:val="0"/>
          <w:numId w:val="4"/>
        </w:numPr>
      </w:pPr>
      <w:r>
        <w:rPr>
          <w:rFonts w:ascii="Figtree" w:hAnsi="Figtree"/>
          <w:b w:val="0"/>
          <w:i w:val="0"/>
          <w:sz w:val="22"/>
        </w:rPr>
        <w:t>API integration with core systems</w:t>
      </w:r>
    </w:p>
    <w:p>
      <w:pPr>
        <w:pStyle w:val="ListParagraph"/>
        <w:numPr>
          <w:ilvl w:val="0"/>
          <w:numId w:val="4"/>
        </w:numPr>
      </w:pPr>
      <w:r>
        <w:rPr>
          <w:rFonts w:ascii="Figtree" w:hAnsi="Figtree"/>
          <w:b w:val="0"/>
          <w:i w:val="0"/>
          <w:sz w:val="22"/>
        </w:rPr>
        <w:t>Custody connector setup</w:t>
      </w:r>
    </w:p>
    <w:p>
      <w:pPr>
        <w:pStyle w:val="ListParagraph"/>
        <w:numPr>
          <w:ilvl w:val="0"/>
          <w:numId w:val="4"/>
        </w:numPr>
      </w:pPr>
      <w:r>
        <w:rPr>
          <w:rFonts w:ascii="Figtree" w:hAnsi="Figtree"/>
          <w:b w:val="0"/>
          <w:i w:val="0"/>
          <w:sz w:val="22"/>
        </w:rPr>
        <w:t>Core banking and payment integration</w:t>
      </w:r>
    </w:p>
    <w:p>
      <w:pPr>
        <w:pStyle w:val="ListParagraph"/>
        <w:numPr>
          <w:ilvl w:val="0"/>
          <w:numId w:val="4"/>
        </w:numPr>
      </w:pPr>
      <w:r>
        <w:rPr>
          <w:rFonts w:ascii="Figtree" w:hAnsi="Figtree"/>
          <w:b w:val="0"/>
          <w:i w:val="0"/>
          <w:sz w:val="22"/>
        </w:rPr>
        <w:t>Functional testing</w:t>
      </w:r>
    </w:p>
    <w:p>
      <w:pPr>
        <w:pStyle w:val="ListParagraph"/>
        <w:numPr>
          <w:ilvl w:val="0"/>
          <w:numId w:val="4"/>
        </w:numPr>
      </w:pPr>
      <w:r>
        <w:rPr>
          <w:rFonts w:ascii="Figtree" w:hAnsi="Figtree"/>
          <w:b w:val="0"/>
          <w:i w:val="0"/>
          <w:sz w:val="22"/>
        </w:rPr>
        <w:t>Security testing</w:t>
      </w:r>
    </w:p>
    <w:p>
      <w:pPr>
        <w:pStyle w:val="ListParagraph"/>
        <w:numPr>
          <w:ilvl w:val="0"/>
          <w:numId w:val="4"/>
        </w:numPr>
      </w:pPr>
      <w:r>
        <w:rPr>
          <w:rFonts w:ascii="Figtree" w:hAnsi="Figtree"/>
          <w:b w:val="0"/>
          <w:i w:val="0"/>
          <w:sz w:val="22"/>
        </w:rPr>
        <w:t>Performance testing</w:t>
      </w:r>
    </w:p>
    <w:p>
      <w:pPr>
        <w:pStyle w:val="ListParagraph"/>
        <w:numPr>
          <w:ilvl w:val="0"/>
          <w:numId w:val="4"/>
        </w:numPr>
      </w:pPr>
      <w:r>
        <w:rPr>
          <w:rFonts w:ascii="Figtree" w:hAnsi="Figtree"/>
          <w:b w:val="0"/>
          <w:i w:val="0"/>
          <w:sz w:val="22"/>
        </w:rPr>
        <w:t>User acceptance testing</w:t>
      </w:r>
    </w:p>
    <w:p>
      <w:r>
        <w:rPr>
          <w:rFonts w:ascii="Figtree" w:hAnsi="Figtree"/>
          <w:b/>
          <w:i w:val="0"/>
          <w:sz w:val="22"/>
        </w:rPr>
        <w:t>Deliverables:</w:t>
      </w:r>
    </w:p>
    <w:p>
      <w:pPr>
        <w:pStyle w:val="ListParagraph"/>
        <w:numPr>
          <w:ilvl w:val="0"/>
          <w:numId w:val="4"/>
        </w:numPr>
      </w:pPr>
      <w:r>
        <w:rPr>
          <w:rFonts w:ascii="Figtree" w:hAnsi="Figtree"/>
          <w:b w:val="0"/>
          <w:i w:val="0"/>
          <w:sz w:val="22"/>
        </w:rPr>
        <w:t>Integrated system landscape</w:t>
      </w:r>
    </w:p>
    <w:p>
      <w:pPr>
        <w:pStyle w:val="ListParagraph"/>
        <w:numPr>
          <w:ilvl w:val="0"/>
          <w:numId w:val="4"/>
        </w:numPr>
      </w:pPr>
      <w:r>
        <w:rPr>
          <w:rFonts w:ascii="Figtree" w:hAnsi="Figtree"/>
          <w:b w:val="0"/>
          <w:i w:val="0"/>
          <w:sz w:val="22"/>
        </w:rPr>
        <w:t>Functional test report</w:t>
      </w:r>
    </w:p>
    <w:p>
      <w:pPr>
        <w:pStyle w:val="ListParagraph"/>
        <w:numPr>
          <w:ilvl w:val="0"/>
          <w:numId w:val="4"/>
        </w:numPr>
      </w:pPr>
      <w:r>
        <w:rPr>
          <w:rFonts w:ascii="Figtree" w:hAnsi="Figtree"/>
          <w:b w:val="0"/>
          <w:i w:val="0"/>
          <w:sz w:val="22"/>
        </w:rPr>
        <w:t>Security assessment report</w:t>
      </w:r>
    </w:p>
    <w:p>
      <w:pPr>
        <w:pStyle w:val="ListParagraph"/>
        <w:numPr>
          <w:ilvl w:val="0"/>
          <w:numId w:val="4"/>
        </w:numPr>
      </w:pPr>
      <w:r>
        <w:rPr>
          <w:rFonts w:ascii="Figtree" w:hAnsi="Figtree"/>
          <w:b w:val="0"/>
          <w:i w:val="0"/>
          <w:sz w:val="22"/>
        </w:rPr>
        <w:t>Performance test report</w:t>
      </w:r>
    </w:p>
    <w:p>
      <w:pPr>
        <w:pStyle w:val="ListParagraph"/>
        <w:numPr>
          <w:ilvl w:val="0"/>
          <w:numId w:val="4"/>
        </w:numPr>
      </w:pPr>
      <w:r>
        <w:rPr>
          <w:rFonts w:ascii="Figtree" w:hAnsi="Figtree"/>
          <w:b w:val="0"/>
          <w:i w:val="0"/>
          <w:sz w:val="22"/>
        </w:rPr>
        <w:t>UAT sign-off</w:t>
      </w:r>
    </w:p>
    <w:p>
      <w:pPr>
        <w:pStyle w:val="ListParagraph"/>
        <w:numPr>
          <w:ilvl w:val="0"/>
          <w:numId w:val="4"/>
        </w:numPr>
      </w:pPr>
      <w:r>
        <w:rPr>
          <w:rFonts w:ascii="Figtree" w:hAnsi="Figtree"/>
          <w:b w:val="0"/>
          <w:i w:val="0"/>
          <w:sz w:val="22"/>
        </w:rPr>
        <w:t>Go-live readiness assessment</w:t>
      </w:r>
    </w:p>
    <w:p>
      <w:r>
        <w:rPr>
          <w:rFonts w:ascii="Figtree" w:hAnsi="Figtree"/>
          <w:b/>
          <w:i w:val="0"/>
          <w:sz w:val="22"/>
        </w:rPr>
        <w:t>Gate 4 Criteria:</w:t>
      </w:r>
      <w:r>
        <w:rPr>
          <w:rFonts w:ascii="Figtree" w:hAnsi="Figtree"/>
          <w:b w:val="0"/>
          <w:i w:val="0"/>
          <w:sz w:val="22"/>
        </w:rPr>
        <w:t xml:space="preserve"> All integrations operational; functional test pass rate 100% for P1/P2; security assessment complete with no critical findings; UAT sign-off received.</w:t>
      </w:r>
    </w:p>
    <w:p>
      <w:pPr>
        <w:pStyle w:val="H3"/>
        <w:numPr>
          <w:ilvl w:val="2"/>
          <w:numId w:val="1"/>
        </w:numPr>
      </w:pPr>
      <w:r>
        <w:t>Phase 5: Go-Live and Hypercare (Weeks 14-19)</w:t>
      </w:r>
    </w:p>
    <w:p>
      <w:r>
        <w:rPr>
          <w:rFonts w:ascii="Figtree" w:hAnsi="Figtree"/>
          <w:b/>
          <w:i w:val="0"/>
          <w:sz w:val="22"/>
        </w:rPr>
        <w:t>Objective:</w:t>
      </w:r>
      <w:r>
        <w:rPr>
          <w:rFonts w:ascii="Figtree" w:hAnsi="Figtree"/>
          <w:b w:val="0"/>
          <w:i w:val="0"/>
          <w:sz w:val="22"/>
        </w:rPr>
        <w:t xml:space="preserve"> Execute production deployment and provide intensive post-go-live support.</w:t>
      </w:r>
    </w:p>
    <w:p>
      <w:r>
        <w:rPr>
          <w:rFonts w:ascii="Figtree" w:hAnsi="Figtree"/>
          <w:b/>
          <w:i w:val="0"/>
          <w:sz w:val="22"/>
        </w:rPr>
        <w:t>Go-Live (Weeks 14-15):</w:t>
      </w:r>
    </w:p>
    <w:p>
      <w:pPr>
        <w:pStyle w:val="ListParagraph"/>
        <w:numPr>
          <w:ilvl w:val="0"/>
          <w:numId w:val="4"/>
        </w:numPr>
      </w:pPr>
      <w:r>
        <w:rPr>
          <w:rFonts w:ascii="Figtree" w:hAnsi="Figtree"/>
          <w:b w:val="0"/>
          <w:i w:val="0"/>
          <w:sz w:val="22"/>
        </w:rPr>
        <w:t>Production deployment</w:t>
      </w:r>
    </w:p>
    <w:p>
      <w:pPr>
        <w:pStyle w:val="ListParagraph"/>
        <w:numPr>
          <w:ilvl w:val="0"/>
          <w:numId w:val="4"/>
        </w:numPr>
      </w:pPr>
      <w:r>
        <w:rPr>
          <w:rFonts w:ascii="Figtree" w:hAnsi="Figtree"/>
          <w:b w:val="0"/>
          <w:i w:val="0"/>
          <w:sz w:val="22"/>
        </w:rPr>
        <w:t>Data migration</w:t>
      </w:r>
    </w:p>
    <w:p>
      <w:pPr>
        <w:pStyle w:val="ListParagraph"/>
        <w:numPr>
          <w:ilvl w:val="0"/>
          <w:numId w:val="4"/>
        </w:numPr>
      </w:pPr>
      <w:r>
        <w:rPr>
          <w:rFonts w:ascii="Figtree" w:hAnsi="Figtree"/>
          <w:b w:val="0"/>
          <w:i w:val="0"/>
          <w:sz w:val="22"/>
        </w:rPr>
        <w:t>Go-live validation</w:t>
      </w:r>
    </w:p>
    <w:p>
      <w:pPr>
        <w:pStyle w:val="ListParagraph"/>
        <w:numPr>
          <w:ilvl w:val="0"/>
          <w:numId w:val="4"/>
        </w:numPr>
      </w:pPr>
      <w:r>
        <w:rPr>
          <w:rFonts w:ascii="Figtree" w:hAnsi="Figtree"/>
          <w:b w:val="0"/>
          <w:i w:val="0"/>
          <w:sz w:val="22"/>
        </w:rPr>
        <w:t>Dedicated support coverage</w:t>
      </w:r>
    </w:p>
    <w:p>
      <w:r>
        <w:rPr>
          <w:rFonts w:ascii="Figtree" w:hAnsi="Figtree"/>
          <w:b/>
          <w:i w:val="0"/>
          <w:sz w:val="22"/>
        </w:rPr>
        <w:t>Hypercare (Weeks 16-19):</w:t>
      </w:r>
    </w:p>
    <w:p>
      <w:pPr>
        <w:pStyle w:val="ListParagraph"/>
        <w:numPr>
          <w:ilvl w:val="0"/>
          <w:numId w:val="4"/>
        </w:numPr>
      </w:pPr>
      <w:r>
        <w:rPr>
          <w:rFonts w:ascii="Figtree" w:hAnsi="Figtree"/>
          <w:b w:val="0"/>
          <w:i w:val="0"/>
          <w:sz w:val="22"/>
        </w:rPr>
        <w:t>Dedicated monitoring</w:t>
      </w:r>
    </w:p>
    <w:p>
      <w:pPr>
        <w:pStyle w:val="ListParagraph"/>
        <w:numPr>
          <w:ilvl w:val="0"/>
          <w:numId w:val="4"/>
        </w:numPr>
      </w:pPr>
      <w:r>
        <w:rPr>
          <w:rFonts w:ascii="Figtree" w:hAnsi="Figtree"/>
          <w:b w:val="0"/>
          <w:i w:val="0"/>
          <w:sz w:val="22"/>
        </w:rPr>
        <w:t>Performance optimization</w:t>
      </w:r>
    </w:p>
    <w:p>
      <w:pPr>
        <w:pStyle w:val="ListParagraph"/>
        <w:numPr>
          <w:ilvl w:val="0"/>
          <w:numId w:val="4"/>
        </w:numPr>
      </w:pPr>
      <w:r>
        <w:rPr>
          <w:rFonts w:ascii="Figtree" w:hAnsi="Figtree"/>
          <w:b w:val="0"/>
          <w:i w:val="0"/>
          <w:sz w:val="22"/>
        </w:rPr>
        <w:t>Knowledge transfer completion</w:t>
      </w:r>
    </w:p>
    <w:p>
      <w:pPr>
        <w:pStyle w:val="ListParagraph"/>
        <w:numPr>
          <w:ilvl w:val="0"/>
          <w:numId w:val="4"/>
        </w:numPr>
      </w:pPr>
      <w:r>
        <w:rPr>
          <w:rFonts w:ascii="Figtree" w:hAnsi="Figtree"/>
          <w:b w:val="0"/>
          <w:i w:val="0"/>
          <w:sz w:val="22"/>
        </w:rPr>
        <w:t>Operational readiness validation</w:t>
      </w:r>
    </w:p>
    <w:p>
      <w:pPr>
        <w:pStyle w:val="ListParagraph"/>
        <w:numPr>
          <w:ilvl w:val="0"/>
          <w:numId w:val="4"/>
        </w:numPr>
      </w:pPr>
      <w:r>
        <w:rPr>
          <w:rFonts w:ascii="Figtree" w:hAnsi="Figtree"/>
          <w:b w:val="0"/>
          <w:i w:val="0"/>
          <w:sz w:val="22"/>
        </w:rPr>
        <w:t>Support transition</w:t>
      </w:r>
    </w:p>
    <w:p>
      <w:r>
        <w:rPr>
          <w:rFonts w:ascii="Figtree" w:hAnsi="Figtree"/>
          <w:b/>
          <w:i w:val="0"/>
          <w:sz w:val="22"/>
        </w:rPr>
        <w:t>Deliverables:</w:t>
      </w:r>
    </w:p>
    <w:p>
      <w:pPr>
        <w:pStyle w:val="ListParagraph"/>
        <w:numPr>
          <w:ilvl w:val="0"/>
          <w:numId w:val="4"/>
        </w:numPr>
      </w:pPr>
      <w:r>
        <w:rPr>
          <w:rFonts w:ascii="Figtree" w:hAnsi="Figtree"/>
          <w:b w:val="0"/>
          <w:i w:val="0"/>
          <w:sz w:val="22"/>
        </w:rPr>
        <w:t>Production deployment confirmation</w:t>
      </w:r>
    </w:p>
    <w:p>
      <w:pPr>
        <w:pStyle w:val="ListParagraph"/>
        <w:numPr>
          <w:ilvl w:val="0"/>
          <w:numId w:val="4"/>
        </w:numPr>
      </w:pPr>
      <w:r>
        <w:rPr>
          <w:rFonts w:ascii="Figtree" w:hAnsi="Figtree"/>
          <w:b w:val="0"/>
          <w:i w:val="0"/>
          <w:sz w:val="22"/>
        </w:rPr>
        <w:t>Hypercare summary report</w:t>
      </w:r>
    </w:p>
    <w:p>
      <w:pPr>
        <w:pStyle w:val="ListParagraph"/>
        <w:numPr>
          <w:ilvl w:val="0"/>
          <w:numId w:val="4"/>
        </w:numPr>
      </w:pPr>
      <w:r>
        <w:rPr>
          <w:rFonts w:ascii="Figtree" w:hAnsi="Figtree"/>
          <w:b w:val="0"/>
          <w:i w:val="0"/>
          <w:sz w:val="22"/>
        </w:rPr>
        <w:t>Complete documentation package</w:t>
      </w:r>
    </w:p>
    <w:p>
      <w:pPr>
        <w:pStyle w:val="ListParagraph"/>
        <w:numPr>
          <w:ilvl w:val="0"/>
          <w:numId w:val="4"/>
        </w:numPr>
      </w:pPr>
      <w:r>
        <w:rPr>
          <w:rFonts w:ascii="Figtree" w:hAnsi="Figtree"/>
          <w:b w:val="0"/>
          <w:i w:val="0"/>
          <w:sz w:val="22"/>
        </w:rPr>
        <w:t>Knowledge transfer completion certificate</w:t>
      </w:r>
    </w:p>
    <w:p>
      <w:pPr>
        <w:pStyle w:val="H2"/>
        <w:numPr>
          <w:ilvl w:val="1"/>
          <w:numId w:val="1"/>
        </w:numPr>
      </w:pPr>
      <w:r>
        <w:t>9.3 Governance and Decision Structure</w:t>
      </w:r>
    </w:p>
    <w:p>
      <w:r>
        <w:rPr>
          <w:rFonts w:ascii="Figtree" w:hAnsi="Figtree"/>
          <w:b/>
          <w:i w:val="0"/>
          <w:sz w:val="22"/>
        </w:rPr>
        <w:t>RACI Matrix:</w:t>
      </w:r>
      <w:r>
        <w:rPr>
          <w:rFonts w:ascii="Figtree" w:hAnsi="Figtree"/>
          <w:b w:val="0"/>
          <w:i w:val="0"/>
          <w:sz w:val="22"/>
        </w:rPr>
        <w:t xml:space="preserve"> The implementation follows a RACI model with clear accountability:</w:t>
      </w:r>
    </w:p>
    <w:p>
      <w:pPr>
        <w:pStyle w:val="ListParagraph"/>
        <w:numPr>
          <w:ilvl w:val="0"/>
          <w:numId w:val="4"/>
        </w:numPr>
      </w:pPr>
      <w:r>
        <w:rPr>
          <w:rFonts w:ascii="Figtree" w:hAnsi="Figtree"/>
          <w:b/>
          <w:i w:val="0"/>
          <w:sz w:val="22"/>
        </w:rPr>
        <w:t>SettleMint:</w:t>
      </w:r>
      <w:r>
        <w:rPr>
          <w:rFonts w:ascii="Figtree" w:hAnsi="Figtree"/>
          <w:b w:val="0"/>
          <w:i w:val="0"/>
          <w:sz w:val="22"/>
        </w:rPr>
        <w:t xml:space="preserve"> Technical delivery, platform configuration, integration development, testing, go-live execution</w:t>
      </w:r>
    </w:p>
    <w:p>
      <w:pPr>
        <w:pStyle w:val="ListParagraph"/>
        <w:numPr>
          <w:ilvl w:val="0"/>
          <w:numId w:val="4"/>
        </w:numPr>
      </w:pPr>
      <w:r>
        <w:rPr>
          <w:rFonts w:ascii="Figtree" w:hAnsi="Figtree"/>
          <w:b/>
          <w:i w:val="0"/>
          <w:sz w:val="22"/>
        </w:rPr>
        <w:t>ADGM:</w:t>
      </w:r>
      <w:r>
        <w:rPr>
          <w:rFonts w:ascii="Figtree" w:hAnsi="Figtree"/>
          <w:b w:val="0"/>
          <w:i w:val="0"/>
          <w:sz w:val="22"/>
        </w:rPr>
        <w:t xml:space="preserve"> Business requirements approval, compliance sign-off, integration coordination, UAT, production acceptance</w:t>
      </w:r>
    </w:p>
    <w:p>
      <w:pPr>
        <w:pStyle w:val="ListParagraph"/>
        <w:numPr>
          <w:ilvl w:val="0"/>
          <w:numId w:val="4"/>
        </w:numPr>
      </w:pPr>
      <w:r>
        <w:rPr>
          <w:rFonts w:ascii="Figtree" w:hAnsi="Figtree"/>
          <w:b/>
          <w:i w:val="0"/>
          <w:sz w:val="22"/>
        </w:rPr>
        <w:t>Joint:</w:t>
      </w:r>
      <w:r>
        <w:rPr>
          <w:rFonts w:ascii="Figtree" w:hAnsi="Figtree"/>
          <w:b w:val="0"/>
          <w:i w:val="0"/>
          <w:sz w:val="22"/>
        </w:rPr>
        <w:t xml:space="preserve"> Go-live readiness assessment, issue resolution, escalation decisions</w:t>
      </w:r>
    </w:p>
    <w:p>
      <w:r>
        <w:rPr>
          <w:rFonts w:ascii="Figtree" w:hAnsi="Figtree"/>
          <w:b/>
          <w:i w:val="0"/>
          <w:sz w:val="22"/>
        </w:rPr>
        <w:t>Steering Committee:</w:t>
      </w:r>
      <w:r>
        <w:rPr>
          <w:rFonts w:ascii="Figtree" w:hAnsi="Figtree"/>
          <w:b w:val="0"/>
          <w:i w:val="0"/>
          <w:sz w:val="22"/>
        </w:rPr>
        <w:t xml:space="preserve"> A joint steering committee meets bi-weekly to review progress, resolve escalated issues, and approve phase transitions.</w:t>
      </w:r>
    </w:p>
    <w:p>
      <w:pPr>
        <w:pStyle w:val="H2"/>
        <w:numPr>
          <w:ilvl w:val="1"/>
          <w:numId w:val="1"/>
        </w:numPr>
      </w:pPr>
      <w:r>
        <w:t>9.4 Resource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42"/>
        <w:gridCol w:w="1114"/>
        <w:gridCol w:w="1114"/>
        <w:gridCol w:w="1114"/>
        <w:gridCol w:w="1114"/>
        <w:gridCol w:w="1273"/>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Phase 1</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Phase 2</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Phase 3</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Phase 4</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Phase 5</w:t>
            </w:r>
          </w:p>
        </w:tc>
      </w:tr>
      <w:tr>
        <w:trPr>
          <w:trHeight w:val="425" w:hRule="atLeast"/>
        </w:trPr>
        <w:tc>
          <w:tcPr>
            <w:tcW w:type="dxa" w:w="1624"/>
            <w:vAlign w:val="center"/>
          </w:tcPr>
          <w:p>
            <w:pPr>
              <w:spacing w:line="276" w:lineRule="auto" w:before="0" w:after="0"/>
            </w:pPr>
            <w:r/>
            <w:r>
              <w:rPr>
                <w:rFonts w:ascii="Figtree" w:hAnsi="Figtree"/>
                <w:b w:val="0"/>
                <w:i w:val="0"/>
                <w:sz w:val="20"/>
              </w:rPr>
              <w:t>Solution Architect</w:t>
            </w:r>
          </w:p>
        </w:tc>
        <w:tc>
          <w:tcPr>
            <w:tcW w:type="dxa" w:w="1624"/>
            <w:vAlign w:val="center"/>
          </w:tcPr>
          <w:p>
            <w:pPr>
              <w:spacing w:line="276" w:lineRule="auto" w:before="0" w:after="0"/>
            </w:pPr>
            <w:r/>
            <w:r>
              <w:rPr>
                <w:rFonts w:ascii="Figtree" w:hAnsi="Figtree"/>
                <w:b w:val="0"/>
                <w:i w:val="0"/>
                <w:sz w:val="20"/>
              </w:rPr>
              <w:t>0.5 FTE</w:t>
            </w:r>
          </w:p>
        </w:tc>
        <w:tc>
          <w:tcPr>
            <w:tcW w:type="dxa" w:w="1624"/>
            <w:vAlign w:val="center"/>
          </w:tcPr>
          <w:p>
            <w:pPr>
              <w:spacing w:line="276" w:lineRule="auto" w:before="0" w:after="0"/>
            </w:pPr>
            <w:r/>
            <w:r>
              <w:rPr>
                <w:rFonts w:ascii="Figtree" w:hAnsi="Figtree"/>
                <w:b w:val="0"/>
                <w:i w:val="0"/>
                <w:sz w:val="20"/>
              </w:rPr>
              <w:t>0.5 FTE</w:t>
            </w:r>
          </w:p>
        </w:tc>
        <w:tc>
          <w:tcPr>
            <w:tcW w:type="dxa" w:w="1624"/>
            <w:vAlign w:val="center"/>
          </w:tcPr>
          <w:p>
            <w:pPr>
              <w:spacing w:line="276" w:lineRule="auto" w:before="0" w:after="0"/>
            </w:pPr>
            <w:r/>
            <w:r>
              <w:rPr>
                <w:rFonts w:ascii="Figtree" w:hAnsi="Figtree"/>
                <w:b w:val="0"/>
                <w:i w:val="0"/>
                <w:sz w:val="20"/>
              </w:rPr>
              <w:t>0.5 FTE</w:t>
            </w:r>
          </w:p>
        </w:tc>
        <w:tc>
          <w:tcPr>
            <w:tcW w:type="dxa" w:w="1624"/>
            <w:vAlign w:val="center"/>
          </w:tcPr>
          <w:p>
            <w:pPr>
              <w:spacing w:line="276" w:lineRule="auto" w:before="0" w:after="0"/>
            </w:pPr>
            <w:r/>
            <w:r>
              <w:rPr>
                <w:rFonts w:ascii="Figtree" w:hAnsi="Figtree"/>
                <w:b w:val="0"/>
                <w:i w:val="0"/>
                <w:sz w:val="20"/>
              </w:rPr>
              <w:t>0.5 FTE</w:t>
            </w:r>
          </w:p>
        </w:tc>
        <w:tc>
          <w:tcPr>
            <w:tcW w:type="dxa" w:w="1624"/>
            <w:vAlign w:val="center"/>
          </w:tcPr>
          <w:p>
            <w:pPr>
              <w:spacing w:line="276" w:lineRule="auto" w:before="0" w:after="0"/>
            </w:pPr>
            <w:r/>
            <w:r>
              <w:rPr>
                <w:rFonts w:ascii="Figtree" w:hAnsi="Figtree"/>
                <w:b w:val="0"/>
                <w:i w:val="0"/>
                <w:sz w:val="20"/>
              </w:rPr>
              <w:t>0.25 FTE</w:t>
            </w:r>
          </w:p>
        </w:tc>
      </w:tr>
      <w:tr>
        <w:trPr>
          <w:trHeight w:val="425" w:hRule="atLeast"/>
        </w:trPr>
        <w:tc>
          <w:tcPr>
            <w:tcW w:type="dxa" w:w="1624"/>
            <w:vAlign w:val="center"/>
          </w:tcPr>
          <w:p>
            <w:pPr>
              <w:spacing w:line="276" w:lineRule="auto" w:before="0" w:after="0"/>
            </w:pPr>
            <w:r/>
            <w:r>
              <w:rPr>
                <w:rFonts w:ascii="Figtree" w:hAnsi="Figtree"/>
                <w:b w:val="0"/>
                <w:i w:val="0"/>
                <w:sz w:val="20"/>
              </w:rPr>
              <w:t>Technical Lead</w:t>
            </w:r>
          </w:p>
        </w:tc>
        <w:tc>
          <w:tcPr>
            <w:tcW w:type="dxa" w:w="1624"/>
            <w:vAlign w:val="center"/>
          </w:tcPr>
          <w:p>
            <w:pPr>
              <w:spacing w:line="276" w:lineRule="auto" w:before="0" w:after="0"/>
            </w:pPr>
            <w:r/>
            <w:r>
              <w:rPr>
                <w:rFonts w:ascii="Figtree" w:hAnsi="Figtree"/>
                <w:b w:val="0"/>
                <w:i w:val="0"/>
                <w:sz w:val="20"/>
              </w:rPr>
              <w:t>0.5 FTE</w:t>
            </w:r>
          </w:p>
        </w:tc>
        <w:tc>
          <w:tcPr>
            <w:tcW w:type="dxa" w:w="1624"/>
            <w:vAlign w:val="center"/>
          </w:tcPr>
          <w:p>
            <w:pPr>
              <w:spacing w:line="276" w:lineRule="auto" w:before="0" w:after="0"/>
            </w:pPr>
            <w:r/>
            <w:r>
              <w:rPr>
                <w:rFonts w:ascii="Figtree" w:hAnsi="Figtree"/>
                <w:b w:val="0"/>
                <w:i w:val="0"/>
                <w:sz w:val="20"/>
              </w:rPr>
              <w:t>1 FTE</w:t>
            </w:r>
          </w:p>
        </w:tc>
        <w:tc>
          <w:tcPr>
            <w:tcW w:type="dxa" w:w="1624"/>
            <w:vAlign w:val="center"/>
          </w:tcPr>
          <w:p>
            <w:pPr>
              <w:spacing w:line="276" w:lineRule="auto" w:before="0" w:after="0"/>
            </w:pPr>
            <w:r/>
            <w:r>
              <w:rPr>
                <w:rFonts w:ascii="Figtree" w:hAnsi="Figtree"/>
                <w:b w:val="0"/>
                <w:i w:val="0"/>
                <w:sz w:val="20"/>
              </w:rPr>
              <w:t>1 FTE</w:t>
            </w:r>
          </w:p>
        </w:tc>
        <w:tc>
          <w:tcPr>
            <w:tcW w:type="dxa" w:w="1624"/>
            <w:vAlign w:val="center"/>
          </w:tcPr>
          <w:p>
            <w:pPr>
              <w:spacing w:line="276" w:lineRule="auto" w:before="0" w:after="0"/>
            </w:pPr>
            <w:r/>
            <w:r>
              <w:rPr>
                <w:rFonts w:ascii="Figtree" w:hAnsi="Figtree"/>
                <w:b w:val="0"/>
                <w:i w:val="0"/>
                <w:sz w:val="20"/>
              </w:rPr>
              <w:t>1 FTE</w:t>
            </w:r>
          </w:p>
        </w:tc>
        <w:tc>
          <w:tcPr>
            <w:tcW w:type="dxa" w:w="1624"/>
            <w:vAlign w:val="center"/>
          </w:tcPr>
          <w:p>
            <w:pPr>
              <w:spacing w:line="276" w:lineRule="auto" w:before="0" w:after="0"/>
            </w:pPr>
            <w:r/>
            <w:r>
              <w:rPr>
                <w:rFonts w:ascii="Figtree" w:hAnsi="Figtree"/>
                <w:b w:val="0"/>
                <w:i w:val="0"/>
                <w:sz w:val="20"/>
              </w:rPr>
              <w:t>0.5 FTE</w:t>
            </w:r>
          </w:p>
        </w:tc>
      </w:tr>
      <w:tr>
        <w:trPr>
          <w:trHeight w:val="425" w:hRule="atLeast"/>
        </w:trPr>
        <w:tc>
          <w:tcPr>
            <w:tcW w:type="dxa" w:w="1624"/>
            <w:vAlign w:val="center"/>
          </w:tcPr>
          <w:p>
            <w:pPr>
              <w:spacing w:line="276" w:lineRule="auto" w:before="0" w:after="0"/>
            </w:pPr>
            <w:r/>
            <w:r>
              <w:rPr>
                <w:rFonts w:ascii="Figtree" w:hAnsi="Figtree"/>
                <w:b w:val="0"/>
                <w:i w:val="0"/>
                <w:sz w:val="20"/>
              </w:rPr>
              <w:t>Integration Developer</w:t>
            </w:r>
          </w:p>
        </w:tc>
        <w:tc>
          <w:tcPr>
            <w:tcW w:type="dxa" w:w="1624"/>
            <w:vAlign w:val="center"/>
          </w:tcPr>
          <w:p>
            <w:pPr>
              <w:spacing w:line="276" w:lineRule="auto" w:before="0" w:after="0"/>
            </w:pPr>
            <w:r/>
            <w:r>
              <w:rPr>
                <w:rFonts w:ascii="Figtree" w:hAnsi="Figtree"/>
                <w:b w:val="0"/>
                <w:i w:val="0"/>
                <w:sz w:val="20"/>
              </w:rPr>
              <w:t>-</w:t>
            </w:r>
          </w:p>
        </w:tc>
        <w:tc>
          <w:tcPr>
            <w:tcW w:type="dxa" w:w="1624"/>
            <w:vAlign w:val="center"/>
          </w:tcPr>
          <w:p>
            <w:pPr>
              <w:spacing w:line="276" w:lineRule="auto" w:before="0" w:after="0"/>
            </w:pPr>
            <w:r/>
            <w:r>
              <w:rPr>
                <w:rFonts w:ascii="Figtree" w:hAnsi="Figtree"/>
                <w:b w:val="0"/>
                <w:i w:val="0"/>
                <w:sz w:val="20"/>
              </w:rPr>
              <w:t>0.5 FTE</w:t>
            </w:r>
          </w:p>
        </w:tc>
        <w:tc>
          <w:tcPr>
            <w:tcW w:type="dxa" w:w="1624"/>
            <w:vAlign w:val="center"/>
          </w:tcPr>
          <w:p>
            <w:pPr>
              <w:spacing w:line="276" w:lineRule="auto" w:before="0" w:after="0"/>
            </w:pPr>
            <w:r/>
            <w:r>
              <w:rPr>
                <w:rFonts w:ascii="Figtree" w:hAnsi="Figtree"/>
                <w:b w:val="0"/>
                <w:i w:val="0"/>
                <w:sz w:val="20"/>
              </w:rPr>
              <w:t>1 FTE</w:t>
            </w:r>
          </w:p>
        </w:tc>
        <w:tc>
          <w:tcPr>
            <w:tcW w:type="dxa" w:w="1624"/>
            <w:vAlign w:val="center"/>
          </w:tcPr>
          <w:p>
            <w:pPr>
              <w:spacing w:line="276" w:lineRule="auto" w:before="0" w:after="0"/>
            </w:pPr>
            <w:r/>
            <w:r>
              <w:rPr>
                <w:rFonts w:ascii="Figtree" w:hAnsi="Figtree"/>
                <w:b w:val="0"/>
                <w:i w:val="0"/>
                <w:sz w:val="20"/>
              </w:rPr>
              <w:t>1 FTE</w:t>
            </w:r>
          </w:p>
        </w:tc>
        <w:tc>
          <w:tcPr>
            <w:tcW w:type="dxa" w:w="1624"/>
            <w:vAlign w:val="center"/>
          </w:tcPr>
          <w:p>
            <w:pPr>
              <w:spacing w:line="276" w:lineRule="auto" w:before="0" w:after="0"/>
            </w:pPr>
            <w:r/>
            <w:r>
              <w:rPr>
                <w:rFonts w:ascii="Figtree" w:hAnsi="Figtree"/>
                <w:b w:val="0"/>
                <w:i w:val="0"/>
                <w:sz w:val="20"/>
              </w:rPr>
              <w:t>0.5 FTE</w:t>
            </w:r>
          </w:p>
        </w:tc>
      </w:tr>
      <w:tr>
        <w:trPr>
          <w:trHeight w:val="425" w:hRule="atLeast"/>
        </w:trPr>
        <w:tc>
          <w:tcPr>
            <w:tcW w:type="dxa" w:w="1624"/>
            <w:vAlign w:val="center"/>
          </w:tcPr>
          <w:p>
            <w:pPr>
              <w:spacing w:line="276" w:lineRule="auto" w:before="0" w:after="0"/>
            </w:pPr>
            <w:r/>
            <w:r>
              <w:rPr>
                <w:rFonts w:ascii="Figtree" w:hAnsi="Figtree"/>
                <w:b w:val="0"/>
                <w:i w:val="0"/>
                <w:sz w:val="20"/>
              </w:rPr>
              <w:t>QA Engineer</w:t>
            </w:r>
          </w:p>
        </w:tc>
        <w:tc>
          <w:tcPr>
            <w:tcW w:type="dxa" w:w="1624"/>
            <w:vAlign w:val="center"/>
          </w:tcPr>
          <w:p>
            <w:pPr>
              <w:spacing w:line="276" w:lineRule="auto" w:before="0" w:after="0"/>
            </w:pPr>
            <w:r/>
            <w:r>
              <w:rPr>
                <w:rFonts w:ascii="Figtree" w:hAnsi="Figtree"/>
                <w:b w:val="0"/>
                <w:i w:val="0"/>
                <w:sz w:val="20"/>
              </w:rPr>
              <w:t>-</w:t>
            </w:r>
          </w:p>
        </w:tc>
        <w:tc>
          <w:tcPr>
            <w:tcW w:type="dxa" w:w="1624"/>
            <w:vAlign w:val="center"/>
          </w:tcPr>
          <w:p>
            <w:pPr>
              <w:spacing w:line="276" w:lineRule="auto" w:before="0" w:after="0"/>
            </w:pPr>
            <w:r/>
            <w:r>
              <w:rPr>
                <w:rFonts w:ascii="Figtree" w:hAnsi="Figtree"/>
                <w:b w:val="0"/>
                <w:i w:val="0"/>
                <w:sz w:val="20"/>
              </w:rPr>
              <w:t>-</w:t>
            </w:r>
          </w:p>
        </w:tc>
        <w:tc>
          <w:tcPr>
            <w:tcW w:type="dxa" w:w="1624"/>
            <w:vAlign w:val="center"/>
          </w:tcPr>
          <w:p>
            <w:pPr>
              <w:spacing w:line="276" w:lineRule="auto" w:before="0" w:after="0"/>
            </w:pPr>
            <w:r/>
            <w:r>
              <w:rPr>
                <w:rFonts w:ascii="Figtree" w:hAnsi="Figtree"/>
                <w:b w:val="0"/>
                <w:i w:val="0"/>
                <w:sz w:val="20"/>
              </w:rPr>
              <w:t>0.5 FTE</w:t>
            </w:r>
          </w:p>
        </w:tc>
        <w:tc>
          <w:tcPr>
            <w:tcW w:type="dxa" w:w="1624"/>
            <w:vAlign w:val="center"/>
          </w:tcPr>
          <w:p>
            <w:pPr>
              <w:spacing w:line="276" w:lineRule="auto" w:before="0" w:after="0"/>
            </w:pPr>
            <w:r/>
            <w:r>
              <w:rPr>
                <w:rFonts w:ascii="Figtree" w:hAnsi="Figtree"/>
                <w:b w:val="0"/>
                <w:i w:val="0"/>
                <w:sz w:val="20"/>
              </w:rPr>
              <w:t>1 FTE</w:t>
            </w:r>
          </w:p>
        </w:tc>
        <w:tc>
          <w:tcPr>
            <w:tcW w:type="dxa" w:w="1624"/>
            <w:vAlign w:val="center"/>
          </w:tcPr>
          <w:p>
            <w:pPr>
              <w:spacing w:line="276" w:lineRule="auto" w:before="0" w:after="0"/>
            </w:pPr>
            <w:r/>
            <w:r>
              <w:rPr>
                <w:rFonts w:ascii="Figtree" w:hAnsi="Figtree"/>
                <w:b w:val="0"/>
                <w:i w:val="0"/>
                <w:sz w:val="20"/>
              </w:rPr>
              <w:t>0.25 FTE</w:t>
            </w:r>
          </w:p>
        </w:tc>
      </w:tr>
      <w:tr>
        <w:trPr>
          <w:trHeight w:val="425" w:hRule="atLeast"/>
        </w:trPr>
        <w:tc>
          <w:tcPr>
            <w:tcW w:type="dxa" w:w="1624"/>
            <w:vAlign w:val="center"/>
          </w:tcPr>
          <w:p>
            <w:pPr>
              <w:spacing w:line="276" w:lineRule="auto" w:before="0" w:after="0"/>
            </w:pPr>
            <w:r/>
            <w:r>
              <w:rPr>
                <w:rFonts w:ascii="Figtree" w:hAnsi="Figtree"/>
                <w:b w:val="0"/>
                <w:i w:val="0"/>
                <w:sz w:val="20"/>
              </w:rPr>
              <w:t>DevOps Engineer</w:t>
            </w:r>
          </w:p>
        </w:tc>
        <w:tc>
          <w:tcPr>
            <w:tcW w:type="dxa" w:w="1624"/>
            <w:vAlign w:val="center"/>
          </w:tcPr>
          <w:p>
            <w:pPr>
              <w:spacing w:line="276" w:lineRule="auto" w:before="0" w:after="0"/>
            </w:pPr>
            <w:r/>
            <w:r>
              <w:rPr>
                <w:rFonts w:ascii="Figtree" w:hAnsi="Figtree"/>
                <w:b w:val="0"/>
                <w:i w:val="0"/>
                <w:sz w:val="20"/>
              </w:rPr>
              <w:t>-</w:t>
            </w:r>
          </w:p>
        </w:tc>
        <w:tc>
          <w:tcPr>
            <w:tcW w:type="dxa" w:w="1624"/>
            <w:vAlign w:val="center"/>
          </w:tcPr>
          <w:p>
            <w:pPr>
              <w:spacing w:line="276" w:lineRule="auto" w:before="0" w:after="0"/>
            </w:pPr>
            <w:r/>
            <w:r>
              <w:rPr>
                <w:rFonts w:ascii="Figtree" w:hAnsi="Figtree"/>
                <w:b w:val="0"/>
                <w:i w:val="0"/>
                <w:sz w:val="20"/>
              </w:rPr>
              <w:t>1 FTE</w:t>
            </w:r>
          </w:p>
        </w:tc>
        <w:tc>
          <w:tcPr>
            <w:tcW w:type="dxa" w:w="1624"/>
            <w:vAlign w:val="center"/>
          </w:tcPr>
          <w:p>
            <w:pPr>
              <w:spacing w:line="276" w:lineRule="auto" w:before="0" w:after="0"/>
            </w:pPr>
            <w:r/>
            <w:r>
              <w:rPr>
                <w:rFonts w:ascii="Figtree" w:hAnsi="Figtree"/>
                <w:b w:val="0"/>
                <w:i w:val="0"/>
                <w:sz w:val="20"/>
              </w:rPr>
              <w:t>0.5 FTE</w:t>
            </w:r>
          </w:p>
        </w:tc>
        <w:tc>
          <w:tcPr>
            <w:tcW w:type="dxa" w:w="1624"/>
            <w:vAlign w:val="center"/>
          </w:tcPr>
          <w:p>
            <w:pPr>
              <w:spacing w:line="276" w:lineRule="auto" w:before="0" w:after="0"/>
            </w:pPr>
            <w:r/>
            <w:r>
              <w:rPr>
                <w:rFonts w:ascii="Figtree" w:hAnsi="Figtree"/>
                <w:b w:val="0"/>
                <w:i w:val="0"/>
                <w:sz w:val="20"/>
              </w:rPr>
              <w:t>0.5 FTE</w:t>
            </w:r>
          </w:p>
        </w:tc>
        <w:tc>
          <w:tcPr>
            <w:tcW w:type="dxa" w:w="1624"/>
            <w:vAlign w:val="center"/>
          </w:tcPr>
          <w:p>
            <w:pPr>
              <w:spacing w:line="276" w:lineRule="auto" w:before="0" w:after="0"/>
            </w:pPr>
            <w:r/>
            <w:r>
              <w:rPr>
                <w:rFonts w:ascii="Figtree" w:hAnsi="Figtree"/>
                <w:b w:val="0"/>
                <w:i w:val="0"/>
                <w:sz w:val="20"/>
              </w:rPr>
              <w:t>0.25 FTE</w:t>
            </w:r>
          </w:p>
        </w:tc>
      </w:tr>
    </w:tbl>
    <w:p>
      <w:pPr>
        <w:spacing w:before="0" w:after="0" w:line="120" w:lineRule="exact"/>
      </w:pPr>
    </w:p>
    <w:p>
      <w:r>
        <w:rPr>
          <w:rFonts w:ascii="Figtree" w:hAnsi="Figtree"/>
          <w:b w:val="0"/>
          <w:i w:val="0"/>
          <w:sz w:val="22"/>
        </w:rPr>
        <w:t>ADGM is expected to provide: business sponsors, compliance reviewers, technical counterparts, integration leads, and UAT participants.</w:t>
      </w:r>
    </w:p>
    <w:p>
      <w:pPr>
        <w:pStyle w:val="H2"/>
        <w:numPr>
          <w:ilvl w:val="1"/>
          <w:numId w:val="1"/>
        </w:numPr>
      </w:pPr>
      <w:r>
        <w:t>9.5 Risks to Delivery and Mitigations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17"/>
        <w:gridCol w:w="939"/>
        <w:gridCol w:w="713"/>
        <w:gridCol w:w="460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Regulatory requirement changes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Early compliance mapping; modular architecture</w:t>
            </w:r>
          </w:p>
        </w:tc>
      </w:tr>
      <w:tr>
        <w:trPr>
          <w:trHeight w:val="425" w:hRule="atLeast"/>
        </w:trPr>
        <w:tc>
          <w:tcPr>
            <w:tcW w:type="dxa" w:w="2436"/>
            <w:vAlign w:val="center"/>
          </w:tcPr>
          <w:p>
            <w:pPr>
              <w:spacing w:line="276" w:lineRule="auto" w:before="0" w:after="0"/>
            </w:pPr>
            <w:r/>
            <w:r>
              <w:rPr>
                <w:rFonts w:ascii="Figtree" w:hAnsi="Figtree"/>
                <w:b w:val="0"/>
                <w:i w:val="0"/>
                <w:sz w:val="20"/>
              </w:rPr>
              <w:t>Integration complexity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Early integration design; mock services</w:t>
            </w:r>
          </w:p>
        </w:tc>
      </w:tr>
      <w:tr>
        <w:trPr>
          <w:trHeight w:val="425" w:hRule="atLeast"/>
        </w:trPr>
        <w:tc>
          <w:tcPr>
            <w:tcW w:type="dxa" w:w="2436"/>
            <w:vAlign w:val="center"/>
          </w:tcPr>
          <w:p>
            <w:pPr>
              <w:spacing w:line="276" w:lineRule="auto" w:before="0" w:after="0"/>
            </w:pPr>
            <w:r/>
            <w:r>
              <w:rPr>
                <w:rFonts w:ascii="Figtree" w:hAnsi="Figtree"/>
                <w:b w:val="0"/>
                <w:i w:val="0"/>
                <w:sz w:val="20"/>
              </w:rPr>
              <w:t>Client dependency delays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Clear dependency tracking; buffer in schedule</w:t>
            </w:r>
          </w:p>
        </w:tc>
      </w:tr>
      <w:tr>
        <w:trPr>
          <w:trHeight w:val="425" w:hRule="atLeast"/>
        </w:trPr>
        <w:tc>
          <w:tcPr>
            <w:tcW w:type="dxa" w:w="2436"/>
            <w:vAlign w:val="center"/>
          </w:tcPr>
          <w:p>
            <w:pPr>
              <w:spacing w:line="276" w:lineRule="auto" w:before="0" w:after="0"/>
            </w:pPr>
            <w:r/>
            <w:r>
              <w:rPr>
                <w:rFonts w:ascii="Figtree" w:hAnsi="Figtree"/>
                <w:b w:val="0"/>
                <w:i w:val="0"/>
                <w:sz w:val="20"/>
              </w:rPr>
              <w:t>Third-party provider issues</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Backup providers identified; graceful degradation</w:t>
            </w:r>
          </w:p>
        </w:tc>
      </w:tr>
      <w:tr>
        <w:trPr>
          <w:trHeight w:val="425" w:hRule="atLeast"/>
        </w:trPr>
        <w:tc>
          <w:tcPr>
            <w:tcW w:type="dxa" w:w="2436"/>
            <w:vAlign w:val="center"/>
          </w:tcPr>
          <w:p>
            <w:pPr>
              <w:spacing w:line="276" w:lineRule="auto" w:before="0" w:after="0"/>
            </w:pPr>
            <w:r/>
            <w:r>
              <w:rPr>
                <w:rFonts w:ascii="Figtree" w:hAnsi="Figtree"/>
                <w:b w:val="0"/>
                <w:i w:val="0"/>
                <w:sz w:val="20"/>
              </w:rPr>
              <w:t>Scope creep</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Phase-gated delivery; change control process</w:t>
            </w:r>
          </w:p>
        </w:tc>
      </w:tr>
    </w:tbl>
    <w:p>
      <w:pPr>
        <w:spacing w:before="0" w:after="0" w:line="120" w:lineRule="exact"/>
      </w:pPr>
    </w:p>
    <w:p>
      <w:r>
        <w:br w:type="page"/>
      </w:r>
    </w:p>
    <w:p>
      <w:pPr>
        <w:pStyle w:val="H1"/>
        <w:numPr>
          <w:ilvl w:val="0"/>
          <w:numId w:val="1"/>
        </w:numPr>
      </w:pPr>
      <w:r>
        <w:t>10. Training and Knowledge Transfer</w:t>
      </w:r>
    </w:p>
    <w:p>
      <w:pPr>
        <w:pStyle w:val="H2"/>
        <w:numPr>
          <w:ilvl w:val="1"/>
          <w:numId w:val="1"/>
        </w:numPr>
      </w:pPr>
      <w:r>
        <w:t>10.1 Training Strategy</w:t>
      </w:r>
    </w:p>
    <w:p>
      <w:r>
        <w:rPr>
          <w:rFonts w:ascii="Figtree" w:hAnsi="Figtree"/>
          <w:b w:val="0"/>
          <w:i w:val="0"/>
          <w:sz w:val="22"/>
        </w:rPr>
        <w:t>SettleMint provides comprehensive training designed to enable ADGM's teams to operate the platform independently after hypercare. Training follows a track-based model tailored to different user personas.</w:t>
      </w:r>
    </w:p>
    <w:p>
      <w:pPr>
        <w:pStyle w:val="H2"/>
        <w:numPr>
          <w:ilvl w:val="1"/>
          <w:numId w:val="1"/>
        </w:numPr>
      </w:pPr>
      <w:r>
        <w:t>10.2 Administrator Track</w:t>
      </w:r>
    </w:p>
    <w:p>
      <w:r>
        <w:rPr>
          <w:rFonts w:ascii="Figtree" w:hAnsi="Figtree"/>
          <w:b/>
          <w:i w:val="0"/>
          <w:sz w:val="22"/>
        </w:rPr>
        <w:t>Audience:</w:t>
      </w:r>
      <w:r>
        <w:rPr>
          <w:rFonts w:ascii="Figtree" w:hAnsi="Figtree"/>
          <w:b w:val="0"/>
          <w:i w:val="0"/>
          <w:sz w:val="22"/>
        </w:rPr>
        <w:t xml:space="preserve"> Platform administrators, security officers, compliance configuration managers</w:t>
      </w:r>
    </w:p>
    <w:p>
      <w:r>
        <w:rPr>
          <w:rFonts w:ascii="Figtree" w:hAnsi="Figtree"/>
          <w:b/>
          <w:i w:val="0"/>
          <w:sz w:val="22"/>
        </w:rPr>
        <w:t>Duration:</w:t>
      </w:r>
      <w:r>
        <w:rPr>
          <w:rFonts w:ascii="Figtree" w:hAnsi="Figtree"/>
          <w:b w:val="0"/>
          <w:i w:val="0"/>
          <w:sz w:val="22"/>
        </w:rPr>
        <w:t xml:space="preserve"> 5 days</w:t>
      </w:r>
    </w:p>
    <w:p>
      <w:r>
        <w:rPr>
          <w:rFonts w:ascii="Figtree" w:hAnsi="Figtree"/>
          <w:b/>
          <w:i w:val="0"/>
          <w:sz w:val="22"/>
        </w:rPr>
        <w:t>Topics:</w:t>
      </w:r>
    </w:p>
    <w:p>
      <w:pPr>
        <w:pStyle w:val="ListParagraph"/>
        <w:numPr>
          <w:ilvl w:val="0"/>
          <w:numId w:val="4"/>
        </w:numPr>
      </w:pPr>
      <w:r>
        <w:rPr>
          <w:rFonts w:ascii="Figtree" w:hAnsi="Figtree"/>
          <w:b w:val="0"/>
          <w:i w:val="0"/>
          <w:sz w:val="22"/>
        </w:rPr>
        <w:t>Platform architecture and components</w:t>
      </w:r>
    </w:p>
    <w:p>
      <w:pPr>
        <w:pStyle w:val="ListParagraph"/>
        <w:numPr>
          <w:ilvl w:val="0"/>
          <w:numId w:val="4"/>
        </w:numPr>
      </w:pPr>
      <w:r>
        <w:rPr>
          <w:rFonts w:ascii="Figtree" w:hAnsi="Figtree"/>
          <w:b w:val="0"/>
          <w:i w:val="0"/>
          <w:sz w:val="22"/>
        </w:rPr>
        <w:t>Organization and user management</w:t>
      </w:r>
    </w:p>
    <w:p>
      <w:pPr>
        <w:pStyle w:val="ListParagraph"/>
        <w:numPr>
          <w:ilvl w:val="0"/>
          <w:numId w:val="4"/>
        </w:numPr>
      </w:pPr>
      <w:r>
        <w:rPr>
          <w:rFonts w:ascii="Figtree" w:hAnsi="Figtree"/>
          <w:b w:val="0"/>
          <w:i w:val="0"/>
          <w:sz w:val="22"/>
        </w:rPr>
        <w:t>Role configuration and RBAC</w:t>
      </w:r>
    </w:p>
    <w:p>
      <w:pPr>
        <w:pStyle w:val="ListParagraph"/>
        <w:numPr>
          <w:ilvl w:val="0"/>
          <w:numId w:val="4"/>
        </w:numPr>
      </w:pPr>
      <w:r>
        <w:rPr>
          <w:rFonts w:ascii="Figtree" w:hAnsi="Figtree"/>
          <w:b w:val="0"/>
          <w:i w:val="0"/>
          <w:sz w:val="22"/>
        </w:rPr>
        <w:t>Compliance module configuration</w:t>
      </w:r>
    </w:p>
    <w:p>
      <w:pPr>
        <w:pStyle w:val="ListParagraph"/>
        <w:numPr>
          <w:ilvl w:val="0"/>
          <w:numId w:val="4"/>
        </w:numPr>
      </w:pPr>
      <w:r>
        <w:rPr>
          <w:rFonts w:ascii="Figtree" w:hAnsi="Figtree"/>
          <w:b w:val="0"/>
          <w:i w:val="0"/>
          <w:sz w:val="22"/>
        </w:rPr>
        <w:t>Key management and rotation</w:t>
      </w:r>
    </w:p>
    <w:p>
      <w:pPr>
        <w:pStyle w:val="ListParagraph"/>
        <w:numPr>
          <w:ilvl w:val="0"/>
          <w:numId w:val="4"/>
        </w:numPr>
      </w:pPr>
      <w:r>
        <w:rPr>
          <w:rFonts w:ascii="Figtree" w:hAnsi="Figtree"/>
          <w:b w:val="0"/>
          <w:i w:val="0"/>
          <w:sz w:val="22"/>
        </w:rPr>
        <w:t>Backup and recovery procedures</w:t>
      </w:r>
    </w:p>
    <w:p>
      <w:pPr>
        <w:pStyle w:val="ListParagraph"/>
        <w:numPr>
          <w:ilvl w:val="0"/>
          <w:numId w:val="4"/>
        </w:numPr>
      </w:pPr>
      <w:r>
        <w:rPr>
          <w:rFonts w:ascii="Figtree" w:hAnsi="Figtree"/>
          <w:b w:val="0"/>
          <w:i w:val="0"/>
          <w:sz w:val="22"/>
        </w:rPr>
        <w:t>Monitoring and alerting configuration</w:t>
      </w:r>
    </w:p>
    <w:p>
      <w:pPr>
        <w:pStyle w:val="ListParagraph"/>
        <w:numPr>
          <w:ilvl w:val="0"/>
          <w:numId w:val="4"/>
        </w:numPr>
      </w:pPr>
      <w:r>
        <w:rPr>
          <w:rFonts w:ascii="Figtree" w:hAnsi="Figtree"/>
          <w:b w:val="0"/>
          <w:i w:val="0"/>
          <w:sz w:val="22"/>
        </w:rPr>
        <w:t>Upgrade and maintenance procedures</w:t>
      </w:r>
    </w:p>
    <w:p>
      <w:pPr>
        <w:pStyle w:val="H2"/>
        <w:numPr>
          <w:ilvl w:val="1"/>
          <w:numId w:val="1"/>
        </w:numPr>
      </w:pPr>
      <w:r>
        <w:t>10.3 Developer / Integration Track</w:t>
      </w:r>
    </w:p>
    <w:p>
      <w:r>
        <w:rPr>
          <w:rFonts w:ascii="Figtree" w:hAnsi="Figtree"/>
          <w:b/>
          <w:i w:val="0"/>
          <w:sz w:val="22"/>
        </w:rPr>
        <w:t>Audience:</w:t>
      </w:r>
      <w:r>
        <w:rPr>
          <w:rFonts w:ascii="Figtree" w:hAnsi="Figtree"/>
          <w:b w:val="0"/>
          <w:i w:val="0"/>
          <w:sz w:val="22"/>
        </w:rPr>
        <w:t xml:space="preserve"> Integration developers, API consumers, technical staff</w:t>
      </w:r>
    </w:p>
    <w:p>
      <w:r>
        <w:rPr>
          <w:rFonts w:ascii="Figtree" w:hAnsi="Figtree"/>
          <w:b/>
          <w:i w:val="0"/>
          <w:sz w:val="22"/>
        </w:rPr>
        <w:t>Duration:</w:t>
      </w:r>
      <w:r>
        <w:rPr>
          <w:rFonts w:ascii="Figtree" w:hAnsi="Figtree"/>
          <w:b w:val="0"/>
          <w:i w:val="0"/>
          <w:sz w:val="22"/>
        </w:rPr>
        <w:t xml:space="preserve"> 3 days</w:t>
      </w:r>
    </w:p>
    <w:p>
      <w:r>
        <w:rPr>
          <w:rFonts w:ascii="Figtree" w:hAnsi="Figtree"/>
          <w:b/>
          <w:i w:val="0"/>
          <w:sz w:val="22"/>
        </w:rPr>
        <w:t>Topics:</w:t>
      </w:r>
    </w:p>
    <w:p>
      <w:pPr>
        <w:pStyle w:val="ListParagraph"/>
        <w:numPr>
          <w:ilvl w:val="0"/>
          <w:numId w:val="4"/>
        </w:numPr>
      </w:pPr>
      <w:r>
        <w:rPr>
          <w:rFonts w:ascii="Figtree" w:hAnsi="Figtree"/>
          <w:b w:val="0"/>
          <w:i w:val="0"/>
          <w:sz w:val="22"/>
        </w:rPr>
        <w:t>API overview and authentication</w:t>
      </w:r>
    </w:p>
    <w:p>
      <w:pPr>
        <w:pStyle w:val="ListParagraph"/>
        <w:numPr>
          <w:ilvl w:val="0"/>
          <w:numId w:val="4"/>
        </w:numPr>
      </w:pPr>
      <w:r>
        <w:rPr>
          <w:rFonts w:ascii="Figtree" w:hAnsi="Figtree"/>
          <w:b w:val="0"/>
          <w:i w:val="0"/>
          <w:sz w:val="22"/>
        </w:rPr>
        <w:t>SDK usage and code examples</w:t>
      </w:r>
    </w:p>
    <w:p>
      <w:pPr>
        <w:pStyle w:val="ListParagraph"/>
        <w:numPr>
          <w:ilvl w:val="0"/>
          <w:numId w:val="4"/>
        </w:numPr>
      </w:pPr>
      <w:r>
        <w:rPr>
          <w:rFonts w:ascii="Figtree" w:hAnsi="Figtree"/>
          <w:b w:val="0"/>
          <w:i w:val="0"/>
          <w:sz w:val="22"/>
        </w:rPr>
        <w:t>Webhook configuration</w:t>
      </w:r>
    </w:p>
    <w:p>
      <w:pPr>
        <w:pStyle w:val="ListParagraph"/>
        <w:numPr>
          <w:ilvl w:val="0"/>
          <w:numId w:val="4"/>
        </w:numPr>
      </w:pPr>
      <w:r>
        <w:rPr>
          <w:rFonts w:ascii="Figtree" w:hAnsi="Figtree"/>
          <w:b w:val="0"/>
          <w:i w:val="0"/>
          <w:sz w:val="22"/>
        </w:rPr>
        <w:t>Error handling and retry logic</w:t>
      </w:r>
    </w:p>
    <w:p>
      <w:pPr>
        <w:pStyle w:val="ListParagraph"/>
        <w:numPr>
          <w:ilvl w:val="0"/>
          <w:numId w:val="4"/>
        </w:numPr>
      </w:pPr>
      <w:r>
        <w:rPr>
          <w:rFonts w:ascii="Figtree" w:hAnsi="Figtree"/>
          <w:b w:val="0"/>
          <w:i w:val="0"/>
          <w:sz w:val="22"/>
        </w:rPr>
        <w:t>Integration patterns</w:t>
      </w:r>
    </w:p>
    <w:p>
      <w:pPr>
        <w:pStyle w:val="ListParagraph"/>
        <w:numPr>
          <w:ilvl w:val="0"/>
          <w:numId w:val="4"/>
        </w:numPr>
      </w:pPr>
      <w:r>
        <w:rPr>
          <w:rFonts w:ascii="Figtree" w:hAnsi="Figtree"/>
          <w:b w:val="0"/>
          <w:i w:val="0"/>
          <w:sz w:val="22"/>
        </w:rPr>
        <w:t>Testing approaches</w:t>
      </w:r>
    </w:p>
    <w:p>
      <w:pPr>
        <w:pStyle w:val="ListParagraph"/>
        <w:numPr>
          <w:ilvl w:val="0"/>
          <w:numId w:val="4"/>
        </w:numPr>
      </w:pPr>
      <w:r>
        <w:rPr>
          <w:rFonts w:ascii="Figtree" w:hAnsi="Figtree"/>
          <w:b w:val="0"/>
          <w:i w:val="0"/>
          <w:sz w:val="22"/>
        </w:rPr>
        <w:t>Performance considerations</w:t>
      </w:r>
    </w:p>
    <w:p>
      <w:pPr>
        <w:pStyle w:val="H2"/>
        <w:numPr>
          <w:ilvl w:val="1"/>
          <w:numId w:val="1"/>
        </w:numPr>
      </w:pPr>
      <w:r>
        <w:t>10.4 End-User / Operations Track</w:t>
      </w:r>
    </w:p>
    <w:p>
      <w:r>
        <w:rPr>
          <w:rFonts w:ascii="Figtree" w:hAnsi="Figtree"/>
          <w:b/>
          <w:i w:val="0"/>
          <w:sz w:val="22"/>
        </w:rPr>
        <w:t>Audience:</w:t>
      </w:r>
      <w:r>
        <w:rPr>
          <w:rFonts w:ascii="Figtree" w:hAnsi="Figtree"/>
          <w:b w:val="0"/>
          <w:i w:val="0"/>
          <w:sz w:val="22"/>
        </w:rPr>
        <w:t xml:space="preserve"> Operations staff, compliance officers, business users</w:t>
      </w:r>
    </w:p>
    <w:p>
      <w:r>
        <w:rPr>
          <w:rFonts w:ascii="Figtree" w:hAnsi="Figtree"/>
          <w:b/>
          <w:i w:val="0"/>
          <w:sz w:val="22"/>
        </w:rPr>
        <w:t>Duration:</w:t>
      </w:r>
      <w:r>
        <w:rPr>
          <w:rFonts w:ascii="Figtree" w:hAnsi="Figtree"/>
          <w:b w:val="0"/>
          <w:i w:val="0"/>
          <w:sz w:val="22"/>
        </w:rPr>
        <w:t xml:space="preserve"> 2 days</w:t>
      </w:r>
    </w:p>
    <w:p>
      <w:r>
        <w:rPr>
          <w:rFonts w:ascii="Figtree" w:hAnsi="Figtree"/>
          <w:b/>
          <w:i w:val="0"/>
          <w:sz w:val="22"/>
        </w:rPr>
        <w:t>Topics:</w:t>
      </w:r>
    </w:p>
    <w:p>
      <w:pPr>
        <w:pStyle w:val="ListParagraph"/>
        <w:numPr>
          <w:ilvl w:val="0"/>
          <w:numId w:val="4"/>
        </w:numPr>
      </w:pPr>
      <w:r>
        <w:rPr>
          <w:rFonts w:ascii="Figtree" w:hAnsi="Figtree"/>
          <w:b w:val="0"/>
          <w:i w:val="0"/>
          <w:sz w:val="22"/>
        </w:rPr>
        <w:t>Asset Console navigation</w:t>
      </w:r>
    </w:p>
    <w:p>
      <w:pPr>
        <w:pStyle w:val="ListParagraph"/>
        <w:numPr>
          <w:ilvl w:val="0"/>
          <w:numId w:val="4"/>
        </w:numPr>
      </w:pPr>
      <w:r>
        <w:rPr>
          <w:rFonts w:ascii="Figtree" w:hAnsi="Figtree"/>
          <w:b w:val="0"/>
          <w:i w:val="0"/>
          <w:sz w:val="22"/>
        </w:rPr>
        <w:t>Asset lifecycle operations (issuance, transfer, servicing)</w:t>
      </w:r>
    </w:p>
    <w:p>
      <w:pPr>
        <w:pStyle w:val="ListParagraph"/>
        <w:numPr>
          <w:ilvl w:val="0"/>
          <w:numId w:val="4"/>
        </w:numPr>
      </w:pPr>
      <w:r>
        <w:rPr>
          <w:rFonts w:ascii="Figtree" w:hAnsi="Figtree"/>
          <w:b w:val="0"/>
          <w:i w:val="0"/>
          <w:sz w:val="22"/>
        </w:rPr>
        <w:t>Compliance monitoring and reporting</w:t>
      </w:r>
    </w:p>
    <w:p>
      <w:pPr>
        <w:pStyle w:val="ListParagraph"/>
        <w:numPr>
          <w:ilvl w:val="0"/>
          <w:numId w:val="4"/>
        </w:numPr>
      </w:pPr>
      <w:r>
        <w:rPr>
          <w:rFonts w:ascii="Figtree" w:hAnsi="Figtree"/>
          <w:b w:val="0"/>
          <w:i w:val="0"/>
          <w:sz w:val="22"/>
        </w:rPr>
        <w:t>Audit log access and interpretation</w:t>
      </w:r>
    </w:p>
    <w:p>
      <w:pPr>
        <w:pStyle w:val="ListParagraph"/>
        <w:numPr>
          <w:ilvl w:val="0"/>
          <w:numId w:val="4"/>
        </w:numPr>
      </w:pPr>
      <w:r>
        <w:rPr>
          <w:rFonts w:ascii="Figtree" w:hAnsi="Figtree"/>
          <w:b w:val="0"/>
          <w:i w:val="0"/>
          <w:sz w:val="22"/>
        </w:rPr>
        <w:t>Exception handling</w:t>
      </w:r>
    </w:p>
    <w:p>
      <w:pPr>
        <w:pStyle w:val="ListParagraph"/>
        <w:numPr>
          <w:ilvl w:val="0"/>
          <w:numId w:val="4"/>
        </w:numPr>
      </w:pPr>
      <w:r>
        <w:rPr>
          <w:rFonts w:ascii="Figtree" w:hAnsi="Figtree"/>
          <w:b w:val="0"/>
          <w:i w:val="0"/>
          <w:sz w:val="22"/>
        </w:rPr>
        <w:t>Dashboard usage</w:t>
      </w:r>
    </w:p>
    <w:p>
      <w:pPr>
        <w:pStyle w:val="H2"/>
        <w:numPr>
          <w:ilvl w:val="1"/>
          <w:numId w:val="1"/>
        </w:numPr>
      </w:pPr>
      <w:r>
        <w:t>10.5 Knowledge Transfer Method</w:t>
      </w:r>
    </w:p>
    <w:p>
      <w:r>
        <w:rPr>
          <w:rFonts w:ascii="Figtree" w:hAnsi="Figtree"/>
          <w:b w:val="0"/>
          <w:i w:val="0"/>
          <w:sz w:val="22"/>
        </w:rPr>
        <w:t>Knowledge transfer combines multiple modalities:</w:t>
      </w:r>
    </w:p>
    <w:p>
      <w:r>
        <w:rPr>
          <w:rFonts w:ascii="Figtree" w:hAnsi="Figtree"/>
          <w:b/>
          <w:i w:val="0"/>
          <w:sz w:val="22"/>
        </w:rPr>
        <w:t>Shadowing:</w:t>
      </w:r>
      <w:r>
        <w:rPr>
          <w:rFonts w:ascii="Figtree" w:hAnsi="Figtree"/>
          <w:b w:val="0"/>
          <w:i w:val="0"/>
          <w:sz w:val="22"/>
        </w:rPr>
        <w:t xml:space="preserve"> ADGM staff work alongside SettleMint engineers during platform operation, integration development, and incident response.</w:t>
      </w:r>
    </w:p>
    <w:p>
      <w:r>
        <w:rPr>
          <w:rFonts w:ascii="Figtree" w:hAnsi="Figtree"/>
          <w:b/>
          <w:i w:val="0"/>
          <w:sz w:val="22"/>
        </w:rPr>
        <w:t>Guided Labs:</w:t>
      </w:r>
      <w:r>
        <w:rPr>
          <w:rFonts w:ascii="Figtree" w:hAnsi="Figtree"/>
          <w:b w:val="0"/>
          <w:i w:val="0"/>
          <w:sz w:val="22"/>
        </w:rPr>
        <w:t xml:space="preserve"> Hands-on exercises with sample scenarios allow staff to practice configuration, operation, and troubleshooting in a safe environment.</w:t>
      </w:r>
    </w:p>
    <w:p>
      <w:r>
        <w:rPr>
          <w:rFonts w:ascii="Figtree" w:hAnsi="Figtree"/>
          <w:b/>
          <w:i w:val="0"/>
          <w:sz w:val="22"/>
        </w:rPr>
        <w:t>Runbooks:</w:t>
      </w:r>
      <w:r>
        <w:rPr>
          <w:rFonts w:ascii="Figtree" w:hAnsi="Figtree"/>
          <w:b w:val="0"/>
          <w:i w:val="0"/>
          <w:sz w:val="22"/>
        </w:rPr>
        <w:t xml:space="preserve"> Detailed operational procedures document every common task: asset creation, compliance configuration, incident response, backup execution.</w:t>
      </w:r>
    </w:p>
    <w:p>
      <w:r>
        <w:rPr>
          <w:rFonts w:ascii="Figtree" w:hAnsi="Figtree"/>
          <w:b/>
          <w:i w:val="0"/>
          <w:sz w:val="22"/>
        </w:rPr>
        <w:t>Operational Readiness Assessment:</w:t>
      </w:r>
      <w:r>
        <w:rPr>
          <w:rFonts w:ascii="Figtree" w:hAnsi="Figtree"/>
          <w:b w:val="0"/>
          <w:i w:val="0"/>
          <w:sz w:val="22"/>
        </w:rPr>
        <w:t xml:space="preserve"> A formal assessment validates that ADGM's teams can independently manage the platform before hypercare concludes.</w:t>
      </w:r>
    </w:p>
    <w:p>
      <w:r>
        <w:br w:type="page"/>
      </w:r>
    </w:p>
    <w:p>
      <w:pPr>
        <w:pStyle w:val="H1"/>
        <w:numPr>
          <w:ilvl w:val="0"/>
          <w:numId w:val="1"/>
        </w:numPr>
      </w:pPr>
      <w:r>
        <w:t>11. Support and SLA</w:t>
      </w:r>
    </w:p>
    <w:p>
      <w:pPr>
        <w:pStyle w:val="H2"/>
        <w:numPr>
          <w:ilvl w:val="1"/>
          <w:numId w:val="1"/>
        </w:numPr>
      </w:pPr>
      <w:r>
        <w:t>11.1 Support Model Overview</w:t>
      </w:r>
    </w:p>
    <w:p>
      <w:r>
        <w:rPr>
          <w:rFonts w:ascii="Figtree" w:hAnsi="Figtree"/>
          <w:b w:val="0"/>
          <w:i w:val="0"/>
          <w:sz w:val="22"/>
        </w:rPr>
        <w:t>SettleMint provides structured, tiered support for all DALP production deployments. The support framework is built for regulated institutions where uptime, compliance enforcement, and operational continuity are non-negotiable.</w:t>
      </w:r>
    </w:p>
    <w:p>
      <w:pPr>
        <w:pStyle w:val="H2"/>
        <w:numPr>
          <w:ilvl w:val="1"/>
          <w:numId w:val="1"/>
        </w:numPr>
      </w:pPr>
      <w:r>
        <w:t>11.2 Support Tiers</w:t>
      </w:r>
    </w:p>
    <w:p>
      <w:pPr>
        <w:pStyle w:val="H3"/>
        <w:numPr>
          <w:ilvl w:val="2"/>
          <w:numId w:val="1"/>
        </w:numPr>
      </w:pPr>
      <w:r>
        <w:t>Standard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13"/>
        <w:gridCol w:w="605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Coverage Hours</w:t>
            </w:r>
          </w:p>
        </w:tc>
        <w:tc>
          <w:tcPr>
            <w:tcW w:type="dxa" w:w="4873"/>
            <w:vAlign w:val="center"/>
          </w:tcPr>
          <w:p>
            <w:pPr>
              <w:spacing w:line="276" w:lineRule="auto" w:before="0" w:after="0"/>
            </w:pPr>
            <w:r/>
            <w:r>
              <w:rPr>
                <w:rFonts w:ascii="Figtree" w:hAnsi="Figtree"/>
                <w:b w:val="0"/>
                <w:i w:val="0"/>
                <w:sz w:val="20"/>
              </w:rPr>
              <w:t>Business hours (09:00-18:00 CET, Monday-Friday)</w:t>
            </w:r>
          </w:p>
        </w:tc>
      </w:tr>
      <w:tr>
        <w:trPr>
          <w:trHeight w:val="425" w:hRule="atLeast"/>
        </w:trPr>
        <w:tc>
          <w:tcPr>
            <w:tcW w:type="dxa" w:w="4873"/>
            <w:vAlign w:val="center"/>
          </w:tcPr>
          <w:p>
            <w:pPr>
              <w:spacing w:line="276" w:lineRule="auto" w:before="0" w:after="0"/>
            </w:pPr>
            <w:r/>
            <w:r>
              <w:rPr>
                <w:rFonts w:ascii="Figtree" w:hAnsi="Figtree"/>
                <w:b w:val="0"/>
                <w:i w:val="0"/>
                <w:sz w:val="20"/>
              </w:rPr>
              <w:t>Support Channels</w:t>
            </w:r>
          </w:p>
        </w:tc>
        <w:tc>
          <w:tcPr>
            <w:tcW w:type="dxa" w:w="4873"/>
            <w:vAlign w:val="center"/>
          </w:tcPr>
          <w:p>
            <w:pPr>
              <w:spacing w:line="276" w:lineRule="auto" w:before="0" w:after="0"/>
            </w:pPr>
            <w:r/>
            <w:r>
              <w:rPr>
                <w:rFonts w:ascii="Figtree" w:hAnsi="Figtree"/>
                <w:b w:val="0"/>
                <w:i w:val="0"/>
                <w:sz w:val="20"/>
              </w:rPr>
              <w:t>Email, support portal</w:t>
            </w:r>
          </w:p>
        </w:tc>
      </w:tr>
      <w:tr>
        <w:trPr>
          <w:trHeight w:val="425" w:hRule="atLeast"/>
        </w:trPr>
        <w:tc>
          <w:tcPr>
            <w:tcW w:type="dxa" w:w="4873"/>
            <w:vAlign w:val="center"/>
          </w:tcPr>
          <w:p>
            <w:pPr>
              <w:spacing w:line="276" w:lineRule="auto" w:before="0" w:after="0"/>
            </w:pPr>
            <w:r/>
            <w:r>
              <w:rPr>
                <w:rFonts w:ascii="Figtree" w:hAnsi="Figtree"/>
                <w:b w:val="0"/>
                <w:i w:val="0"/>
                <w:sz w:val="20"/>
              </w:rPr>
              <w:t>Named Contacts</w:t>
            </w:r>
          </w:p>
        </w:tc>
        <w:tc>
          <w:tcPr>
            <w:tcW w:type="dxa" w:w="4873"/>
            <w:vAlign w:val="center"/>
          </w:tcPr>
          <w:p>
            <w:pPr>
              <w:spacing w:line="276" w:lineRule="auto" w:before="0" w:after="0"/>
            </w:pPr>
            <w:r/>
            <w:r>
              <w:rPr>
                <w:rFonts w:ascii="Figtree" w:hAnsi="Figtree"/>
                <w:b w:val="0"/>
                <w:i w:val="0"/>
                <w:sz w:val="20"/>
              </w:rPr>
              <w:t>Up to 3</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 monthly</w:t>
            </w:r>
          </w:p>
        </w:tc>
      </w:tr>
      <w:tr>
        <w:trPr>
          <w:trHeight w:val="425" w:hRule="atLeast"/>
        </w:trPr>
        <w:tc>
          <w:tcPr>
            <w:tcW w:type="dxa" w:w="4873"/>
            <w:vAlign w:val="center"/>
          </w:tcPr>
          <w:p>
            <w:pPr>
              <w:spacing w:line="276" w:lineRule="auto" w:before="0" w:after="0"/>
            </w:pPr>
            <w:r/>
            <w:r>
              <w:rPr>
                <w:rFonts w:ascii="Figtree" w:hAnsi="Figtree"/>
                <w:b w:val="0"/>
                <w:i w:val="0"/>
                <w:sz w:val="20"/>
              </w:rPr>
              <w:t>Incident Management</w:t>
            </w:r>
          </w:p>
        </w:tc>
        <w:tc>
          <w:tcPr>
            <w:tcW w:type="dxa" w:w="4873"/>
            <w:vAlign w:val="center"/>
          </w:tcPr>
          <w:p>
            <w:pPr>
              <w:spacing w:line="276" w:lineRule="auto" w:before="0" w:after="0"/>
            </w:pPr>
            <w:r/>
            <w:r>
              <w:rPr>
                <w:rFonts w:ascii="Figtree" w:hAnsi="Figtree"/>
                <w:b w:val="0"/>
                <w:i w:val="0"/>
                <w:sz w:val="20"/>
              </w:rPr>
              <w:t>Ticketing with SLA tracking</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w:t>
            </w:r>
          </w:p>
        </w:tc>
        <w:tc>
          <w:tcPr>
            <w:tcW w:type="dxa" w:w="4873"/>
            <w:vAlign w:val="center"/>
          </w:tcPr>
          <w:p>
            <w:pPr>
              <w:spacing w:line="276" w:lineRule="auto" w:before="0" w:after="0"/>
            </w:pPr>
            <w:r/>
            <w:r>
              <w:rPr>
                <w:rFonts w:ascii="Figtree" w:hAnsi="Figtree"/>
                <w:b w:val="0"/>
                <w:i w:val="0"/>
                <w:sz w:val="20"/>
              </w:rPr>
              <w:t>Quarterly releases</w:t>
            </w:r>
          </w:p>
        </w:tc>
      </w:tr>
      <w:tr>
        <w:trPr>
          <w:trHeight w:val="425" w:hRule="atLeast"/>
        </w:trPr>
        <w:tc>
          <w:tcPr>
            <w:tcW w:type="dxa" w:w="4873"/>
            <w:vAlign w:val="center"/>
          </w:tcPr>
          <w:p>
            <w:pPr>
              <w:spacing w:line="276" w:lineRule="auto" w:before="0" w:after="0"/>
            </w:pPr>
            <w:r/>
            <w:r>
              <w:rPr>
                <w:rFonts w:ascii="Figtree" w:hAnsi="Figtree"/>
                <w:b w:val="0"/>
                <w:i w:val="0"/>
                <w:sz w:val="20"/>
              </w:rPr>
              <w:t>Proactive Monitoring</w:t>
            </w:r>
          </w:p>
        </w:tc>
        <w:tc>
          <w:tcPr>
            <w:tcW w:type="dxa" w:w="4873"/>
            <w:vAlign w:val="center"/>
          </w:tcPr>
          <w:p>
            <w:pPr>
              <w:spacing w:line="276" w:lineRule="auto" w:before="0" w:after="0"/>
            </w:pPr>
            <w:r/>
            <w:r>
              <w:rPr>
                <w:rFonts w:ascii="Figtree" w:hAnsi="Figtree"/>
                <w:b w:val="0"/>
                <w:i w:val="0"/>
                <w:sz w:val="20"/>
              </w:rPr>
              <w:t>Critical threshold alerting</w:t>
            </w:r>
          </w:p>
        </w:tc>
      </w:tr>
    </w:tbl>
    <w:p>
      <w:pPr>
        <w:spacing w:before="0" w:after="0" w:line="120" w:lineRule="exact"/>
      </w:pPr>
    </w:p>
    <w:p>
      <w:pPr>
        <w:pStyle w:val="H3"/>
        <w:numPr>
          <w:ilvl w:val="2"/>
          <w:numId w:val="1"/>
        </w:numPr>
      </w:pPr>
      <w:r>
        <w:t>Premium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21"/>
        <w:gridCol w:w="645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Coverage Hours</w:t>
            </w:r>
          </w:p>
        </w:tc>
        <w:tc>
          <w:tcPr>
            <w:tcW w:type="dxa" w:w="4873"/>
            <w:vAlign w:val="center"/>
          </w:tcPr>
          <w:p>
            <w:pPr>
              <w:spacing w:line="276" w:lineRule="auto" w:before="0" w:after="0"/>
            </w:pPr>
            <w:r/>
            <w:r>
              <w:rPr>
                <w:rFonts w:ascii="Figtree" w:hAnsi="Figtree"/>
                <w:b w:val="0"/>
                <w:i w:val="0"/>
                <w:sz w:val="20"/>
              </w:rPr>
              <w:t>Extended (07:00-22:00 CET, Monday-Friday; on-call P1 weekends)</w:t>
            </w:r>
          </w:p>
        </w:tc>
      </w:tr>
      <w:tr>
        <w:trPr>
          <w:trHeight w:val="425" w:hRule="atLeast"/>
        </w:trPr>
        <w:tc>
          <w:tcPr>
            <w:tcW w:type="dxa" w:w="4873"/>
            <w:vAlign w:val="center"/>
          </w:tcPr>
          <w:p>
            <w:pPr>
              <w:spacing w:line="276" w:lineRule="auto" w:before="0" w:after="0"/>
            </w:pPr>
            <w:r/>
            <w:r>
              <w:rPr>
                <w:rFonts w:ascii="Figtree" w:hAnsi="Figtree"/>
                <w:b w:val="0"/>
                <w:i w:val="0"/>
                <w:sz w:val="20"/>
              </w:rPr>
              <w:t>Support Channels</w:t>
            </w:r>
          </w:p>
        </w:tc>
        <w:tc>
          <w:tcPr>
            <w:tcW w:type="dxa" w:w="4873"/>
            <w:vAlign w:val="center"/>
          </w:tcPr>
          <w:p>
            <w:pPr>
              <w:spacing w:line="276" w:lineRule="auto" w:before="0" w:after="0"/>
            </w:pPr>
            <w:r/>
            <w:r>
              <w:rPr>
                <w:rFonts w:ascii="Figtree" w:hAnsi="Figtree"/>
                <w:b w:val="0"/>
                <w:i w:val="0"/>
                <w:sz w:val="20"/>
              </w:rPr>
              <w:t>Email, portal, dedicated Slack/Teams, phone</w:t>
            </w:r>
          </w:p>
        </w:tc>
      </w:tr>
      <w:tr>
        <w:trPr>
          <w:trHeight w:val="425" w:hRule="atLeast"/>
        </w:trPr>
        <w:tc>
          <w:tcPr>
            <w:tcW w:type="dxa" w:w="4873"/>
            <w:vAlign w:val="center"/>
          </w:tcPr>
          <w:p>
            <w:pPr>
              <w:spacing w:line="276" w:lineRule="auto" w:before="0" w:after="0"/>
            </w:pPr>
            <w:r/>
            <w:r>
              <w:rPr>
                <w:rFonts w:ascii="Figtree" w:hAnsi="Figtree"/>
                <w:b w:val="0"/>
                <w:i w:val="0"/>
                <w:sz w:val="20"/>
              </w:rPr>
              <w:t>Named Contacts</w:t>
            </w:r>
          </w:p>
        </w:tc>
        <w:tc>
          <w:tcPr>
            <w:tcW w:type="dxa" w:w="4873"/>
            <w:vAlign w:val="center"/>
          </w:tcPr>
          <w:p>
            <w:pPr>
              <w:spacing w:line="276" w:lineRule="auto" w:before="0" w:after="0"/>
            </w:pPr>
            <w:r/>
            <w:r>
              <w:rPr>
                <w:rFonts w:ascii="Figtree" w:hAnsi="Figtree"/>
                <w:b w:val="0"/>
                <w:i w:val="0"/>
                <w:sz w:val="20"/>
              </w:rPr>
              <w:t>Up to 8</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99.95% monthly</w:t>
            </w:r>
          </w:p>
        </w:tc>
      </w:tr>
      <w:tr>
        <w:trPr>
          <w:trHeight w:val="425" w:hRule="atLeast"/>
        </w:trPr>
        <w:tc>
          <w:tcPr>
            <w:tcW w:type="dxa" w:w="4873"/>
            <w:vAlign w:val="center"/>
          </w:tcPr>
          <w:p>
            <w:pPr>
              <w:spacing w:line="276" w:lineRule="auto" w:before="0" w:after="0"/>
            </w:pPr>
            <w:r/>
            <w:r>
              <w:rPr>
                <w:rFonts w:ascii="Figtree" w:hAnsi="Figtree"/>
                <w:b w:val="0"/>
                <w:i w:val="0"/>
                <w:sz w:val="20"/>
              </w:rPr>
              <w:t>Incident Management</w:t>
            </w:r>
          </w:p>
        </w:tc>
        <w:tc>
          <w:tcPr>
            <w:tcW w:type="dxa" w:w="4873"/>
            <w:vAlign w:val="center"/>
          </w:tcPr>
          <w:p>
            <w:pPr>
              <w:spacing w:line="276" w:lineRule="auto" w:before="0" w:after="0"/>
            </w:pPr>
            <w:r/>
            <w:r>
              <w:rPr>
                <w:rFonts w:ascii="Figtree" w:hAnsi="Figtree"/>
                <w:b w:val="0"/>
                <w:i w:val="0"/>
                <w:sz w:val="20"/>
              </w:rPr>
              <w:t>Priority queue with dedicated triage</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w:t>
            </w:r>
          </w:p>
        </w:tc>
        <w:tc>
          <w:tcPr>
            <w:tcW w:type="dxa" w:w="4873"/>
            <w:vAlign w:val="center"/>
          </w:tcPr>
          <w:p>
            <w:pPr>
              <w:spacing w:line="276" w:lineRule="auto" w:before="0" w:after="0"/>
            </w:pPr>
            <w:r/>
            <w:r>
              <w:rPr>
                <w:rFonts w:ascii="Figtree" w:hAnsi="Figtree"/>
                <w:b w:val="0"/>
                <w:i w:val="0"/>
                <w:sz w:val="20"/>
              </w:rPr>
              <w:t>Monthly releases with early access</w:t>
            </w:r>
          </w:p>
        </w:tc>
      </w:tr>
      <w:tr>
        <w:trPr>
          <w:trHeight w:val="425" w:hRule="atLeast"/>
        </w:trPr>
        <w:tc>
          <w:tcPr>
            <w:tcW w:type="dxa" w:w="4873"/>
            <w:vAlign w:val="center"/>
          </w:tcPr>
          <w:p>
            <w:pPr>
              <w:spacing w:line="276" w:lineRule="auto" w:before="0" w:after="0"/>
            </w:pPr>
            <w:r/>
            <w:r>
              <w:rPr>
                <w:rFonts w:ascii="Figtree" w:hAnsi="Figtree"/>
                <w:b w:val="0"/>
                <w:i w:val="0"/>
                <w:sz w:val="20"/>
              </w:rPr>
              <w:t>Proactive Monitoring</w:t>
            </w:r>
          </w:p>
        </w:tc>
        <w:tc>
          <w:tcPr>
            <w:tcW w:type="dxa" w:w="4873"/>
            <w:vAlign w:val="center"/>
          </w:tcPr>
          <w:p>
            <w:pPr>
              <w:spacing w:line="276" w:lineRule="auto" w:before="0" w:after="0"/>
            </w:pPr>
            <w:r/>
            <w:r>
              <w:rPr>
                <w:rFonts w:ascii="Figtree" w:hAnsi="Figtree"/>
                <w:b w:val="0"/>
                <w:i w:val="0"/>
                <w:sz w:val="20"/>
              </w:rPr>
              <w:t>Enhanced monitoring with anomaly detection</w:t>
            </w:r>
          </w:p>
        </w:tc>
      </w:tr>
      <w:tr>
        <w:trPr>
          <w:trHeight w:val="425" w:hRule="atLeast"/>
        </w:trPr>
        <w:tc>
          <w:tcPr>
            <w:tcW w:type="dxa" w:w="4873"/>
            <w:vAlign w:val="center"/>
          </w:tcPr>
          <w:p>
            <w:pPr>
              <w:spacing w:line="276" w:lineRule="auto" w:before="0" w:after="0"/>
            </w:pPr>
            <w:r/>
            <w:r>
              <w:rPr>
                <w:rFonts w:ascii="Figtree" w:hAnsi="Figtree"/>
                <w:b w:val="0"/>
                <w:i w:val="0"/>
                <w:sz w:val="20"/>
              </w:rPr>
              <w:t>Designated Engineer</w:t>
            </w:r>
          </w:p>
        </w:tc>
        <w:tc>
          <w:tcPr>
            <w:tcW w:type="dxa" w:w="4873"/>
            <w:vAlign w:val="center"/>
          </w:tcPr>
          <w:p>
            <w:pPr>
              <w:spacing w:line="276" w:lineRule="auto" w:before="0" w:after="0"/>
            </w:pPr>
            <w:r/>
            <w:r>
              <w:rPr>
                <w:rFonts w:ascii="Figtree" w:hAnsi="Figtree"/>
                <w:b w:val="0"/>
                <w:i w:val="0"/>
                <w:sz w:val="20"/>
              </w:rPr>
              <w:t>Named individual familiar with deployment</w:t>
            </w:r>
          </w:p>
        </w:tc>
      </w:tr>
    </w:tbl>
    <w:p>
      <w:pPr>
        <w:spacing w:before="0" w:after="0" w:line="120" w:lineRule="exact"/>
      </w:pPr>
    </w:p>
    <w:p>
      <w:pPr>
        <w:pStyle w:val="H3"/>
        <w:numPr>
          <w:ilvl w:val="2"/>
          <w:numId w:val="1"/>
        </w:numPr>
      </w:pPr>
      <w:r>
        <w:t>Enterprise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12"/>
        <w:gridCol w:w="585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Coverage Hours</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Support Channels</w:t>
            </w:r>
          </w:p>
        </w:tc>
        <w:tc>
          <w:tcPr>
            <w:tcW w:type="dxa" w:w="4873"/>
            <w:vAlign w:val="center"/>
          </w:tcPr>
          <w:p>
            <w:pPr>
              <w:spacing w:line="276" w:lineRule="auto" w:before="0" w:after="0"/>
            </w:pPr>
            <w:r/>
            <w:r>
              <w:rPr>
                <w:rFonts w:ascii="Figtree" w:hAnsi="Figtree"/>
                <w:b w:val="0"/>
                <w:i w:val="0"/>
                <w:sz w:val="20"/>
              </w:rPr>
              <w:t>Email, portal, dedicated channel, phone, video</w:t>
            </w:r>
          </w:p>
        </w:tc>
      </w:tr>
      <w:tr>
        <w:trPr>
          <w:trHeight w:val="425" w:hRule="atLeast"/>
        </w:trPr>
        <w:tc>
          <w:tcPr>
            <w:tcW w:type="dxa" w:w="4873"/>
            <w:vAlign w:val="center"/>
          </w:tcPr>
          <w:p>
            <w:pPr>
              <w:spacing w:line="276" w:lineRule="auto" w:before="0" w:after="0"/>
            </w:pPr>
            <w:r/>
            <w:r>
              <w:rPr>
                <w:rFonts w:ascii="Figtree" w:hAnsi="Figtree"/>
                <w:b w:val="0"/>
                <w:i w:val="0"/>
                <w:sz w:val="20"/>
              </w:rPr>
              <w:t>Named Contacts</w:t>
            </w:r>
          </w:p>
        </w:tc>
        <w:tc>
          <w:tcPr>
            <w:tcW w:type="dxa" w:w="4873"/>
            <w:vAlign w:val="center"/>
          </w:tcPr>
          <w:p>
            <w:pPr>
              <w:spacing w:line="276" w:lineRule="auto" w:before="0" w:after="0"/>
            </w:pPr>
            <w:r/>
            <w:r>
              <w:rPr>
                <w:rFonts w:ascii="Figtree" w:hAnsi="Figtree"/>
                <w:b w:val="0"/>
                <w:i w:val="0"/>
                <w:sz w:val="20"/>
              </w:rPr>
              <w:t>Unlimited</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val="0"/>
                <w:i w:val="0"/>
                <w:sz w:val="20"/>
              </w:rPr>
              <w:t>Incident Management</w:t>
            </w:r>
          </w:p>
        </w:tc>
        <w:tc>
          <w:tcPr>
            <w:tcW w:type="dxa" w:w="4873"/>
            <w:vAlign w:val="center"/>
          </w:tcPr>
          <w:p>
            <w:pPr>
              <w:spacing w:line="276" w:lineRule="auto" w:before="0" w:after="0"/>
            </w:pPr>
            <w:r/>
            <w:r>
              <w:rPr>
                <w:rFonts w:ascii="Figtree" w:hAnsi="Figtree"/>
                <w:b w:val="0"/>
                <w:i w:val="0"/>
                <w:sz w:val="20"/>
              </w:rPr>
              <w:t>Dedicated incident manager; war-room escalation</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w:t>
            </w:r>
          </w:p>
        </w:tc>
        <w:tc>
          <w:tcPr>
            <w:tcW w:type="dxa" w:w="4873"/>
            <w:vAlign w:val="center"/>
          </w:tcPr>
          <w:p>
            <w:pPr>
              <w:spacing w:line="276" w:lineRule="auto" w:before="0" w:after="0"/>
            </w:pPr>
            <w:r/>
            <w:r>
              <w:rPr>
                <w:rFonts w:ascii="Figtree" w:hAnsi="Figtree"/>
                <w:b w:val="0"/>
                <w:i w:val="0"/>
                <w:sz w:val="20"/>
              </w:rPr>
              <w:t>Continuous delivery with staged rollouts</w:t>
            </w:r>
          </w:p>
        </w:tc>
      </w:tr>
      <w:tr>
        <w:trPr>
          <w:trHeight w:val="425" w:hRule="atLeast"/>
        </w:trPr>
        <w:tc>
          <w:tcPr>
            <w:tcW w:type="dxa" w:w="4873"/>
            <w:vAlign w:val="center"/>
          </w:tcPr>
          <w:p>
            <w:pPr>
              <w:spacing w:line="276" w:lineRule="auto" w:before="0" w:after="0"/>
            </w:pPr>
            <w:r/>
            <w:r>
              <w:rPr>
                <w:rFonts w:ascii="Figtree" w:hAnsi="Figtree"/>
                <w:b w:val="0"/>
                <w:i w:val="0"/>
                <w:sz w:val="20"/>
              </w:rPr>
              <w:t>Proactive Monitoring</w:t>
            </w:r>
          </w:p>
        </w:tc>
        <w:tc>
          <w:tcPr>
            <w:tcW w:type="dxa" w:w="4873"/>
            <w:vAlign w:val="center"/>
          </w:tcPr>
          <w:p>
            <w:pPr>
              <w:spacing w:line="276" w:lineRule="auto" w:before="0" w:after="0"/>
            </w:pPr>
            <w:r/>
            <w:r>
              <w:rPr>
                <w:rFonts w:ascii="Figtree" w:hAnsi="Figtree"/>
                <w:b w:val="0"/>
                <w:i w:val="0"/>
                <w:sz w:val="20"/>
              </w:rPr>
              <w:t>Full-stack observability with capacity planning</w:t>
            </w:r>
          </w:p>
        </w:tc>
      </w:tr>
      <w:tr>
        <w:trPr>
          <w:trHeight w:val="425" w:hRule="atLeast"/>
        </w:trPr>
        <w:tc>
          <w:tcPr>
            <w:tcW w:type="dxa" w:w="4873"/>
            <w:vAlign w:val="center"/>
          </w:tcPr>
          <w:p>
            <w:pPr>
              <w:spacing w:line="276" w:lineRule="auto" w:before="0" w:after="0"/>
            </w:pPr>
            <w:r/>
            <w:r>
              <w:rPr>
                <w:rFonts w:ascii="Figtree" w:hAnsi="Figtree"/>
                <w:b w:val="0"/>
                <w:i w:val="0"/>
                <w:sz w:val="20"/>
              </w:rPr>
              <w:t>Designated Team</w:t>
            </w:r>
          </w:p>
        </w:tc>
        <w:tc>
          <w:tcPr>
            <w:tcW w:type="dxa" w:w="4873"/>
            <w:vAlign w:val="center"/>
          </w:tcPr>
          <w:p>
            <w:pPr>
              <w:spacing w:line="276" w:lineRule="auto" w:before="0" w:after="0"/>
            </w:pPr>
            <w:r/>
            <w:r>
              <w:rPr>
                <w:rFonts w:ascii="Figtree" w:hAnsi="Figtree"/>
                <w:b w:val="0"/>
                <w:i w:val="0"/>
                <w:sz w:val="20"/>
              </w:rPr>
              <w:t>Named support team with deep deployment familiarity</w:t>
            </w:r>
          </w:p>
        </w:tc>
      </w:tr>
      <w:tr>
        <w:trPr>
          <w:trHeight w:val="425" w:hRule="atLeast"/>
        </w:trPr>
        <w:tc>
          <w:tcPr>
            <w:tcW w:type="dxa" w:w="4873"/>
            <w:vAlign w:val="center"/>
          </w:tcPr>
          <w:p>
            <w:pPr>
              <w:spacing w:line="276" w:lineRule="auto" w:before="0" w:after="0"/>
            </w:pPr>
            <w:r/>
            <w:r>
              <w:rPr>
                <w:rFonts w:ascii="Figtree" w:hAnsi="Figtree"/>
                <w:b w:val="0"/>
                <w:i w:val="0"/>
                <w:sz w:val="20"/>
              </w:rPr>
              <w:t>Solution Architect Access</w:t>
            </w:r>
          </w:p>
        </w:tc>
        <w:tc>
          <w:tcPr>
            <w:tcW w:type="dxa" w:w="4873"/>
            <w:vAlign w:val="center"/>
          </w:tcPr>
          <w:p>
            <w:pPr>
              <w:spacing w:line="276" w:lineRule="auto" w:before="0" w:after="0"/>
            </w:pPr>
            <w:r/>
            <w:r>
              <w:rPr>
                <w:rFonts w:ascii="Figtree" w:hAnsi="Figtree"/>
                <w:b w:val="0"/>
                <w:i w:val="0"/>
                <w:sz w:val="20"/>
              </w:rPr>
              <w:t>Quarterly architecture reviews</w:t>
            </w:r>
          </w:p>
        </w:tc>
      </w:tr>
      <w:tr>
        <w:trPr>
          <w:trHeight w:val="425" w:hRule="atLeast"/>
        </w:trPr>
        <w:tc>
          <w:tcPr>
            <w:tcW w:type="dxa" w:w="4873"/>
            <w:vAlign w:val="center"/>
          </w:tcPr>
          <w:p>
            <w:pPr>
              <w:spacing w:line="276" w:lineRule="auto" w:before="0" w:after="0"/>
            </w:pPr>
            <w:r/>
            <w:r>
              <w:rPr>
                <w:rFonts w:ascii="Figtree" w:hAnsi="Figtree"/>
                <w:b w:val="0"/>
                <w:i w:val="0"/>
                <w:sz w:val="20"/>
              </w:rPr>
              <w:t>Customer Success Manager</w:t>
            </w:r>
          </w:p>
        </w:tc>
        <w:tc>
          <w:tcPr>
            <w:tcW w:type="dxa" w:w="4873"/>
            <w:vAlign w:val="center"/>
          </w:tcPr>
          <w:p>
            <w:pPr>
              <w:spacing w:line="276" w:lineRule="auto" w:before="0" w:after="0"/>
            </w:pPr>
            <w:r/>
            <w:r>
              <w:rPr>
                <w:rFonts w:ascii="Figtree" w:hAnsi="Figtree"/>
                <w:b w:val="0"/>
                <w:i w:val="0"/>
                <w:sz w:val="20"/>
              </w:rPr>
              <w:t>Bi-weekly operational review</w:t>
            </w:r>
          </w:p>
        </w:tc>
      </w:tr>
    </w:tbl>
    <w:p>
      <w:pPr>
        <w:spacing w:before="0" w:after="0" w:line="120" w:lineRule="exact"/>
      </w:pPr>
    </w:p>
    <w:p>
      <w:pPr>
        <w:pStyle w:val="H2"/>
        <w:numPr>
          <w:ilvl w:val="1"/>
          <w:numId w:val="1"/>
        </w:numPr>
      </w:pPr>
      <w:r>
        <w:t>11.3 Severity and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62"/>
        <w:gridCol w:w="3759"/>
        <w:gridCol w:w="1389"/>
        <w:gridCol w:w="1307"/>
        <w:gridCol w:w="1552"/>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Standard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Premium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Enterprise Response</w:t>
            </w:r>
          </w:p>
        </w:tc>
      </w:tr>
      <w:tr>
        <w:trPr>
          <w:trHeight w:val="425" w:hRule="atLeast"/>
        </w:trPr>
        <w:tc>
          <w:tcPr>
            <w:tcW w:type="dxa" w:w="1949"/>
            <w:vAlign w:val="center"/>
          </w:tcPr>
          <w:p>
            <w:pPr>
              <w:spacing w:line="276" w:lineRule="auto" w:before="0" w:after="0"/>
            </w:pPr>
            <w:r/>
            <w:r>
              <w:rPr>
                <w:rFonts w:ascii="Figtree" w:hAnsi="Figtree"/>
                <w:b w:val="0"/>
                <w:i w:val="0"/>
                <w:sz w:val="20"/>
              </w:rPr>
              <w:t>P1 - Critical</w:t>
            </w:r>
          </w:p>
        </w:tc>
        <w:tc>
          <w:tcPr>
            <w:tcW w:type="dxa" w:w="1949"/>
            <w:vAlign w:val="center"/>
          </w:tcPr>
          <w:p>
            <w:pPr>
              <w:spacing w:line="276" w:lineRule="auto" w:before="0" w:after="0"/>
            </w:pPr>
            <w:r/>
            <w:r>
              <w:rPr>
                <w:rFonts w:ascii="Figtree" w:hAnsi="Figtree"/>
                <w:b w:val="0"/>
                <w:i w:val="0"/>
                <w:sz w:val="20"/>
              </w:rPr>
              <w:t>Production down, data loss, compliance failure</w:t>
            </w:r>
          </w:p>
        </w:tc>
        <w:tc>
          <w:tcPr>
            <w:tcW w:type="dxa" w:w="1949"/>
            <w:vAlign w:val="center"/>
          </w:tcPr>
          <w:p>
            <w:pPr>
              <w:spacing w:line="276" w:lineRule="auto" w:before="0" w:after="0"/>
            </w:pPr>
            <w:r/>
            <w:r>
              <w:rPr>
                <w:rFonts w:ascii="Figtree" w:hAnsi="Figtree"/>
                <w:b w:val="0"/>
                <w:i w:val="0"/>
                <w:sz w:val="20"/>
              </w:rPr>
              <w:t>4 hours</w:t>
            </w:r>
          </w:p>
        </w:tc>
        <w:tc>
          <w:tcPr>
            <w:tcW w:type="dxa" w:w="1949"/>
            <w:vAlign w:val="center"/>
          </w:tcPr>
          <w:p>
            <w:pPr>
              <w:spacing w:line="276" w:lineRule="auto" w:before="0" w:after="0"/>
            </w:pPr>
            <w:r/>
            <w:r>
              <w:rPr>
                <w:rFonts w:ascii="Figtree" w:hAnsi="Figtree"/>
                <w:b w:val="0"/>
                <w:i w:val="0"/>
                <w:sz w:val="20"/>
              </w:rPr>
              <w:t>1 hour</w:t>
            </w:r>
          </w:p>
        </w:tc>
        <w:tc>
          <w:tcPr>
            <w:tcW w:type="dxa" w:w="1949"/>
            <w:vAlign w:val="center"/>
          </w:tcPr>
          <w:p>
            <w:pPr>
              <w:spacing w:line="276" w:lineRule="auto" w:before="0" w:after="0"/>
            </w:pPr>
            <w:r/>
            <w:r>
              <w:rPr>
                <w:rFonts w:ascii="Figtree" w:hAnsi="Figtree"/>
                <w:b w:val="0"/>
                <w:i w:val="0"/>
                <w:sz w:val="20"/>
              </w:rPr>
              <w:t>15 minutes</w:t>
            </w:r>
          </w:p>
        </w:tc>
      </w:tr>
      <w:tr>
        <w:trPr>
          <w:trHeight w:val="425" w:hRule="atLeast"/>
        </w:trPr>
        <w:tc>
          <w:tcPr>
            <w:tcW w:type="dxa" w:w="1949"/>
            <w:vAlign w:val="center"/>
          </w:tcPr>
          <w:p>
            <w:pPr>
              <w:spacing w:line="276" w:lineRule="auto" w:before="0" w:after="0"/>
            </w:pPr>
            <w:r/>
            <w:r>
              <w:rPr>
                <w:rFonts w:ascii="Figtree" w:hAnsi="Figtree"/>
                <w:b w:val="0"/>
                <w:i w:val="0"/>
                <w:sz w:val="20"/>
              </w:rPr>
              <w:t>P2 - High</w:t>
            </w:r>
          </w:p>
        </w:tc>
        <w:tc>
          <w:tcPr>
            <w:tcW w:type="dxa" w:w="1949"/>
            <w:vAlign w:val="center"/>
          </w:tcPr>
          <w:p>
            <w:pPr>
              <w:spacing w:line="276" w:lineRule="auto" w:before="0" w:after="0"/>
            </w:pPr>
            <w:r/>
            <w:r>
              <w:rPr>
                <w:rFonts w:ascii="Figtree" w:hAnsi="Figtree"/>
                <w:b w:val="0"/>
                <w:i w:val="0"/>
                <w:sz w:val="20"/>
              </w:rPr>
              <w:t>Major impact, multiple users affected</w:t>
            </w:r>
          </w:p>
        </w:tc>
        <w:tc>
          <w:tcPr>
            <w:tcW w:type="dxa" w:w="1949"/>
            <w:vAlign w:val="center"/>
          </w:tcPr>
          <w:p>
            <w:pPr>
              <w:spacing w:line="276" w:lineRule="auto" w:before="0" w:after="0"/>
            </w:pPr>
            <w:r/>
            <w:r>
              <w:rPr>
                <w:rFonts w:ascii="Figtree" w:hAnsi="Figtree"/>
                <w:b w:val="0"/>
                <w:i w:val="0"/>
                <w:sz w:val="20"/>
              </w:rPr>
              <w:t>8 hours</w:t>
            </w:r>
          </w:p>
        </w:tc>
        <w:tc>
          <w:tcPr>
            <w:tcW w:type="dxa" w:w="1949"/>
            <w:vAlign w:val="center"/>
          </w:tcPr>
          <w:p>
            <w:pPr>
              <w:spacing w:line="276" w:lineRule="auto" w:before="0" w:after="0"/>
            </w:pPr>
            <w:r/>
            <w:r>
              <w:rPr>
                <w:rFonts w:ascii="Figtree" w:hAnsi="Figtree"/>
                <w:b w:val="0"/>
                <w:i w:val="0"/>
                <w:sz w:val="20"/>
              </w:rPr>
              <w:t>4 hours</w:t>
            </w:r>
          </w:p>
        </w:tc>
        <w:tc>
          <w:tcPr>
            <w:tcW w:type="dxa" w:w="1949"/>
            <w:vAlign w:val="center"/>
          </w:tcPr>
          <w:p>
            <w:pPr>
              <w:spacing w:line="276" w:lineRule="auto" w:before="0" w:after="0"/>
            </w:pPr>
            <w:r/>
            <w:r>
              <w:rPr>
                <w:rFonts w:ascii="Figtree" w:hAnsi="Figtree"/>
                <w:b w:val="0"/>
                <w:i w:val="0"/>
                <w:sz w:val="20"/>
              </w:rPr>
              <w:t>1 hour</w:t>
            </w:r>
          </w:p>
        </w:tc>
      </w:tr>
      <w:tr>
        <w:trPr>
          <w:trHeight w:val="425" w:hRule="atLeast"/>
        </w:trPr>
        <w:tc>
          <w:tcPr>
            <w:tcW w:type="dxa" w:w="1949"/>
            <w:vAlign w:val="center"/>
          </w:tcPr>
          <w:p>
            <w:pPr>
              <w:spacing w:line="276" w:lineRule="auto" w:before="0" w:after="0"/>
            </w:pPr>
            <w:r/>
            <w:r>
              <w:rPr>
                <w:rFonts w:ascii="Figtree" w:hAnsi="Figtree"/>
                <w:b w:val="0"/>
                <w:i w:val="0"/>
                <w:sz w:val="20"/>
              </w:rPr>
              <w:t>P3 - Medium</w:t>
            </w:r>
          </w:p>
        </w:tc>
        <w:tc>
          <w:tcPr>
            <w:tcW w:type="dxa" w:w="1949"/>
            <w:vAlign w:val="center"/>
          </w:tcPr>
          <w:p>
            <w:pPr>
              <w:spacing w:line="276" w:lineRule="auto" w:before="0" w:after="0"/>
            </w:pPr>
            <w:r/>
            <w:r>
              <w:rPr>
                <w:rFonts w:ascii="Figtree" w:hAnsi="Figtree"/>
                <w:b w:val="0"/>
                <w:i w:val="0"/>
                <w:sz w:val="20"/>
              </w:rPr>
              <w:t>Workaround available, subset affected</w:t>
            </w:r>
          </w:p>
        </w:tc>
        <w:tc>
          <w:tcPr>
            <w:tcW w:type="dxa" w:w="1949"/>
            <w:vAlign w:val="center"/>
          </w:tcPr>
          <w:p>
            <w:pPr>
              <w:spacing w:line="276" w:lineRule="auto" w:before="0" w:after="0"/>
            </w:pPr>
            <w:r/>
            <w:r>
              <w:rPr>
                <w:rFonts w:ascii="Figtree" w:hAnsi="Figtree"/>
                <w:b w:val="0"/>
                <w:i w:val="0"/>
                <w:sz w:val="20"/>
              </w:rPr>
              <w:t>2 business days</w:t>
            </w:r>
          </w:p>
        </w:tc>
        <w:tc>
          <w:tcPr>
            <w:tcW w:type="dxa" w:w="1949"/>
            <w:vAlign w:val="center"/>
          </w:tcPr>
          <w:p>
            <w:pPr>
              <w:spacing w:line="276" w:lineRule="auto" w:before="0" w:after="0"/>
            </w:pPr>
            <w:r/>
            <w:r>
              <w:rPr>
                <w:rFonts w:ascii="Figtree" w:hAnsi="Figtree"/>
                <w:b w:val="0"/>
                <w:i w:val="0"/>
                <w:sz w:val="20"/>
              </w:rPr>
              <w:t>1 business day</w:t>
            </w:r>
          </w:p>
        </w:tc>
        <w:tc>
          <w:tcPr>
            <w:tcW w:type="dxa" w:w="1949"/>
            <w:vAlign w:val="center"/>
          </w:tcPr>
          <w:p>
            <w:pPr>
              <w:spacing w:line="276" w:lineRule="auto" w:before="0" w:after="0"/>
            </w:pPr>
            <w:r/>
            <w:r>
              <w:rPr>
                <w:rFonts w:ascii="Figtree" w:hAnsi="Figtree"/>
                <w:b w:val="0"/>
                <w:i w:val="0"/>
                <w:sz w:val="20"/>
              </w:rPr>
              <w:t>4 hours</w:t>
            </w:r>
          </w:p>
        </w:tc>
      </w:tr>
      <w:tr>
        <w:trPr>
          <w:trHeight w:val="425" w:hRule="atLeast"/>
        </w:trPr>
        <w:tc>
          <w:tcPr>
            <w:tcW w:type="dxa" w:w="1949"/>
            <w:vAlign w:val="center"/>
          </w:tcPr>
          <w:p>
            <w:pPr>
              <w:spacing w:line="276" w:lineRule="auto" w:before="0" w:after="0"/>
            </w:pPr>
            <w:r/>
            <w:r>
              <w:rPr>
                <w:rFonts w:ascii="Figtree" w:hAnsi="Figtree"/>
                <w:b w:val="0"/>
                <w:i w:val="0"/>
                <w:sz w:val="20"/>
              </w:rPr>
              <w:t>P4 - Low</w:t>
            </w:r>
          </w:p>
        </w:tc>
        <w:tc>
          <w:tcPr>
            <w:tcW w:type="dxa" w:w="1949"/>
            <w:vAlign w:val="center"/>
          </w:tcPr>
          <w:p>
            <w:pPr>
              <w:spacing w:line="276" w:lineRule="auto" w:before="0" w:after="0"/>
            </w:pPr>
            <w:r/>
            <w:r>
              <w:rPr>
                <w:rFonts w:ascii="Figtree" w:hAnsi="Figtree"/>
                <w:b w:val="0"/>
                <w:i w:val="0"/>
                <w:sz w:val="20"/>
              </w:rPr>
              <w:t>Minor issue, no operational impact</w:t>
            </w:r>
          </w:p>
        </w:tc>
        <w:tc>
          <w:tcPr>
            <w:tcW w:type="dxa" w:w="1949"/>
            <w:vAlign w:val="center"/>
          </w:tcPr>
          <w:p>
            <w:pPr>
              <w:spacing w:line="276" w:lineRule="auto" w:before="0" w:after="0"/>
            </w:pPr>
            <w:r/>
            <w:r>
              <w:rPr>
                <w:rFonts w:ascii="Figtree" w:hAnsi="Figtree"/>
                <w:b w:val="0"/>
                <w:i w:val="0"/>
                <w:sz w:val="20"/>
              </w:rPr>
              <w:t>5 business days</w:t>
            </w:r>
          </w:p>
        </w:tc>
        <w:tc>
          <w:tcPr>
            <w:tcW w:type="dxa" w:w="1949"/>
            <w:vAlign w:val="center"/>
          </w:tcPr>
          <w:p>
            <w:pPr>
              <w:spacing w:line="276" w:lineRule="auto" w:before="0" w:after="0"/>
            </w:pPr>
            <w:r/>
            <w:r>
              <w:rPr>
                <w:rFonts w:ascii="Figtree" w:hAnsi="Figtree"/>
                <w:b w:val="0"/>
                <w:i w:val="0"/>
                <w:sz w:val="20"/>
              </w:rPr>
              <w:t>3 business days</w:t>
            </w:r>
          </w:p>
        </w:tc>
        <w:tc>
          <w:tcPr>
            <w:tcW w:type="dxa" w:w="1949"/>
            <w:vAlign w:val="center"/>
          </w:tcPr>
          <w:p>
            <w:pPr>
              <w:spacing w:line="276" w:lineRule="auto" w:before="0" w:after="0"/>
            </w:pPr>
            <w:r/>
            <w:r>
              <w:rPr>
                <w:rFonts w:ascii="Figtree" w:hAnsi="Figtree"/>
                <w:b w:val="0"/>
                <w:i w:val="0"/>
                <w:sz w:val="20"/>
              </w:rPr>
              <w:t>1 business day</w:t>
            </w:r>
          </w:p>
        </w:tc>
      </w:tr>
    </w:tbl>
    <w:p>
      <w:pPr>
        <w:spacing w:before="0" w:after="0" w:line="120" w:lineRule="exact"/>
      </w:pPr>
    </w:p>
    <w:p>
      <w:pPr>
        <w:pStyle w:val="H2"/>
        <w:numPr>
          <w:ilvl w:val="1"/>
          <w:numId w:val="1"/>
        </w:numPr>
      </w:pPr>
      <w:r>
        <w:t>11.4 Escalation and Incident Management</w:t>
      </w:r>
    </w:p>
    <w:p>
      <w:r>
        <w:rPr>
          <w:rFonts w:ascii="Figtree" w:hAnsi="Figtree"/>
          <w:b/>
          <w:i w:val="0"/>
          <w:sz w:val="22"/>
        </w:rPr>
        <w:t>Escalation Path:</w:t>
      </w:r>
    </w:p>
    <w:p>
      <w:pPr>
        <w:pStyle w:val="ListParagraph"/>
        <w:numPr>
          <w:ilvl w:val="0"/>
          <w:numId w:val="8"/>
        </w:numPr>
      </w:pPr>
      <w:r>
        <w:rPr>
          <w:rFonts w:ascii="Figtree" w:hAnsi="Figtree"/>
          <w:b w:val="0"/>
          <w:i w:val="0"/>
          <w:sz w:val="22"/>
        </w:rPr>
        <w:t>Support engineer receives incident</w:t>
      </w:r>
    </w:p>
    <w:p>
      <w:pPr>
        <w:pStyle w:val="ListParagraph"/>
        <w:numPr>
          <w:ilvl w:val="0"/>
          <w:numId w:val="8"/>
        </w:numPr>
      </w:pPr>
      <w:r>
        <w:rPr>
          <w:rFonts w:ascii="Figtree" w:hAnsi="Figtree"/>
          <w:b w:val="0"/>
          <w:i w:val="0"/>
          <w:sz w:val="22"/>
        </w:rPr>
        <w:t>Severity assessed and ticket created</w:t>
      </w:r>
    </w:p>
    <w:p>
      <w:pPr>
        <w:pStyle w:val="ListParagraph"/>
        <w:numPr>
          <w:ilvl w:val="0"/>
          <w:numId w:val="8"/>
        </w:numPr>
      </w:pPr>
      <w:r>
        <w:rPr>
          <w:rFonts w:ascii="Figtree" w:hAnsi="Figtree"/>
          <w:b w:val="0"/>
          <w:i w:val="0"/>
          <w:sz w:val="22"/>
        </w:rPr>
        <w:t>P1/P2: Immediate escalation to on-call engineer</w:t>
      </w:r>
    </w:p>
    <w:p>
      <w:pPr>
        <w:pStyle w:val="ListParagraph"/>
        <w:numPr>
          <w:ilvl w:val="0"/>
          <w:numId w:val="8"/>
        </w:numPr>
      </w:pPr>
      <w:r>
        <w:rPr>
          <w:rFonts w:ascii="Figtree" w:hAnsi="Figtree"/>
          <w:b w:val="0"/>
          <w:i w:val="0"/>
          <w:sz w:val="22"/>
        </w:rPr>
        <w:t>P1: Incident manager assigned; war-room if needed</w:t>
      </w:r>
    </w:p>
    <w:p>
      <w:pPr>
        <w:pStyle w:val="ListParagraph"/>
        <w:numPr>
          <w:ilvl w:val="0"/>
          <w:numId w:val="8"/>
        </w:numPr>
      </w:pPr>
      <w:r>
        <w:rPr>
          <w:rFonts w:ascii="Figtree" w:hAnsi="Figtree"/>
          <w:b w:val="0"/>
          <w:i w:val="0"/>
          <w:sz w:val="22"/>
        </w:rPr>
        <w:t>Resolution or workaround provided</w:t>
      </w:r>
    </w:p>
    <w:p>
      <w:pPr>
        <w:pStyle w:val="ListParagraph"/>
        <w:numPr>
          <w:ilvl w:val="0"/>
          <w:numId w:val="8"/>
        </w:numPr>
      </w:pPr>
      <w:r>
        <w:rPr>
          <w:rFonts w:ascii="Figtree" w:hAnsi="Figtree"/>
          <w:b w:val="0"/>
          <w:i w:val="0"/>
          <w:sz w:val="22"/>
        </w:rPr>
        <w:t>Post-mortem conducted for P1/P2</w:t>
      </w:r>
    </w:p>
    <w:p>
      <w:r>
        <w:rPr>
          <w:rFonts w:ascii="Figtree" w:hAnsi="Figtree"/>
          <w:b/>
          <w:i w:val="0"/>
          <w:sz w:val="22"/>
        </w:rPr>
        <w:t>Escalation Contacts:</w:t>
      </w:r>
    </w:p>
    <w:p>
      <w:pPr>
        <w:pStyle w:val="ListParagraph"/>
        <w:numPr>
          <w:ilvl w:val="0"/>
          <w:numId w:val="4"/>
        </w:numPr>
      </w:pPr>
      <w:r>
        <w:rPr>
          <w:rFonts w:ascii="Figtree" w:hAnsi="Figtree"/>
          <w:b w:val="0"/>
          <w:i w:val="0"/>
          <w:sz w:val="22"/>
        </w:rPr>
        <w:t>Level 1: Support Portal / Email</w:t>
      </w:r>
    </w:p>
    <w:p>
      <w:r>
        <w:rPr>
          <w:rFonts w:ascii="Figtree" w:hAnsi="Figtree"/>
          <w:b w:val="0"/>
          <w:i w:val="0"/>
          <w:sz w:val="22"/>
        </w:rPr>
        <w:t>-</w:t>
      </w:r>
    </w:p>
    <w:p>
      <w:r>
        <w:rPr>
          <w:rFonts w:ascii="Figtree" w:hAnsi="Figtree"/>
          <w:b w:val="0"/>
          <w:i w:val="0"/>
          <w:sz w:val="22"/>
        </w:rPr>
        <w:t>Level 2: Support Engineer (via portal or Slack)</w:t>
      </w:r>
    </w:p>
    <w:p>
      <w:pPr>
        <w:pStyle w:val="ListParagraph"/>
        <w:numPr>
          <w:ilvl w:val="0"/>
          <w:numId w:val="4"/>
        </w:numPr>
      </w:pPr>
      <w:r>
        <w:rPr>
          <w:rFonts w:ascii="Figtree" w:hAnsi="Figtree"/>
          <w:b w:val="0"/>
          <w:i w:val="0"/>
          <w:sz w:val="22"/>
        </w:rPr>
        <w:t>Level 3: Support Team Lead</w:t>
      </w:r>
    </w:p>
    <w:p>
      <w:pPr>
        <w:pStyle w:val="ListParagraph"/>
        <w:numPr>
          <w:ilvl w:val="0"/>
          <w:numId w:val="4"/>
        </w:numPr>
      </w:pPr>
      <w:r>
        <w:rPr>
          <w:rFonts w:ascii="Figtree" w:hAnsi="Figtree"/>
          <w:b w:val="0"/>
          <w:i w:val="0"/>
          <w:sz w:val="22"/>
        </w:rPr>
        <w:t>Level 4: VP Engineering / CTO</w:t>
      </w:r>
    </w:p>
    <w:p>
      <w:pPr>
        <w:pStyle w:val="H2"/>
        <w:numPr>
          <w:ilvl w:val="1"/>
          <w:numId w:val="1"/>
        </w:numPr>
      </w:pPr>
      <w:r>
        <w:t>11.5 Maintenance and Update Policy</w:t>
      </w:r>
    </w:p>
    <w:p>
      <w:r>
        <w:rPr>
          <w:rFonts w:ascii="Figtree" w:hAnsi="Figtree"/>
          <w:b/>
          <w:i w:val="0"/>
          <w:sz w:val="22"/>
        </w:rPr>
        <w:t>Release Schedule:</w:t>
      </w:r>
    </w:p>
    <w:p>
      <w:pPr>
        <w:pStyle w:val="ListParagraph"/>
        <w:numPr>
          <w:ilvl w:val="0"/>
          <w:numId w:val="4"/>
        </w:numPr>
      </w:pPr>
      <w:r>
        <w:rPr>
          <w:rFonts w:ascii="Figtree" w:hAnsi="Figtree"/>
          <w:b w:val="0"/>
          <w:i w:val="0"/>
          <w:sz w:val="22"/>
        </w:rPr>
        <w:t>Standard: Quarterly releases with 2 weeks notice</w:t>
      </w:r>
    </w:p>
    <w:p>
      <w:pPr>
        <w:pStyle w:val="ListParagraph"/>
        <w:numPr>
          <w:ilvl w:val="0"/>
          <w:numId w:val="4"/>
        </w:numPr>
      </w:pPr>
      <w:r>
        <w:rPr>
          <w:rFonts w:ascii="Figtree" w:hAnsi="Figtree"/>
          <w:b w:val="0"/>
          <w:i w:val="0"/>
          <w:sz w:val="22"/>
        </w:rPr>
        <w:t>Premium: Monthly releases with 1 week notice</w:t>
      </w:r>
    </w:p>
    <w:p>
      <w:pPr>
        <w:pStyle w:val="ListParagraph"/>
        <w:numPr>
          <w:ilvl w:val="0"/>
          <w:numId w:val="4"/>
        </w:numPr>
      </w:pPr>
      <w:r>
        <w:rPr>
          <w:rFonts w:ascii="Figtree" w:hAnsi="Figtree"/>
          <w:b w:val="0"/>
          <w:i w:val="0"/>
          <w:sz w:val="22"/>
        </w:rPr>
        <w:t>Enterprise: Continuous delivery with staged rollouts</w:t>
      </w:r>
    </w:p>
    <w:p>
      <w:r>
        <w:rPr>
          <w:rFonts w:ascii="Figtree" w:hAnsi="Figtree"/>
          <w:b/>
          <w:i w:val="0"/>
          <w:sz w:val="22"/>
        </w:rPr>
        <w:t>Maintenance Windows:</w:t>
      </w:r>
    </w:p>
    <w:p>
      <w:pPr>
        <w:pStyle w:val="ListParagraph"/>
        <w:numPr>
          <w:ilvl w:val="0"/>
          <w:numId w:val="4"/>
        </w:numPr>
      </w:pPr>
      <w:r>
        <w:rPr>
          <w:rFonts w:ascii="Figtree" w:hAnsi="Figtree"/>
          <w:b w:val="0"/>
          <w:i w:val="0"/>
          <w:sz w:val="22"/>
        </w:rPr>
        <w:t>Planned maintenance: Announced 2 weeks in advance</w:t>
      </w:r>
    </w:p>
    <w:p>
      <w:pPr>
        <w:pStyle w:val="ListParagraph"/>
        <w:numPr>
          <w:ilvl w:val="0"/>
          <w:numId w:val="4"/>
        </w:numPr>
      </w:pPr>
      <w:r>
        <w:rPr>
          <w:rFonts w:ascii="Figtree" w:hAnsi="Figtree"/>
          <w:b w:val="0"/>
          <w:i w:val="0"/>
          <w:sz w:val="22"/>
        </w:rPr>
        <w:t>Emergency maintenance: As required with best-effort notice</w:t>
      </w:r>
    </w:p>
    <w:p>
      <w:pPr>
        <w:pStyle w:val="ListParagraph"/>
        <w:numPr>
          <w:ilvl w:val="0"/>
          <w:numId w:val="4"/>
        </w:numPr>
      </w:pPr>
      <w:r>
        <w:rPr>
          <w:rFonts w:ascii="Figtree" w:hAnsi="Figtree"/>
          <w:b w:val="0"/>
          <w:i w:val="0"/>
          <w:sz w:val="22"/>
        </w:rPr>
        <w:t>All maintenance excludes from SLA calculation</w:t>
      </w:r>
    </w:p>
    <w:p>
      <w:pPr>
        <w:pStyle w:val="H2"/>
        <w:numPr>
          <w:ilvl w:val="1"/>
          <w:numId w:val="1"/>
        </w:numPr>
      </w:pPr>
      <w:r>
        <w:t>11.6 Service Reporting</w:t>
      </w:r>
    </w:p>
    <w:p>
      <w:r>
        <w:rPr>
          <w:rFonts w:ascii="Figtree" w:hAnsi="Figtree"/>
          <w:b/>
          <w:i w:val="0"/>
          <w:sz w:val="22"/>
        </w:rPr>
        <w:t>Monthly Reports Include:</w:t>
      </w:r>
    </w:p>
    <w:p>
      <w:pPr>
        <w:pStyle w:val="ListParagraph"/>
        <w:numPr>
          <w:ilvl w:val="0"/>
          <w:numId w:val="4"/>
        </w:numPr>
      </w:pPr>
      <w:r>
        <w:rPr>
          <w:rFonts w:ascii="Figtree" w:hAnsi="Figtree"/>
          <w:b w:val="0"/>
          <w:i w:val="0"/>
          <w:sz w:val="22"/>
        </w:rPr>
        <w:t>Uptime metrics vs SLA target</w:t>
      </w:r>
    </w:p>
    <w:p>
      <w:pPr>
        <w:pStyle w:val="ListParagraph"/>
        <w:numPr>
          <w:ilvl w:val="0"/>
          <w:numId w:val="4"/>
        </w:numPr>
      </w:pPr>
      <w:r>
        <w:rPr>
          <w:rFonts w:ascii="Figtree" w:hAnsi="Figtree"/>
          <w:b w:val="0"/>
          <w:i w:val="0"/>
          <w:sz w:val="22"/>
        </w:rPr>
        <w:t>Incident summary (count, severity, resolution time)</w:t>
      </w:r>
    </w:p>
    <w:p>
      <w:pPr>
        <w:pStyle w:val="ListParagraph"/>
        <w:numPr>
          <w:ilvl w:val="0"/>
          <w:numId w:val="4"/>
        </w:numPr>
      </w:pPr>
      <w:r>
        <w:rPr>
          <w:rFonts w:ascii="Figtree" w:hAnsi="Figtree"/>
          <w:b w:val="0"/>
          <w:i w:val="0"/>
          <w:sz w:val="22"/>
        </w:rPr>
        <w:t>Platform health metrics</w:t>
      </w:r>
    </w:p>
    <w:p>
      <w:pPr>
        <w:pStyle w:val="ListParagraph"/>
        <w:numPr>
          <w:ilvl w:val="0"/>
          <w:numId w:val="4"/>
        </w:numPr>
      </w:pPr>
      <w:r>
        <w:rPr>
          <w:rFonts w:ascii="Figtree" w:hAnsi="Figtree"/>
          <w:b w:val="0"/>
          <w:i w:val="0"/>
          <w:sz w:val="22"/>
        </w:rPr>
        <w:t>Upcoming maintenance and releases</w:t>
      </w:r>
    </w:p>
    <w:p>
      <w:r>
        <w:rPr>
          <w:rFonts w:ascii="Figtree" w:hAnsi="Figtree"/>
          <w:b/>
          <w:i w:val="0"/>
          <w:sz w:val="22"/>
        </w:rPr>
        <w:t>Quarterly Business Reviews (Standard/Premium):</w:t>
      </w:r>
    </w:p>
    <w:p>
      <w:pPr>
        <w:pStyle w:val="ListParagraph"/>
        <w:numPr>
          <w:ilvl w:val="0"/>
          <w:numId w:val="4"/>
        </w:numPr>
      </w:pPr>
      <w:r>
        <w:rPr>
          <w:rFonts w:ascii="Figtree" w:hAnsi="Figtree"/>
          <w:b w:val="0"/>
          <w:i w:val="0"/>
          <w:sz w:val="22"/>
        </w:rPr>
        <w:t>Performance trends</w:t>
      </w:r>
    </w:p>
    <w:p>
      <w:pPr>
        <w:pStyle w:val="ListParagraph"/>
        <w:numPr>
          <w:ilvl w:val="0"/>
          <w:numId w:val="4"/>
        </w:numPr>
      </w:pPr>
      <w:r>
        <w:rPr>
          <w:rFonts w:ascii="Figtree" w:hAnsi="Figtree"/>
          <w:b w:val="0"/>
          <w:i w:val="0"/>
          <w:sz w:val="22"/>
        </w:rPr>
        <w:t>Feature roadmap</w:t>
      </w:r>
    </w:p>
    <w:p>
      <w:pPr>
        <w:pStyle w:val="ListParagraph"/>
        <w:numPr>
          <w:ilvl w:val="0"/>
          <w:numId w:val="4"/>
        </w:numPr>
      </w:pPr>
      <w:r>
        <w:rPr>
          <w:rFonts w:ascii="Figtree" w:hAnsi="Figtree"/>
          <w:b w:val="0"/>
          <w:i w:val="0"/>
          <w:sz w:val="22"/>
        </w:rPr>
        <w:t>Optimization recommendations</w:t>
      </w:r>
    </w:p>
    <w:p>
      <w:r>
        <w:rPr>
          <w:rFonts w:ascii="Figtree" w:hAnsi="Figtree"/>
          <w:b/>
          <w:i w:val="0"/>
          <w:sz w:val="22"/>
        </w:rPr>
        <w:t>Bi-weekly Operational Reviews (Enterprise):</w:t>
      </w:r>
    </w:p>
    <w:p>
      <w:pPr>
        <w:pStyle w:val="ListParagraph"/>
        <w:numPr>
          <w:ilvl w:val="0"/>
          <w:numId w:val="4"/>
        </w:numPr>
      </w:pPr>
      <w:r>
        <w:rPr>
          <w:rFonts w:ascii="Figtree" w:hAnsi="Figtree"/>
          <w:b w:val="0"/>
          <w:i w:val="0"/>
          <w:sz w:val="22"/>
        </w:rPr>
        <w:t>Real-time operational metrics</w:t>
      </w:r>
    </w:p>
    <w:p>
      <w:pPr>
        <w:pStyle w:val="ListParagraph"/>
        <w:numPr>
          <w:ilvl w:val="0"/>
          <w:numId w:val="4"/>
        </w:numPr>
      </w:pPr>
      <w:r>
        <w:rPr>
          <w:rFonts w:ascii="Figtree" w:hAnsi="Figtree"/>
          <w:b w:val="0"/>
          <w:i w:val="0"/>
          <w:sz w:val="22"/>
        </w:rPr>
        <w:t>Issue tracking</w:t>
      </w:r>
    </w:p>
    <w:p>
      <w:pPr>
        <w:pStyle w:val="ListParagraph"/>
        <w:numPr>
          <w:ilvl w:val="0"/>
          <w:numId w:val="4"/>
        </w:numPr>
      </w:pPr>
      <w:r>
        <w:rPr>
          <w:rFonts w:ascii="Figtree" w:hAnsi="Figtree"/>
          <w:b w:val="0"/>
          <w:i w:val="0"/>
          <w:sz w:val="22"/>
        </w:rPr>
        <w:t>Upcoming changes</w:t>
      </w:r>
    </w:p>
    <w:p>
      <w:r>
        <w:br w:type="page"/>
      </w:r>
    </w:p>
    <w:p>
      <w:pPr>
        <w:pStyle w:val="H1"/>
        <w:numPr>
          <w:ilvl w:val="0"/>
          <w:numId w:val="1"/>
        </w:numPr>
      </w:pPr>
      <w:r>
        <w:t>12. Risk Management</w:t>
      </w:r>
    </w:p>
    <w:p>
      <w:pPr>
        <w:pStyle w:val="H2"/>
        <w:numPr>
          <w:ilvl w:val="1"/>
          <w:numId w:val="1"/>
        </w:numPr>
      </w:pPr>
      <w:r>
        <w:t>12.1 Risk Management Approach</w:t>
      </w:r>
    </w:p>
    <w:p>
      <w:r>
        <w:rPr>
          <w:rFonts w:ascii="Figtree" w:hAnsi="Figtree"/>
          <w:b w:val="0"/>
          <w:i w:val="0"/>
          <w:sz w:val="22"/>
        </w:rPr>
        <w:t>SettleMint manages implementation risks through a systematic approach:</w:t>
      </w:r>
    </w:p>
    <w:p>
      <w:pPr>
        <w:pStyle w:val="ListParagraph"/>
        <w:numPr>
          <w:ilvl w:val="0"/>
          <w:numId w:val="4"/>
        </w:numPr>
      </w:pPr>
      <w:r>
        <w:rPr>
          <w:rFonts w:ascii="Figtree" w:hAnsi="Figtree"/>
          <w:b w:val="0"/>
          <w:i w:val="0"/>
          <w:sz w:val="22"/>
        </w:rPr>
        <w:t>Identification: Risks identified during discovery and continuously throughout implementation</w:t>
      </w:r>
    </w:p>
    <w:p>
      <w:pPr>
        <w:pStyle w:val="ListParagraph"/>
        <w:numPr>
          <w:ilvl w:val="0"/>
          <w:numId w:val="4"/>
        </w:numPr>
      </w:pPr>
      <w:r>
        <w:rPr>
          <w:rFonts w:ascii="Figtree" w:hAnsi="Figtree"/>
          <w:b w:val="0"/>
          <w:i w:val="0"/>
          <w:sz w:val="22"/>
        </w:rPr>
        <w:t>Assessment: Likelihood and impact evaluated using standardized matrix</w:t>
      </w:r>
    </w:p>
    <w:p>
      <w:pPr>
        <w:pStyle w:val="ListParagraph"/>
        <w:numPr>
          <w:ilvl w:val="0"/>
          <w:numId w:val="4"/>
        </w:numPr>
      </w:pPr>
      <w:r>
        <w:rPr>
          <w:rFonts w:ascii="Figtree" w:hAnsi="Figtree"/>
          <w:b w:val="0"/>
          <w:i w:val="0"/>
          <w:sz w:val="22"/>
        </w:rPr>
        <w:t>Mitigation: Specific actions defined to reduce likelihood or impact</w:t>
      </w:r>
    </w:p>
    <w:p>
      <w:pPr>
        <w:pStyle w:val="ListParagraph"/>
        <w:numPr>
          <w:ilvl w:val="0"/>
          <w:numId w:val="4"/>
        </w:numPr>
      </w:pPr>
      <w:r>
        <w:rPr>
          <w:rFonts w:ascii="Figtree" w:hAnsi="Figtree"/>
          <w:b w:val="0"/>
          <w:i w:val="0"/>
          <w:sz w:val="22"/>
        </w:rPr>
        <w:t>Monitoring: Regular risk review at steering committee</w:t>
      </w:r>
    </w:p>
    <w:p>
      <w:pPr>
        <w:pStyle w:val="ListParagraph"/>
        <w:numPr>
          <w:ilvl w:val="0"/>
          <w:numId w:val="4"/>
        </w:numPr>
      </w:pPr>
      <w:r>
        <w:rPr>
          <w:rFonts w:ascii="Figtree" w:hAnsi="Figtree"/>
          <w:b w:val="0"/>
          <w:i w:val="0"/>
          <w:sz w:val="22"/>
        </w:rPr>
        <w:t>Escalation: Material risks escalated to steering committee</w:t>
      </w:r>
    </w:p>
    <w:p>
      <w:pPr>
        <w:pStyle w:val="H2"/>
        <w:numPr>
          <w:ilvl w:val="1"/>
          <w:numId w:val="1"/>
        </w:numPr>
      </w:pPr>
      <w:r>
        <w:t>12.2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30"/>
        <w:gridCol w:w="2342"/>
        <w:gridCol w:w="630"/>
        <w:gridCol w:w="630"/>
        <w:gridCol w:w="4206"/>
        <w:gridCol w:w="630"/>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1624"/>
            <w:vAlign w:val="center"/>
          </w:tcPr>
          <w:p>
            <w:pPr>
              <w:spacing w:line="276" w:lineRule="auto" w:before="0" w:after="0"/>
            </w:pPr>
            <w:r/>
            <w:r>
              <w:rPr>
                <w:rFonts w:ascii="Figtree" w:hAnsi="Figtree"/>
                <w:b w:val="0"/>
                <w:i w:val="0"/>
                <w:sz w:val="20"/>
              </w:rPr>
              <w:t>R1</w:t>
            </w:r>
          </w:p>
        </w:tc>
        <w:tc>
          <w:tcPr>
            <w:tcW w:type="dxa" w:w="1624"/>
            <w:vAlign w:val="center"/>
          </w:tcPr>
          <w:p>
            <w:pPr>
              <w:spacing w:line="276" w:lineRule="auto" w:before="0" w:after="0"/>
            </w:pPr>
            <w:r/>
            <w:r>
              <w:rPr>
                <w:rFonts w:ascii="Figtree" w:hAnsi="Figtree"/>
                <w:b w:val="0"/>
                <w:i w:val="0"/>
                <w:sz w:val="20"/>
              </w:rPr>
              <w:t>Regulatory requirement changes mid-implementation</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Early compliance mapping; modular architecture allows configuration changes without code</w:t>
            </w:r>
          </w:p>
        </w:tc>
        <w:tc>
          <w:tcPr>
            <w:tcW w:type="dxa" w:w="1624"/>
            <w:vAlign w:val="center"/>
          </w:tcPr>
          <w:p>
            <w:pPr>
              <w:spacing w:line="276" w:lineRule="auto" w:before="0" w:after="0"/>
            </w:pPr>
            <w:r/>
            <w:r>
              <w:rPr>
                <w:rFonts w:ascii="Figtree" w:hAnsi="Figtree"/>
                <w:b w:val="0"/>
                <w:i w:val="0"/>
                <w:sz w:val="20"/>
              </w:rPr>
              <w:t>SettleMint</w:t>
            </w:r>
          </w:p>
        </w:tc>
      </w:tr>
      <w:tr>
        <w:trPr>
          <w:trHeight w:val="425" w:hRule="atLeast"/>
        </w:trPr>
        <w:tc>
          <w:tcPr>
            <w:tcW w:type="dxa" w:w="1624"/>
            <w:vAlign w:val="center"/>
          </w:tcPr>
          <w:p>
            <w:pPr>
              <w:spacing w:line="276" w:lineRule="auto" w:before="0" w:after="0"/>
            </w:pPr>
            <w:r/>
            <w:r>
              <w:rPr>
                <w:rFonts w:ascii="Figtree" w:hAnsi="Figtree"/>
                <w:b w:val="0"/>
                <w:i w:val="0"/>
                <w:sz w:val="20"/>
              </w:rPr>
              <w:t>R2</w:t>
            </w:r>
          </w:p>
        </w:tc>
        <w:tc>
          <w:tcPr>
            <w:tcW w:type="dxa" w:w="1624"/>
            <w:vAlign w:val="center"/>
          </w:tcPr>
          <w:p>
            <w:pPr>
              <w:spacing w:line="276" w:lineRule="auto" w:before="0" w:after="0"/>
            </w:pPr>
            <w:r/>
            <w:r>
              <w:rPr>
                <w:rFonts w:ascii="Figtree" w:hAnsi="Figtree"/>
                <w:b w:val="0"/>
                <w:i w:val="0"/>
                <w:sz w:val="20"/>
              </w:rPr>
              <w:t>Integration complexity with ADGM systems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Early integration design; mock services; buffer in schedule</w:t>
            </w:r>
          </w:p>
        </w:tc>
        <w:tc>
          <w:tcPr>
            <w:tcW w:type="dxa" w:w="1624"/>
            <w:vAlign w:val="center"/>
          </w:tcPr>
          <w:p>
            <w:pPr>
              <w:spacing w:line="276" w:lineRule="auto" w:before="0" w:after="0"/>
            </w:pPr>
            <w:r/>
            <w:r>
              <w:rPr>
                <w:rFonts w:ascii="Figtree" w:hAnsi="Figtree"/>
                <w:b w:val="0"/>
                <w:i w:val="0"/>
                <w:sz w:val="20"/>
              </w:rPr>
              <w:t>Joint</w:t>
            </w:r>
          </w:p>
        </w:tc>
      </w:tr>
      <w:tr>
        <w:trPr>
          <w:trHeight w:val="425" w:hRule="atLeast"/>
        </w:trPr>
        <w:tc>
          <w:tcPr>
            <w:tcW w:type="dxa" w:w="1624"/>
            <w:vAlign w:val="center"/>
          </w:tcPr>
          <w:p>
            <w:pPr>
              <w:spacing w:line="276" w:lineRule="auto" w:before="0" w:after="0"/>
            </w:pPr>
            <w:r/>
            <w:r>
              <w:rPr>
                <w:rFonts w:ascii="Figtree" w:hAnsi="Figtree"/>
                <w:b w:val="0"/>
                <w:i w:val="0"/>
                <w:sz w:val="20"/>
              </w:rPr>
              <w:t>R3</w:t>
            </w:r>
          </w:p>
        </w:tc>
        <w:tc>
          <w:tcPr>
            <w:tcW w:type="dxa" w:w="1624"/>
            <w:vAlign w:val="center"/>
          </w:tcPr>
          <w:p>
            <w:pPr>
              <w:spacing w:line="276" w:lineRule="auto" w:before="0" w:after="0"/>
            </w:pPr>
            <w:r/>
            <w:r>
              <w:rPr>
                <w:rFonts w:ascii="Figtree" w:hAnsi="Figtree"/>
                <w:b w:val="0"/>
                <w:i w:val="0"/>
                <w:sz w:val="20"/>
              </w:rPr>
              <w:t>Client dependency delays (access, decisions, UAT)</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Clear dependency tracking; weekly status reporting; buffer in schedule</w:t>
            </w:r>
          </w:p>
        </w:tc>
        <w:tc>
          <w:tcPr>
            <w:tcW w:type="dxa" w:w="1624"/>
            <w:vAlign w:val="center"/>
          </w:tcPr>
          <w:p>
            <w:pPr>
              <w:spacing w:line="276" w:lineRule="auto" w:before="0" w:after="0"/>
            </w:pPr>
            <w:r/>
            <w:r>
              <w:rPr>
                <w:rFonts w:ascii="Figtree" w:hAnsi="Figtree"/>
                <w:b w:val="0"/>
                <w:i w:val="0"/>
                <w:sz w:val="20"/>
              </w:rPr>
              <w:t>ADGM</w:t>
            </w:r>
          </w:p>
        </w:tc>
      </w:tr>
      <w:tr>
        <w:trPr>
          <w:trHeight w:val="425" w:hRule="atLeast"/>
        </w:trPr>
        <w:tc>
          <w:tcPr>
            <w:tcW w:type="dxa" w:w="1624"/>
            <w:vAlign w:val="center"/>
          </w:tcPr>
          <w:p>
            <w:pPr>
              <w:spacing w:line="276" w:lineRule="auto" w:before="0" w:after="0"/>
            </w:pPr>
            <w:r/>
            <w:r>
              <w:rPr>
                <w:rFonts w:ascii="Figtree" w:hAnsi="Figtree"/>
                <w:b w:val="0"/>
                <w:i w:val="0"/>
                <w:sz w:val="20"/>
              </w:rPr>
              <w:t>R4</w:t>
            </w:r>
          </w:p>
        </w:tc>
        <w:tc>
          <w:tcPr>
            <w:tcW w:type="dxa" w:w="1624"/>
            <w:vAlign w:val="center"/>
          </w:tcPr>
          <w:p>
            <w:pPr>
              <w:spacing w:line="276" w:lineRule="auto" w:before="0" w:after="0"/>
            </w:pPr>
            <w:r/>
            <w:r>
              <w:rPr>
                <w:rFonts w:ascii="Figtree" w:hAnsi="Figtree"/>
                <w:b w:val="0"/>
                <w:i w:val="0"/>
                <w:sz w:val="20"/>
              </w:rPr>
              <w:t>Third-party provider issues (custody, cloud)</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Backup providers identified; graceful degradation design</w:t>
            </w:r>
          </w:p>
        </w:tc>
        <w:tc>
          <w:tcPr>
            <w:tcW w:type="dxa" w:w="1624"/>
            <w:vAlign w:val="center"/>
          </w:tcPr>
          <w:p>
            <w:pPr>
              <w:spacing w:line="276" w:lineRule="auto" w:before="0" w:after="0"/>
            </w:pPr>
            <w:r/>
            <w:r>
              <w:rPr>
                <w:rFonts w:ascii="Figtree" w:hAnsi="Figtree"/>
                <w:b w:val="0"/>
                <w:i w:val="0"/>
                <w:sz w:val="20"/>
              </w:rPr>
              <w:t>SettleMint</w:t>
            </w:r>
          </w:p>
        </w:tc>
      </w:tr>
      <w:tr>
        <w:trPr>
          <w:trHeight w:val="425" w:hRule="atLeast"/>
        </w:trPr>
        <w:tc>
          <w:tcPr>
            <w:tcW w:type="dxa" w:w="1624"/>
            <w:vAlign w:val="center"/>
          </w:tcPr>
          <w:p>
            <w:pPr>
              <w:spacing w:line="276" w:lineRule="auto" w:before="0" w:after="0"/>
            </w:pPr>
            <w:r/>
            <w:r>
              <w:rPr>
                <w:rFonts w:ascii="Figtree" w:hAnsi="Figtree"/>
                <w:b w:val="0"/>
                <w:i w:val="0"/>
                <w:sz w:val="20"/>
              </w:rPr>
              <w:t>R5</w:t>
            </w:r>
          </w:p>
        </w:tc>
        <w:tc>
          <w:tcPr>
            <w:tcW w:type="dxa" w:w="1624"/>
            <w:vAlign w:val="center"/>
          </w:tcPr>
          <w:p>
            <w:pPr>
              <w:spacing w:line="276" w:lineRule="auto" w:before="0" w:after="0"/>
            </w:pPr>
            <w:r/>
            <w:r>
              <w:rPr>
                <w:rFonts w:ascii="Figtree" w:hAnsi="Figtree"/>
                <w:b w:val="0"/>
                <w:i w:val="0"/>
                <w:sz w:val="20"/>
              </w:rPr>
              <w:t>Scope creep from expanded requirements</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Phase-gated delivery; change control process; steering committee approval</w:t>
            </w:r>
          </w:p>
        </w:tc>
        <w:tc>
          <w:tcPr>
            <w:tcW w:type="dxa" w:w="1624"/>
            <w:vAlign w:val="center"/>
          </w:tcPr>
          <w:p>
            <w:pPr>
              <w:spacing w:line="276" w:lineRule="auto" w:before="0" w:after="0"/>
            </w:pPr>
            <w:r/>
            <w:r>
              <w:rPr>
                <w:rFonts w:ascii="Figtree" w:hAnsi="Figtree"/>
                <w:b w:val="0"/>
                <w:i w:val="0"/>
                <w:sz w:val="20"/>
              </w:rPr>
              <w:t>Joint</w:t>
            </w:r>
          </w:p>
        </w:tc>
      </w:tr>
      <w:tr>
        <w:trPr>
          <w:trHeight w:val="425" w:hRule="atLeast"/>
        </w:trPr>
        <w:tc>
          <w:tcPr>
            <w:tcW w:type="dxa" w:w="1624"/>
            <w:vAlign w:val="center"/>
          </w:tcPr>
          <w:p>
            <w:pPr>
              <w:spacing w:line="276" w:lineRule="auto" w:before="0" w:after="0"/>
            </w:pPr>
            <w:r/>
            <w:r>
              <w:rPr>
                <w:rFonts w:ascii="Figtree" w:hAnsi="Figtree"/>
                <w:b w:val="0"/>
                <w:i w:val="0"/>
                <w:sz w:val="20"/>
              </w:rPr>
              <w:t>R6</w:t>
            </w:r>
          </w:p>
        </w:tc>
        <w:tc>
          <w:tcPr>
            <w:tcW w:type="dxa" w:w="1624"/>
            <w:vAlign w:val="center"/>
          </w:tcPr>
          <w:p>
            <w:pPr>
              <w:spacing w:line="276" w:lineRule="auto" w:before="0" w:after="0"/>
            </w:pPr>
            <w:r/>
            <w:r>
              <w:rPr>
                <w:rFonts w:ascii="Figtree" w:hAnsi="Figtree"/>
                <w:b w:val="0"/>
                <w:i w:val="0"/>
                <w:sz w:val="20"/>
              </w:rPr>
              <w:t>Security review timeline delays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Early engagement with security team; standard security controls</w:t>
            </w:r>
          </w:p>
        </w:tc>
        <w:tc>
          <w:tcPr>
            <w:tcW w:type="dxa" w:w="1624"/>
            <w:vAlign w:val="center"/>
          </w:tcPr>
          <w:p>
            <w:pPr>
              <w:spacing w:line="276" w:lineRule="auto" w:before="0" w:after="0"/>
            </w:pPr>
            <w:r/>
            <w:r>
              <w:rPr>
                <w:rFonts w:ascii="Figtree" w:hAnsi="Figtree"/>
                <w:b w:val="0"/>
                <w:i w:val="0"/>
                <w:sz w:val="20"/>
              </w:rPr>
              <w:t>Joint</w:t>
            </w:r>
          </w:p>
        </w:tc>
      </w:tr>
      <w:tr>
        <w:trPr>
          <w:trHeight w:val="425" w:hRule="atLeast"/>
        </w:trPr>
        <w:tc>
          <w:tcPr>
            <w:tcW w:type="dxa" w:w="1624"/>
            <w:vAlign w:val="center"/>
          </w:tcPr>
          <w:p>
            <w:pPr>
              <w:spacing w:line="276" w:lineRule="auto" w:before="0" w:after="0"/>
            </w:pPr>
            <w:r/>
            <w:r>
              <w:rPr>
                <w:rFonts w:ascii="Figtree" w:hAnsi="Figtree"/>
                <w:b w:val="0"/>
                <w:i w:val="0"/>
                <w:sz w:val="20"/>
              </w:rPr>
              <w:t>R7</w:t>
            </w:r>
          </w:p>
        </w:tc>
        <w:tc>
          <w:tcPr>
            <w:tcW w:type="dxa" w:w="1624"/>
            <w:vAlign w:val="center"/>
          </w:tcPr>
          <w:p>
            <w:pPr>
              <w:spacing w:line="276" w:lineRule="auto" w:before="0" w:after="0"/>
            </w:pPr>
            <w:r/>
            <w:r>
              <w:rPr>
                <w:rFonts w:ascii="Figtree" w:hAnsi="Figtree"/>
                <w:b w:val="0"/>
                <w:i w:val="0"/>
                <w:sz w:val="20"/>
              </w:rPr>
              <w:t>Data residency/sovereignty requirements</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Private cloud model; UAE region; no cross-region by default</w:t>
            </w:r>
          </w:p>
        </w:tc>
        <w:tc>
          <w:tcPr>
            <w:tcW w:type="dxa" w:w="1624"/>
            <w:vAlign w:val="center"/>
          </w:tcPr>
          <w:p>
            <w:pPr>
              <w:spacing w:line="276" w:lineRule="auto" w:before="0" w:after="0"/>
            </w:pPr>
            <w:r/>
            <w:r>
              <w:rPr>
                <w:rFonts w:ascii="Figtree" w:hAnsi="Figtree"/>
                <w:b w:val="0"/>
                <w:i w:val="0"/>
                <w:sz w:val="20"/>
              </w:rPr>
              <w:t>SettleMint</w:t>
            </w:r>
          </w:p>
        </w:tc>
      </w:tr>
      <w:tr>
        <w:trPr>
          <w:trHeight w:val="425" w:hRule="atLeast"/>
        </w:trPr>
        <w:tc>
          <w:tcPr>
            <w:tcW w:type="dxa" w:w="1624"/>
            <w:vAlign w:val="center"/>
          </w:tcPr>
          <w:p>
            <w:pPr>
              <w:spacing w:line="276" w:lineRule="auto" w:before="0" w:after="0"/>
            </w:pPr>
            <w:r/>
            <w:r>
              <w:rPr>
                <w:rFonts w:ascii="Figtree" w:hAnsi="Figtree"/>
                <w:b w:val="0"/>
                <w:i w:val="0"/>
                <w:sz w:val="20"/>
              </w:rPr>
              <w:t>R8</w:t>
            </w:r>
          </w:p>
        </w:tc>
        <w:tc>
          <w:tcPr>
            <w:tcW w:type="dxa" w:w="1624"/>
            <w:vAlign w:val="center"/>
          </w:tcPr>
          <w:p>
            <w:pPr>
              <w:spacing w:line="276" w:lineRule="auto" w:before="0" w:after="0"/>
            </w:pPr>
            <w:r/>
            <w:r>
              <w:rPr>
                <w:rFonts w:ascii="Figtree" w:hAnsi="Figtree"/>
                <w:b w:val="0"/>
                <w:i w:val="0"/>
                <w:sz w:val="20"/>
              </w:rPr>
              <w:t>Key personnel availability</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Cross-training; team-based delivery model</w:t>
            </w:r>
          </w:p>
        </w:tc>
        <w:tc>
          <w:tcPr>
            <w:tcW w:type="dxa" w:w="1624"/>
            <w:vAlign w:val="center"/>
          </w:tcPr>
          <w:p>
            <w:pPr>
              <w:spacing w:line="276" w:lineRule="auto" w:before="0" w:after="0"/>
            </w:pPr>
            <w:r/>
            <w:r>
              <w:rPr>
                <w:rFonts w:ascii="Figtree" w:hAnsi="Figtree"/>
                <w:b w:val="0"/>
                <w:i w:val="0"/>
                <w:sz w:val="20"/>
              </w:rPr>
              <w:t>SettleMint</w:t>
            </w:r>
          </w:p>
        </w:tc>
      </w:tr>
    </w:tbl>
    <w:p>
      <w:pPr>
        <w:spacing w:before="0" w:after="0" w:line="120" w:lineRule="exact"/>
      </w:pPr>
    </w:p>
    <w:p>
      <w:pPr>
        <w:pStyle w:val="H2"/>
        <w:numPr>
          <w:ilvl w:val="1"/>
          <w:numId w:val="1"/>
        </w:numPr>
      </w:pPr>
      <w:r>
        <w:t>12.3 Governance of Risks</w:t>
      </w:r>
    </w:p>
    <w:p>
      <w:pPr>
        <w:pStyle w:val="ListParagraph"/>
        <w:numPr>
          <w:ilvl w:val="0"/>
          <w:numId w:val="4"/>
        </w:numPr>
      </w:pPr>
      <w:r>
        <w:rPr>
          <w:rFonts w:ascii="Figtree" w:hAnsi="Figtree"/>
          <w:b w:val="0"/>
          <w:i w:val="0"/>
          <w:sz w:val="22"/>
        </w:rPr>
        <w:t>Weekly risk review at project team level</w:t>
      </w:r>
    </w:p>
    <w:p>
      <w:pPr>
        <w:pStyle w:val="ListParagraph"/>
        <w:numPr>
          <w:ilvl w:val="0"/>
          <w:numId w:val="4"/>
        </w:numPr>
      </w:pPr>
      <w:r>
        <w:rPr>
          <w:rFonts w:ascii="Figtree" w:hAnsi="Figtree"/>
          <w:b w:val="0"/>
          <w:i w:val="0"/>
          <w:sz w:val="22"/>
        </w:rPr>
        <w:t>Bi-weekly risk review at steering committee</w:t>
      </w:r>
    </w:p>
    <w:p>
      <w:pPr>
        <w:pStyle w:val="ListParagraph"/>
        <w:numPr>
          <w:ilvl w:val="0"/>
          <w:numId w:val="4"/>
        </w:numPr>
      </w:pPr>
      <w:r>
        <w:rPr>
          <w:rFonts w:ascii="Figtree" w:hAnsi="Figtree"/>
          <w:b w:val="0"/>
          <w:i w:val="0"/>
          <w:sz w:val="22"/>
        </w:rPr>
        <w:t>Material risks escalated immediately to steering committee</w:t>
      </w:r>
    </w:p>
    <w:p>
      <w:pPr>
        <w:pStyle w:val="ListParagraph"/>
        <w:numPr>
          <w:ilvl w:val="0"/>
          <w:numId w:val="4"/>
        </w:numPr>
      </w:pPr>
      <w:r>
        <w:rPr>
          <w:rFonts w:ascii="Figtree" w:hAnsi="Figtree"/>
          <w:b w:val="0"/>
          <w:i w:val="0"/>
          <w:sz w:val="22"/>
        </w:rPr>
        <w:t>Risk register updated at each phase gate</w:t>
      </w:r>
    </w:p>
    <w:p>
      <w:pPr>
        <w:pStyle w:val="ListParagraph"/>
        <w:numPr>
          <w:ilvl w:val="0"/>
          <w:numId w:val="4"/>
        </w:numPr>
      </w:pPr>
      <w:r>
        <w:rPr>
          <w:rFonts w:ascii="Figtree" w:hAnsi="Figtree"/>
          <w:b w:val="0"/>
          <w:i w:val="0"/>
          <w:sz w:val="22"/>
        </w:rPr>
        <w:t>Mitigation actions tracked to completion</w:t>
      </w:r>
    </w:p>
    <w:p>
      <w:r>
        <w:br w:type="page"/>
      </w:r>
    </w:p>
    <w:p>
      <w:pPr>
        <w:pStyle w:val="H1"/>
        <w:numPr>
          <w:ilvl w:val="0"/>
          <w:numId w:val="1"/>
        </w:numPr>
      </w:pPr>
      <w:r>
        <w:t>13. Compliance Matrix</w:t>
      </w:r>
    </w:p>
    <w:p>
      <w:pPr>
        <w:pStyle w:val="H2"/>
        <w:numPr>
          <w:ilvl w:val="1"/>
          <w:numId w:val="1"/>
        </w:numPr>
      </w:pPr>
      <w:r>
        <w:t>13.1 Usage Instructions</w:t>
      </w:r>
    </w:p>
    <w:p>
      <w:r>
        <w:rPr>
          <w:rFonts w:ascii="Figtree" w:hAnsi="Figtree"/>
          <w:b w:val="0"/>
          <w:i w:val="0"/>
          <w:sz w:val="22"/>
        </w:rPr>
        <w:t>The following matrix maps ADGM's RFP requirements to DALP capabilities. Status codes indicate:</w:t>
      </w:r>
    </w:p>
    <w:p>
      <w:pPr>
        <w:pStyle w:val="ListParagraph"/>
        <w:numPr>
          <w:ilvl w:val="0"/>
          <w:numId w:val="4"/>
        </w:numPr>
      </w:pPr>
      <w:r>
        <w:rPr>
          <w:rFonts w:ascii="Figtree" w:hAnsi="Figtree"/>
          <w:b/>
          <w:i w:val="0"/>
          <w:sz w:val="22"/>
        </w:rPr>
        <w:t>Full:</w:t>
      </w:r>
      <w:r>
        <w:rPr>
          <w:rFonts w:ascii="Figtree" w:hAnsi="Figtree"/>
          <w:b w:val="0"/>
          <w:i w:val="0"/>
          <w:sz w:val="22"/>
        </w:rPr>
        <w:t xml:space="preserve"> Capability fully supported by DALP platform</w:t>
      </w:r>
    </w:p>
    <w:p>
      <w:pPr>
        <w:pStyle w:val="ListParagraph"/>
        <w:numPr>
          <w:ilvl w:val="0"/>
          <w:numId w:val="4"/>
        </w:numPr>
      </w:pPr>
      <w:r>
        <w:rPr>
          <w:rFonts w:ascii="Figtree" w:hAnsi="Figtree"/>
          <w:b/>
          <w:i w:val="0"/>
          <w:sz w:val="22"/>
        </w:rPr>
        <w:t>Partial:</w:t>
      </w:r>
      <w:r>
        <w:rPr>
          <w:rFonts w:ascii="Figtree" w:hAnsi="Figtree"/>
          <w:b w:val="0"/>
          <w:i w:val="0"/>
          <w:sz w:val="22"/>
        </w:rPr>
        <w:t xml:space="preserve"> Supported with configuration or customization</w:t>
      </w:r>
    </w:p>
    <w:p>
      <w:pPr>
        <w:pStyle w:val="ListParagraph"/>
        <w:numPr>
          <w:ilvl w:val="0"/>
          <w:numId w:val="4"/>
        </w:numPr>
      </w:pPr>
      <w:r>
        <w:rPr>
          <w:rFonts w:ascii="Figtree" w:hAnsi="Figtree"/>
          <w:b/>
          <w:i w:val="0"/>
          <w:sz w:val="22"/>
        </w:rPr>
        <w:t>Configurable:</w:t>
      </w:r>
      <w:r>
        <w:rPr>
          <w:rFonts w:ascii="Figtree" w:hAnsi="Figtree"/>
          <w:b w:val="0"/>
          <w:i w:val="0"/>
          <w:sz w:val="22"/>
        </w:rPr>
        <w:t xml:space="preserve"> Supported through platform configuration</w:t>
      </w:r>
    </w:p>
    <w:p>
      <w:pPr>
        <w:pStyle w:val="ListParagraph"/>
        <w:numPr>
          <w:ilvl w:val="0"/>
          <w:numId w:val="4"/>
        </w:numPr>
      </w:pPr>
      <w:r>
        <w:rPr>
          <w:rFonts w:ascii="Figtree" w:hAnsi="Figtree"/>
          <w:b/>
          <w:i w:val="0"/>
          <w:sz w:val="22"/>
        </w:rPr>
        <w:t>Assumption:</w:t>
      </w:r>
      <w:r>
        <w:rPr>
          <w:rFonts w:ascii="Figtree" w:hAnsi="Figtree"/>
          <w:b w:val="0"/>
          <w:i w:val="0"/>
          <w:sz w:val="22"/>
        </w:rPr>
        <w:t xml:space="preserve"> Based on standard deployment assumptions</w:t>
      </w:r>
    </w:p>
    <w:p>
      <w:pPr>
        <w:pStyle w:val="ListParagraph"/>
        <w:numPr>
          <w:ilvl w:val="0"/>
          <w:numId w:val="4"/>
        </w:numPr>
      </w:pPr>
      <w:r>
        <w:rPr>
          <w:rFonts w:ascii="Figtree" w:hAnsi="Figtree"/>
          <w:b/>
          <w:i w:val="0"/>
          <w:sz w:val="22"/>
        </w:rPr>
        <w:t>Out of Scope:</w:t>
      </w:r>
      <w:r>
        <w:rPr>
          <w:rFonts w:ascii="Figtree" w:hAnsi="Figtree"/>
          <w:b w:val="0"/>
          <w:i w:val="0"/>
          <w:sz w:val="22"/>
        </w:rPr>
        <w:t xml:space="preserve"> Not supported by DALP platform</w:t>
      </w:r>
    </w:p>
    <w:p>
      <w:pPr>
        <w:pStyle w:val="H2"/>
        <w:numPr>
          <w:ilvl w:val="1"/>
          <w:numId w:val="1"/>
        </w:numPr>
      </w:pPr>
      <w:r>
        <w:t>13.2 Status Legend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91"/>
        <w:gridCol w:w="628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Code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Meaning</w:t>
            </w:r>
          </w:p>
        </w:tc>
      </w:tr>
      <w:tr>
        <w:trPr>
          <w:trHeight w:val="425" w:hRule="atLeast"/>
        </w:trPr>
        <w:tc>
          <w:tcPr>
            <w:tcW w:type="dxa" w:w="4873"/>
            <w:vAlign w:val="center"/>
          </w:tcPr>
          <w:p>
            <w:pPr>
              <w:spacing w:line="276" w:lineRule="auto" w:before="0" w:after="0"/>
            </w:pPr>
            <w:r/>
            <w:r>
              <w:rPr>
                <w:rFonts w:ascii="Figtree" w:hAnsi="Figtree"/>
                <w:b/>
                <w:i w:val="0"/>
                <w:sz w:val="20"/>
              </w:rPr>
              <w:t>Full</w:t>
            </w:r>
          </w:p>
        </w:tc>
        <w:tc>
          <w:tcPr>
            <w:tcW w:type="dxa" w:w="4873"/>
            <w:vAlign w:val="center"/>
          </w:tcPr>
          <w:p>
            <w:pPr>
              <w:spacing w:line="276" w:lineRule="auto" w:before="0" w:after="0"/>
            </w:pPr>
            <w:r/>
            <w:r>
              <w:rPr>
                <w:rFonts w:ascii="Figtree" w:hAnsi="Figtree"/>
                <w:b w:val="0"/>
                <w:i w:val="0"/>
                <w:sz w:val="20"/>
              </w:rPr>
              <w:t>Platform capability without customization</w:t>
            </w:r>
          </w:p>
        </w:tc>
      </w:tr>
      <w:tr>
        <w:trPr>
          <w:trHeight w:val="425" w:hRule="atLeast"/>
        </w:trPr>
        <w:tc>
          <w:tcPr>
            <w:tcW w:type="dxa" w:w="4873"/>
            <w:vAlign w:val="center"/>
          </w:tcPr>
          <w:p>
            <w:pPr>
              <w:spacing w:line="276" w:lineRule="auto" w:before="0" w:after="0"/>
            </w:pPr>
            <w:r/>
            <w:r>
              <w:rPr>
                <w:rFonts w:ascii="Figtree" w:hAnsi="Figtree"/>
                <w:b/>
                <w:i w:val="0"/>
                <w:sz w:val="20"/>
              </w:rPr>
              <w:t>Partial</w:t>
            </w:r>
          </w:p>
        </w:tc>
        <w:tc>
          <w:tcPr>
            <w:tcW w:type="dxa" w:w="4873"/>
            <w:vAlign w:val="center"/>
          </w:tcPr>
          <w:p>
            <w:pPr>
              <w:spacing w:line="276" w:lineRule="auto" w:before="0" w:after="0"/>
            </w:pPr>
            <w:r/>
            <w:r>
              <w:rPr>
                <w:rFonts w:ascii="Figtree" w:hAnsi="Figtree"/>
                <w:b w:val="0"/>
                <w:i w:val="0"/>
                <w:sz w:val="20"/>
              </w:rPr>
              <w:t>Platform capability with minor configuration</w:t>
            </w:r>
          </w:p>
        </w:tc>
      </w:tr>
      <w:tr>
        <w:trPr>
          <w:trHeight w:val="425" w:hRule="atLeast"/>
        </w:trPr>
        <w:tc>
          <w:tcPr>
            <w:tcW w:type="dxa" w:w="4873"/>
            <w:vAlign w:val="center"/>
          </w:tcPr>
          <w:p>
            <w:pPr>
              <w:spacing w:line="276" w:lineRule="auto" w:before="0" w:after="0"/>
            </w:pPr>
            <w:r/>
            <w:r>
              <w:rPr>
                <w:rFonts w:ascii="Figtree" w:hAnsi="Figtree"/>
                <w:b/>
                <w:i w:val="0"/>
                <w:sz w:val="20"/>
              </w:rPr>
              <w:t>Configurable</w:t>
            </w:r>
          </w:p>
        </w:tc>
        <w:tc>
          <w:tcPr>
            <w:tcW w:type="dxa" w:w="4873"/>
            <w:vAlign w:val="center"/>
          </w:tcPr>
          <w:p>
            <w:pPr>
              <w:spacing w:line="276" w:lineRule="auto" w:before="0" w:after="0"/>
            </w:pPr>
            <w:r/>
            <w:r>
              <w:rPr>
                <w:rFonts w:ascii="Figtree" w:hAnsi="Figtree"/>
                <w:b w:val="0"/>
                <w:i w:val="0"/>
                <w:sz w:val="20"/>
              </w:rPr>
              <w:t>Platform capability requires configuration</w:t>
            </w:r>
          </w:p>
        </w:tc>
      </w:tr>
      <w:tr>
        <w:trPr>
          <w:trHeight w:val="425" w:hRule="atLeast"/>
        </w:trPr>
        <w:tc>
          <w:tcPr>
            <w:tcW w:type="dxa" w:w="4873"/>
            <w:vAlign w:val="center"/>
          </w:tcPr>
          <w:p>
            <w:pPr>
              <w:spacing w:line="276" w:lineRule="auto" w:before="0" w:after="0"/>
            </w:pPr>
            <w:r/>
            <w:r>
              <w:rPr>
                <w:rFonts w:ascii="Figtree" w:hAnsi="Figtree"/>
                <w:b/>
                <w:i w:val="0"/>
                <w:sz w:val="20"/>
              </w:rPr>
              <w:t>Assumption</w:t>
            </w:r>
          </w:p>
        </w:tc>
        <w:tc>
          <w:tcPr>
            <w:tcW w:type="dxa" w:w="4873"/>
            <w:vAlign w:val="center"/>
          </w:tcPr>
          <w:p>
            <w:pPr>
              <w:spacing w:line="276" w:lineRule="auto" w:before="0" w:after="0"/>
            </w:pPr>
            <w:r/>
            <w:r>
              <w:rPr>
                <w:rFonts w:ascii="Figtree" w:hAnsi="Figtree"/>
                <w:b w:val="0"/>
                <w:i w:val="0"/>
                <w:sz w:val="20"/>
              </w:rPr>
              <w:t>Based on standard deployment model</w:t>
            </w:r>
          </w:p>
        </w:tc>
      </w:tr>
      <w:tr>
        <w:trPr>
          <w:trHeight w:val="425" w:hRule="atLeast"/>
        </w:trPr>
        <w:tc>
          <w:tcPr>
            <w:tcW w:type="dxa" w:w="4873"/>
            <w:vAlign w:val="center"/>
          </w:tcPr>
          <w:p>
            <w:pPr>
              <w:spacing w:line="276" w:lineRule="auto" w:before="0" w:after="0"/>
            </w:pPr>
            <w:r/>
            <w:r>
              <w:rPr>
                <w:rFonts w:ascii="Figtree" w:hAnsi="Figtree"/>
                <w:b/>
                <w:i w:val="0"/>
                <w:sz w:val="20"/>
              </w:rPr>
              <w:t>Out of Scope</w:t>
            </w:r>
          </w:p>
        </w:tc>
        <w:tc>
          <w:tcPr>
            <w:tcW w:type="dxa" w:w="4873"/>
            <w:vAlign w:val="center"/>
          </w:tcPr>
          <w:p>
            <w:pPr>
              <w:spacing w:line="276" w:lineRule="auto" w:before="0" w:after="0"/>
            </w:pPr>
            <w:r/>
            <w:r>
              <w:rPr>
                <w:rFonts w:ascii="Figtree" w:hAnsi="Figtree"/>
                <w:b w:val="0"/>
                <w:i w:val="0"/>
                <w:sz w:val="20"/>
              </w:rPr>
              <w:t>Not provided by DALP</w:t>
            </w:r>
          </w:p>
        </w:tc>
      </w:tr>
    </w:tbl>
    <w:p>
      <w:pPr>
        <w:spacing w:before="0" w:after="0" w:line="120" w:lineRule="exact"/>
      </w:pPr>
    </w:p>
    <w:p>
      <w:pPr>
        <w:pStyle w:val="H2"/>
        <w:numPr>
          <w:ilvl w:val="1"/>
          <w:numId w:val="1"/>
        </w:numPr>
      </w:pPr>
      <w:r>
        <w:t>13.3 Detailed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2"/>
        <w:gridCol w:w="2455"/>
        <w:gridCol w:w="736"/>
        <w:gridCol w:w="3830"/>
        <w:gridCol w:w="132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Requirement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 Summary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Response 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Source</w:t>
            </w:r>
          </w:p>
        </w:tc>
      </w:tr>
      <w:tr>
        <w:trPr>
          <w:trHeight w:val="425" w:hRule="atLeast"/>
        </w:trPr>
        <w:tc>
          <w:tcPr>
            <w:tcW w:type="dxa" w:w="1949"/>
            <w:vAlign w:val="center"/>
          </w:tcPr>
          <w:p>
            <w:pPr>
              <w:spacing w:line="276" w:lineRule="auto" w:before="0" w:after="0"/>
            </w:pPr>
            <w:r/>
            <w:r>
              <w:rPr>
                <w:rFonts w:ascii="Figtree" w:hAnsi="Figtree"/>
                <w:b w:val="0"/>
                <w:i w:val="0"/>
                <w:sz w:val="20"/>
              </w:rPr>
              <w:t>ARCH-001</w:t>
            </w:r>
          </w:p>
        </w:tc>
        <w:tc>
          <w:tcPr>
            <w:tcW w:type="dxa" w:w="1949"/>
            <w:vAlign w:val="center"/>
          </w:tcPr>
          <w:p>
            <w:pPr>
              <w:spacing w:line="276" w:lineRule="auto" w:before="0" w:after="0"/>
            </w:pPr>
            <w:r/>
            <w:r>
              <w:rPr>
                <w:rFonts w:ascii="Figtree" w:hAnsi="Figtree"/>
                <w:b w:val="0"/>
                <w:i w:val="0"/>
                <w:sz w:val="20"/>
              </w:rPr>
              <w:t>Segregated environments (dev, test, UAT, DR, prod)</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Kubernetes namespaces; environment-specific configuration; database separation</w:t>
            </w:r>
          </w:p>
        </w:tc>
        <w:tc>
          <w:tcPr>
            <w:tcW w:type="dxa" w:w="1949"/>
            <w:vAlign w:val="center"/>
          </w:tcPr>
          <w:p>
            <w:pPr>
              <w:spacing w:line="276" w:lineRule="auto" w:before="0" w:after="0"/>
            </w:pPr>
            <w:r/>
            <w:r>
              <w:rPr>
                <w:rFonts w:ascii="Figtree" w:hAnsi="Figtree"/>
                <w:b w:val="0"/>
                <w:i w:val="0"/>
                <w:sz w:val="20"/>
              </w:rPr>
              <w:t>Deployment Section 8</w:t>
            </w:r>
          </w:p>
        </w:tc>
      </w:tr>
      <w:tr>
        <w:trPr>
          <w:trHeight w:val="425" w:hRule="atLeast"/>
        </w:trPr>
        <w:tc>
          <w:tcPr>
            <w:tcW w:type="dxa" w:w="1949"/>
            <w:vAlign w:val="center"/>
          </w:tcPr>
          <w:p>
            <w:pPr>
              <w:spacing w:line="276" w:lineRule="auto" w:before="0" w:after="0"/>
            </w:pPr>
            <w:r/>
            <w:r>
              <w:rPr>
                <w:rFonts w:ascii="Figtree" w:hAnsi="Figtree"/>
                <w:b w:val="0"/>
                <w:i w:val="0"/>
                <w:sz w:val="20"/>
              </w:rPr>
              <w:t>ARCH-002</w:t>
            </w:r>
          </w:p>
        </w:tc>
        <w:tc>
          <w:tcPr>
            <w:tcW w:type="dxa" w:w="1949"/>
            <w:vAlign w:val="center"/>
          </w:tcPr>
          <w:p>
            <w:pPr>
              <w:spacing w:line="276" w:lineRule="auto" w:before="0" w:after="0"/>
            </w:pPr>
            <w:r/>
            <w:r>
              <w:rPr>
                <w:rFonts w:ascii="Figtree" w:hAnsi="Figtree"/>
                <w:b w:val="0"/>
                <w:i w:val="0"/>
                <w:sz w:val="20"/>
              </w:rPr>
              <w:t>API-first interfaces with versioning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OpenAPI 3.1; REST API with versioned endpoints</w:t>
            </w:r>
          </w:p>
        </w:tc>
        <w:tc>
          <w:tcPr>
            <w:tcW w:type="dxa" w:w="1949"/>
            <w:vAlign w:val="center"/>
          </w:tcPr>
          <w:p>
            <w:pPr>
              <w:spacing w:line="276" w:lineRule="auto" w:before="0" w:after="0"/>
            </w:pPr>
            <w:r/>
            <w:r>
              <w:rPr>
                <w:rFonts w:ascii="Figtree" w:hAnsi="Figtree"/>
                <w:b w:val="0"/>
                <w:i w:val="0"/>
                <w:sz w:val="20"/>
              </w:rPr>
              <w:t>Architecture Section 6.2</w:t>
            </w:r>
          </w:p>
        </w:tc>
      </w:tr>
      <w:tr>
        <w:trPr>
          <w:trHeight w:val="425" w:hRule="atLeast"/>
        </w:trPr>
        <w:tc>
          <w:tcPr>
            <w:tcW w:type="dxa" w:w="1949"/>
            <w:vAlign w:val="center"/>
          </w:tcPr>
          <w:p>
            <w:pPr>
              <w:spacing w:line="276" w:lineRule="auto" w:before="0" w:after="0"/>
            </w:pPr>
            <w:r/>
            <w:r>
              <w:rPr>
                <w:rFonts w:ascii="Figtree" w:hAnsi="Figtree"/>
                <w:b w:val="0"/>
                <w:i w:val="0"/>
                <w:sz w:val="20"/>
              </w:rPr>
              <w:t>AUTH-001</w:t>
            </w:r>
          </w:p>
        </w:tc>
        <w:tc>
          <w:tcPr>
            <w:tcW w:type="dxa" w:w="1949"/>
            <w:vAlign w:val="center"/>
          </w:tcPr>
          <w:p>
            <w:pPr>
              <w:spacing w:line="276" w:lineRule="auto" w:before="0" w:after="0"/>
            </w:pPr>
            <w:r/>
            <w:r>
              <w:rPr>
                <w:rFonts w:ascii="Figtree" w:hAnsi="Figtree"/>
                <w:b w:val="0"/>
                <w:i w:val="0"/>
                <w:sz w:val="20"/>
              </w:rPr>
              <w:t>RBAC with segregation of duties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Dual-layer RBAC (off-chain + on-chain); 26 distinct roles</w:t>
            </w:r>
          </w:p>
        </w:tc>
        <w:tc>
          <w:tcPr>
            <w:tcW w:type="dxa" w:w="1949"/>
            <w:vAlign w:val="center"/>
          </w:tcPr>
          <w:p>
            <w:pPr>
              <w:spacing w:line="276" w:lineRule="auto" w:before="0" w:after="0"/>
            </w:pPr>
            <w:r/>
            <w:r>
              <w:rPr>
                <w:rFonts w:ascii="Figtree" w:hAnsi="Figtree"/>
                <w:b w:val="0"/>
                <w:i w:val="0"/>
                <w:sz w:val="20"/>
              </w:rPr>
              <w:t>Security Section 7.2</w:t>
            </w:r>
          </w:p>
        </w:tc>
      </w:tr>
      <w:tr>
        <w:trPr>
          <w:trHeight w:val="425" w:hRule="atLeast"/>
        </w:trPr>
        <w:tc>
          <w:tcPr>
            <w:tcW w:type="dxa" w:w="1949"/>
            <w:vAlign w:val="center"/>
          </w:tcPr>
          <w:p>
            <w:pPr>
              <w:spacing w:line="276" w:lineRule="auto" w:before="0" w:after="0"/>
            </w:pPr>
            <w:r/>
            <w:r>
              <w:rPr>
                <w:rFonts w:ascii="Figtree" w:hAnsi="Figtree"/>
                <w:b w:val="0"/>
                <w:i w:val="0"/>
                <w:sz w:val="20"/>
              </w:rPr>
              <w:t>AUTH-002</w:t>
            </w:r>
          </w:p>
        </w:tc>
        <w:tc>
          <w:tcPr>
            <w:tcW w:type="dxa" w:w="1949"/>
            <w:vAlign w:val="center"/>
          </w:tcPr>
          <w:p>
            <w:pPr>
              <w:spacing w:line="276" w:lineRule="auto" w:before="0" w:after="0"/>
            </w:pPr>
            <w:r/>
            <w:r>
              <w:rPr>
                <w:rFonts w:ascii="Figtree" w:hAnsi="Figtree"/>
                <w:b w:val="0"/>
                <w:i w:val="0"/>
                <w:sz w:val="20"/>
              </w:rPr>
              <w:t>Maker-checker workflow support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Approval workflow compliance module; dual authorization</w:t>
            </w:r>
          </w:p>
        </w:tc>
        <w:tc>
          <w:tcPr>
            <w:tcW w:type="dxa" w:w="1949"/>
            <w:vAlign w:val="center"/>
          </w:tcPr>
          <w:p>
            <w:pPr>
              <w:spacing w:line="276" w:lineRule="auto" w:before="0" w:after="0"/>
            </w:pPr>
            <w:r/>
            <w:r>
              <w:rPr>
                <w:rFonts w:ascii="Figtree" w:hAnsi="Figtree"/>
                <w:b w:val="0"/>
                <w:i w:val="0"/>
                <w:sz w:val="20"/>
              </w:rPr>
              <w:t>Compliance Section 5.4</w:t>
            </w:r>
          </w:p>
        </w:tc>
      </w:tr>
      <w:tr>
        <w:trPr>
          <w:trHeight w:val="425" w:hRule="atLeast"/>
        </w:trPr>
        <w:tc>
          <w:tcPr>
            <w:tcW w:type="dxa" w:w="1949"/>
            <w:vAlign w:val="center"/>
          </w:tcPr>
          <w:p>
            <w:pPr>
              <w:spacing w:line="276" w:lineRule="auto" w:before="0" w:after="0"/>
            </w:pPr>
            <w:r/>
            <w:r>
              <w:rPr>
                <w:rFonts w:ascii="Figtree" w:hAnsi="Figtree"/>
                <w:b w:val="0"/>
                <w:i w:val="0"/>
                <w:sz w:val="20"/>
              </w:rPr>
              <w:t>AUTH-003</w:t>
            </w:r>
          </w:p>
        </w:tc>
        <w:tc>
          <w:tcPr>
            <w:tcW w:type="dxa" w:w="1949"/>
            <w:vAlign w:val="center"/>
          </w:tcPr>
          <w:p>
            <w:pPr>
              <w:spacing w:line="276" w:lineRule="auto" w:before="0" w:after="0"/>
            </w:pPr>
            <w:r/>
            <w:r>
              <w:rPr>
                <w:rFonts w:ascii="Figtree" w:hAnsi="Figtree"/>
                <w:b w:val="0"/>
                <w:i w:val="0"/>
                <w:sz w:val="20"/>
              </w:rPr>
              <w:t>Complete audit logs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Structured JSON logs with correlation IDs; immutable storage</w:t>
            </w:r>
          </w:p>
        </w:tc>
        <w:tc>
          <w:tcPr>
            <w:tcW w:type="dxa" w:w="1949"/>
            <w:vAlign w:val="center"/>
          </w:tcPr>
          <w:p>
            <w:pPr>
              <w:spacing w:line="276" w:lineRule="auto" w:before="0" w:after="0"/>
            </w:pPr>
            <w:r/>
            <w:r>
              <w:rPr>
                <w:rFonts w:ascii="Figtree" w:hAnsi="Figtree"/>
                <w:b w:val="0"/>
                <w:i w:val="0"/>
                <w:sz w:val="20"/>
              </w:rPr>
              <w:t>Security Section 7.5</w:t>
            </w:r>
          </w:p>
        </w:tc>
      </w:tr>
      <w:tr>
        <w:trPr>
          <w:trHeight w:val="425" w:hRule="atLeast"/>
        </w:trPr>
        <w:tc>
          <w:tcPr>
            <w:tcW w:type="dxa" w:w="1949"/>
            <w:vAlign w:val="center"/>
          </w:tcPr>
          <w:p>
            <w:pPr>
              <w:spacing w:line="276" w:lineRule="auto" w:before="0" w:after="0"/>
            </w:pPr>
            <w:r/>
            <w:r>
              <w:rPr>
                <w:rFonts w:ascii="Figtree" w:hAnsi="Figtree"/>
                <w:b w:val="0"/>
                <w:i w:val="0"/>
                <w:sz w:val="20"/>
              </w:rPr>
              <w:t>COMP-001</w:t>
            </w:r>
          </w:p>
        </w:tc>
        <w:tc>
          <w:tcPr>
            <w:tcW w:type="dxa" w:w="1949"/>
            <w:vAlign w:val="center"/>
          </w:tcPr>
          <w:p>
            <w:pPr>
              <w:spacing w:line="276" w:lineRule="auto" w:before="0" w:after="0"/>
            </w:pPr>
            <w:r/>
            <w:r>
              <w:rPr>
                <w:rFonts w:ascii="Figtree" w:hAnsi="Figtree"/>
                <w:b w:val="0"/>
                <w:i w:val="0"/>
                <w:sz w:val="20"/>
              </w:rPr>
              <w:t>Configurable transfer rules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18 modular compliance types; runtime reconfigurable</w:t>
            </w:r>
          </w:p>
        </w:tc>
        <w:tc>
          <w:tcPr>
            <w:tcW w:type="dxa" w:w="1949"/>
            <w:vAlign w:val="center"/>
          </w:tcPr>
          <w:p>
            <w:pPr>
              <w:spacing w:line="276" w:lineRule="auto" w:before="0" w:after="0"/>
            </w:pPr>
            <w:r/>
            <w:r>
              <w:rPr>
                <w:rFonts w:ascii="Figtree" w:hAnsi="Figtree"/>
                <w:b w:val="0"/>
                <w:i w:val="0"/>
                <w:sz w:val="20"/>
              </w:rPr>
              <w:t>Compliance Section 3.2.2</w:t>
            </w:r>
          </w:p>
        </w:tc>
      </w:tr>
      <w:tr>
        <w:trPr>
          <w:trHeight w:val="425" w:hRule="atLeast"/>
        </w:trPr>
        <w:tc>
          <w:tcPr>
            <w:tcW w:type="dxa" w:w="1949"/>
            <w:vAlign w:val="center"/>
          </w:tcPr>
          <w:p>
            <w:pPr>
              <w:spacing w:line="276" w:lineRule="auto" w:before="0" w:after="0"/>
            </w:pPr>
            <w:r/>
            <w:r>
              <w:rPr>
                <w:rFonts w:ascii="Figtree" w:hAnsi="Figtree"/>
                <w:b w:val="0"/>
                <w:i w:val="0"/>
                <w:sz w:val="20"/>
              </w:rPr>
              <w:t>COMP-002</w:t>
            </w:r>
          </w:p>
        </w:tc>
        <w:tc>
          <w:tcPr>
            <w:tcW w:type="dxa" w:w="1949"/>
            <w:vAlign w:val="center"/>
          </w:tcPr>
          <w:p>
            <w:pPr>
              <w:spacing w:line="276" w:lineRule="auto" w:before="0" w:after="0"/>
            </w:pPr>
            <w:r/>
            <w:r>
              <w:rPr>
                <w:rFonts w:ascii="Figtree" w:hAnsi="Figtree"/>
                <w:b w:val="0"/>
                <w:i w:val="0"/>
                <w:sz w:val="20"/>
              </w:rPr>
              <w:t>Investor limits enforcement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Investor count compliance module</w:t>
            </w:r>
          </w:p>
        </w:tc>
        <w:tc>
          <w:tcPr>
            <w:tcW w:type="dxa" w:w="1949"/>
            <w:vAlign w:val="center"/>
          </w:tcPr>
          <w:p>
            <w:pPr>
              <w:spacing w:line="276" w:lineRule="auto" w:before="0" w:after="0"/>
            </w:pPr>
            <w:r/>
            <w:r>
              <w:rPr>
                <w:rFonts w:ascii="Figtree" w:hAnsi="Figtree"/>
                <w:b w:val="0"/>
                <w:i w:val="0"/>
                <w:sz w:val="20"/>
              </w:rPr>
              <w:t>Compliance Section 5.4</w:t>
            </w:r>
          </w:p>
        </w:tc>
      </w:tr>
      <w:tr>
        <w:trPr>
          <w:trHeight w:val="425" w:hRule="atLeast"/>
        </w:trPr>
        <w:tc>
          <w:tcPr>
            <w:tcW w:type="dxa" w:w="1949"/>
            <w:vAlign w:val="center"/>
          </w:tcPr>
          <w:p>
            <w:pPr>
              <w:spacing w:line="276" w:lineRule="auto" w:before="0" w:after="0"/>
            </w:pPr>
            <w:r/>
            <w:r>
              <w:rPr>
                <w:rFonts w:ascii="Figtree" w:hAnsi="Figtree"/>
                <w:b w:val="0"/>
                <w:i w:val="0"/>
                <w:sz w:val="20"/>
              </w:rPr>
              <w:t>COMP-003</w:t>
            </w:r>
          </w:p>
        </w:tc>
        <w:tc>
          <w:tcPr>
            <w:tcW w:type="dxa" w:w="1949"/>
            <w:vAlign w:val="center"/>
          </w:tcPr>
          <w:p>
            <w:pPr>
              <w:spacing w:line="276" w:lineRule="auto" w:before="0" w:after="0"/>
            </w:pPr>
            <w:r/>
            <w:r>
              <w:rPr>
                <w:rFonts w:ascii="Figtree" w:hAnsi="Figtree"/>
                <w:b w:val="0"/>
                <w:i w:val="0"/>
                <w:sz w:val="20"/>
              </w:rPr>
              <w:t>Country restrictions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Country restriction compliance module</w:t>
            </w:r>
          </w:p>
        </w:tc>
        <w:tc>
          <w:tcPr>
            <w:tcW w:type="dxa" w:w="1949"/>
            <w:vAlign w:val="center"/>
          </w:tcPr>
          <w:p>
            <w:pPr>
              <w:spacing w:line="276" w:lineRule="auto" w:before="0" w:after="0"/>
            </w:pPr>
            <w:r/>
            <w:r>
              <w:rPr>
                <w:rFonts w:ascii="Figtree" w:hAnsi="Figtree"/>
                <w:b w:val="0"/>
                <w:i w:val="0"/>
                <w:sz w:val="20"/>
              </w:rPr>
              <w:t>Compliance Section 5.4</w:t>
            </w:r>
          </w:p>
        </w:tc>
      </w:tr>
      <w:tr>
        <w:trPr>
          <w:trHeight w:val="425" w:hRule="atLeast"/>
        </w:trPr>
        <w:tc>
          <w:tcPr>
            <w:tcW w:type="dxa" w:w="1949"/>
            <w:vAlign w:val="center"/>
          </w:tcPr>
          <w:p>
            <w:pPr>
              <w:spacing w:line="276" w:lineRule="auto" w:before="0" w:after="0"/>
            </w:pPr>
            <w:r/>
            <w:r>
              <w:rPr>
                <w:rFonts w:ascii="Figtree" w:hAnsi="Figtree"/>
                <w:b w:val="0"/>
                <w:i w:val="0"/>
                <w:sz w:val="20"/>
              </w:rPr>
              <w:t>COMP-004</w:t>
            </w:r>
          </w:p>
        </w:tc>
        <w:tc>
          <w:tcPr>
            <w:tcW w:type="dxa" w:w="1949"/>
            <w:vAlign w:val="center"/>
          </w:tcPr>
          <w:p>
            <w:pPr>
              <w:spacing w:line="276" w:lineRule="auto" w:before="0" w:after="0"/>
            </w:pPr>
            <w:r/>
            <w:r>
              <w:rPr>
                <w:rFonts w:ascii="Figtree" w:hAnsi="Figtree"/>
                <w:b w:val="0"/>
                <w:i w:val="0"/>
                <w:sz w:val="20"/>
              </w:rPr>
              <w:t>AML/KYC integration</w:t>
            </w:r>
          </w:p>
        </w:tc>
        <w:tc>
          <w:tcPr>
            <w:tcW w:type="dxa" w:w="1949"/>
            <w:vAlign w:val="center"/>
          </w:tcPr>
          <w:p>
            <w:pPr>
              <w:spacing w:line="276" w:lineRule="auto" w:before="0" w:after="0"/>
            </w:pPr>
            <w:r/>
            <w:r>
              <w:rPr>
                <w:rFonts w:ascii="Figtree" w:hAnsi="Figtree"/>
                <w:b w:val="0"/>
                <w:i w:val="0"/>
                <w:sz w:val="20"/>
              </w:rPr>
              <w:t>Configurable</w:t>
            </w:r>
          </w:p>
        </w:tc>
        <w:tc>
          <w:tcPr>
            <w:tcW w:type="dxa" w:w="1949"/>
            <w:vAlign w:val="center"/>
          </w:tcPr>
          <w:p>
            <w:pPr>
              <w:spacing w:line="276" w:lineRule="auto" w:before="0" w:after="0"/>
            </w:pPr>
            <w:r/>
            <w:r>
              <w:rPr>
                <w:rFonts w:ascii="Figtree" w:hAnsi="Figtree"/>
                <w:b w:val="0"/>
                <w:i w:val="0"/>
                <w:sz w:val="20"/>
              </w:rPr>
              <w:t>OnchainID with external KYC provider integration</w:t>
            </w:r>
          </w:p>
        </w:tc>
        <w:tc>
          <w:tcPr>
            <w:tcW w:type="dxa" w:w="1949"/>
            <w:vAlign w:val="center"/>
          </w:tcPr>
          <w:p>
            <w:pPr>
              <w:spacing w:line="276" w:lineRule="auto" w:before="0" w:after="0"/>
            </w:pPr>
            <w:r/>
            <w:r>
              <w:rPr>
                <w:rFonts w:ascii="Figtree" w:hAnsi="Figtree"/>
                <w:b w:val="0"/>
                <w:i w:val="0"/>
                <w:sz w:val="20"/>
              </w:rPr>
              <w:t>Identity Section 5.3</w:t>
            </w:r>
          </w:p>
        </w:tc>
      </w:tr>
      <w:tr>
        <w:trPr>
          <w:trHeight w:val="425" w:hRule="atLeast"/>
        </w:trPr>
        <w:tc>
          <w:tcPr>
            <w:tcW w:type="dxa" w:w="1949"/>
            <w:vAlign w:val="center"/>
          </w:tcPr>
          <w:p>
            <w:pPr>
              <w:spacing w:line="276" w:lineRule="auto" w:before="0" w:after="0"/>
            </w:pPr>
            <w:r/>
            <w:r>
              <w:rPr>
                <w:rFonts w:ascii="Figtree" w:hAnsi="Figtree"/>
                <w:b w:val="0"/>
                <w:i w:val="0"/>
                <w:sz w:val="20"/>
              </w:rPr>
              <w:t>COMP-005</w:t>
            </w:r>
          </w:p>
        </w:tc>
        <w:tc>
          <w:tcPr>
            <w:tcW w:type="dxa" w:w="1949"/>
            <w:vAlign w:val="center"/>
          </w:tcPr>
          <w:p>
            <w:pPr>
              <w:spacing w:line="276" w:lineRule="auto" w:before="0" w:after="0"/>
            </w:pPr>
            <w:r/>
            <w:r>
              <w:rPr>
                <w:rFonts w:ascii="Figtree" w:hAnsi="Figtree"/>
                <w:b w:val="0"/>
                <w:i w:val="0"/>
                <w:sz w:val="20"/>
              </w:rPr>
              <w:t>On-chain compliance enforcement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ERC-3643 compliance engine; on-chain execution</w:t>
            </w:r>
          </w:p>
        </w:tc>
        <w:tc>
          <w:tcPr>
            <w:tcW w:type="dxa" w:w="1949"/>
            <w:vAlign w:val="center"/>
          </w:tcPr>
          <w:p>
            <w:pPr>
              <w:spacing w:line="276" w:lineRule="auto" w:before="0" w:after="0"/>
            </w:pPr>
            <w:r/>
            <w:r>
              <w:rPr>
                <w:rFonts w:ascii="Figtree" w:hAnsi="Figtree"/>
                <w:b w:val="0"/>
                <w:i w:val="0"/>
                <w:sz w:val="20"/>
              </w:rPr>
              <w:t>Compliance Section 5.4</w:t>
            </w:r>
          </w:p>
        </w:tc>
      </w:tr>
      <w:tr>
        <w:trPr>
          <w:trHeight w:val="425" w:hRule="atLeast"/>
        </w:trPr>
        <w:tc>
          <w:tcPr>
            <w:tcW w:type="dxa" w:w="1949"/>
            <w:vAlign w:val="center"/>
          </w:tcPr>
          <w:p>
            <w:pPr>
              <w:spacing w:line="276" w:lineRule="auto" w:before="0" w:after="0"/>
            </w:pPr>
            <w:r/>
            <w:r>
              <w:rPr>
                <w:rFonts w:ascii="Figtree" w:hAnsi="Figtree"/>
                <w:b w:val="0"/>
                <w:i w:val="0"/>
                <w:sz w:val="20"/>
              </w:rPr>
              <w:t>LIFE-001</w:t>
            </w:r>
          </w:p>
        </w:tc>
        <w:tc>
          <w:tcPr>
            <w:tcW w:type="dxa" w:w="1949"/>
            <w:vAlign w:val="center"/>
          </w:tcPr>
          <w:p>
            <w:pPr>
              <w:spacing w:line="276" w:lineRule="auto" w:before="0" w:after="0"/>
            </w:pPr>
            <w:r/>
            <w:r>
              <w:rPr>
                <w:rFonts w:ascii="Figtree" w:hAnsi="Figtree"/>
                <w:b w:val="0"/>
                <w:i w:val="0"/>
                <w:sz w:val="20"/>
              </w:rPr>
              <w:t>Asset lifecycle management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DALPAsset with SMART Protocol; full lifecycle support</w:t>
            </w:r>
          </w:p>
        </w:tc>
        <w:tc>
          <w:tcPr>
            <w:tcW w:type="dxa" w:w="1949"/>
            <w:vAlign w:val="center"/>
          </w:tcPr>
          <w:p>
            <w:pPr>
              <w:spacing w:line="276" w:lineRule="auto" w:before="0" w:after="0"/>
            </w:pPr>
            <w:r/>
            <w:r>
              <w:rPr>
                <w:rFonts w:ascii="Figtree" w:hAnsi="Figtree"/>
                <w:b w:val="0"/>
                <w:i w:val="0"/>
                <w:sz w:val="20"/>
              </w:rPr>
              <w:t>Issuance Section 5.2</w:t>
            </w:r>
          </w:p>
        </w:tc>
      </w:tr>
      <w:tr>
        <w:trPr>
          <w:trHeight w:val="425" w:hRule="atLeast"/>
        </w:trPr>
        <w:tc>
          <w:tcPr>
            <w:tcW w:type="dxa" w:w="1949"/>
            <w:vAlign w:val="center"/>
          </w:tcPr>
          <w:p>
            <w:pPr>
              <w:spacing w:line="276" w:lineRule="auto" w:before="0" w:after="0"/>
            </w:pPr>
            <w:r/>
            <w:r>
              <w:rPr>
                <w:rFonts w:ascii="Figtree" w:hAnsi="Figtree"/>
                <w:b w:val="0"/>
                <w:i w:val="0"/>
                <w:sz w:val="20"/>
              </w:rPr>
              <w:t>LIFE-002</w:t>
            </w:r>
          </w:p>
        </w:tc>
        <w:tc>
          <w:tcPr>
            <w:tcW w:type="dxa" w:w="1949"/>
            <w:vAlign w:val="center"/>
          </w:tcPr>
          <w:p>
            <w:pPr>
              <w:spacing w:line="276" w:lineRule="auto" w:before="0" w:after="0"/>
            </w:pPr>
            <w:r/>
            <w:r>
              <w:rPr>
                <w:rFonts w:ascii="Figtree" w:hAnsi="Figtree"/>
                <w:b w:val="0"/>
                <w:i w:val="0"/>
                <w:sz w:val="20"/>
              </w:rPr>
              <w:t>Token issuance and minting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Factory deployment with CREATE2</w:t>
            </w:r>
          </w:p>
        </w:tc>
        <w:tc>
          <w:tcPr>
            <w:tcW w:type="dxa" w:w="1949"/>
            <w:vAlign w:val="center"/>
          </w:tcPr>
          <w:p>
            <w:pPr>
              <w:spacing w:line="276" w:lineRule="auto" w:before="0" w:after="0"/>
            </w:pPr>
            <w:r/>
            <w:r>
              <w:rPr>
                <w:rFonts w:ascii="Figtree" w:hAnsi="Figtree"/>
                <w:b w:val="0"/>
                <w:i w:val="0"/>
                <w:sz w:val="20"/>
              </w:rPr>
              <w:t>Issuance Section 5.2</w:t>
            </w:r>
          </w:p>
        </w:tc>
      </w:tr>
      <w:tr>
        <w:trPr>
          <w:trHeight w:val="425" w:hRule="atLeast"/>
        </w:trPr>
        <w:tc>
          <w:tcPr>
            <w:tcW w:type="dxa" w:w="1949"/>
            <w:vAlign w:val="center"/>
          </w:tcPr>
          <w:p>
            <w:pPr>
              <w:spacing w:line="276" w:lineRule="auto" w:before="0" w:after="0"/>
            </w:pPr>
            <w:r/>
            <w:r>
              <w:rPr>
                <w:rFonts w:ascii="Figtree" w:hAnsi="Figtree"/>
                <w:b w:val="0"/>
                <w:i w:val="0"/>
                <w:sz w:val="20"/>
              </w:rPr>
              <w:t>LIFE-003</w:t>
            </w:r>
          </w:p>
        </w:tc>
        <w:tc>
          <w:tcPr>
            <w:tcW w:type="dxa" w:w="1949"/>
            <w:vAlign w:val="center"/>
          </w:tcPr>
          <w:p>
            <w:pPr>
              <w:spacing w:line="276" w:lineRule="auto" w:before="0" w:after="0"/>
            </w:pPr>
            <w:r/>
            <w:r>
              <w:rPr>
                <w:rFonts w:ascii="Figtree" w:hAnsi="Figtree"/>
                <w:b w:val="0"/>
                <w:i w:val="0"/>
                <w:sz w:val="20"/>
              </w:rPr>
              <w:t>Corporate action handling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Servicing layer with addons</w:t>
            </w:r>
          </w:p>
        </w:tc>
        <w:tc>
          <w:tcPr>
            <w:tcW w:type="dxa" w:w="1949"/>
            <w:vAlign w:val="center"/>
          </w:tcPr>
          <w:p>
            <w:pPr>
              <w:spacing w:line="276" w:lineRule="auto" w:before="0" w:after="0"/>
            </w:pPr>
            <w:r/>
            <w:r>
              <w:rPr>
                <w:rFonts w:ascii="Figtree" w:hAnsi="Figtree"/>
                <w:b w:val="0"/>
                <w:i w:val="0"/>
                <w:sz w:val="20"/>
              </w:rPr>
              <w:t>Servicing Section 5.6</w:t>
            </w:r>
          </w:p>
        </w:tc>
      </w:tr>
      <w:tr>
        <w:trPr>
          <w:trHeight w:val="425" w:hRule="atLeast"/>
        </w:trPr>
        <w:tc>
          <w:tcPr>
            <w:tcW w:type="dxa" w:w="1949"/>
            <w:vAlign w:val="center"/>
          </w:tcPr>
          <w:p>
            <w:pPr>
              <w:spacing w:line="276" w:lineRule="auto" w:before="0" w:after="0"/>
            </w:pPr>
            <w:r/>
            <w:r>
              <w:rPr>
                <w:rFonts w:ascii="Figtree" w:hAnsi="Figtree"/>
                <w:b w:val="0"/>
                <w:i w:val="0"/>
                <w:sz w:val="20"/>
              </w:rPr>
              <w:t>LIFE-004</w:t>
            </w:r>
          </w:p>
        </w:tc>
        <w:tc>
          <w:tcPr>
            <w:tcW w:type="dxa" w:w="1949"/>
            <w:vAlign w:val="center"/>
          </w:tcPr>
          <w:p>
            <w:pPr>
              <w:spacing w:line="276" w:lineRule="auto" w:before="0" w:after="0"/>
            </w:pPr>
            <w:r/>
            <w:r>
              <w:rPr>
                <w:rFonts w:ascii="Figtree" w:hAnsi="Figtree"/>
                <w:b w:val="0"/>
                <w:i w:val="0"/>
                <w:sz w:val="20"/>
              </w:rPr>
              <w:t>Redemption and maturity</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Bond and deposit contract maturity handling</w:t>
            </w:r>
          </w:p>
        </w:tc>
        <w:tc>
          <w:tcPr>
            <w:tcW w:type="dxa" w:w="1949"/>
            <w:vAlign w:val="center"/>
          </w:tcPr>
          <w:p>
            <w:pPr>
              <w:spacing w:line="276" w:lineRule="auto" w:before="0" w:after="0"/>
            </w:pPr>
            <w:r/>
            <w:r>
              <w:rPr>
                <w:rFonts w:ascii="Figtree" w:hAnsi="Figtree"/>
                <w:b w:val="0"/>
                <w:i w:val="0"/>
                <w:sz w:val="20"/>
              </w:rPr>
              <w:t>Servicing Section 5.6</w:t>
            </w:r>
          </w:p>
        </w:tc>
      </w:tr>
      <w:tr>
        <w:trPr>
          <w:trHeight w:val="425" w:hRule="atLeast"/>
        </w:trPr>
        <w:tc>
          <w:tcPr>
            <w:tcW w:type="dxa" w:w="1949"/>
            <w:vAlign w:val="center"/>
          </w:tcPr>
          <w:p>
            <w:pPr>
              <w:spacing w:line="276" w:lineRule="auto" w:before="0" w:after="0"/>
            </w:pPr>
            <w:r/>
            <w:r>
              <w:rPr>
                <w:rFonts w:ascii="Figtree" w:hAnsi="Figtree"/>
                <w:b w:val="0"/>
                <w:i w:val="0"/>
                <w:sz w:val="20"/>
              </w:rPr>
              <w:t>SETT-001</w:t>
            </w:r>
          </w:p>
        </w:tc>
        <w:tc>
          <w:tcPr>
            <w:tcW w:type="dxa" w:w="1949"/>
            <w:vAlign w:val="center"/>
          </w:tcPr>
          <w:p>
            <w:pPr>
              <w:spacing w:line="276" w:lineRule="auto" w:before="0" w:after="0"/>
            </w:pPr>
            <w:r/>
            <w:r>
              <w:rPr>
                <w:rFonts w:ascii="Figtree" w:hAnsi="Figtree"/>
                <w:b w:val="0"/>
                <w:i w:val="0"/>
                <w:sz w:val="20"/>
              </w:rPr>
              <w:t>Atomic DvP settlement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XvP Settlement addon</w:t>
            </w:r>
          </w:p>
        </w:tc>
        <w:tc>
          <w:tcPr>
            <w:tcW w:type="dxa" w:w="1949"/>
            <w:vAlign w:val="center"/>
          </w:tcPr>
          <w:p>
            <w:pPr>
              <w:spacing w:line="276" w:lineRule="auto" w:before="0" w:after="0"/>
            </w:pPr>
            <w:r/>
            <w:r>
              <w:rPr>
                <w:rFonts w:ascii="Figtree" w:hAnsi="Figtree"/>
                <w:b w:val="0"/>
                <w:i w:val="0"/>
                <w:sz w:val="20"/>
              </w:rPr>
              <w:t>Settlement Section 5.5</w:t>
            </w:r>
          </w:p>
        </w:tc>
      </w:tr>
      <w:tr>
        <w:trPr>
          <w:trHeight w:val="425" w:hRule="atLeast"/>
        </w:trPr>
        <w:tc>
          <w:tcPr>
            <w:tcW w:type="dxa" w:w="1949"/>
            <w:vAlign w:val="center"/>
          </w:tcPr>
          <w:p>
            <w:pPr>
              <w:spacing w:line="276" w:lineRule="auto" w:before="0" w:after="0"/>
            </w:pPr>
            <w:r/>
            <w:r>
              <w:rPr>
                <w:rFonts w:ascii="Figtree" w:hAnsi="Figtree"/>
                <w:b w:val="0"/>
                <w:i w:val="0"/>
                <w:sz w:val="20"/>
              </w:rPr>
              <w:t>SETT-002</w:t>
            </w:r>
          </w:p>
        </w:tc>
        <w:tc>
          <w:tcPr>
            <w:tcW w:type="dxa" w:w="1949"/>
            <w:vAlign w:val="center"/>
          </w:tcPr>
          <w:p>
            <w:pPr>
              <w:spacing w:line="276" w:lineRule="auto" w:before="0" w:after="0"/>
            </w:pPr>
            <w:r/>
            <w:r>
              <w:rPr>
                <w:rFonts w:ascii="Figtree" w:hAnsi="Figtree"/>
                <w:b w:val="0"/>
                <w:i w:val="0"/>
                <w:sz w:val="20"/>
              </w:rPr>
              <w:t>Payment rail integration</w:t>
            </w:r>
          </w:p>
        </w:tc>
        <w:tc>
          <w:tcPr>
            <w:tcW w:type="dxa" w:w="1949"/>
            <w:vAlign w:val="center"/>
          </w:tcPr>
          <w:p>
            <w:pPr>
              <w:spacing w:line="276" w:lineRule="auto" w:before="0" w:after="0"/>
            </w:pPr>
            <w:r/>
            <w:r>
              <w:rPr>
                <w:rFonts w:ascii="Figtree" w:hAnsi="Figtree"/>
                <w:b w:val="0"/>
                <w:i w:val="0"/>
                <w:sz w:val="20"/>
              </w:rPr>
              <w:t>Configurable</w:t>
            </w:r>
          </w:p>
        </w:tc>
        <w:tc>
          <w:tcPr>
            <w:tcW w:type="dxa" w:w="1949"/>
            <w:vAlign w:val="center"/>
          </w:tcPr>
          <w:p>
            <w:pPr>
              <w:spacing w:line="276" w:lineRule="auto" w:before="0" w:after="0"/>
            </w:pPr>
            <w:r/>
            <w:r>
              <w:rPr>
                <w:rFonts w:ascii="Figtree" w:hAnsi="Figtree"/>
                <w:b w:val="0"/>
                <w:i w:val="0"/>
                <w:sz w:val="20"/>
              </w:rPr>
              <w:t>ISO 20022 integration via REST API</w:t>
            </w:r>
          </w:p>
        </w:tc>
        <w:tc>
          <w:tcPr>
            <w:tcW w:type="dxa" w:w="1949"/>
            <w:vAlign w:val="center"/>
          </w:tcPr>
          <w:p>
            <w:pPr>
              <w:spacing w:line="276" w:lineRule="auto" w:before="0" w:after="0"/>
            </w:pPr>
            <w:r/>
            <w:r>
              <w:rPr>
                <w:rFonts w:ascii="Figtree" w:hAnsi="Figtree"/>
                <w:b w:val="0"/>
                <w:i w:val="0"/>
                <w:sz w:val="20"/>
              </w:rPr>
              <w:t>Integration Section 5.7</w:t>
            </w:r>
          </w:p>
        </w:tc>
      </w:tr>
      <w:tr>
        <w:trPr>
          <w:trHeight w:val="425" w:hRule="atLeast"/>
        </w:trPr>
        <w:tc>
          <w:tcPr>
            <w:tcW w:type="dxa" w:w="1949"/>
            <w:vAlign w:val="center"/>
          </w:tcPr>
          <w:p>
            <w:pPr>
              <w:spacing w:line="276" w:lineRule="auto" w:before="0" w:after="0"/>
            </w:pPr>
            <w:r/>
            <w:r>
              <w:rPr>
                <w:rFonts w:ascii="Figtree" w:hAnsi="Figtree"/>
                <w:b w:val="0"/>
                <w:i w:val="0"/>
                <w:sz w:val="20"/>
              </w:rPr>
              <w:t>IDM-001</w:t>
            </w:r>
          </w:p>
        </w:tc>
        <w:tc>
          <w:tcPr>
            <w:tcW w:type="dxa" w:w="1949"/>
            <w:vAlign w:val="center"/>
          </w:tcPr>
          <w:p>
            <w:pPr>
              <w:spacing w:line="276" w:lineRule="auto" w:before="0" w:after="0"/>
            </w:pPr>
            <w:r/>
            <w:r>
              <w:rPr>
                <w:rFonts w:ascii="Figtree" w:hAnsi="Figtree"/>
                <w:b w:val="0"/>
                <w:i w:val="0"/>
                <w:sz w:val="20"/>
              </w:rPr>
              <w:t>Investor identity management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OnchainID (ERC-734/735)</w:t>
            </w:r>
          </w:p>
        </w:tc>
        <w:tc>
          <w:tcPr>
            <w:tcW w:type="dxa" w:w="1949"/>
            <w:vAlign w:val="center"/>
          </w:tcPr>
          <w:p>
            <w:pPr>
              <w:spacing w:line="276" w:lineRule="auto" w:before="0" w:after="0"/>
            </w:pPr>
            <w:r/>
            <w:r>
              <w:rPr>
                <w:rFonts w:ascii="Figtree" w:hAnsi="Figtree"/>
                <w:b w:val="0"/>
                <w:i w:val="0"/>
                <w:sz w:val="20"/>
              </w:rPr>
              <w:t>Identity Section 5.3</w:t>
            </w:r>
          </w:p>
        </w:tc>
      </w:tr>
      <w:tr>
        <w:trPr>
          <w:trHeight w:val="425" w:hRule="atLeast"/>
        </w:trPr>
        <w:tc>
          <w:tcPr>
            <w:tcW w:type="dxa" w:w="1949"/>
            <w:vAlign w:val="center"/>
          </w:tcPr>
          <w:p>
            <w:pPr>
              <w:spacing w:line="276" w:lineRule="auto" w:before="0" w:after="0"/>
            </w:pPr>
            <w:r/>
            <w:r>
              <w:rPr>
                <w:rFonts w:ascii="Figtree" w:hAnsi="Figtree"/>
                <w:b w:val="0"/>
                <w:i w:val="0"/>
                <w:sz w:val="20"/>
              </w:rPr>
              <w:t>IDM-002</w:t>
            </w:r>
          </w:p>
        </w:tc>
        <w:tc>
          <w:tcPr>
            <w:tcW w:type="dxa" w:w="1949"/>
            <w:vAlign w:val="center"/>
          </w:tcPr>
          <w:p>
            <w:pPr>
              <w:spacing w:line="276" w:lineRule="auto" w:before="0" w:after="0"/>
            </w:pPr>
            <w:r/>
            <w:r>
              <w:rPr>
                <w:rFonts w:ascii="Figtree" w:hAnsi="Figtree"/>
                <w:b w:val="0"/>
                <w:i w:val="0"/>
                <w:sz w:val="20"/>
              </w:rPr>
              <w:t>Onboarding workflow</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Configurable onboarding with KYC integration</w:t>
            </w:r>
          </w:p>
        </w:tc>
        <w:tc>
          <w:tcPr>
            <w:tcW w:type="dxa" w:w="1949"/>
            <w:vAlign w:val="center"/>
          </w:tcPr>
          <w:p>
            <w:pPr>
              <w:spacing w:line="276" w:lineRule="auto" w:before="0" w:after="0"/>
            </w:pPr>
            <w:r/>
            <w:r>
              <w:rPr>
                <w:rFonts w:ascii="Figtree" w:hAnsi="Figtree"/>
                <w:b w:val="0"/>
                <w:i w:val="0"/>
                <w:sz w:val="20"/>
              </w:rPr>
              <w:t>Identity Section 5.3</w:t>
            </w:r>
          </w:p>
        </w:tc>
      </w:tr>
      <w:tr>
        <w:trPr>
          <w:trHeight w:val="425" w:hRule="atLeast"/>
        </w:trPr>
        <w:tc>
          <w:tcPr>
            <w:tcW w:type="dxa" w:w="1949"/>
            <w:vAlign w:val="center"/>
          </w:tcPr>
          <w:p>
            <w:pPr>
              <w:spacing w:line="276" w:lineRule="auto" w:before="0" w:after="0"/>
            </w:pPr>
            <w:r/>
            <w:r>
              <w:rPr>
                <w:rFonts w:ascii="Figtree" w:hAnsi="Figtree"/>
                <w:b w:val="0"/>
                <w:i w:val="0"/>
                <w:sz w:val="20"/>
              </w:rPr>
              <w:t>OPS-001</w:t>
            </w:r>
          </w:p>
        </w:tc>
        <w:tc>
          <w:tcPr>
            <w:tcW w:type="dxa" w:w="1949"/>
            <w:vAlign w:val="center"/>
          </w:tcPr>
          <w:p>
            <w:pPr>
              <w:spacing w:line="276" w:lineRule="auto" w:before="0" w:after="0"/>
            </w:pPr>
            <w:r/>
            <w:r>
              <w:rPr>
                <w:rFonts w:ascii="Figtree" w:hAnsi="Figtree"/>
                <w:b w:val="0"/>
                <w:i w:val="0"/>
                <w:sz w:val="20"/>
              </w:rPr>
              <w:t>Monitoring and alerting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Grafana dashboards; VictoriaMetrics; alerting rules</w:t>
            </w:r>
          </w:p>
        </w:tc>
        <w:tc>
          <w:tcPr>
            <w:tcW w:type="dxa" w:w="1949"/>
            <w:vAlign w:val="center"/>
          </w:tcPr>
          <w:p>
            <w:pPr>
              <w:spacing w:line="276" w:lineRule="auto" w:before="0" w:after="0"/>
            </w:pPr>
            <w:r/>
            <w:r>
              <w:rPr>
                <w:rFonts w:ascii="Figtree" w:hAnsi="Figtree"/>
                <w:b w:val="0"/>
                <w:i w:val="0"/>
                <w:sz w:val="20"/>
              </w:rPr>
              <w:t>Observability Section 3.3.3</w:t>
            </w:r>
          </w:p>
        </w:tc>
      </w:tr>
      <w:tr>
        <w:trPr>
          <w:trHeight w:val="425" w:hRule="atLeast"/>
        </w:trPr>
        <w:tc>
          <w:tcPr>
            <w:tcW w:type="dxa" w:w="1949"/>
            <w:vAlign w:val="center"/>
          </w:tcPr>
          <w:p>
            <w:pPr>
              <w:spacing w:line="276" w:lineRule="auto" w:before="0" w:after="0"/>
            </w:pPr>
            <w:r/>
            <w:r>
              <w:rPr>
                <w:rFonts w:ascii="Figtree" w:hAnsi="Figtree"/>
                <w:b w:val="0"/>
                <w:i w:val="0"/>
                <w:sz w:val="20"/>
              </w:rPr>
              <w:t>OPS-002</w:t>
            </w:r>
          </w:p>
        </w:tc>
        <w:tc>
          <w:tcPr>
            <w:tcW w:type="dxa" w:w="1949"/>
            <w:vAlign w:val="center"/>
          </w:tcPr>
          <w:p>
            <w:pPr>
              <w:spacing w:line="276" w:lineRule="auto" w:before="0" w:after="0"/>
            </w:pPr>
            <w:r/>
            <w:r>
              <w:rPr>
                <w:rFonts w:ascii="Figtree" w:hAnsi="Figtree"/>
                <w:b w:val="0"/>
                <w:i w:val="0"/>
                <w:sz w:val="20"/>
              </w:rPr>
              <w:t>Backup and recovery</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Velero; PostgreSQL backup; object storage</w:t>
            </w:r>
          </w:p>
        </w:tc>
        <w:tc>
          <w:tcPr>
            <w:tcW w:type="dxa" w:w="1949"/>
            <w:vAlign w:val="center"/>
          </w:tcPr>
          <w:p>
            <w:pPr>
              <w:spacing w:line="276" w:lineRule="auto" w:before="0" w:after="0"/>
            </w:pPr>
            <w:r/>
            <w:r>
              <w:rPr>
                <w:rFonts w:ascii="Figtree" w:hAnsi="Figtree"/>
                <w:b w:val="0"/>
                <w:i w:val="0"/>
                <w:sz w:val="20"/>
              </w:rPr>
              <w:t>Deployment Section 8.5</w:t>
            </w:r>
          </w:p>
        </w:tc>
      </w:tr>
      <w:tr>
        <w:trPr>
          <w:trHeight w:val="425" w:hRule="atLeast"/>
        </w:trPr>
        <w:tc>
          <w:tcPr>
            <w:tcW w:type="dxa" w:w="1949"/>
            <w:vAlign w:val="center"/>
          </w:tcPr>
          <w:p>
            <w:pPr>
              <w:spacing w:line="276" w:lineRule="auto" w:before="0" w:after="0"/>
            </w:pPr>
            <w:r/>
            <w:r>
              <w:rPr>
                <w:rFonts w:ascii="Figtree" w:hAnsi="Figtree"/>
                <w:b w:val="0"/>
                <w:i w:val="0"/>
                <w:sz w:val="20"/>
              </w:rPr>
              <w:t>OPS-003</w:t>
            </w:r>
          </w:p>
        </w:tc>
        <w:tc>
          <w:tcPr>
            <w:tcW w:type="dxa" w:w="1949"/>
            <w:vAlign w:val="center"/>
          </w:tcPr>
          <w:p>
            <w:pPr>
              <w:spacing w:line="276" w:lineRule="auto" w:before="0" w:after="0"/>
            </w:pPr>
            <w:r/>
            <w:r>
              <w:rPr>
                <w:rFonts w:ascii="Figtree" w:hAnsi="Figtree"/>
                <w:b w:val="0"/>
                <w:i w:val="0"/>
                <w:sz w:val="20"/>
              </w:rPr>
              <w:t>Incident management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Support tier with defined response times</w:t>
            </w:r>
          </w:p>
        </w:tc>
        <w:tc>
          <w:tcPr>
            <w:tcW w:type="dxa" w:w="1949"/>
            <w:vAlign w:val="center"/>
          </w:tcPr>
          <w:p>
            <w:pPr>
              <w:spacing w:line="276" w:lineRule="auto" w:before="0" w:after="0"/>
            </w:pPr>
            <w:r/>
            <w:r>
              <w:rPr>
                <w:rFonts w:ascii="Figtree" w:hAnsi="Figtree"/>
                <w:b w:val="0"/>
                <w:i w:val="0"/>
                <w:sz w:val="20"/>
              </w:rPr>
              <w:t>Support Section 11</w:t>
            </w:r>
          </w:p>
        </w:tc>
      </w:tr>
      <w:tr>
        <w:trPr>
          <w:trHeight w:val="425" w:hRule="atLeast"/>
        </w:trPr>
        <w:tc>
          <w:tcPr>
            <w:tcW w:type="dxa" w:w="1949"/>
            <w:vAlign w:val="center"/>
          </w:tcPr>
          <w:p>
            <w:pPr>
              <w:spacing w:line="276" w:lineRule="auto" w:before="0" w:after="0"/>
            </w:pPr>
            <w:r/>
            <w:r>
              <w:rPr>
                <w:rFonts w:ascii="Figtree" w:hAnsi="Figtree"/>
                <w:b w:val="0"/>
                <w:i w:val="0"/>
                <w:sz w:val="20"/>
              </w:rPr>
              <w:t>SEC-001</w:t>
            </w:r>
          </w:p>
        </w:tc>
        <w:tc>
          <w:tcPr>
            <w:tcW w:type="dxa" w:w="1949"/>
            <w:vAlign w:val="center"/>
          </w:tcPr>
          <w:p>
            <w:pPr>
              <w:spacing w:line="276" w:lineRule="auto" w:before="0" w:after="0"/>
            </w:pPr>
            <w:r/>
            <w:r>
              <w:rPr>
                <w:rFonts w:ascii="Figtree" w:hAnsi="Figtree"/>
                <w:b w:val="0"/>
                <w:i w:val="0"/>
                <w:sz w:val="20"/>
              </w:rPr>
              <w:t>Encryption at rest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Application-level + cloud KMS</w:t>
            </w:r>
          </w:p>
        </w:tc>
        <w:tc>
          <w:tcPr>
            <w:tcW w:type="dxa" w:w="1949"/>
            <w:vAlign w:val="center"/>
          </w:tcPr>
          <w:p>
            <w:pPr>
              <w:spacing w:line="276" w:lineRule="auto" w:before="0" w:after="0"/>
            </w:pPr>
            <w:r/>
            <w:r>
              <w:rPr>
                <w:rFonts w:ascii="Figtree" w:hAnsi="Figtree"/>
                <w:b w:val="0"/>
                <w:i w:val="0"/>
                <w:sz w:val="20"/>
              </w:rPr>
              <w:t>Security Section 7.4</w:t>
            </w:r>
          </w:p>
        </w:tc>
      </w:tr>
      <w:tr>
        <w:trPr>
          <w:trHeight w:val="425" w:hRule="atLeast"/>
        </w:trPr>
        <w:tc>
          <w:tcPr>
            <w:tcW w:type="dxa" w:w="1949"/>
            <w:vAlign w:val="center"/>
          </w:tcPr>
          <w:p>
            <w:pPr>
              <w:spacing w:line="276" w:lineRule="auto" w:before="0" w:after="0"/>
            </w:pPr>
            <w:r/>
            <w:r>
              <w:rPr>
                <w:rFonts w:ascii="Figtree" w:hAnsi="Figtree"/>
                <w:b w:val="0"/>
                <w:i w:val="0"/>
                <w:sz w:val="20"/>
              </w:rPr>
              <w:t>SEC-002</w:t>
            </w:r>
          </w:p>
        </w:tc>
        <w:tc>
          <w:tcPr>
            <w:tcW w:type="dxa" w:w="1949"/>
            <w:vAlign w:val="center"/>
          </w:tcPr>
          <w:p>
            <w:pPr>
              <w:spacing w:line="276" w:lineRule="auto" w:before="0" w:after="0"/>
            </w:pPr>
            <w:r/>
            <w:r>
              <w:rPr>
                <w:rFonts w:ascii="Figtree" w:hAnsi="Figtree"/>
                <w:b w:val="0"/>
                <w:i w:val="0"/>
                <w:sz w:val="20"/>
              </w:rPr>
              <w:t>Encryption in transit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TLS throughout</w:t>
            </w:r>
          </w:p>
        </w:tc>
        <w:tc>
          <w:tcPr>
            <w:tcW w:type="dxa" w:w="1949"/>
            <w:vAlign w:val="center"/>
          </w:tcPr>
          <w:p>
            <w:pPr>
              <w:spacing w:line="276" w:lineRule="auto" w:before="0" w:after="0"/>
            </w:pPr>
            <w:r/>
            <w:r>
              <w:rPr>
                <w:rFonts w:ascii="Figtree" w:hAnsi="Figtree"/>
                <w:b w:val="0"/>
                <w:i w:val="0"/>
                <w:sz w:val="20"/>
              </w:rPr>
              <w:t>Security Section 7.4</w:t>
            </w:r>
          </w:p>
        </w:tc>
      </w:tr>
      <w:tr>
        <w:trPr>
          <w:trHeight w:val="425" w:hRule="atLeast"/>
        </w:trPr>
        <w:tc>
          <w:tcPr>
            <w:tcW w:type="dxa" w:w="1949"/>
            <w:vAlign w:val="center"/>
          </w:tcPr>
          <w:p>
            <w:pPr>
              <w:spacing w:line="276" w:lineRule="auto" w:before="0" w:after="0"/>
            </w:pPr>
            <w:r/>
            <w:r>
              <w:rPr>
                <w:rFonts w:ascii="Figtree" w:hAnsi="Figtree"/>
                <w:b w:val="0"/>
                <w:i w:val="0"/>
                <w:sz w:val="20"/>
              </w:rPr>
              <w:t>SEC-003</w:t>
            </w:r>
          </w:p>
        </w:tc>
        <w:tc>
          <w:tcPr>
            <w:tcW w:type="dxa" w:w="1949"/>
            <w:vAlign w:val="center"/>
          </w:tcPr>
          <w:p>
            <w:pPr>
              <w:spacing w:line="276" w:lineRule="auto" w:before="0" w:after="0"/>
            </w:pPr>
            <w:r/>
            <w:r>
              <w:rPr>
                <w:rFonts w:ascii="Figtree" w:hAnsi="Figtree"/>
                <w:b w:val="0"/>
                <w:i w:val="0"/>
                <w:sz w:val="20"/>
              </w:rPr>
              <w:t>Key management with HSM</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Key Guardian with HSM tier</w:t>
            </w:r>
          </w:p>
        </w:tc>
        <w:tc>
          <w:tcPr>
            <w:tcW w:type="dxa" w:w="1949"/>
            <w:vAlign w:val="center"/>
          </w:tcPr>
          <w:p>
            <w:pPr>
              <w:spacing w:line="276" w:lineRule="auto" w:before="0" w:after="0"/>
            </w:pPr>
            <w:r/>
            <w:r>
              <w:rPr>
                <w:rFonts w:ascii="Figtree" w:hAnsi="Figtree"/>
                <w:b w:val="0"/>
                <w:i w:val="0"/>
                <w:sz w:val="20"/>
              </w:rPr>
              <w:t>Custody Section 3.2.3</w:t>
            </w:r>
          </w:p>
        </w:tc>
      </w:tr>
      <w:tr>
        <w:trPr>
          <w:trHeight w:val="425" w:hRule="atLeast"/>
        </w:trPr>
        <w:tc>
          <w:tcPr>
            <w:tcW w:type="dxa" w:w="1949"/>
            <w:vAlign w:val="center"/>
          </w:tcPr>
          <w:p>
            <w:pPr>
              <w:spacing w:line="276" w:lineRule="auto" w:before="0" w:after="0"/>
            </w:pPr>
            <w:r/>
            <w:r>
              <w:rPr>
                <w:rFonts w:ascii="Figtree" w:hAnsi="Figtree"/>
                <w:b w:val="0"/>
                <w:i w:val="0"/>
                <w:sz w:val="20"/>
              </w:rPr>
              <w:t>SEC-004</w:t>
            </w:r>
          </w:p>
        </w:tc>
        <w:tc>
          <w:tcPr>
            <w:tcW w:type="dxa" w:w="1949"/>
            <w:vAlign w:val="center"/>
          </w:tcPr>
          <w:p>
            <w:pPr>
              <w:spacing w:line="276" w:lineRule="auto" w:before="0" w:after="0"/>
            </w:pPr>
            <w:r/>
            <w:r>
              <w:rPr>
                <w:rFonts w:ascii="Figtree" w:hAnsi="Figtree"/>
                <w:b w:val="0"/>
                <w:i w:val="0"/>
                <w:sz w:val="20"/>
              </w:rPr>
              <w:t>ISO 27001 certification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Certified</w:t>
            </w:r>
          </w:p>
        </w:tc>
        <w:tc>
          <w:tcPr>
            <w:tcW w:type="dxa" w:w="1949"/>
            <w:vAlign w:val="center"/>
          </w:tcPr>
          <w:p>
            <w:pPr>
              <w:spacing w:line="276" w:lineRule="auto" w:before="0" w:after="0"/>
            </w:pPr>
            <w:r/>
            <w:r>
              <w:rPr>
                <w:rFonts w:ascii="Figtree" w:hAnsi="Figtree"/>
                <w:b w:val="0"/>
                <w:i w:val="0"/>
                <w:sz w:val="20"/>
              </w:rPr>
              <w:t>Company Section 2.3</w:t>
            </w:r>
          </w:p>
        </w:tc>
      </w:tr>
      <w:tr>
        <w:trPr>
          <w:trHeight w:val="425" w:hRule="atLeast"/>
        </w:trPr>
        <w:tc>
          <w:tcPr>
            <w:tcW w:type="dxa" w:w="1949"/>
            <w:vAlign w:val="center"/>
          </w:tcPr>
          <w:p>
            <w:pPr>
              <w:spacing w:line="276" w:lineRule="auto" w:before="0" w:after="0"/>
            </w:pPr>
            <w:r/>
            <w:r>
              <w:rPr>
                <w:rFonts w:ascii="Figtree" w:hAnsi="Figtree"/>
                <w:b w:val="0"/>
                <w:i w:val="0"/>
                <w:sz w:val="20"/>
              </w:rPr>
              <w:t>SEC-005</w:t>
            </w:r>
          </w:p>
        </w:tc>
        <w:tc>
          <w:tcPr>
            <w:tcW w:type="dxa" w:w="1949"/>
            <w:vAlign w:val="center"/>
          </w:tcPr>
          <w:p>
            <w:pPr>
              <w:spacing w:line="276" w:lineRule="auto" w:before="0" w:after="0"/>
            </w:pPr>
            <w:r/>
            <w:r>
              <w:rPr>
                <w:rFonts w:ascii="Figtree" w:hAnsi="Figtree"/>
                <w:b w:val="0"/>
                <w:i w:val="0"/>
                <w:sz w:val="20"/>
              </w:rPr>
              <w:t>SOC 2 Type II certification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Certified</w:t>
            </w:r>
          </w:p>
        </w:tc>
        <w:tc>
          <w:tcPr>
            <w:tcW w:type="dxa" w:w="1949"/>
            <w:vAlign w:val="center"/>
          </w:tcPr>
          <w:p>
            <w:pPr>
              <w:spacing w:line="276" w:lineRule="auto" w:before="0" w:after="0"/>
            </w:pPr>
            <w:r/>
            <w:r>
              <w:rPr>
                <w:rFonts w:ascii="Figtree" w:hAnsi="Figtree"/>
                <w:b w:val="0"/>
                <w:i w:val="0"/>
                <w:sz w:val="20"/>
              </w:rPr>
              <w:t>Company Section 2.3</w:t>
            </w:r>
          </w:p>
        </w:tc>
      </w:tr>
      <w:tr>
        <w:trPr>
          <w:trHeight w:val="425" w:hRule="atLeast"/>
        </w:trPr>
        <w:tc>
          <w:tcPr>
            <w:tcW w:type="dxa" w:w="1949"/>
            <w:vAlign w:val="center"/>
          </w:tcPr>
          <w:p>
            <w:pPr>
              <w:spacing w:line="276" w:lineRule="auto" w:before="0" w:after="0"/>
            </w:pPr>
            <w:r/>
            <w:r>
              <w:rPr>
                <w:rFonts w:ascii="Figtree" w:hAnsi="Figtree"/>
                <w:b w:val="0"/>
                <w:i w:val="0"/>
                <w:sz w:val="20"/>
              </w:rPr>
              <w:t>DEP-001</w:t>
            </w:r>
          </w:p>
        </w:tc>
        <w:tc>
          <w:tcPr>
            <w:tcW w:type="dxa" w:w="1949"/>
            <w:vAlign w:val="center"/>
          </w:tcPr>
          <w:p>
            <w:pPr>
              <w:spacing w:line="276" w:lineRule="auto" w:before="0" w:after="0"/>
            </w:pPr>
            <w:r/>
            <w:r>
              <w:rPr>
                <w:rFonts w:ascii="Figtree" w:hAnsi="Figtree"/>
                <w:b w:val="0"/>
                <w:i w:val="0"/>
                <w:sz w:val="20"/>
              </w:rPr>
              <w:t>Private cloud deployment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Kubernetes; managed services</w:t>
            </w:r>
          </w:p>
        </w:tc>
        <w:tc>
          <w:tcPr>
            <w:tcW w:type="dxa" w:w="1949"/>
            <w:vAlign w:val="center"/>
          </w:tcPr>
          <w:p>
            <w:pPr>
              <w:spacing w:line="276" w:lineRule="auto" w:before="0" w:after="0"/>
            </w:pPr>
            <w:r/>
            <w:r>
              <w:rPr>
                <w:rFonts w:ascii="Figtree" w:hAnsi="Figtree"/>
                <w:b w:val="0"/>
                <w:i w:val="0"/>
                <w:sz w:val="20"/>
              </w:rPr>
              <w:t>Deployment Section 8</w:t>
            </w:r>
          </w:p>
        </w:tc>
      </w:tr>
      <w:tr>
        <w:trPr>
          <w:trHeight w:val="425" w:hRule="atLeast"/>
        </w:trPr>
        <w:tc>
          <w:tcPr>
            <w:tcW w:type="dxa" w:w="1949"/>
            <w:vAlign w:val="center"/>
          </w:tcPr>
          <w:p>
            <w:pPr>
              <w:spacing w:line="276" w:lineRule="auto" w:before="0" w:after="0"/>
            </w:pPr>
            <w:r/>
            <w:r>
              <w:rPr>
                <w:rFonts w:ascii="Figtree" w:hAnsi="Figtree"/>
                <w:b w:val="0"/>
                <w:i w:val="0"/>
                <w:sz w:val="20"/>
              </w:rPr>
              <w:t>DEP-002</w:t>
            </w:r>
          </w:p>
        </w:tc>
        <w:tc>
          <w:tcPr>
            <w:tcW w:type="dxa" w:w="1949"/>
            <w:vAlign w:val="center"/>
          </w:tcPr>
          <w:p>
            <w:pPr>
              <w:spacing w:line="276" w:lineRule="auto" w:before="0" w:after="0"/>
            </w:pPr>
            <w:r/>
            <w:r>
              <w:rPr>
                <w:rFonts w:ascii="Figtree" w:hAnsi="Figtree"/>
                <w:b w:val="0"/>
                <w:i w:val="0"/>
                <w:sz w:val="20"/>
              </w:rPr>
              <w:t>Data residency control</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Private cloud with region selection</w:t>
            </w:r>
          </w:p>
        </w:tc>
        <w:tc>
          <w:tcPr>
            <w:tcW w:type="dxa" w:w="1949"/>
            <w:vAlign w:val="center"/>
          </w:tcPr>
          <w:p>
            <w:pPr>
              <w:spacing w:line="276" w:lineRule="auto" w:before="0" w:after="0"/>
            </w:pPr>
            <w:r/>
            <w:r>
              <w:rPr>
                <w:rFonts w:ascii="Figtree" w:hAnsi="Figtree"/>
                <w:b w:val="0"/>
                <w:i w:val="0"/>
                <w:sz w:val="20"/>
              </w:rPr>
              <w:t>Deployment Section 8.6</w:t>
            </w:r>
          </w:p>
        </w:tc>
      </w:tr>
      <w:tr>
        <w:trPr>
          <w:trHeight w:val="425" w:hRule="atLeast"/>
        </w:trPr>
        <w:tc>
          <w:tcPr>
            <w:tcW w:type="dxa" w:w="1949"/>
            <w:vAlign w:val="center"/>
          </w:tcPr>
          <w:p>
            <w:pPr>
              <w:spacing w:line="276" w:lineRule="auto" w:before="0" w:after="0"/>
            </w:pPr>
            <w:r/>
            <w:r>
              <w:rPr>
                <w:rFonts w:ascii="Figtree" w:hAnsi="Figtree"/>
                <w:b w:val="0"/>
                <w:i w:val="0"/>
                <w:sz w:val="20"/>
              </w:rPr>
              <w:t>DEP-003</w:t>
            </w:r>
          </w:p>
        </w:tc>
        <w:tc>
          <w:tcPr>
            <w:tcW w:type="dxa" w:w="1949"/>
            <w:vAlign w:val="center"/>
          </w:tcPr>
          <w:p>
            <w:pPr>
              <w:spacing w:line="276" w:lineRule="auto" w:before="0" w:after="0"/>
            </w:pPr>
            <w:r/>
            <w:r>
              <w:rPr>
                <w:rFonts w:ascii="Figtree" w:hAnsi="Figtree"/>
                <w:b w:val="0"/>
                <w:i w:val="0"/>
                <w:sz w:val="20"/>
              </w:rPr>
              <w:t>On-premises option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Helm charts; on-prem Kubernetes</w:t>
            </w:r>
          </w:p>
        </w:tc>
        <w:tc>
          <w:tcPr>
            <w:tcW w:type="dxa" w:w="1949"/>
            <w:vAlign w:val="center"/>
          </w:tcPr>
          <w:p>
            <w:pPr>
              <w:spacing w:line="276" w:lineRule="auto" w:before="0" w:after="0"/>
            </w:pPr>
            <w:r/>
            <w:r>
              <w:rPr>
                <w:rFonts w:ascii="Figtree" w:hAnsi="Figtree"/>
                <w:b w:val="0"/>
                <w:i w:val="0"/>
                <w:sz w:val="20"/>
              </w:rPr>
              <w:t>Deployment Section 8</w:t>
            </w:r>
          </w:p>
        </w:tc>
      </w:tr>
      <w:tr>
        <w:trPr>
          <w:trHeight w:val="425" w:hRule="atLeast"/>
        </w:trPr>
        <w:tc>
          <w:tcPr>
            <w:tcW w:type="dxa" w:w="1949"/>
            <w:vAlign w:val="center"/>
          </w:tcPr>
          <w:p>
            <w:pPr>
              <w:spacing w:line="276" w:lineRule="auto" w:before="0" w:after="0"/>
            </w:pPr>
            <w:r/>
            <w:r>
              <w:rPr>
                <w:rFonts w:ascii="Figtree" w:hAnsi="Figtree"/>
                <w:b w:val="0"/>
                <w:i w:val="0"/>
                <w:sz w:val="20"/>
              </w:rPr>
              <w:t>INT-001</w:t>
            </w:r>
          </w:p>
        </w:tc>
        <w:tc>
          <w:tcPr>
            <w:tcW w:type="dxa" w:w="1949"/>
            <w:vAlign w:val="center"/>
          </w:tcPr>
          <w:p>
            <w:pPr>
              <w:spacing w:line="276" w:lineRule="auto" w:before="0" w:after="0"/>
            </w:pPr>
            <w:r/>
            <w:r>
              <w:rPr>
                <w:rFonts w:ascii="Figtree" w:hAnsi="Figtree"/>
                <w:b w:val="0"/>
                <w:i w:val="0"/>
                <w:sz w:val="20"/>
              </w:rPr>
              <w:t>REST API integration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OpenAPI 3.1</w:t>
            </w:r>
          </w:p>
        </w:tc>
        <w:tc>
          <w:tcPr>
            <w:tcW w:type="dxa" w:w="1949"/>
            <w:vAlign w:val="center"/>
          </w:tcPr>
          <w:p>
            <w:pPr>
              <w:spacing w:line="276" w:lineRule="auto" w:before="0" w:after="0"/>
            </w:pPr>
            <w:r/>
            <w:r>
              <w:rPr>
                <w:rFonts w:ascii="Figtree" w:hAnsi="Figtree"/>
                <w:b w:val="0"/>
                <w:i w:val="0"/>
                <w:sz w:val="20"/>
              </w:rPr>
              <w:t>Integration Section 5.7</w:t>
            </w:r>
          </w:p>
        </w:tc>
      </w:tr>
      <w:tr>
        <w:trPr>
          <w:trHeight w:val="425" w:hRule="atLeast"/>
        </w:trPr>
        <w:tc>
          <w:tcPr>
            <w:tcW w:type="dxa" w:w="1949"/>
            <w:vAlign w:val="center"/>
          </w:tcPr>
          <w:p>
            <w:pPr>
              <w:spacing w:line="276" w:lineRule="auto" w:before="0" w:after="0"/>
            </w:pPr>
            <w:r/>
            <w:r>
              <w:rPr>
                <w:rFonts w:ascii="Figtree" w:hAnsi="Figtree"/>
                <w:b w:val="0"/>
                <w:i w:val="0"/>
                <w:sz w:val="20"/>
              </w:rPr>
              <w:t>INT-002</w:t>
            </w:r>
          </w:p>
        </w:tc>
        <w:tc>
          <w:tcPr>
            <w:tcW w:type="dxa" w:w="1949"/>
            <w:vAlign w:val="center"/>
          </w:tcPr>
          <w:p>
            <w:pPr>
              <w:spacing w:line="276" w:lineRule="auto" w:before="0" w:after="0"/>
            </w:pPr>
            <w:r/>
            <w:r>
              <w:rPr>
                <w:rFonts w:ascii="Figtree" w:hAnsi="Figtree"/>
                <w:b w:val="0"/>
                <w:i w:val="0"/>
                <w:sz w:val="20"/>
              </w:rPr>
              <w:t>Webhook events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Configurable webhooks</w:t>
            </w:r>
          </w:p>
        </w:tc>
        <w:tc>
          <w:tcPr>
            <w:tcW w:type="dxa" w:w="1949"/>
            <w:vAlign w:val="center"/>
          </w:tcPr>
          <w:p>
            <w:pPr>
              <w:spacing w:line="276" w:lineRule="auto" w:before="0" w:after="0"/>
            </w:pPr>
            <w:r/>
            <w:r>
              <w:rPr>
                <w:rFonts w:ascii="Figtree" w:hAnsi="Figtree"/>
                <w:b w:val="0"/>
                <w:i w:val="0"/>
                <w:sz w:val="20"/>
              </w:rPr>
              <w:t>Integration Section 5.7</w:t>
            </w:r>
          </w:p>
        </w:tc>
      </w:tr>
      <w:tr>
        <w:trPr>
          <w:trHeight w:val="425" w:hRule="atLeast"/>
        </w:trPr>
        <w:tc>
          <w:tcPr>
            <w:tcW w:type="dxa" w:w="1949"/>
            <w:vAlign w:val="center"/>
          </w:tcPr>
          <w:p>
            <w:pPr>
              <w:spacing w:line="276" w:lineRule="auto" w:before="0" w:after="0"/>
            </w:pPr>
            <w:r/>
            <w:r>
              <w:rPr>
                <w:rFonts w:ascii="Figtree" w:hAnsi="Figtree"/>
                <w:b w:val="0"/>
                <w:i w:val="0"/>
                <w:sz w:val="20"/>
              </w:rPr>
              <w:t>INT-003</w:t>
            </w:r>
          </w:p>
        </w:tc>
        <w:tc>
          <w:tcPr>
            <w:tcW w:type="dxa" w:w="1949"/>
            <w:vAlign w:val="center"/>
          </w:tcPr>
          <w:p>
            <w:pPr>
              <w:spacing w:line="276" w:lineRule="auto" w:before="0" w:after="0"/>
            </w:pPr>
            <w:r/>
            <w:r>
              <w:rPr>
                <w:rFonts w:ascii="Figtree" w:hAnsi="Figtree"/>
                <w:b w:val="0"/>
                <w:i w:val="0"/>
                <w:sz w:val="20"/>
              </w:rPr>
              <w:t>SIEM integration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OTLP export; structured logs</w:t>
            </w:r>
          </w:p>
        </w:tc>
        <w:tc>
          <w:tcPr>
            <w:tcW w:type="dxa" w:w="1949"/>
            <w:vAlign w:val="center"/>
          </w:tcPr>
          <w:p>
            <w:pPr>
              <w:spacing w:line="276" w:lineRule="auto" w:before="0" w:after="0"/>
            </w:pPr>
            <w:r/>
            <w:r>
              <w:rPr>
                <w:rFonts w:ascii="Figtree" w:hAnsi="Figtree"/>
                <w:b w:val="0"/>
                <w:i w:val="0"/>
                <w:sz w:val="20"/>
              </w:rPr>
              <w:t>Security Section 7.5</w:t>
            </w:r>
          </w:p>
        </w:tc>
      </w:tr>
      <w:tr>
        <w:trPr>
          <w:trHeight w:val="425" w:hRule="atLeast"/>
        </w:trPr>
        <w:tc>
          <w:tcPr>
            <w:tcW w:type="dxa" w:w="1949"/>
            <w:vAlign w:val="center"/>
          </w:tcPr>
          <w:p>
            <w:pPr>
              <w:spacing w:line="276" w:lineRule="auto" w:before="0" w:after="0"/>
            </w:pPr>
            <w:r/>
            <w:r>
              <w:rPr>
                <w:rFonts w:ascii="Figtree" w:hAnsi="Figtree"/>
                <w:b w:val="0"/>
                <w:i w:val="0"/>
                <w:sz w:val="20"/>
              </w:rPr>
              <w:t>SUP-001</w:t>
            </w:r>
          </w:p>
        </w:tc>
        <w:tc>
          <w:tcPr>
            <w:tcW w:type="dxa" w:w="1949"/>
            <w:vAlign w:val="center"/>
          </w:tcPr>
          <w:p>
            <w:pPr>
              <w:spacing w:line="276" w:lineRule="auto" w:before="0" w:after="0"/>
            </w:pPr>
            <w:r/>
            <w:r>
              <w:rPr>
                <w:rFonts w:ascii="Figtree" w:hAnsi="Figtree"/>
                <w:b w:val="0"/>
                <w:i w:val="0"/>
                <w:sz w:val="20"/>
              </w:rPr>
              <w:t>Tiered support options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Standard/Premium/Enterprise</w:t>
            </w:r>
          </w:p>
        </w:tc>
        <w:tc>
          <w:tcPr>
            <w:tcW w:type="dxa" w:w="1949"/>
            <w:vAlign w:val="center"/>
          </w:tcPr>
          <w:p>
            <w:pPr>
              <w:spacing w:line="276" w:lineRule="auto" w:before="0" w:after="0"/>
            </w:pPr>
            <w:r/>
            <w:r>
              <w:rPr>
                <w:rFonts w:ascii="Figtree" w:hAnsi="Figtree"/>
                <w:b w:val="0"/>
                <w:i w:val="0"/>
                <w:sz w:val="20"/>
              </w:rPr>
              <w:t>Support Section 11.2</w:t>
            </w:r>
          </w:p>
        </w:tc>
      </w:tr>
      <w:tr>
        <w:trPr>
          <w:trHeight w:val="425" w:hRule="atLeast"/>
        </w:trPr>
        <w:tc>
          <w:tcPr>
            <w:tcW w:type="dxa" w:w="1949"/>
            <w:vAlign w:val="center"/>
          </w:tcPr>
          <w:p>
            <w:pPr>
              <w:spacing w:line="276" w:lineRule="auto" w:before="0" w:after="0"/>
            </w:pPr>
            <w:r/>
            <w:r>
              <w:rPr>
                <w:rFonts w:ascii="Figtree" w:hAnsi="Figtree"/>
                <w:b w:val="0"/>
                <w:i w:val="0"/>
                <w:sz w:val="20"/>
              </w:rPr>
              <w:t>SUP-002</w:t>
            </w:r>
          </w:p>
        </w:tc>
        <w:tc>
          <w:tcPr>
            <w:tcW w:type="dxa" w:w="1949"/>
            <w:vAlign w:val="center"/>
          </w:tcPr>
          <w:p>
            <w:pPr>
              <w:spacing w:line="276" w:lineRule="auto" w:before="0" w:after="0"/>
            </w:pPr>
            <w:r/>
            <w:r>
              <w:rPr>
                <w:rFonts w:ascii="Figtree" w:hAnsi="Figtree"/>
                <w:b w:val="0"/>
                <w:i w:val="0"/>
                <w:sz w:val="20"/>
              </w:rPr>
              <w:t>24/7 support availability</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Enterprise tier</w:t>
            </w:r>
          </w:p>
        </w:tc>
        <w:tc>
          <w:tcPr>
            <w:tcW w:type="dxa" w:w="1949"/>
            <w:vAlign w:val="center"/>
          </w:tcPr>
          <w:p>
            <w:pPr>
              <w:spacing w:line="276" w:lineRule="auto" w:before="0" w:after="0"/>
            </w:pPr>
            <w:r/>
            <w:r>
              <w:rPr>
                <w:rFonts w:ascii="Figtree" w:hAnsi="Figtree"/>
                <w:b w:val="0"/>
                <w:i w:val="0"/>
                <w:sz w:val="20"/>
              </w:rPr>
              <w:t>Support Section 11.2</w:t>
            </w:r>
          </w:p>
        </w:tc>
      </w:tr>
      <w:tr>
        <w:trPr>
          <w:trHeight w:val="425" w:hRule="atLeast"/>
        </w:trPr>
        <w:tc>
          <w:tcPr>
            <w:tcW w:type="dxa" w:w="1949"/>
            <w:vAlign w:val="center"/>
          </w:tcPr>
          <w:p>
            <w:pPr>
              <w:spacing w:line="276" w:lineRule="auto" w:before="0" w:after="0"/>
            </w:pPr>
            <w:r/>
            <w:r>
              <w:rPr>
                <w:rFonts w:ascii="Figtree" w:hAnsi="Figtree"/>
                <w:b w:val="0"/>
                <w:i w:val="0"/>
                <w:sz w:val="20"/>
              </w:rPr>
              <w:t>SUP-003</w:t>
            </w:r>
          </w:p>
        </w:tc>
        <w:tc>
          <w:tcPr>
            <w:tcW w:type="dxa" w:w="1949"/>
            <w:vAlign w:val="center"/>
          </w:tcPr>
          <w:p>
            <w:pPr>
              <w:spacing w:line="276" w:lineRule="auto" w:before="0" w:after="0"/>
            </w:pPr>
            <w:r/>
            <w:r>
              <w:rPr>
                <w:rFonts w:ascii="Figtree" w:hAnsi="Figtree"/>
                <w:b w:val="0"/>
                <w:i w:val="0"/>
                <w:sz w:val="20"/>
              </w:rPr>
              <w:t>Defined SLA response times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Severity-based response matrix</w:t>
            </w:r>
          </w:p>
        </w:tc>
        <w:tc>
          <w:tcPr>
            <w:tcW w:type="dxa" w:w="1949"/>
            <w:vAlign w:val="center"/>
          </w:tcPr>
          <w:p>
            <w:pPr>
              <w:spacing w:line="276" w:lineRule="auto" w:before="0" w:after="0"/>
            </w:pPr>
            <w:r/>
            <w:r>
              <w:rPr>
                <w:rFonts w:ascii="Figtree" w:hAnsi="Figtree"/>
                <w:b w:val="0"/>
                <w:i w:val="0"/>
                <w:sz w:val="20"/>
              </w:rPr>
              <w:t>Support Section 11.3</w:t>
            </w:r>
          </w:p>
        </w:tc>
      </w:tr>
      <w:tr>
        <w:trPr>
          <w:trHeight w:val="425" w:hRule="atLeast"/>
        </w:trPr>
        <w:tc>
          <w:tcPr>
            <w:tcW w:type="dxa" w:w="1949"/>
            <w:vAlign w:val="center"/>
          </w:tcPr>
          <w:p>
            <w:pPr>
              <w:spacing w:line="276" w:lineRule="auto" w:before="0" w:after="0"/>
            </w:pPr>
            <w:r/>
            <w:r>
              <w:rPr>
                <w:rFonts w:ascii="Figtree" w:hAnsi="Figtree"/>
                <w:b w:val="0"/>
                <w:i w:val="0"/>
                <w:sz w:val="20"/>
              </w:rPr>
              <w:t>IMP-001</w:t>
            </w:r>
          </w:p>
        </w:tc>
        <w:tc>
          <w:tcPr>
            <w:tcW w:type="dxa" w:w="1949"/>
            <w:vAlign w:val="center"/>
          </w:tcPr>
          <w:p>
            <w:pPr>
              <w:spacing w:line="276" w:lineRule="auto" w:before="0" w:after="0"/>
            </w:pPr>
            <w:r/>
            <w:r>
              <w:rPr>
                <w:rFonts w:ascii="Figtree" w:hAnsi="Figtree"/>
                <w:b w:val="0"/>
                <w:i w:val="0"/>
                <w:sz w:val="20"/>
              </w:rPr>
              <w:t>Phase-gated delivery</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5-phase methodology with gate reviews</w:t>
            </w:r>
          </w:p>
        </w:tc>
        <w:tc>
          <w:tcPr>
            <w:tcW w:type="dxa" w:w="1949"/>
            <w:vAlign w:val="center"/>
          </w:tcPr>
          <w:p>
            <w:pPr>
              <w:spacing w:line="276" w:lineRule="auto" w:before="0" w:after="0"/>
            </w:pPr>
            <w:r/>
            <w:r>
              <w:rPr>
                <w:rFonts w:ascii="Figtree" w:hAnsi="Figtree"/>
                <w:b w:val="0"/>
                <w:i w:val="0"/>
                <w:sz w:val="20"/>
              </w:rPr>
              <w:t>Implementation Section 9</w:t>
            </w:r>
          </w:p>
        </w:tc>
      </w:tr>
      <w:tr>
        <w:trPr>
          <w:trHeight w:val="425" w:hRule="atLeast"/>
        </w:trPr>
        <w:tc>
          <w:tcPr>
            <w:tcW w:type="dxa" w:w="1949"/>
            <w:vAlign w:val="center"/>
          </w:tcPr>
          <w:p>
            <w:pPr>
              <w:spacing w:line="276" w:lineRule="auto" w:before="0" w:after="0"/>
            </w:pPr>
            <w:r/>
            <w:r>
              <w:rPr>
                <w:rFonts w:ascii="Figtree" w:hAnsi="Figtree"/>
                <w:b w:val="0"/>
                <w:i w:val="0"/>
                <w:sz w:val="20"/>
              </w:rPr>
              <w:t>IMP-002</w:t>
            </w:r>
          </w:p>
        </w:tc>
        <w:tc>
          <w:tcPr>
            <w:tcW w:type="dxa" w:w="1949"/>
            <w:vAlign w:val="center"/>
          </w:tcPr>
          <w:p>
            <w:pPr>
              <w:spacing w:line="276" w:lineRule="auto" w:before="0" w:after="0"/>
            </w:pPr>
            <w:r/>
            <w:r>
              <w:rPr>
                <w:rFonts w:ascii="Figtree" w:hAnsi="Figtree"/>
                <w:b w:val="0"/>
                <w:i w:val="0"/>
                <w:sz w:val="20"/>
              </w:rPr>
              <w:t>Knowledge transfer</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Administrator/Developer/End-user tracks</w:t>
            </w:r>
          </w:p>
        </w:tc>
        <w:tc>
          <w:tcPr>
            <w:tcW w:type="dxa" w:w="1949"/>
            <w:vAlign w:val="center"/>
          </w:tcPr>
          <w:p>
            <w:pPr>
              <w:spacing w:line="276" w:lineRule="auto" w:before="0" w:after="0"/>
            </w:pPr>
            <w:r/>
            <w:r>
              <w:rPr>
                <w:rFonts w:ascii="Figtree" w:hAnsi="Figtree"/>
                <w:b w:val="0"/>
                <w:i w:val="0"/>
                <w:sz w:val="20"/>
              </w:rPr>
              <w:t>Training Section 10</w:t>
            </w:r>
          </w:p>
        </w:tc>
      </w:tr>
    </w:tbl>
    <w:p>
      <w:pPr>
        <w:spacing w:before="0" w:after="0" w:line="120" w:lineRule="exact"/>
      </w:pPr>
    </w:p>
    <w:p>
      <w:r>
        <w:br w:type="page"/>
      </w:r>
    </w:p>
    <w:p>
      <w:pPr>
        <w:pStyle w:val="H1"/>
        <w:numPr>
          <w:ilvl w:val="0"/>
          <w:numId w:val="1"/>
        </w:numPr>
      </w:pPr>
      <w:r>
        <w:t>14. Appendix: Support Details</w:t>
      </w:r>
    </w:p>
    <w:p>
      <w:pPr>
        <w:pStyle w:val="H2"/>
        <w:numPr>
          <w:ilvl w:val="1"/>
          <w:numId w:val="1"/>
        </w:numPr>
      </w:pPr>
      <w:r>
        <w:t>A.1 Support Tier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01"/>
        <w:gridCol w:w="1867"/>
        <w:gridCol w:w="2668"/>
        <w:gridCol w:w="133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2436"/>
            <w:vAlign w:val="center"/>
          </w:tcPr>
          <w:p>
            <w:pPr>
              <w:spacing w:line="276" w:lineRule="auto" w:before="0" w:after="0"/>
            </w:pPr>
            <w:r/>
            <w:r>
              <w:rPr>
                <w:rFonts w:ascii="Figtree" w:hAnsi="Figtree"/>
                <w:b w:val="0"/>
                <w:i w:val="0"/>
                <w:sz w:val="20"/>
              </w:rPr>
              <w:t>Coverage Hours</w:t>
            </w:r>
          </w:p>
        </w:tc>
        <w:tc>
          <w:tcPr>
            <w:tcW w:type="dxa" w:w="2436"/>
            <w:vAlign w:val="center"/>
          </w:tcPr>
          <w:p>
            <w:pPr>
              <w:spacing w:line="276" w:lineRule="auto" w:before="0" w:after="0"/>
            </w:pPr>
            <w:r/>
            <w:r>
              <w:rPr>
                <w:rFonts w:ascii="Figtree" w:hAnsi="Figtree"/>
                <w:b w:val="0"/>
                <w:i w:val="0"/>
                <w:sz w:val="20"/>
              </w:rPr>
              <w:t>Business hours</w:t>
            </w:r>
          </w:p>
        </w:tc>
        <w:tc>
          <w:tcPr>
            <w:tcW w:type="dxa" w:w="2436"/>
            <w:vAlign w:val="center"/>
          </w:tcPr>
          <w:p>
            <w:pPr>
              <w:spacing w:line="276" w:lineRule="auto" w:before="0" w:after="0"/>
            </w:pPr>
            <w:r/>
            <w:r>
              <w:rPr>
                <w:rFonts w:ascii="Figtree" w:hAnsi="Figtree"/>
                <w:b w:val="0"/>
                <w:i w:val="0"/>
                <w:sz w:val="20"/>
              </w:rPr>
              <w:t>Extended + on-call</w:t>
            </w:r>
          </w:p>
        </w:tc>
        <w:tc>
          <w:tcPr>
            <w:tcW w:type="dxa" w:w="2436"/>
            <w:vAlign w:val="center"/>
          </w:tcPr>
          <w:p>
            <w:pPr>
              <w:spacing w:line="276" w:lineRule="auto" w:before="0" w:after="0"/>
            </w:pPr>
            <w:r/>
            <w:r>
              <w:rPr>
                <w:rFonts w:ascii="Figtree" w:hAnsi="Figtree"/>
                <w:b w:val="0"/>
                <w:i w:val="0"/>
                <w:sz w:val="20"/>
              </w:rPr>
              <w:t>24/7/365</w:t>
            </w:r>
          </w:p>
        </w:tc>
      </w:tr>
      <w:tr>
        <w:trPr>
          <w:trHeight w:val="425" w:hRule="atLeast"/>
        </w:trPr>
        <w:tc>
          <w:tcPr>
            <w:tcW w:type="dxa" w:w="2436"/>
            <w:vAlign w:val="center"/>
          </w:tcPr>
          <w:p>
            <w:pPr>
              <w:spacing w:line="276" w:lineRule="auto" w:before="0" w:after="0"/>
            </w:pPr>
            <w:r/>
            <w:r>
              <w:rPr>
                <w:rFonts w:ascii="Figtree" w:hAnsi="Figtree"/>
                <w:b w:val="0"/>
                <w:i w:val="0"/>
                <w:sz w:val="20"/>
              </w:rPr>
              <w:t>Response Time (P1)</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15 minutes</w:t>
            </w:r>
          </w:p>
        </w:tc>
      </w:tr>
      <w:tr>
        <w:trPr>
          <w:trHeight w:val="425" w:hRule="atLeast"/>
        </w:trPr>
        <w:tc>
          <w:tcPr>
            <w:tcW w:type="dxa" w:w="2436"/>
            <w:vAlign w:val="center"/>
          </w:tcPr>
          <w:p>
            <w:pPr>
              <w:spacing w:line="276" w:lineRule="auto" w:before="0" w:after="0"/>
            </w:pPr>
            <w:r/>
            <w:r>
              <w:rPr>
                <w:rFonts w:ascii="Figtree" w:hAnsi="Figtree"/>
                <w:b w:val="0"/>
                <w:i w:val="0"/>
                <w:sz w:val="20"/>
              </w:rPr>
              <w:t>Response Time (P2)</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r>
      <w:tr>
        <w:trPr>
          <w:trHeight w:val="425" w:hRule="atLeast"/>
        </w:trPr>
        <w:tc>
          <w:tcPr>
            <w:tcW w:type="dxa" w:w="2436"/>
            <w:vAlign w:val="center"/>
          </w:tcPr>
          <w:p>
            <w:pPr>
              <w:spacing w:line="276" w:lineRule="auto" w:before="0" w:after="0"/>
            </w:pPr>
            <w:r/>
            <w:r>
              <w:rPr>
                <w:rFonts w:ascii="Figtree" w:hAnsi="Figtree"/>
                <w:b w:val="0"/>
                <w:i w:val="0"/>
                <w:sz w:val="20"/>
              </w:rPr>
              <w:t>Response Time (P3)</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Response Time (P4)</w:t>
            </w:r>
          </w:p>
        </w:tc>
        <w:tc>
          <w:tcPr>
            <w:tcW w:type="dxa" w:w="2436"/>
            <w:vAlign w:val="center"/>
          </w:tcPr>
          <w:p>
            <w:pPr>
              <w:spacing w:line="276" w:lineRule="auto" w:before="0" w:after="0"/>
            </w:pPr>
            <w:r/>
            <w:r>
              <w:rPr>
                <w:rFonts w:ascii="Figtree" w:hAnsi="Figtree"/>
                <w:b w:val="0"/>
                <w:i w:val="0"/>
                <w:sz w:val="20"/>
              </w:rPr>
              <w:t>5 days</w:t>
            </w:r>
          </w:p>
        </w:tc>
        <w:tc>
          <w:tcPr>
            <w:tcW w:type="dxa" w:w="2436"/>
            <w:vAlign w:val="center"/>
          </w:tcPr>
          <w:p>
            <w:pPr>
              <w:spacing w:line="276" w:lineRule="auto" w:before="0" w:after="0"/>
            </w:pPr>
            <w:r/>
            <w:r>
              <w:rPr>
                <w:rFonts w:ascii="Figtree" w:hAnsi="Figtree"/>
                <w:b w:val="0"/>
                <w:i w:val="0"/>
                <w:sz w:val="20"/>
              </w:rPr>
              <w:t>3 days</w:t>
            </w:r>
          </w:p>
        </w:tc>
        <w:tc>
          <w:tcPr>
            <w:tcW w:type="dxa" w:w="2436"/>
            <w:vAlign w:val="center"/>
          </w:tcPr>
          <w:p>
            <w:pPr>
              <w:spacing w:line="276" w:lineRule="auto" w:before="0" w:after="0"/>
            </w:pPr>
            <w:r/>
            <w:r>
              <w:rPr>
                <w:rFonts w:ascii="Figtree" w:hAnsi="Figtree"/>
                <w:b w:val="0"/>
                <w:i w:val="0"/>
                <w:sz w:val="20"/>
              </w:rPr>
              <w:t>1 day</w:t>
            </w:r>
          </w:p>
        </w:tc>
      </w:tr>
      <w:tr>
        <w:trPr>
          <w:trHeight w:val="425" w:hRule="atLeast"/>
        </w:trPr>
        <w:tc>
          <w:tcPr>
            <w:tcW w:type="dxa" w:w="2436"/>
            <w:vAlign w:val="center"/>
          </w:tcPr>
          <w:p>
            <w:pPr>
              <w:spacing w:line="276" w:lineRule="auto" w:before="0" w:after="0"/>
            </w:pPr>
            <w:r/>
            <w:r>
              <w:rPr>
                <w:rFonts w:ascii="Figtree" w:hAnsi="Figtree"/>
                <w:b w:val="0"/>
                <w:i w:val="0"/>
                <w:sz w:val="20"/>
              </w:rPr>
              <w:t>Uptime SLA</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99.95%</w:t>
            </w:r>
          </w:p>
        </w:tc>
        <w:tc>
          <w:tcPr>
            <w:tcW w:type="dxa" w:w="2436"/>
            <w:vAlign w:val="center"/>
          </w:tcPr>
          <w:p>
            <w:pPr>
              <w:spacing w:line="276" w:lineRule="auto" w:before="0" w:after="0"/>
            </w:pPr>
            <w:r/>
            <w:r>
              <w:rPr>
                <w:rFonts w:ascii="Figtree" w:hAnsi="Figtree"/>
                <w:b w:val="0"/>
                <w:i w:val="0"/>
                <w:sz w:val="20"/>
              </w:rPr>
              <w:t>99.99%</w:t>
            </w:r>
          </w:p>
        </w:tc>
      </w:tr>
      <w:tr>
        <w:trPr>
          <w:trHeight w:val="425" w:hRule="atLeast"/>
        </w:trPr>
        <w:tc>
          <w:tcPr>
            <w:tcW w:type="dxa" w:w="2436"/>
            <w:vAlign w:val="center"/>
          </w:tcPr>
          <w:p>
            <w:pPr>
              <w:spacing w:line="276" w:lineRule="auto" w:before="0" w:after="0"/>
            </w:pPr>
            <w:r/>
            <w:r>
              <w:rPr>
                <w:rFonts w:ascii="Figtree" w:hAnsi="Figtree"/>
                <w:b w:val="0"/>
                <w:i w:val="0"/>
                <w:sz w:val="20"/>
              </w:rPr>
              <w:t>Support Channels</w:t>
            </w:r>
          </w:p>
        </w:tc>
        <w:tc>
          <w:tcPr>
            <w:tcW w:type="dxa" w:w="2436"/>
            <w:vAlign w:val="center"/>
          </w:tcPr>
          <w:p>
            <w:pPr>
              <w:spacing w:line="276" w:lineRule="auto" w:before="0" w:after="0"/>
            </w:pPr>
            <w:r/>
            <w:r>
              <w:rPr>
                <w:rFonts w:ascii="Figtree" w:hAnsi="Figtree"/>
                <w:b w:val="0"/>
                <w:i w:val="0"/>
                <w:sz w:val="20"/>
              </w:rPr>
              <w:t>Email, Portal</w:t>
            </w:r>
          </w:p>
        </w:tc>
        <w:tc>
          <w:tcPr>
            <w:tcW w:type="dxa" w:w="2436"/>
            <w:vAlign w:val="center"/>
          </w:tcPr>
          <w:p>
            <w:pPr>
              <w:spacing w:line="276" w:lineRule="auto" w:before="0" w:after="0"/>
            </w:pPr>
            <w:r/>
            <w:r>
              <w:rPr>
                <w:rFonts w:ascii="Figtree" w:hAnsi="Figtree"/>
                <w:b w:val="0"/>
                <w:i w:val="0"/>
                <w:sz w:val="20"/>
              </w:rPr>
              <w:t>+ Slack/Teams, Phone</w:t>
            </w:r>
          </w:p>
        </w:tc>
        <w:tc>
          <w:tcPr>
            <w:tcW w:type="dxa" w:w="2436"/>
            <w:vAlign w:val="center"/>
          </w:tcPr>
          <w:p>
            <w:pPr>
              <w:spacing w:line="276" w:lineRule="auto" w:before="0" w:after="0"/>
            </w:pPr>
            <w:r/>
            <w:r>
              <w:rPr>
                <w:rFonts w:ascii="Figtree" w:hAnsi="Figtree"/>
                <w:b w:val="0"/>
                <w:i w:val="0"/>
                <w:sz w:val="20"/>
              </w:rPr>
              <w:t>+ Video</w:t>
            </w:r>
          </w:p>
        </w:tc>
      </w:tr>
      <w:tr>
        <w:trPr>
          <w:trHeight w:val="425" w:hRule="atLeast"/>
        </w:trPr>
        <w:tc>
          <w:tcPr>
            <w:tcW w:type="dxa" w:w="2436"/>
            <w:vAlign w:val="center"/>
          </w:tcPr>
          <w:p>
            <w:pPr>
              <w:spacing w:line="276" w:lineRule="auto" w:before="0" w:after="0"/>
            </w:pPr>
            <w:r/>
            <w:r>
              <w:rPr>
                <w:rFonts w:ascii="Figtree" w:hAnsi="Figtree"/>
                <w:b w:val="0"/>
                <w:i w:val="0"/>
                <w:sz w:val="20"/>
              </w:rPr>
              <w:t>Named Contacts</w:t>
            </w:r>
          </w:p>
        </w:tc>
        <w:tc>
          <w:tcPr>
            <w:tcW w:type="dxa" w:w="2436"/>
            <w:vAlign w:val="center"/>
          </w:tcPr>
          <w:p>
            <w:pPr>
              <w:spacing w:line="276" w:lineRule="auto" w:before="0" w:after="0"/>
            </w:pPr>
            <w:r/>
            <w:r>
              <w:rPr>
                <w:rFonts w:ascii="Figtree" w:hAnsi="Figtree"/>
                <w:b w:val="0"/>
                <w:i w:val="0"/>
                <w:sz w:val="20"/>
              </w:rPr>
              <w:t>3</w:t>
            </w:r>
          </w:p>
        </w:tc>
        <w:tc>
          <w:tcPr>
            <w:tcW w:type="dxa" w:w="2436"/>
            <w:vAlign w:val="center"/>
          </w:tcPr>
          <w:p>
            <w:pPr>
              <w:spacing w:line="276" w:lineRule="auto" w:before="0" w:after="0"/>
            </w:pPr>
            <w:r/>
            <w:r>
              <w:rPr>
                <w:rFonts w:ascii="Figtree" w:hAnsi="Figtree"/>
                <w:b w:val="0"/>
                <w:i w:val="0"/>
                <w:sz w:val="20"/>
              </w:rPr>
              <w:t>8</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Designated Engineer</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Team</w:t>
            </w:r>
          </w:p>
        </w:tc>
      </w:tr>
      <w:tr>
        <w:trPr>
          <w:trHeight w:val="425" w:hRule="atLeast"/>
        </w:trPr>
        <w:tc>
          <w:tcPr>
            <w:tcW w:type="dxa" w:w="2436"/>
            <w:vAlign w:val="center"/>
          </w:tcPr>
          <w:p>
            <w:pPr>
              <w:spacing w:line="276" w:lineRule="auto" w:before="0" w:after="0"/>
            </w:pPr>
            <w:r/>
            <w:r>
              <w:rPr>
                <w:rFonts w:ascii="Figtree" w:hAnsi="Figtree"/>
                <w:b w:val="0"/>
                <w:i w:val="0"/>
                <w:sz w:val="20"/>
              </w:rPr>
              <w:t>Architecture Reviews</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Quarterly</w:t>
            </w:r>
          </w:p>
        </w:tc>
      </w:tr>
      <w:tr>
        <w:trPr>
          <w:trHeight w:val="425" w:hRule="atLeast"/>
        </w:trPr>
        <w:tc>
          <w:tcPr>
            <w:tcW w:type="dxa" w:w="2436"/>
            <w:vAlign w:val="center"/>
          </w:tcPr>
          <w:p>
            <w:pPr>
              <w:spacing w:line="276" w:lineRule="auto" w:before="0" w:after="0"/>
            </w:pPr>
            <w:r/>
            <w:r>
              <w:rPr>
                <w:rFonts w:ascii="Figtree" w:hAnsi="Figtree"/>
                <w:b w:val="0"/>
                <w:i w:val="0"/>
                <w:sz w:val="20"/>
              </w:rPr>
              <w:t>Customer Success Manager</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Yes</w:t>
            </w:r>
          </w:p>
        </w:tc>
      </w:tr>
    </w:tbl>
    <w:p>
      <w:pPr>
        <w:spacing w:before="0" w:after="0" w:line="120" w:lineRule="exact"/>
      </w:pPr>
    </w:p>
    <w:p>
      <w:pPr>
        <w:pStyle w:val="H2"/>
        <w:numPr>
          <w:ilvl w:val="1"/>
          <w:numId w:val="1"/>
        </w:numPr>
      </w:pPr>
      <w:r>
        <w:t>A.2 Severity Definitions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04"/>
        <w:gridCol w:w="765"/>
        <w:gridCol w:w="3445"/>
        <w:gridCol w:w="415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Classification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Examples</w:t>
            </w:r>
          </w:p>
        </w:tc>
      </w:tr>
      <w:tr>
        <w:trPr>
          <w:trHeight w:val="425" w:hRule="atLeast"/>
        </w:trPr>
        <w:tc>
          <w:tcPr>
            <w:tcW w:type="dxa" w:w="2436"/>
            <w:vAlign w:val="center"/>
          </w:tcPr>
          <w:p>
            <w:pPr>
              <w:spacing w:line="276" w:lineRule="auto" w:before="0" w:after="0"/>
            </w:pPr>
            <w:r/>
            <w:r>
              <w:rPr>
                <w:rFonts w:ascii="Figtree" w:hAnsi="Figtree"/>
                <w:b w:val="0"/>
                <w:i w:val="0"/>
                <w:sz w:val="20"/>
              </w:rPr>
              <w:t>P1</w:t>
            </w:r>
          </w:p>
        </w:tc>
        <w:tc>
          <w:tcPr>
            <w:tcW w:type="dxa" w:w="2436"/>
            <w:vAlign w:val="center"/>
          </w:tcPr>
          <w:p>
            <w:pPr>
              <w:spacing w:line="276" w:lineRule="auto" w:before="0" w:after="0"/>
            </w:pPr>
            <w:r/>
            <w:r>
              <w:rPr>
                <w:rFonts w:ascii="Figtree" w:hAnsi="Figtree"/>
                <w:b w:val="0"/>
                <w:i w:val="0"/>
                <w:sz w:val="20"/>
              </w:rPr>
              <w:t>Critical</w:t>
            </w:r>
          </w:p>
        </w:tc>
        <w:tc>
          <w:tcPr>
            <w:tcW w:type="dxa" w:w="2436"/>
            <w:vAlign w:val="center"/>
          </w:tcPr>
          <w:p>
            <w:pPr>
              <w:spacing w:line="276" w:lineRule="auto" w:before="0" w:after="0"/>
            </w:pPr>
            <w:r/>
            <w:r>
              <w:rPr>
                <w:rFonts w:ascii="Figtree" w:hAnsi="Figtree"/>
                <w:b w:val="0"/>
                <w:i w:val="0"/>
                <w:sz w:val="20"/>
              </w:rPr>
              <w:t>Complete platform unavailability; data loss; compliance failure</w:t>
            </w:r>
          </w:p>
        </w:tc>
        <w:tc>
          <w:tcPr>
            <w:tcW w:type="dxa" w:w="2436"/>
            <w:vAlign w:val="center"/>
          </w:tcPr>
          <w:p>
            <w:pPr>
              <w:spacing w:line="276" w:lineRule="auto" w:before="0" w:after="0"/>
            </w:pPr>
            <w:r/>
            <w:r>
              <w:rPr>
                <w:rFonts w:ascii="Figtree" w:hAnsi="Figtree"/>
                <w:b w:val="0"/>
                <w:i w:val="0"/>
                <w:sz w:val="20"/>
              </w:rPr>
              <w:t>DALP unresponsive; compliance bypass; settlement failure</w:t>
            </w:r>
          </w:p>
        </w:tc>
      </w:tr>
      <w:tr>
        <w:trPr>
          <w:trHeight w:val="425" w:hRule="atLeast"/>
        </w:trPr>
        <w:tc>
          <w:tcPr>
            <w:tcW w:type="dxa" w:w="2436"/>
            <w:vAlign w:val="center"/>
          </w:tcPr>
          <w:p>
            <w:pPr>
              <w:spacing w:line="276" w:lineRule="auto" w:before="0" w:after="0"/>
            </w:pPr>
            <w:r/>
            <w:r>
              <w:rPr>
                <w:rFonts w:ascii="Figtree" w:hAnsi="Figtree"/>
                <w:b w:val="0"/>
                <w:i w:val="0"/>
                <w:sz w:val="20"/>
              </w:rPr>
              <w:t>P2</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Major impact; multiple users affected; no workaround</w:t>
            </w:r>
          </w:p>
        </w:tc>
        <w:tc>
          <w:tcPr>
            <w:tcW w:type="dxa" w:w="2436"/>
            <w:vAlign w:val="center"/>
          </w:tcPr>
          <w:p>
            <w:pPr>
              <w:spacing w:line="276" w:lineRule="auto" w:before="0" w:after="0"/>
            </w:pPr>
            <w:r/>
            <w:r>
              <w:rPr>
                <w:rFonts w:ascii="Figtree" w:hAnsi="Figtree"/>
                <w:b w:val="0"/>
                <w:i w:val="0"/>
                <w:sz w:val="20"/>
              </w:rPr>
              <w:t>Settlement delays; identity verification failures; major integration failure</w:t>
            </w:r>
          </w:p>
        </w:tc>
      </w:tr>
      <w:tr>
        <w:trPr>
          <w:trHeight w:val="425" w:hRule="atLeast"/>
        </w:trPr>
        <w:tc>
          <w:tcPr>
            <w:tcW w:type="dxa" w:w="2436"/>
            <w:vAlign w:val="center"/>
          </w:tcPr>
          <w:p>
            <w:pPr>
              <w:spacing w:line="276" w:lineRule="auto" w:before="0" w:after="0"/>
            </w:pPr>
            <w:r/>
            <w:r>
              <w:rPr>
                <w:rFonts w:ascii="Figtree" w:hAnsi="Figtree"/>
                <w:b w:val="0"/>
                <w:i w:val="0"/>
                <w:sz w:val="20"/>
              </w:rPr>
              <w:t>P3</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Functional issue; workaround available</w:t>
            </w:r>
          </w:p>
        </w:tc>
        <w:tc>
          <w:tcPr>
            <w:tcW w:type="dxa" w:w="2436"/>
            <w:vAlign w:val="center"/>
          </w:tcPr>
          <w:p>
            <w:pPr>
              <w:spacing w:line="276" w:lineRule="auto" w:before="0" w:after="0"/>
            </w:pPr>
            <w:r/>
            <w:r>
              <w:rPr>
                <w:rFonts w:ascii="Figtree" w:hAnsi="Figtree"/>
                <w:b w:val="0"/>
                <w:i w:val="0"/>
                <w:sz w:val="20"/>
              </w:rPr>
              <w:t>Reporting delay; non-critical API degradation</w:t>
            </w:r>
          </w:p>
        </w:tc>
      </w:tr>
      <w:tr>
        <w:trPr>
          <w:trHeight w:val="425" w:hRule="atLeast"/>
        </w:trPr>
        <w:tc>
          <w:tcPr>
            <w:tcW w:type="dxa" w:w="2436"/>
            <w:vAlign w:val="center"/>
          </w:tcPr>
          <w:p>
            <w:pPr>
              <w:spacing w:line="276" w:lineRule="auto" w:before="0" w:after="0"/>
            </w:pPr>
            <w:r/>
            <w:r>
              <w:rPr>
                <w:rFonts w:ascii="Figtree" w:hAnsi="Figtree"/>
                <w:b w:val="0"/>
                <w:i w:val="0"/>
                <w:sz w:val="20"/>
              </w:rPr>
              <w:t>P4</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Minor issue; no material impact</w:t>
            </w:r>
          </w:p>
        </w:tc>
        <w:tc>
          <w:tcPr>
            <w:tcW w:type="dxa" w:w="2436"/>
            <w:vAlign w:val="center"/>
          </w:tcPr>
          <w:p>
            <w:pPr>
              <w:spacing w:line="276" w:lineRule="auto" w:before="0" w:after="0"/>
            </w:pPr>
            <w:r/>
            <w:r>
              <w:rPr>
                <w:rFonts w:ascii="Figtree" w:hAnsi="Figtree"/>
                <w:b w:val="0"/>
                <w:i w:val="0"/>
                <w:sz w:val="20"/>
              </w:rPr>
              <w:t>UI cosmetic defect; documentation error</w:t>
            </w:r>
          </w:p>
        </w:tc>
      </w:tr>
    </w:tbl>
    <w:p>
      <w:pPr>
        <w:spacing w:before="0" w:after="0" w:line="120" w:lineRule="exact"/>
      </w:pPr>
    </w:p>
    <w:p>
      <w:pPr>
        <w:pStyle w:val="H2"/>
        <w:numPr>
          <w:ilvl w:val="1"/>
          <w:numId w:val="1"/>
        </w:numPr>
      </w:pPr>
      <w:r>
        <w:t>A.3 Escalation Path</w:t>
      </w:r>
    </w:p>
    <w:p>
      <w:r>
        <w:rPr>
          <w:rFonts w:ascii="Figtree" w:hAnsi="Figtree"/>
          <w:b/>
          <w:i w:val="0"/>
          <w:sz w:val="22"/>
        </w:rPr>
        <w:t>Standard/Premium:</w:t>
      </w:r>
    </w:p>
    <w:p>
      <w:pPr>
        <w:pStyle w:val="ListParagraph"/>
        <w:numPr>
          <w:ilvl w:val="0"/>
          <w:numId w:val="9"/>
        </w:numPr>
      </w:pPr>
      <w:r>
        <w:rPr>
          <w:rFonts w:ascii="Figtree" w:hAnsi="Figtree"/>
          <w:b w:val="0"/>
          <w:i w:val="0"/>
          <w:sz w:val="22"/>
        </w:rPr>
        <w:t>Support Portal / Email</w:t>
      </w:r>
    </w:p>
    <w:p>
      <w:pPr>
        <w:pStyle w:val="ListParagraph"/>
        <w:numPr>
          <w:ilvl w:val="0"/>
          <w:numId w:val="9"/>
        </w:numPr>
      </w:pPr>
      <w:r>
        <w:rPr>
          <w:rFonts w:ascii="Figtree" w:hAnsi="Figtree"/>
          <w:b w:val="0"/>
          <w:i w:val="0"/>
          <w:sz w:val="22"/>
        </w:rPr>
        <w:t>Support Engineer (via portal or Slack)</w:t>
      </w:r>
    </w:p>
    <w:p>
      <w:pPr>
        <w:pStyle w:val="ListParagraph"/>
        <w:numPr>
          <w:ilvl w:val="0"/>
          <w:numId w:val="9"/>
        </w:numPr>
      </w:pPr>
      <w:r>
        <w:rPr>
          <w:rFonts w:ascii="Figtree" w:hAnsi="Figtree"/>
          <w:b w:val="0"/>
          <w:i w:val="0"/>
          <w:sz w:val="22"/>
        </w:rPr>
        <w:t>Support Team Lead</w:t>
      </w:r>
    </w:p>
    <w:p>
      <w:pPr>
        <w:pStyle w:val="ListParagraph"/>
        <w:numPr>
          <w:ilvl w:val="0"/>
          <w:numId w:val="9"/>
        </w:numPr>
      </w:pPr>
      <w:r>
        <w:rPr>
          <w:rFonts w:ascii="Figtree" w:hAnsi="Figtree"/>
          <w:b w:val="0"/>
          <w:i w:val="0"/>
          <w:sz w:val="22"/>
        </w:rPr>
        <w:t>VP Engineering</w:t>
      </w:r>
    </w:p>
    <w:p>
      <w:r>
        <w:rPr>
          <w:rFonts w:ascii="Figtree" w:hAnsi="Figtree"/>
          <w:b/>
          <w:i w:val="0"/>
          <w:sz w:val="22"/>
        </w:rPr>
        <w:t>Enterprise:</w:t>
      </w:r>
    </w:p>
    <w:p>
      <w:pPr>
        <w:pStyle w:val="ListParagraph"/>
        <w:numPr>
          <w:ilvl w:val="0"/>
          <w:numId w:val="10"/>
        </w:numPr>
      </w:pPr>
      <w:r>
        <w:rPr>
          <w:rFonts w:ascii="Figtree" w:hAnsi="Figtree"/>
          <w:b w:val="0"/>
          <w:i w:val="0"/>
          <w:sz w:val="22"/>
        </w:rPr>
        <w:t>Support Portal / Email / Slack / Phone</w:t>
      </w:r>
    </w:p>
    <w:p>
      <w:pPr>
        <w:pStyle w:val="ListParagraph"/>
        <w:numPr>
          <w:ilvl w:val="0"/>
          <w:numId w:val="10"/>
        </w:numPr>
      </w:pPr>
      <w:r>
        <w:rPr>
          <w:rFonts w:ascii="Figtree" w:hAnsi="Figtree"/>
          <w:b w:val="0"/>
          <w:i w:val="0"/>
          <w:sz w:val="22"/>
        </w:rPr>
        <w:t>Designated Support Engineer</w:t>
      </w:r>
    </w:p>
    <w:p>
      <w:pPr>
        <w:pStyle w:val="ListParagraph"/>
        <w:numPr>
          <w:ilvl w:val="0"/>
          <w:numId w:val="10"/>
        </w:numPr>
      </w:pPr>
      <w:r>
        <w:rPr>
          <w:rFonts w:ascii="Figtree" w:hAnsi="Figtree"/>
          <w:b w:val="0"/>
          <w:i w:val="0"/>
          <w:sz w:val="22"/>
        </w:rPr>
        <w:t>Support Team Lead</w:t>
      </w:r>
    </w:p>
    <w:p>
      <w:pPr>
        <w:pStyle w:val="ListParagraph"/>
        <w:numPr>
          <w:ilvl w:val="0"/>
          <w:numId w:val="10"/>
        </w:numPr>
      </w:pPr>
      <w:r>
        <w:rPr>
          <w:rFonts w:ascii="Figtree" w:hAnsi="Figtree"/>
          <w:b w:val="0"/>
          <w:i w:val="0"/>
          <w:sz w:val="22"/>
        </w:rPr>
        <w:t>Incident Manager (P1/P2)</w:t>
      </w:r>
    </w:p>
    <w:p>
      <w:pPr>
        <w:pStyle w:val="ListParagraph"/>
        <w:numPr>
          <w:ilvl w:val="0"/>
          <w:numId w:val="10"/>
        </w:numPr>
      </w:pPr>
      <w:r>
        <w:rPr>
          <w:rFonts w:ascii="Figtree" w:hAnsi="Figtree"/>
          <w:b w:val="0"/>
          <w:i w:val="0"/>
          <w:sz w:val="22"/>
        </w:rPr>
        <w:t>VP Engineering / CTO</w:t>
      </w:r>
    </w:p>
    <w:p>
      <w:pPr>
        <w:pStyle w:val="H2"/>
        <w:numPr>
          <w:ilvl w:val="1"/>
          <w:numId w:val="1"/>
        </w:numPr>
      </w:pPr>
      <w:r>
        <w:t>A.4 Maintenance Windows</w:t>
      </w:r>
    </w:p>
    <w:p>
      <w:pPr>
        <w:pStyle w:val="ListParagraph"/>
        <w:numPr>
          <w:ilvl w:val="0"/>
          <w:numId w:val="4"/>
        </w:numPr>
      </w:pPr>
      <w:r>
        <w:rPr>
          <w:rFonts w:ascii="Figtree" w:hAnsi="Figtree"/>
          <w:b/>
          <w:i w:val="0"/>
          <w:sz w:val="22"/>
        </w:rPr>
        <w:t>Planned Maintenance:</w:t>
      </w:r>
      <w:r>
        <w:rPr>
          <w:rFonts w:ascii="Figtree" w:hAnsi="Figtree"/>
          <w:b w:val="0"/>
          <w:i w:val="0"/>
          <w:sz w:val="22"/>
        </w:rPr>
        <w:t xml:space="preserve"> Quarterly, announced 2 weeks in advance, typically weekend early-morning UTC</w:t>
      </w:r>
    </w:p>
    <w:p>
      <w:pPr>
        <w:pStyle w:val="ListParagraph"/>
        <w:numPr>
          <w:ilvl w:val="0"/>
          <w:numId w:val="4"/>
        </w:numPr>
      </w:pPr>
      <w:r>
        <w:rPr>
          <w:rFonts w:ascii="Figtree" w:hAnsi="Figtree"/>
          <w:b/>
          <w:i w:val="0"/>
          <w:sz w:val="22"/>
        </w:rPr>
        <w:t>Emergency Maintenance:</w:t>
      </w:r>
      <w:r>
        <w:rPr>
          <w:rFonts w:ascii="Figtree" w:hAnsi="Figtree"/>
          <w:b w:val="0"/>
          <w:i w:val="0"/>
          <w:sz w:val="22"/>
        </w:rPr>
        <w:t xml:space="preserve"> As required, best-effort 24-hour notice</w:t>
      </w:r>
    </w:p>
    <w:p>
      <w:pPr>
        <w:pStyle w:val="ListParagraph"/>
        <w:numPr>
          <w:ilvl w:val="0"/>
          <w:numId w:val="4"/>
        </w:numPr>
      </w:pPr>
      <w:r>
        <w:rPr>
          <w:rFonts w:ascii="Figtree" w:hAnsi="Figtree"/>
          <w:b/>
          <w:i w:val="0"/>
          <w:sz w:val="22"/>
        </w:rPr>
        <w:t>Exclusions:</w:t>
      </w:r>
      <w:r>
        <w:rPr>
          <w:rFonts w:ascii="Figtree" w:hAnsi="Figtree"/>
          <w:b w:val="0"/>
          <w:i w:val="0"/>
          <w:sz w:val="22"/>
        </w:rPr>
        <w:t xml:space="preserve"> Maintenance windows excluded from SLA calculations</w:t>
      </w:r>
    </w:p>
    <w:p>
      <w:r>
        <w:br w:type="page"/>
      </w:r>
    </w:p>
    <w:p>
      <w:pPr>
        <w:pStyle w:val="H1"/>
        <w:numPr>
          <w:ilvl w:val="0"/>
          <w:numId w:val="1"/>
        </w:numPr>
      </w:pPr>
      <w:r>
        <w:t>Document Control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23"/>
        <w:gridCol w:w="1890"/>
        <w:gridCol w:w="2457"/>
        <w:gridCol w:w="340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Version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Author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Changes</w:t>
            </w:r>
          </w:p>
        </w:tc>
      </w:tr>
      <w:tr>
        <w:trPr>
          <w:trHeight w:val="425" w:hRule="atLeast"/>
        </w:trPr>
        <w:tc>
          <w:tcPr>
            <w:tcW w:type="dxa" w:w="2436"/>
            <w:vAlign w:val="center"/>
          </w:tcPr>
          <w:p>
            <w:pPr>
              <w:spacing w:line="276" w:lineRule="auto" w:before="0" w:after="0"/>
            </w:pPr>
            <w:r/>
            <w:r>
              <w:rPr>
                <w:rFonts w:ascii="Figtree" w:hAnsi="Figtree"/>
                <w:b w:val="0"/>
                <w:i w:val="0"/>
                <w:sz w:val="20"/>
              </w:rPr>
              <w:t>1.0</w:t>
            </w:r>
          </w:p>
        </w:tc>
        <w:tc>
          <w:tcPr>
            <w:tcW w:type="dxa" w:w="2436"/>
            <w:vAlign w:val="center"/>
          </w:tcPr>
          <w:p>
            <w:pPr>
              <w:spacing w:line="276" w:lineRule="auto" w:before="0" w:after="0"/>
            </w:pPr>
            <w:r/>
            <w:r>
              <w:rPr>
                <w:rFonts w:ascii="Figtree" w:hAnsi="Figtree"/>
                <w:b w:val="0"/>
                <w:i w:val="0"/>
                <w:sz w:val="20"/>
              </w:rPr>
              <w:t>2026-03-17</w:t>
            </w:r>
          </w:p>
        </w:tc>
        <w:tc>
          <w:tcPr>
            <w:tcW w:type="dxa" w:w="2436"/>
            <w:vAlign w:val="center"/>
          </w:tcPr>
          <w:p>
            <w:pPr>
              <w:spacing w:line="276" w:lineRule="auto" w:before="0" w:after="0"/>
            </w:pPr>
            <w:r/>
            <w:r>
              <w:rPr>
                <w:rFonts w:ascii="Figtree" w:hAnsi="Figtree"/>
                <w:b w:val="0"/>
                <w:i w:val="0"/>
                <w:sz w:val="20"/>
              </w:rPr>
              <w:t>SettleMint NV</w:t>
            </w:r>
          </w:p>
        </w:tc>
        <w:tc>
          <w:tcPr>
            <w:tcW w:type="dxa" w:w="2436"/>
            <w:vAlign w:val="center"/>
          </w:tcPr>
          <w:p>
            <w:pPr>
              <w:spacing w:line="276" w:lineRule="auto" w:before="0" w:after="0"/>
            </w:pPr>
            <w:r/>
            <w:r>
              <w:rPr>
                <w:rFonts w:ascii="Figtree" w:hAnsi="Figtree"/>
                <w:b w:val="0"/>
                <w:i w:val="0"/>
                <w:sz w:val="20"/>
              </w:rPr>
              <w:t>Initial submission</w:t>
            </w:r>
          </w:p>
        </w:tc>
      </w:tr>
    </w:tbl>
    <w:p>
      <w:pPr>
        <w:spacing w:before="0" w:after="0" w:line="120" w:lineRule="exact"/>
      </w:pPr>
    </w:p>
    <w:p>
      <w:r>
        <w:br w:type="page"/>
      </w:r>
    </w:p>
    <w:p>
      <w:r>
        <w:rPr>
          <w:rFonts w:ascii="Figtree" w:hAnsi="Figtree"/>
          <w:b w:val="0"/>
          <w:i/>
          <w:sz w:val="22"/>
        </w:rPr>
        <w:t>End of Technical Proposal</w:t>
      </w:r>
    </w:p>
    <w:p>
      <w:r>
        <w:br w:type="page"/>
      </w:r>
    </w:p>
    <w:p>
      <w:pPr>
        <w:pStyle w:val="H1"/>
        <w:numPr>
          <w:ilvl w:val="0"/>
          <w:numId w:val="1"/>
        </w:numPr>
      </w:pPr>
      <w:r>
        <w:t>15. Additional Technical Details</w:t>
      </w:r>
    </w:p>
    <w:p>
      <w:pPr>
        <w:pStyle w:val="H2"/>
        <w:numPr>
          <w:ilvl w:val="1"/>
          <w:numId w:val="1"/>
        </w:numPr>
      </w:pPr>
      <w:r>
        <w:t>15.1 Asset Lifecycle Deep Dive</w:t>
      </w:r>
    </w:p>
    <w:p>
      <w:r>
        <w:rPr>
          <w:rFonts w:ascii="Figtree" w:hAnsi="Figtree"/>
          <w:b w:val="0"/>
          <w:i w:val="0"/>
          <w:sz w:val="22"/>
        </w:rPr>
        <w:t>The asset lifecycle encompasses every stage from initial creation through ongoing servicing to final retirement. DALP manages this lifecycle through a combination of smart contract logic, middleware orchestration, and operator workflows.</w:t>
      </w:r>
    </w:p>
    <w:p>
      <w:pPr>
        <w:pStyle w:val="H3"/>
        <w:numPr>
          <w:ilvl w:val="2"/>
          <w:numId w:val="1"/>
        </w:numPr>
      </w:pPr>
      <w:r>
        <w:t>15.1.1 Issuance Phase</w:t>
      </w:r>
    </w:p>
    <w:p>
      <w:r>
        <w:rPr>
          <w:rFonts w:ascii="Figtree" w:hAnsi="Figtree"/>
          <w:b w:val="0"/>
          <w:i w:val="0"/>
          <w:sz w:val="22"/>
        </w:rPr>
        <w:t>The issuance phase covers the complete process of creating a new digital asset on the platform. This begins with asset configuration, where the issuing entity defines the fundamental parameters: asset type, total supply, decimal precision, transferability rules, and compliance constraints.</w:t>
      </w:r>
    </w:p>
    <w:p>
      <w:r>
        <w:rPr>
          <w:rFonts w:ascii="Figtree" w:hAnsi="Figtree"/>
          <w:b/>
          <w:i w:val="0"/>
          <w:sz w:val="22"/>
        </w:rPr>
        <w:t>Configuration Parameters:</w:t>
      </w:r>
    </w:p>
    <w:p>
      <w:pPr>
        <w:pStyle w:val="ListParagraph"/>
        <w:numPr>
          <w:ilvl w:val="0"/>
          <w:numId w:val="4"/>
        </w:numPr>
      </w:pPr>
      <w:r>
        <w:rPr>
          <w:rFonts w:ascii="Figtree" w:hAnsi="Figtree"/>
          <w:b w:val="0"/>
          <w:i w:val="0"/>
          <w:sz w:val="22"/>
        </w:rPr>
        <w:t>Asset name and symbol</w:t>
      </w:r>
    </w:p>
    <w:p>
      <w:pPr>
        <w:pStyle w:val="ListParagraph"/>
        <w:numPr>
          <w:ilvl w:val="0"/>
          <w:numId w:val="4"/>
        </w:numPr>
      </w:pPr>
      <w:r>
        <w:rPr>
          <w:rFonts w:ascii="Figtree" w:hAnsi="Figtree"/>
          <w:b w:val="0"/>
          <w:i w:val="0"/>
          <w:sz w:val="22"/>
        </w:rPr>
        <w:t>Total supply and initial distribution</w:t>
      </w:r>
    </w:p>
    <w:p>
      <w:pPr>
        <w:pStyle w:val="ListParagraph"/>
        <w:numPr>
          <w:ilvl w:val="0"/>
          <w:numId w:val="4"/>
        </w:numPr>
      </w:pPr>
      <w:r>
        <w:rPr>
          <w:rFonts w:ascii="Figtree" w:hAnsi="Figtree"/>
          <w:b w:val="0"/>
          <w:i w:val="0"/>
          <w:sz w:val="22"/>
        </w:rPr>
        <w:t>Decimal precision (typically 0, 2, or 6 for financial assets)</w:t>
      </w:r>
    </w:p>
    <w:p>
      <w:pPr>
        <w:pStyle w:val="ListParagraph"/>
        <w:numPr>
          <w:ilvl w:val="0"/>
          <w:numId w:val="4"/>
        </w:numPr>
      </w:pPr>
      <w:r>
        <w:rPr>
          <w:rFonts w:ascii="Figtree" w:hAnsi="Figtree"/>
          <w:b w:val="0"/>
          <w:i w:val="0"/>
          <w:sz w:val="22"/>
        </w:rPr>
        <w:t>Transferability (restricted, unrestricted, or conditional)</w:t>
      </w:r>
    </w:p>
    <w:p>
      <w:pPr>
        <w:pStyle w:val="ListParagraph"/>
        <w:numPr>
          <w:ilvl w:val="0"/>
          <w:numId w:val="4"/>
        </w:numPr>
      </w:pPr>
      <w:r>
        <w:rPr>
          <w:rFonts w:ascii="Figtree" w:hAnsi="Figtree"/>
          <w:b w:val="0"/>
          <w:i w:val="0"/>
          <w:sz w:val="22"/>
        </w:rPr>
        <w:t>Compliance module attachment</w:t>
      </w:r>
    </w:p>
    <w:p>
      <w:pPr>
        <w:pStyle w:val="ListParagraph"/>
        <w:numPr>
          <w:ilvl w:val="0"/>
          <w:numId w:val="4"/>
        </w:numPr>
      </w:pPr>
      <w:r>
        <w:rPr>
          <w:rFonts w:ascii="Figtree" w:hAnsi="Figtree"/>
          <w:b w:val="0"/>
          <w:i w:val="0"/>
          <w:sz w:val="22"/>
        </w:rPr>
        <w:t>Feature module activation (governance, fees, etc.)</w:t>
      </w:r>
    </w:p>
    <w:p>
      <w:pPr>
        <w:pStyle w:val="ListParagraph"/>
        <w:numPr>
          <w:ilvl w:val="0"/>
          <w:numId w:val="4"/>
        </w:numPr>
      </w:pPr>
      <w:r>
        <w:rPr>
          <w:rFonts w:ascii="Figtree" w:hAnsi="Figtree"/>
          <w:b w:val="0"/>
          <w:i w:val="0"/>
          <w:sz w:val="22"/>
        </w:rPr>
        <w:t>Initial holder assignments</w:t>
      </w:r>
    </w:p>
    <w:p>
      <w:pPr>
        <w:pStyle w:val="ListParagraph"/>
        <w:numPr>
          <w:ilvl w:val="0"/>
          <w:numId w:val="4"/>
        </w:numPr>
      </w:pPr>
      <w:r>
        <w:rPr>
          <w:rFonts w:ascii="Figtree" w:hAnsi="Figtree"/>
          <w:b w:val="0"/>
          <w:i w:val="0"/>
          <w:sz w:val="22"/>
        </w:rPr>
        <w:t>Issuance authorization (who can mint)</w:t>
      </w:r>
    </w:p>
    <w:p>
      <w:r>
        <w:rPr>
          <w:rFonts w:ascii="Figtree" w:hAnsi="Figtree"/>
          <w:b/>
          <w:i w:val="0"/>
          <w:sz w:val="22"/>
        </w:rPr>
        <w:t>Deployment Process:</w:t>
      </w:r>
    </w:p>
    <w:p>
      <w:pPr>
        <w:jc w:val="center"/>
      </w:pPr>
      <w:r>
        <w:drawing>
          <wp:inline xmlns:a="http://schemas.openxmlformats.org/drawingml/2006/main" xmlns:pic="http://schemas.openxmlformats.org/drawingml/2006/picture">
            <wp:extent cx="5486400" cy="2491274"/>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2491274"/>
                    </a:xfrm>
                    <a:prstGeom prst="rect"/>
                  </pic:spPr>
                </pic:pic>
              </a:graphicData>
            </a:graphic>
          </wp:inline>
        </w:drawing>
      </w:r>
    </w:p>
    <w:p>
      <w:r>
        <w:rPr>
          <w:rFonts w:ascii="Figtree" w:hAnsi="Figtree"/>
          <w:b w:val="0"/>
          <w:i w:val="0"/>
          <w:sz w:val="22"/>
        </w:rPr>
        <w:t>The factory deployment uses CREATE2 to ensure deterministic addressing. This means the token address can be computed before deployment, allowing pre-configuration of custody relationships, compliance rules, and external system integrations.</w:t>
      </w:r>
    </w:p>
    <w:p>
      <w:pPr>
        <w:pStyle w:val="H3"/>
        <w:numPr>
          <w:ilvl w:val="2"/>
          <w:numId w:val="1"/>
        </w:numPr>
      </w:pPr>
      <w:r>
        <w:t>15.1.2 Distribution Phase</w:t>
      </w:r>
    </w:p>
    <w:p>
      <w:r>
        <w:rPr>
          <w:rFonts w:ascii="Figtree" w:hAnsi="Figtree"/>
          <w:b w:val="0"/>
          <w:i w:val="0"/>
          <w:sz w:val="22"/>
        </w:rPr>
        <w:t>Once issued, assets move into the distribution phase where initial allocations are made to investors, participants, or other entities. DALP supports multiple distribution mechanisms:</w:t>
      </w:r>
    </w:p>
    <w:p>
      <w:r>
        <w:rPr>
          <w:rFonts w:ascii="Figtree" w:hAnsi="Figtree"/>
          <w:b/>
          <w:i w:val="0"/>
          <w:sz w:val="22"/>
        </w:rPr>
        <w:t>Direct Minting:</w:t>
      </w:r>
      <w:r>
        <w:rPr>
          <w:rFonts w:ascii="Figtree" w:hAnsi="Figtree"/>
          <w:b w:val="0"/>
          <w:i w:val="0"/>
          <w:sz w:val="22"/>
        </w:rPr>
        <w:t xml:space="preserve"> Assets are minted directly to recipient addresses. This is suitable for initial investor allocations, airdrops, or corporate action distributions.</w:t>
      </w:r>
    </w:p>
    <w:p>
      <w:r>
        <w:rPr>
          <w:rFonts w:ascii="Figtree" w:hAnsi="Figtree"/>
          <w:b/>
          <w:i w:val="0"/>
          <w:sz w:val="22"/>
        </w:rPr>
        <w:t>Vesting Schedules:</w:t>
      </w:r>
      <w:r>
        <w:rPr>
          <w:rFonts w:ascii="Figtree" w:hAnsi="Figtree"/>
          <w:b w:val="0"/>
          <w:i w:val="0"/>
          <w:sz w:val="22"/>
        </w:rPr>
        <w:t xml:space="preserve"> Time-locked release of tokens to recipients. Vesting schedules support cliff periods, linear release, and milestone-based release. This is commonly used for employee compensation, founder allocations, or strategic investor distributions.</w:t>
      </w:r>
    </w:p>
    <w:p>
      <w:r>
        <w:rPr>
          <w:rFonts w:ascii="Figtree" w:hAnsi="Figtree"/>
          <w:b/>
          <w:i w:val="0"/>
          <w:sz w:val="22"/>
        </w:rPr>
        <w:t>Sale Mechanisms:</w:t>
      </w:r>
      <w:r>
        <w:rPr>
          <w:rFonts w:ascii="Figtree" w:hAnsi="Figtree"/>
          <w:b w:val="0"/>
          <w:i w:val="0"/>
          <w:sz w:val="22"/>
        </w:rPr>
        <w:t xml:space="preserve"> Token sales through the Token Sale addon support ICO, IEO, and DAIO (Dutch Auction Initial Offering) models. Sale parameters include pricing, duration, allocation limits, and refund handling.</w:t>
      </w:r>
    </w:p>
    <w:p>
      <w:pPr>
        <w:pStyle w:val="H3"/>
        <w:numPr>
          <w:ilvl w:val="2"/>
          <w:numId w:val="1"/>
        </w:numPr>
      </w:pPr>
      <w:r>
        <w:t>15.1.3 Transfer Phase</w:t>
      </w:r>
    </w:p>
    <w:p>
      <w:r>
        <w:rPr>
          <w:rFonts w:ascii="Figtree" w:hAnsi="Figtree"/>
          <w:b w:val="0"/>
          <w:i w:val="0"/>
          <w:sz w:val="22"/>
        </w:rPr>
        <w:t>The transfer phase covers the ongoing transfer of assets between holders. Every transfer passes through the compliance engine before execution:</w:t>
      </w:r>
    </w:p>
    <w:p>
      <w:r>
        <w:rPr>
          <w:rFonts w:ascii="Figtree" w:hAnsi="Figtree"/>
          <w:b/>
          <w:i w:val="0"/>
          <w:sz w:val="22"/>
        </w:rPr>
        <w:t>Transfer Authorization Flow:</w:t>
      </w:r>
    </w:p>
    <w:p>
      <w:pPr>
        <w:jc w:val="center"/>
      </w:pPr>
      <w:r>
        <w:drawing>
          <wp:inline xmlns:a="http://schemas.openxmlformats.org/drawingml/2006/main" xmlns:pic="http://schemas.openxmlformats.org/drawingml/2006/picture">
            <wp:extent cx="4543666" cy="8229599"/>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4543666" cy="8229599"/>
                    </a:xfrm>
                    <a:prstGeom prst="rect"/>
                  </pic:spPr>
                </pic:pic>
              </a:graphicData>
            </a:graphic>
          </wp:inline>
        </w:drawing>
      </w:r>
    </w:p>
    <w:p>
      <w:pPr>
        <w:pStyle w:val="H3"/>
        <w:numPr>
          <w:ilvl w:val="2"/>
          <w:numId w:val="1"/>
        </w:numPr>
      </w:pPr>
      <w:r>
        <w:t>15.1.4 Servicing Phase</w:t>
      </w:r>
    </w:p>
    <w:p>
      <w:r>
        <w:rPr>
          <w:rFonts w:ascii="Figtree" w:hAnsi="Figtree"/>
          <w:b w:val="0"/>
          <w:i w:val="0"/>
          <w:sz w:val="22"/>
        </w:rPr>
        <w:t>The servicing phase handles ongoing operations beyond simple transfers. DALP supports comprehensive servicing capabilities:</w:t>
      </w:r>
    </w:p>
    <w:p>
      <w:r>
        <w:rPr>
          <w:rFonts w:ascii="Figtree" w:hAnsi="Figtree"/>
          <w:b/>
          <w:i w:val="0"/>
          <w:sz w:val="22"/>
        </w:rPr>
        <w:t>Yield Distribution:</w:t>
      </w:r>
      <w:r>
        <w:rPr>
          <w:rFonts w:ascii="Figtree" w:hAnsi="Figtree"/>
          <w:b w:val="0"/>
          <w:i w:val="0"/>
          <w:sz w:val="22"/>
        </w:rPr>
        <w:t xml:space="preserve"> For interest-bearing assets (bonds, deposits), DALP handles periodic coupon or interest payments. The platform calculates entitlements based on holdings and timing, then executes batch distributions through either standard transfers or airdrop mechanisms.</w:t>
      </w:r>
    </w:p>
    <w:p>
      <w:r>
        <w:rPr>
          <w:rFonts w:ascii="Figtree" w:hAnsi="Figtree"/>
          <w:b/>
          <w:i w:val="0"/>
          <w:sz w:val="22"/>
        </w:rPr>
        <w:t>Corporate Actions:</w:t>
      </w:r>
      <w:r>
        <w:rPr>
          <w:rFonts w:ascii="Figtree" w:hAnsi="Figtree"/>
          <w:b w:val="0"/>
          <w:i w:val="0"/>
          <w:sz w:val="22"/>
        </w:rPr>
        <w:t xml:space="preserve"> Corporate actions include dividends, share splits, reverse splits, rights issues, and conversions. Each action type has specific logic:</w:t>
      </w:r>
    </w:p>
    <w:p>
      <w:pPr>
        <w:pStyle w:val="ListParagraph"/>
        <w:numPr>
          <w:ilvl w:val="0"/>
          <w:numId w:val="4"/>
        </w:numPr>
      </w:pPr>
      <w:r>
        <w:rPr>
          <w:rFonts w:ascii="Figtree" w:hAnsi="Figtree"/>
          <w:b w:val="0"/>
          <w:i w:val="0"/>
          <w:sz w:val="22"/>
        </w:rPr>
        <w:t>Dividends: Calculate per-holder entitlement based on snapshot; distribute either in cash or additional tokens</w:t>
      </w:r>
    </w:p>
    <w:p>
      <w:pPr>
        <w:pStyle w:val="ListParagraph"/>
        <w:numPr>
          <w:ilvl w:val="0"/>
          <w:numId w:val="4"/>
        </w:numPr>
      </w:pPr>
      <w:r>
        <w:rPr>
          <w:rFonts w:ascii="Figtree" w:hAnsi="Figtree"/>
          <w:b w:val="0"/>
          <w:i w:val="0"/>
          <w:sz w:val="22"/>
        </w:rPr>
        <w:t>Splits: Adjust holder balances and update decimal precision</w:t>
      </w:r>
    </w:p>
    <w:p>
      <w:pPr>
        <w:pStyle w:val="ListParagraph"/>
        <w:numPr>
          <w:ilvl w:val="0"/>
          <w:numId w:val="4"/>
        </w:numPr>
      </w:pPr>
      <w:r>
        <w:rPr>
          <w:rFonts w:ascii="Figtree" w:hAnsi="Figtree"/>
          <w:b w:val="0"/>
          <w:i w:val="0"/>
          <w:sz w:val="22"/>
        </w:rPr>
        <w:t>Rights Issues: Create new token rights; handle exercise and distribution</w:t>
      </w:r>
    </w:p>
    <w:p>
      <w:pPr>
        <w:pStyle w:val="ListParagraph"/>
        <w:numPr>
          <w:ilvl w:val="0"/>
          <w:numId w:val="4"/>
        </w:numPr>
      </w:pPr>
      <w:r>
        <w:rPr>
          <w:rFonts w:ascii="Figtree" w:hAnsi="Figtree"/>
          <w:b w:val="0"/>
          <w:i w:val="0"/>
          <w:sz w:val="22"/>
        </w:rPr>
        <w:t>Conversions: Execute token-to-token conversion at defined rates</w:t>
      </w:r>
    </w:p>
    <w:p>
      <w:r>
        <w:rPr>
          <w:rFonts w:ascii="Figtree" w:hAnsi="Figtree"/>
          <w:b/>
          <w:i w:val="0"/>
          <w:sz w:val="22"/>
        </w:rPr>
        <w:t>Governance:</w:t>
      </w:r>
      <w:r>
        <w:rPr>
          <w:rFonts w:ascii="Figtree" w:hAnsi="Figtree"/>
          <w:b w:val="0"/>
          <w:i w:val="0"/>
          <w:sz w:val="22"/>
        </w:rPr>
        <w:t xml:space="preserve"> On-chain governance allows token holders to vote on proposals. DALP supports proposal submission, voting periods, vote recording, and automatic execution of approved proposals.</w:t>
      </w:r>
    </w:p>
    <w:p>
      <w:pPr>
        <w:pStyle w:val="H3"/>
        <w:numPr>
          <w:ilvl w:val="2"/>
          <w:numId w:val="1"/>
        </w:numPr>
      </w:pPr>
      <w:r>
        <w:t>15.1.5 Retirement Phase</w:t>
      </w:r>
    </w:p>
    <w:p>
      <w:r>
        <w:rPr>
          <w:rFonts w:ascii="Figtree" w:hAnsi="Figtree"/>
          <w:b w:val="0"/>
          <w:i w:val="0"/>
          <w:sz w:val="22"/>
        </w:rPr>
        <w:t>The retirement phase covers asset lifecycle end states:</w:t>
      </w:r>
    </w:p>
    <w:p>
      <w:r>
        <w:rPr>
          <w:rFonts w:ascii="Figtree" w:hAnsi="Figtree"/>
          <w:b/>
          <w:i w:val="0"/>
          <w:sz w:val="22"/>
        </w:rPr>
        <w:t>Redemption:</w:t>
      </w:r>
      <w:r>
        <w:rPr>
          <w:rFonts w:ascii="Figtree" w:hAnsi="Figtree"/>
          <w:b w:val="0"/>
          <w:i w:val="0"/>
          <w:sz w:val="22"/>
        </w:rPr>
        <w:t xml:space="preserve"> Holders return tokens for underlying assets (cash, securities, or physical assets). Redemption logic is embedded in the smart contract and enforced atomically.</w:t>
      </w:r>
    </w:p>
    <w:p>
      <w:r>
        <w:rPr>
          <w:rFonts w:ascii="Figtree" w:hAnsi="Figtree"/>
          <w:b/>
          <w:i w:val="0"/>
          <w:sz w:val="22"/>
        </w:rPr>
        <w:t>Maturity:</w:t>
      </w:r>
      <w:r>
        <w:rPr>
          <w:rFonts w:ascii="Figtree" w:hAnsi="Figtree"/>
          <w:b w:val="0"/>
          <w:i w:val="0"/>
          <w:sz w:val="22"/>
        </w:rPr>
        <w:t xml:space="preserve"> For time-bound assets (bonds, deposits), maturity handling executes defined redemption logic at maturity date.</w:t>
      </w:r>
    </w:p>
    <w:p>
      <w:r>
        <w:rPr>
          <w:rFonts w:ascii="Figtree" w:hAnsi="Figtree"/>
          <w:b/>
          <w:i w:val="0"/>
          <w:sz w:val="22"/>
        </w:rPr>
        <w:t>Cancellation:</w:t>
      </w:r>
      <w:r>
        <w:rPr>
          <w:rFonts w:ascii="Figtree" w:hAnsi="Figtree"/>
          <w:b w:val="0"/>
          <w:i w:val="0"/>
          <w:sz w:val="22"/>
        </w:rPr>
        <w:t xml:space="preserve"> Assets can be cancelled, with remaining supply burned and holders refunded according to cancellation terms.</w:t>
      </w:r>
    </w:p>
    <w:p>
      <w:pPr>
        <w:pStyle w:val="H2"/>
        <w:numPr>
          <w:ilvl w:val="1"/>
          <w:numId w:val="1"/>
        </w:numPr>
      </w:pPr>
      <w:r>
        <w:t>15.2 Integration Architecture Details</w:t>
      </w:r>
    </w:p>
    <w:p>
      <w:pPr>
        <w:pStyle w:val="H3"/>
        <w:numPr>
          <w:ilvl w:val="2"/>
          <w:numId w:val="1"/>
        </w:numPr>
      </w:pPr>
      <w:r>
        <w:t>15.2.1 Data Flow Architecture</w:t>
      </w:r>
    </w:p>
    <w:p>
      <w:pPr>
        <w:jc w:val="center"/>
      </w:pPr>
      <w:r>
        <w:drawing>
          <wp:inline xmlns:a="http://schemas.openxmlformats.org/drawingml/2006/main" xmlns:pic="http://schemas.openxmlformats.org/drawingml/2006/picture">
            <wp:extent cx="5486400" cy="2197359"/>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2197359"/>
                    </a:xfrm>
                    <a:prstGeom prst="rect"/>
                  </pic:spPr>
                </pic:pic>
              </a:graphicData>
            </a:graphic>
          </wp:inline>
        </w:drawing>
      </w:r>
    </w:p>
    <w:p>
      <w:pPr>
        <w:pStyle w:val="H3"/>
        <w:numPr>
          <w:ilvl w:val="2"/>
          <w:numId w:val="1"/>
        </w:numPr>
      </w:pPr>
      <w:r>
        <w:t>15.2.2 Event-Driven Integration</w:t>
      </w:r>
    </w:p>
    <w:p>
      <w:r>
        <w:rPr>
          <w:rFonts w:ascii="Figtree" w:hAnsi="Figtree"/>
          <w:b w:val="0"/>
          <w:i w:val="0"/>
          <w:sz w:val="22"/>
        </w:rPr>
        <w:t>DALP generates events for all significant state changes. These events flow through multiple channels:</w:t>
      </w:r>
    </w:p>
    <w:p>
      <w:r>
        <w:rPr>
          <w:rFonts w:ascii="Figtree" w:hAnsi="Figtree"/>
          <w:b/>
          <w:i w:val="0"/>
          <w:sz w:val="22"/>
        </w:rPr>
        <w:t>Webhook Notifications:</w:t>
      </w:r>
      <w:r>
        <w:rPr>
          <w:rFonts w:ascii="Figtree" w:hAnsi="Figtree"/>
          <w:b w:val="0"/>
          <w:i w:val="0"/>
          <w:sz w:val="22"/>
        </w:rPr>
        <w:t xml:space="preserve"> Configurable HTTP callbacks trigger on specific events. Webhooks include payload signing for verification. Retry logic handles delivery failures.</w:t>
      </w:r>
    </w:p>
    <w:p>
      <w:r>
        <w:rPr>
          <w:rFonts w:ascii="Figtree" w:hAnsi="Figtree"/>
          <w:b/>
          <w:i w:val="0"/>
          <w:sz w:val="22"/>
        </w:rPr>
        <w:t>Message Queues:</w:t>
      </w:r>
      <w:r>
        <w:rPr>
          <w:rFonts w:ascii="Figtree" w:hAnsi="Figtree"/>
          <w:b w:val="0"/>
          <w:i w:val="0"/>
          <w:sz w:val="22"/>
        </w:rPr>
        <w:t xml:space="preserve"> Enterprise messaging integration (AMQP, SQS) supports high-volume event consumption. Message ordering and exactly-once delivery are guaranteed.</w:t>
      </w:r>
    </w:p>
    <w:p>
      <w:r>
        <w:rPr>
          <w:rFonts w:ascii="Figtree" w:hAnsi="Figtree"/>
          <w:b/>
          <w:i w:val="0"/>
          <w:sz w:val="22"/>
        </w:rPr>
        <w:t>File-Based Export:</w:t>
      </w:r>
      <w:r>
        <w:rPr>
          <w:rFonts w:ascii="Figtree" w:hAnsi="Figtree"/>
          <w:b w:val="0"/>
          <w:i w:val="0"/>
          <w:sz w:val="22"/>
        </w:rPr>
        <w:t xml:space="preserve"> Scheduled exports generate CSV or JSON files for batch processing or legacy system integration.</w:t>
      </w:r>
    </w:p>
    <w:p>
      <w:pPr>
        <w:pStyle w:val="H3"/>
        <w:numPr>
          <w:ilvl w:val="2"/>
          <w:numId w:val="1"/>
        </w:numPr>
      </w:pPr>
      <w:r>
        <w:t>15.2.3 Reconciliation Model</w:t>
      </w:r>
    </w:p>
    <w:p>
      <w:r>
        <w:rPr>
          <w:rFonts w:ascii="Figtree" w:hAnsi="Figtree"/>
          <w:b w:val="0"/>
          <w:i w:val="0"/>
          <w:sz w:val="22"/>
        </w:rPr>
        <w:t>The platform supports continuous reconciliation with external systems:</w:t>
      </w:r>
    </w:p>
    <w:p>
      <w:r>
        <w:rPr>
          <w:rFonts w:ascii="Figtree" w:hAnsi="Figtree"/>
          <w:b/>
          <w:i w:val="0"/>
          <w:sz w:val="22"/>
        </w:rPr>
        <w:t>Position Reconciliation:</w:t>
      </w:r>
      <w:r>
        <w:rPr>
          <w:rFonts w:ascii="Figtree" w:hAnsi="Figtree"/>
          <w:b w:val="0"/>
          <w:i w:val="0"/>
          <w:sz w:val="22"/>
        </w:rPr>
        <w:t xml:space="preserve"> Regular comparison of on-chain balances with core banking records. Discrepancies generate alerts and investigation workflows.</w:t>
      </w:r>
    </w:p>
    <w:p>
      <w:r>
        <w:rPr>
          <w:rFonts w:ascii="Figtree" w:hAnsi="Figtree"/>
          <w:b/>
          <w:i w:val="0"/>
          <w:sz w:val="22"/>
        </w:rPr>
        <w:t>Transaction Reconciliation:</w:t>
      </w:r>
      <w:r>
        <w:rPr>
          <w:rFonts w:ascii="Figtree" w:hAnsi="Figtree"/>
          <w:b w:val="0"/>
          <w:i w:val="0"/>
          <w:sz w:val="22"/>
        </w:rPr>
        <w:t xml:space="preserve"> Matching of platform transactions with payment network records. DvP settlements include explicit reconciliation checkpoints.</w:t>
      </w:r>
    </w:p>
    <w:p>
      <w:r>
        <w:rPr>
          <w:rFonts w:ascii="Figtree" w:hAnsi="Figtree"/>
          <w:b/>
          <w:i w:val="0"/>
          <w:sz w:val="22"/>
        </w:rPr>
        <w:t>Compliance Evidence:</w:t>
      </w:r>
      <w:r>
        <w:rPr>
          <w:rFonts w:ascii="Figtree" w:hAnsi="Figtree"/>
          <w:b w:val="0"/>
          <w:i w:val="0"/>
          <w:sz w:val="22"/>
        </w:rPr>
        <w:t xml:space="preserve"> Audit log exports support compliance reconciliation and regulatory examination.</w:t>
      </w:r>
    </w:p>
    <w:p>
      <w:pPr>
        <w:pStyle w:val="H2"/>
        <w:numPr>
          <w:ilvl w:val="1"/>
          <w:numId w:val="1"/>
        </w:numPr>
      </w:pPr>
      <w:r>
        <w:t>15.3 Blockchain Network Architecture</w:t>
      </w:r>
    </w:p>
    <w:p>
      <w:pPr>
        <w:pStyle w:val="H3"/>
        <w:numPr>
          <w:ilvl w:val="2"/>
          <w:numId w:val="1"/>
        </w:numPr>
      </w:pPr>
      <w:r>
        <w:t>15.3.1 Private Network Design</w:t>
      </w:r>
    </w:p>
    <w:p>
      <w:r>
        <w:rPr>
          <w:rFonts w:ascii="Figtree" w:hAnsi="Figtree"/>
          <w:b w:val="0"/>
          <w:i w:val="0"/>
          <w:sz w:val="22"/>
        </w:rPr>
        <w:t>For ADGM's requirements, the recommended blockchain configuration is a private Hyperledger Besu network:</w:t>
      </w:r>
    </w:p>
    <w:p>
      <w:pPr>
        <w:jc w:val="center"/>
      </w:pPr>
      <w:r>
        <w:drawing>
          <wp:inline xmlns:a="http://schemas.openxmlformats.org/drawingml/2006/main" xmlns:pic="http://schemas.openxmlformats.org/drawingml/2006/picture">
            <wp:extent cx="5486400" cy="5192486"/>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5192486"/>
                    </a:xfrm>
                    <a:prstGeom prst="rect"/>
                  </pic:spPr>
                </pic:pic>
              </a:graphicData>
            </a:graphic>
          </wp:inline>
        </w:drawing>
      </w:r>
    </w:p>
    <w:p>
      <w:r>
        <w:rPr>
          <w:rFonts w:ascii="Figtree" w:hAnsi="Figtree"/>
          <w:b/>
          <w:i w:val="0"/>
          <w:sz w:val="22"/>
        </w:rPr>
        <w:t>Network Parameters:</w:t>
      </w:r>
    </w:p>
    <w:p>
      <w:pPr>
        <w:pStyle w:val="ListParagraph"/>
        <w:numPr>
          <w:ilvl w:val="0"/>
          <w:numId w:val="4"/>
        </w:numPr>
      </w:pPr>
      <w:r>
        <w:rPr>
          <w:rFonts w:ascii="Figtree" w:hAnsi="Figtree"/>
          <w:b w:val="0"/>
          <w:i w:val="0"/>
          <w:sz w:val="22"/>
        </w:rPr>
        <w:t>Consensus: IBFT 2.0 (4 validators for byzantine fault tolerance)</w:t>
      </w:r>
    </w:p>
    <w:p>
      <w:pPr>
        <w:pStyle w:val="ListParagraph"/>
        <w:numPr>
          <w:ilvl w:val="0"/>
          <w:numId w:val="4"/>
        </w:numPr>
      </w:pPr>
      <w:r>
        <w:rPr>
          <w:rFonts w:ascii="Figtree" w:hAnsi="Figtree"/>
          <w:b w:val="0"/>
          <w:i w:val="0"/>
          <w:sz w:val="22"/>
        </w:rPr>
        <w:t>Block time: 1-2 seconds</w:t>
      </w:r>
    </w:p>
    <w:p>
      <w:pPr>
        <w:pStyle w:val="ListParagraph"/>
        <w:numPr>
          <w:ilvl w:val="0"/>
          <w:numId w:val="4"/>
        </w:numPr>
      </w:pPr>
      <w:r>
        <w:rPr>
          <w:rFonts w:ascii="Figtree" w:hAnsi="Figtree"/>
          <w:b w:val="0"/>
          <w:i w:val="0"/>
          <w:sz w:val="22"/>
        </w:rPr>
        <w:t>Gas: Zero or minimal (private network)</w:t>
      </w:r>
    </w:p>
    <w:p>
      <w:pPr>
        <w:pStyle w:val="ListParagraph"/>
        <w:numPr>
          <w:ilvl w:val="0"/>
          <w:numId w:val="4"/>
        </w:numPr>
      </w:pPr>
      <w:r>
        <w:rPr>
          <w:rFonts w:ascii="Figtree" w:hAnsi="Figtree"/>
          <w:b w:val="0"/>
          <w:i w:val="0"/>
          <w:sz w:val="22"/>
        </w:rPr>
        <w:t>Privacy: Transaction privacy groups for sensitive operations</w:t>
      </w:r>
    </w:p>
    <w:p>
      <w:pPr>
        <w:pStyle w:val="H3"/>
        <w:numPr>
          <w:ilvl w:val="2"/>
          <w:numId w:val="1"/>
        </w:numPr>
      </w:pPr>
      <w:r>
        <w:t>15.3.2 Node Operations</w:t>
      </w:r>
    </w:p>
    <w:p>
      <w:r>
        <w:rPr>
          <w:rFonts w:ascii="Figtree" w:hAnsi="Figtree"/>
          <w:b/>
          <w:i w:val="0"/>
          <w:sz w:val="22"/>
        </w:rPr>
        <w:t>Validator Operations:</w:t>
      </w:r>
      <w:r>
        <w:rPr>
          <w:rFonts w:ascii="Figtree" w:hAnsi="Figtree"/>
          <w:b w:val="0"/>
          <w:i w:val="0"/>
          <w:sz w:val="22"/>
        </w:rPr>
        <w:t xml:space="preserve"> Validator nodes participate in consensus. Validator key management follows secure procedures: keys generated in HSM, key ceremony for distribution, and regular key rotation.</w:t>
      </w:r>
    </w:p>
    <w:p>
      <w:r>
        <w:rPr>
          <w:rFonts w:ascii="Figtree" w:hAnsi="Figtree"/>
          <w:b/>
          <w:i w:val="0"/>
          <w:sz w:val="22"/>
        </w:rPr>
        <w:t>RPC Node Operations:</w:t>
      </w:r>
      <w:r>
        <w:rPr>
          <w:rFonts w:ascii="Figtree" w:hAnsi="Figtree"/>
          <w:b w:val="0"/>
          <w:i w:val="0"/>
          <w:sz w:val="22"/>
        </w:rPr>
        <w:t xml:space="preserve"> RPC nodes provide JSON-RPC interface for transaction submission and state queries. Multiple RPC nodes provide redundancy and load balancing.</w:t>
      </w:r>
    </w:p>
    <w:p>
      <w:r>
        <w:rPr>
          <w:rFonts w:ascii="Figtree" w:hAnsi="Figtree"/>
          <w:b/>
          <w:i w:val="0"/>
          <w:sz w:val="22"/>
        </w:rPr>
        <w:t>Monitoring:</w:t>
      </w:r>
      <w:r>
        <w:rPr>
          <w:rFonts w:ascii="Figtree" w:hAnsi="Figtree"/>
          <w:b w:val="0"/>
          <w:i w:val="0"/>
          <w:sz w:val="22"/>
        </w:rPr>
        <w:t xml:space="preserve"> Network monitoring tracks block production, transaction throughput, validator uptime, and consensus health. Alerts trigger on anomalies.</w:t>
      </w:r>
    </w:p>
    <w:p>
      <w:pPr>
        <w:pStyle w:val="H2"/>
        <w:numPr>
          <w:ilvl w:val="1"/>
          <w:numId w:val="1"/>
        </w:numPr>
      </w:pPr>
      <w:r>
        <w:t>15.4 Compliance Module Details</w:t>
      </w:r>
    </w:p>
    <w:p>
      <w:pPr>
        <w:pStyle w:val="H3"/>
        <w:numPr>
          <w:ilvl w:val="2"/>
          <w:numId w:val="1"/>
        </w:numPr>
      </w:pPr>
      <w:r>
        <w:t>15.4.1 Module Types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51"/>
        <w:gridCol w:w="4165"/>
        <w:gridCol w:w="305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Module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Configuration Parameters</w:t>
            </w:r>
          </w:p>
        </w:tc>
      </w:tr>
      <w:tr>
        <w:trPr>
          <w:trHeight w:val="425" w:hRule="atLeast"/>
        </w:trPr>
        <w:tc>
          <w:tcPr>
            <w:tcW w:type="dxa" w:w="3249"/>
            <w:vAlign w:val="center"/>
          </w:tcPr>
          <w:p>
            <w:pPr>
              <w:spacing w:line="276" w:lineRule="auto" w:before="0" w:after="0"/>
            </w:pPr>
            <w:r/>
            <w:r>
              <w:rPr>
                <w:rFonts w:ascii="Figtree" w:hAnsi="Figtree"/>
                <w:b w:val="0"/>
                <w:i w:val="0"/>
                <w:sz w:val="20"/>
              </w:rPr>
              <w:t>IdentityVerification</w:t>
            </w:r>
          </w:p>
        </w:tc>
        <w:tc>
          <w:tcPr>
            <w:tcW w:type="dxa" w:w="3249"/>
            <w:vAlign w:val="center"/>
          </w:tcPr>
          <w:p>
            <w:pPr>
              <w:spacing w:line="276" w:lineRule="auto" w:before="0" w:after="0"/>
            </w:pPr>
            <w:r/>
            <w:r>
              <w:rPr>
                <w:rFonts w:ascii="Figtree" w:hAnsi="Figtree"/>
                <w:b w:val="0"/>
                <w:i w:val="0"/>
                <w:sz w:val="20"/>
              </w:rPr>
              <w:t>Ensures sender has valid KYC claims</w:t>
            </w:r>
          </w:p>
        </w:tc>
        <w:tc>
          <w:tcPr>
            <w:tcW w:type="dxa" w:w="3249"/>
            <w:vAlign w:val="center"/>
          </w:tcPr>
          <w:p>
            <w:pPr>
              <w:spacing w:line="276" w:lineRule="auto" w:before="0" w:after="0"/>
            </w:pPr>
            <w:r/>
            <w:r>
              <w:rPr>
                <w:rFonts w:ascii="Figtree" w:hAnsi="Figtree"/>
                <w:b w:val="0"/>
                <w:i w:val="0"/>
                <w:sz w:val="20"/>
              </w:rPr>
              <w:t>Claim topics, expiry requirements</w:t>
            </w:r>
          </w:p>
        </w:tc>
      </w:tr>
      <w:tr>
        <w:trPr>
          <w:trHeight w:val="425" w:hRule="atLeast"/>
        </w:trPr>
        <w:tc>
          <w:tcPr>
            <w:tcW w:type="dxa" w:w="3249"/>
            <w:vAlign w:val="center"/>
          </w:tcPr>
          <w:p>
            <w:pPr>
              <w:spacing w:line="276" w:lineRule="auto" w:before="0" w:after="0"/>
            </w:pPr>
            <w:r/>
            <w:r>
              <w:rPr>
                <w:rFonts w:ascii="Figtree" w:hAnsi="Figtree"/>
                <w:b w:val="0"/>
                <w:i w:val="0"/>
                <w:sz w:val="20"/>
              </w:rPr>
              <w:t>CountryRestriction</w:t>
            </w:r>
          </w:p>
        </w:tc>
        <w:tc>
          <w:tcPr>
            <w:tcW w:type="dxa" w:w="3249"/>
            <w:vAlign w:val="center"/>
          </w:tcPr>
          <w:p>
            <w:pPr>
              <w:spacing w:line="276" w:lineRule="auto" w:before="0" w:after="0"/>
            </w:pPr>
            <w:r/>
            <w:r>
              <w:rPr>
                <w:rFonts w:ascii="Figtree" w:hAnsi="Figtree"/>
                <w:b w:val="0"/>
                <w:i w:val="0"/>
                <w:sz w:val="20"/>
              </w:rPr>
              <w:t>Blocks transfers to/from restricted countries</w:t>
            </w:r>
          </w:p>
        </w:tc>
        <w:tc>
          <w:tcPr>
            <w:tcW w:type="dxa" w:w="3249"/>
            <w:vAlign w:val="center"/>
          </w:tcPr>
          <w:p>
            <w:pPr>
              <w:spacing w:line="276" w:lineRule="auto" w:before="0" w:after="0"/>
            </w:pPr>
            <w:r/>
            <w:r>
              <w:rPr>
                <w:rFonts w:ascii="Figtree" w:hAnsi="Figtree"/>
                <w:b w:val="0"/>
                <w:i w:val="0"/>
                <w:sz w:val="20"/>
              </w:rPr>
              <w:t>Country codes (allow/deny lists)</w:t>
            </w:r>
          </w:p>
        </w:tc>
      </w:tr>
      <w:tr>
        <w:trPr>
          <w:trHeight w:val="425" w:hRule="atLeast"/>
        </w:trPr>
        <w:tc>
          <w:tcPr>
            <w:tcW w:type="dxa" w:w="3249"/>
            <w:vAlign w:val="center"/>
          </w:tcPr>
          <w:p>
            <w:pPr>
              <w:spacing w:line="276" w:lineRule="auto" w:before="0" w:after="0"/>
            </w:pPr>
            <w:r/>
            <w:r>
              <w:rPr>
                <w:rFonts w:ascii="Figtree" w:hAnsi="Figtree"/>
                <w:b w:val="0"/>
                <w:i w:val="0"/>
                <w:sz w:val="20"/>
              </w:rPr>
              <w:t>IdentityAllowList</w:t>
            </w:r>
          </w:p>
        </w:tc>
        <w:tc>
          <w:tcPr>
            <w:tcW w:type="dxa" w:w="3249"/>
            <w:vAlign w:val="center"/>
          </w:tcPr>
          <w:p>
            <w:pPr>
              <w:spacing w:line="276" w:lineRule="auto" w:before="0" w:after="0"/>
            </w:pPr>
            <w:r/>
            <w:r>
              <w:rPr>
                <w:rFonts w:ascii="Figtree" w:hAnsi="Figtree"/>
                <w:b w:val="0"/>
                <w:i w:val="0"/>
                <w:sz w:val="20"/>
              </w:rPr>
              <w:t>Restricts transfers to approved identities</w:t>
            </w:r>
          </w:p>
        </w:tc>
        <w:tc>
          <w:tcPr>
            <w:tcW w:type="dxa" w:w="3249"/>
            <w:vAlign w:val="center"/>
          </w:tcPr>
          <w:p>
            <w:pPr>
              <w:spacing w:line="276" w:lineRule="auto" w:before="0" w:after="0"/>
            </w:pPr>
            <w:r/>
            <w:r>
              <w:rPr>
                <w:rFonts w:ascii="Figtree" w:hAnsi="Figtree"/>
                <w:b w:val="0"/>
                <w:i w:val="0"/>
                <w:sz w:val="20"/>
              </w:rPr>
              <w:t>List of allowed OnchainIDs</w:t>
            </w:r>
          </w:p>
        </w:tc>
      </w:tr>
      <w:tr>
        <w:trPr>
          <w:trHeight w:val="425" w:hRule="atLeast"/>
        </w:trPr>
        <w:tc>
          <w:tcPr>
            <w:tcW w:type="dxa" w:w="3249"/>
            <w:vAlign w:val="center"/>
          </w:tcPr>
          <w:p>
            <w:pPr>
              <w:spacing w:line="276" w:lineRule="auto" w:before="0" w:after="0"/>
            </w:pPr>
            <w:r/>
            <w:r>
              <w:rPr>
                <w:rFonts w:ascii="Figtree" w:hAnsi="Figtree"/>
                <w:b w:val="0"/>
                <w:i w:val="0"/>
                <w:sz w:val="20"/>
              </w:rPr>
              <w:t>IdentityDenyList</w:t>
            </w:r>
          </w:p>
        </w:tc>
        <w:tc>
          <w:tcPr>
            <w:tcW w:type="dxa" w:w="3249"/>
            <w:vAlign w:val="center"/>
          </w:tcPr>
          <w:p>
            <w:pPr>
              <w:spacing w:line="276" w:lineRule="auto" w:before="0" w:after="0"/>
            </w:pPr>
            <w:r/>
            <w:r>
              <w:rPr>
                <w:rFonts w:ascii="Figtree" w:hAnsi="Figtree"/>
                <w:b w:val="0"/>
                <w:i w:val="0"/>
                <w:sz w:val="20"/>
              </w:rPr>
              <w:t>Blocks transfers from denied identities</w:t>
            </w:r>
          </w:p>
        </w:tc>
        <w:tc>
          <w:tcPr>
            <w:tcW w:type="dxa" w:w="3249"/>
            <w:vAlign w:val="center"/>
          </w:tcPr>
          <w:p>
            <w:pPr>
              <w:spacing w:line="276" w:lineRule="auto" w:before="0" w:after="0"/>
            </w:pPr>
            <w:r/>
            <w:r>
              <w:rPr>
                <w:rFonts w:ascii="Figtree" w:hAnsi="Figtree"/>
                <w:b w:val="0"/>
                <w:i w:val="0"/>
                <w:sz w:val="20"/>
              </w:rPr>
              <w:t>List of denied OnchainIDs</w:t>
            </w:r>
          </w:p>
        </w:tc>
      </w:tr>
      <w:tr>
        <w:trPr>
          <w:trHeight w:val="425" w:hRule="atLeast"/>
        </w:trPr>
        <w:tc>
          <w:tcPr>
            <w:tcW w:type="dxa" w:w="3249"/>
            <w:vAlign w:val="center"/>
          </w:tcPr>
          <w:p>
            <w:pPr>
              <w:spacing w:line="276" w:lineRule="auto" w:before="0" w:after="0"/>
            </w:pPr>
            <w:r/>
            <w:r>
              <w:rPr>
                <w:rFonts w:ascii="Figtree" w:hAnsi="Figtree"/>
                <w:b w:val="0"/>
                <w:i w:val="0"/>
                <w:sz w:val="20"/>
              </w:rPr>
              <w:t>InvestorCountLimit</w:t>
            </w:r>
          </w:p>
        </w:tc>
        <w:tc>
          <w:tcPr>
            <w:tcW w:type="dxa" w:w="3249"/>
            <w:vAlign w:val="center"/>
          </w:tcPr>
          <w:p>
            <w:pPr>
              <w:spacing w:line="276" w:lineRule="auto" w:before="0" w:after="0"/>
            </w:pPr>
            <w:r/>
            <w:r>
              <w:rPr>
                <w:rFonts w:ascii="Figtree" w:hAnsi="Figtree"/>
                <w:b w:val="0"/>
                <w:i w:val="0"/>
                <w:sz w:val="20"/>
              </w:rPr>
              <w:t>Limits number of investors per token</w:t>
            </w:r>
          </w:p>
        </w:tc>
        <w:tc>
          <w:tcPr>
            <w:tcW w:type="dxa" w:w="3249"/>
            <w:vAlign w:val="center"/>
          </w:tcPr>
          <w:p>
            <w:pPr>
              <w:spacing w:line="276" w:lineRule="auto" w:before="0" w:after="0"/>
            </w:pPr>
            <w:r/>
            <w:r>
              <w:rPr>
                <w:rFonts w:ascii="Figtree" w:hAnsi="Figtree"/>
                <w:b w:val="0"/>
                <w:i w:val="0"/>
                <w:sz w:val="20"/>
              </w:rPr>
              <w:t>Maximum investor count</w:t>
            </w:r>
          </w:p>
        </w:tc>
      </w:tr>
      <w:tr>
        <w:trPr>
          <w:trHeight w:val="425" w:hRule="atLeast"/>
        </w:trPr>
        <w:tc>
          <w:tcPr>
            <w:tcW w:type="dxa" w:w="3249"/>
            <w:vAlign w:val="center"/>
          </w:tcPr>
          <w:p>
            <w:pPr>
              <w:spacing w:line="276" w:lineRule="auto" w:before="0" w:after="0"/>
            </w:pPr>
            <w:r/>
            <w:r>
              <w:rPr>
                <w:rFonts w:ascii="Figtree" w:hAnsi="Figtree"/>
                <w:b w:val="0"/>
                <w:i w:val="0"/>
                <w:sz w:val="20"/>
              </w:rPr>
              <w:t>InvestorVolumeLimit</w:t>
            </w:r>
          </w:p>
        </w:tc>
        <w:tc>
          <w:tcPr>
            <w:tcW w:type="dxa" w:w="3249"/>
            <w:vAlign w:val="center"/>
          </w:tcPr>
          <w:p>
            <w:pPr>
              <w:spacing w:line="276" w:lineRule="auto" w:before="0" w:after="0"/>
            </w:pPr>
            <w:r/>
            <w:r>
              <w:rPr>
                <w:rFonts w:ascii="Figtree" w:hAnsi="Figtree"/>
                <w:b w:val="0"/>
                <w:i w:val="0"/>
                <w:sz w:val="20"/>
              </w:rPr>
              <w:t>Limits total holdings per investor</w:t>
            </w:r>
          </w:p>
        </w:tc>
        <w:tc>
          <w:tcPr>
            <w:tcW w:type="dxa" w:w="3249"/>
            <w:vAlign w:val="center"/>
          </w:tcPr>
          <w:p>
            <w:pPr>
              <w:spacing w:line="276" w:lineRule="auto" w:before="0" w:after="0"/>
            </w:pPr>
            <w:r/>
            <w:r>
              <w:rPr>
                <w:rFonts w:ascii="Figtree" w:hAnsi="Figtree"/>
                <w:b w:val="0"/>
                <w:i w:val="0"/>
                <w:sz w:val="20"/>
              </w:rPr>
              <w:t>Maximum holdings per identity</w:t>
            </w:r>
          </w:p>
        </w:tc>
      </w:tr>
      <w:tr>
        <w:trPr>
          <w:trHeight w:val="425" w:hRule="atLeast"/>
        </w:trPr>
        <w:tc>
          <w:tcPr>
            <w:tcW w:type="dxa" w:w="3249"/>
            <w:vAlign w:val="center"/>
          </w:tcPr>
          <w:p>
            <w:pPr>
              <w:spacing w:line="276" w:lineRule="auto" w:before="0" w:after="0"/>
            </w:pPr>
            <w:r/>
            <w:r>
              <w:rPr>
                <w:rFonts w:ascii="Figtree" w:hAnsi="Figtree"/>
                <w:b w:val="0"/>
                <w:i w:val="0"/>
                <w:sz w:val="20"/>
              </w:rPr>
              <w:t>SupplyCap</w:t>
            </w:r>
          </w:p>
        </w:tc>
        <w:tc>
          <w:tcPr>
            <w:tcW w:type="dxa" w:w="3249"/>
            <w:vAlign w:val="center"/>
          </w:tcPr>
          <w:p>
            <w:pPr>
              <w:spacing w:line="276" w:lineRule="auto" w:before="0" w:after="0"/>
            </w:pPr>
            <w:r/>
            <w:r>
              <w:rPr>
                <w:rFonts w:ascii="Figtree" w:hAnsi="Figtree"/>
                <w:b w:val="0"/>
                <w:i w:val="0"/>
                <w:sz w:val="20"/>
              </w:rPr>
              <w:t>Limits total token supply</w:t>
            </w:r>
          </w:p>
        </w:tc>
        <w:tc>
          <w:tcPr>
            <w:tcW w:type="dxa" w:w="3249"/>
            <w:vAlign w:val="center"/>
          </w:tcPr>
          <w:p>
            <w:pPr>
              <w:spacing w:line="276" w:lineRule="auto" w:before="0" w:after="0"/>
            </w:pPr>
            <w:r/>
            <w:r>
              <w:rPr>
                <w:rFonts w:ascii="Figtree" w:hAnsi="Figtree"/>
                <w:b w:val="0"/>
                <w:i w:val="0"/>
                <w:sz w:val="20"/>
              </w:rPr>
              <w:t>Maximum supply amount</w:t>
            </w:r>
          </w:p>
        </w:tc>
      </w:tr>
      <w:tr>
        <w:trPr>
          <w:trHeight w:val="425" w:hRule="atLeast"/>
        </w:trPr>
        <w:tc>
          <w:tcPr>
            <w:tcW w:type="dxa" w:w="3249"/>
            <w:vAlign w:val="center"/>
          </w:tcPr>
          <w:p>
            <w:pPr>
              <w:spacing w:line="276" w:lineRule="auto" w:before="0" w:after="0"/>
            </w:pPr>
            <w:r/>
            <w:r>
              <w:rPr>
                <w:rFonts w:ascii="Figtree" w:hAnsi="Figtree"/>
                <w:b w:val="0"/>
                <w:i w:val="0"/>
                <w:sz w:val="20"/>
              </w:rPr>
              <w:t>TransferApproval</w:t>
            </w:r>
          </w:p>
        </w:tc>
        <w:tc>
          <w:tcPr>
            <w:tcW w:type="dxa" w:w="3249"/>
            <w:vAlign w:val="center"/>
          </w:tcPr>
          <w:p>
            <w:pPr>
              <w:spacing w:line="276" w:lineRule="auto" w:before="0" w:after="0"/>
            </w:pPr>
            <w:r/>
            <w:r>
              <w:rPr>
                <w:rFonts w:ascii="Figtree" w:hAnsi="Figtree"/>
                <w:b w:val="0"/>
                <w:i w:val="0"/>
                <w:sz w:val="20"/>
              </w:rPr>
              <w:t>Requires manual approval for transfers</w:t>
            </w:r>
          </w:p>
        </w:tc>
        <w:tc>
          <w:tcPr>
            <w:tcW w:type="dxa" w:w="3249"/>
            <w:vAlign w:val="center"/>
          </w:tcPr>
          <w:p>
            <w:pPr>
              <w:spacing w:line="276" w:lineRule="auto" w:before="0" w:after="0"/>
            </w:pPr>
            <w:r/>
            <w:r>
              <w:rPr>
                <w:rFonts w:ascii="Figtree" w:hAnsi="Figtree"/>
                <w:b w:val="0"/>
                <w:i w:val="0"/>
                <w:sz w:val="20"/>
              </w:rPr>
              <w:t>Approver roles</w:t>
            </w:r>
          </w:p>
        </w:tc>
      </w:tr>
      <w:tr>
        <w:trPr>
          <w:trHeight w:val="425" w:hRule="atLeast"/>
        </w:trPr>
        <w:tc>
          <w:tcPr>
            <w:tcW w:type="dxa" w:w="3249"/>
            <w:vAlign w:val="center"/>
          </w:tcPr>
          <w:p>
            <w:pPr>
              <w:spacing w:line="276" w:lineRule="auto" w:before="0" w:after="0"/>
            </w:pPr>
            <w:r/>
            <w:r>
              <w:rPr>
                <w:rFonts w:ascii="Figtree" w:hAnsi="Figtree"/>
                <w:b w:val="0"/>
                <w:i w:val="0"/>
                <w:sz w:val="20"/>
              </w:rPr>
              <w:t>Timelock</w:t>
            </w:r>
          </w:p>
        </w:tc>
        <w:tc>
          <w:tcPr>
            <w:tcW w:type="dxa" w:w="3249"/>
            <w:vAlign w:val="center"/>
          </w:tcPr>
          <w:p>
            <w:pPr>
              <w:spacing w:line="276" w:lineRule="auto" w:before="0" w:after="0"/>
            </w:pPr>
            <w:r/>
            <w:r>
              <w:rPr>
                <w:rFonts w:ascii="Figtree" w:hAnsi="Figtree"/>
                <w:b w:val="0"/>
                <w:i w:val="0"/>
                <w:sz w:val="20"/>
              </w:rPr>
              <w:t>Enforces holding periods</w:t>
            </w:r>
          </w:p>
        </w:tc>
        <w:tc>
          <w:tcPr>
            <w:tcW w:type="dxa" w:w="3249"/>
            <w:vAlign w:val="center"/>
          </w:tcPr>
          <w:p>
            <w:pPr>
              <w:spacing w:line="276" w:lineRule="auto" w:before="0" w:after="0"/>
            </w:pPr>
            <w:r/>
            <w:r>
              <w:rPr>
                <w:rFonts w:ascii="Figtree" w:hAnsi="Figtree"/>
                <w:b w:val="0"/>
                <w:i w:val="0"/>
                <w:sz w:val="20"/>
              </w:rPr>
              <w:t>Lock duration</w:t>
            </w:r>
          </w:p>
        </w:tc>
      </w:tr>
      <w:tr>
        <w:trPr>
          <w:trHeight w:val="425" w:hRule="atLeast"/>
        </w:trPr>
        <w:tc>
          <w:tcPr>
            <w:tcW w:type="dxa" w:w="3249"/>
            <w:vAlign w:val="center"/>
          </w:tcPr>
          <w:p>
            <w:pPr>
              <w:spacing w:line="276" w:lineRule="auto" w:before="0" w:after="0"/>
            </w:pPr>
            <w:r/>
            <w:r>
              <w:rPr>
                <w:rFonts w:ascii="Figtree" w:hAnsi="Figtree"/>
                <w:b w:val="0"/>
                <w:i w:val="0"/>
                <w:sz w:val="20"/>
              </w:rPr>
              <w:t>RateLimit</w:t>
            </w:r>
          </w:p>
        </w:tc>
        <w:tc>
          <w:tcPr>
            <w:tcW w:type="dxa" w:w="3249"/>
            <w:vAlign w:val="center"/>
          </w:tcPr>
          <w:p>
            <w:pPr>
              <w:spacing w:line="276" w:lineRule="auto" w:before="0" w:after="0"/>
            </w:pPr>
            <w:r/>
            <w:r>
              <w:rPr>
                <w:rFonts w:ascii="Figtree" w:hAnsi="Figtree"/>
                <w:b w:val="0"/>
                <w:i w:val="0"/>
                <w:sz w:val="20"/>
              </w:rPr>
              <w:t>Limits transfer frequency</w:t>
            </w:r>
          </w:p>
        </w:tc>
        <w:tc>
          <w:tcPr>
            <w:tcW w:type="dxa" w:w="3249"/>
            <w:vAlign w:val="center"/>
          </w:tcPr>
          <w:p>
            <w:pPr>
              <w:spacing w:line="276" w:lineRule="auto" w:before="0" w:after="0"/>
            </w:pPr>
            <w:r/>
            <w:r>
              <w:rPr>
                <w:rFonts w:ascii="Figtree" w:hAnsi="Figtree"/>
                <w:b w:val="0"/>
                <w:i w:val="0"/>
                <w:sz w:val="20"/>
              </w:rPr>
              <w:t>Max transfers per time window</w:t>
            </w:r>
          </w:p>
        </w:tc>
      </w:tr>
    </w:tbl>
    <w:p>
      <w:pPr>
        <w:spacing w:before="0" w:after="0" w:line="120" w:lineRule="exact"/>
      </w:pPr>
    </w:p>
    <w:p>
      <w:pPr>
        <w:pStyle w:val="H3"/>
        <w:numPr>
          <w:ilvl w:val="2"/>
          <w:numId w:val="1"/>
        </w:numPr>
      </w:pPr>
      <w:r>
        <w:t>15.4.2 Module Composition</w:t>
      </w:r>
    </w:p>
    <w:p>
      <w:r>
        <w:rPr>
          <w:rFonts w:ascii="Figtree" w:hAnsi="Figtree"/>
          <w:b w:val="0"/>
          <w:i w:val="0"/>
          <w:sz w:val="22"/>
        </w:rPr>
        <w:t>Complex compliance requirements are addressed by composing multiple modules:</w:t>
      </w:r>
    </w:p>
    <w:p>
      <w:pPr>
        <w:jc w:val="center"/>
      </w:pPr>
      <w:r>
        <w:drawing>
          <wp:inline xmlns:a="http://schemas.openxmlformats.org/drawingml/2006/main" xmlns:pic="http://schemas.openxmlformats.org/drawingml/2006/picture">
            <wp:extent cx="5486400" cy="3282043"/>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3282043"/>
                    </a:xfrm>
                    <a:prstGeom prst="rect"/>
                  </pic:spPr>
                </pic:pic>
              </a:graphicData>
            </a:graphic>
          </wp:inline>
        </w:drawing>
      </w:r>
    </w:p>
    <w:p>
      <w:pPr>
        <w:pStyle w:val="H3"/>
        <w:numPr>
          <w:ilvl w:val="2"/>
          <w:numId w:val="1"/>
        </w:numPr>
      </w:pPr>
      <w:r>
        <w:t>15.4.3 Runtime Reconfiguration</w:t>
      </w:r>
    </w:p>
    <w:p>
      <w:r>
        <w:rPr>
          <w:rFonts w:ascii="Figtree" w:hAnsi="Figtree"/>
          <w:b w:val="0"/>
          <w:i w:val="0"/>
          <w:sz w:val="22"/>
        </w:rPr>
        <w:t>Compliance modules can be reconfigured at runtime without redeploying the token contract:</w:t>
      </w:r>
    </w:p>
    <w:p>
      <w:pPr>
        <w:pStyle w:val="ListParagraph"/>
        <w:numPr>
          <w:ilvl w:val="0"/>
          <w:numId w:val="4"/>
        </w:numPr>
      </w:pPr>
      <w:r>
        <w:rPr>
          <w:rFonts w:ascii="Figtree" w:hAnsi="Figtree"/>
          <w:b w:val="0"/>
          <w:i w:val="0"/>
          <w:sz w:val="22"/>
        </w:rPr>
        <w:t>Module additions: New modules can be attached to active tokens</w:t>
      </w:r>
    </w:p>
    <w:p>
      <w:pPr>
        <w:pStyle w:val="ListParagraph"/>
        <w:numPr>
          <w:ilvl w:val="0"/>
          <w:numId w:val="4"/>
        </w:numPr>
      </w:pPr>
      <w:r>
        <w:rPr>
          <w:rFonts w:ascii="Figtree" w:hAnsi="Figtree"/>
          <w:b w:val="0"/>
          <w:i w:val="0"/>
          <w:sz w:val="22"/>
        </w:rPr>
        <w:t>Module removal: Existing modules can be detached</w:t>
      </w:r>
    </w:p>
    <w:p>
      <w:pPr>
        <w:pStyle w:val="ListParagraph"/>
        <w:numPr>
          <w:ilvl w:val="0"/>
          <w:numId w:val="4"/>
        </w:numPr>
      </w:pPr>
      <w:r>
        <w:rPr>
          <w:rFonts w:ascii="Figtree" w:hAnsi="Figtree"/>
          <w:b w:val="0"/>
          <w:i w:val="0"/>
          <w:sz w:val="22"/>
        </w:rPr>
        <w:t>Parameter updates: Module parameters can be updated</w:t>
      </w:r>
    </w:p>
    <w:p>
      <w:pPr>
        <w:pStyle w:val="ListParagraph"/>
        <w:numPr>
          <w:ilvl w:val="0"/>
          <w:numId w:val="4"/>
        </w:numPr>
      </w:pPr>
      <w:r>
        <w:rPr>
          <w:rFonts w:ascii="Figtree" w:hAnsi="Figtree"/>
          <w:b w:val="0"/>
          <w:i w:val="0"/>
          <w:sz w:val="22"/>
        </w:rPr>
        <w:t>All changes require governance role authorization</w:t>
      </w:r>
    </w:p>
    <w:p>
      <w:pPr>
        <w:pStyle w:val="ListParagraph"/>
        <w:numPr>
          <w:ilvl w:val="0"/>
          <w:numId w:val="4"/>
        </w:numPr>
      </w:pPr>
      <w:r>
        <w:rPr>
          <w:rFonts w:ascii="Figtree" w:hAnsi="Figtree"/>
          <w:b w:val="0"/>
          <w:i w:val="0"/>
          <w:sz w:val="22"/>
        </w:rPr>
        <w:t>All changes generate audit events</w:t>
      </w:r>
    </w:p>
    <w:p>
      <w:pPr>
        <w:pStyle w:val="H2"/>
        <w:numPr>
          <w:ilvl w:val="1"/>
          <w:numId w:val="1"/>
        </w:numPr>
      </w:pPr>
      <w:r>
        <w:t>15.5 Security Implementation Details</w:t>
      </w:r>
    </w:p>
    <w:p>
      <w:pPr>
        <w:pStyle w:val="H3"/>
        <w:numPr>
          <w:ilvl w:val="2"/>
          <w:numId w:val="1"/>
        </w:numPr>
      </w:pPr>
      <w:r>
        <w:t>15.5.1 Defense-in-Depth Architecture</w:t>
      </w:r>
    </w:p>
    <w:p>
      <w:pPr>
        <w:jc w:val="center"/>
      </w:pPr>
      <w:r>
        <w:drawing>
          <wp:inline xmlns:a="http://schemas.openxmlformats.org/drawingml/2006/main" xmlns:pic="http://schemas.openxmlformats.org/drawingml/2006/picture">
            <wp:extent cx="1758863" cy="8229596"/>
            <wp:docPr id="13" name="Picture 13"/>
            <wp:cNvGraphicFramePr>
              <a:graphicFrameLocks noChangeAspect="1"/>
            </wp:cNvGraphicFramePr>
            <a:graphic>
              <a:graphicData uri="http://schemas.openxmlformats.org/drawingml/2006/picture">
                <pic:pic>
                  <pic:nvPicPr>
                    <pic:cNvPr id="0" name="_diagram-013.png"/>
                    <pic:cNvPicPr/>
                  </pic:nvPicPr>
                  <pic:blipFill>
                    <a:blip r:embed="rId25"/>
                    <a:stretch>
                      <a:fillRect/>
                    </a:stretch>
                  </pic:blipFill>
                  <pic:spPr>
                    <a:xfrm>
                      <a:off x="0" y="0"/>
                      <a:ext cx="1758863" cy="8229596"/>
                    </a:xfrm>
                    <a:prstGeom prst="rect"/>
                  </pic:spPr>
                </pic:pic>
              </a:graphicData>
            </a:graphic>
          </wp:inline>
        </w:drawing>
      </w:r>
    </w:p>
    <w:p>
      <w:pPr>
        <w:pStyle w:val="H3"/>
        <w:numPr>
          <w:ilvl w:val="2"/>
          <w:numId w:val="1"/>
        </w:numPr>
      </w:pPr>
      <w:r>
        <w:t>15.5.2 Authentication Flow</w:t>
      </w:r>
    </w:p>
    <w:p>
      <w:pPr>
        <w:jc w:val="center"/>
      </w:pPr>
      <w:r>
        <w:drawing>
          <wp:inline xmlns:a="http://schemas.openxmlformats.org/drawingml/2006/main" xmlns:pic="http://schemas.openxmlformats.org/drawingml/2006/picture">
            <wp:extent cx="5486400" cy="3589953"/>
            <wp:docPr id="14" name="Picture 14"/>
            <wp:cNvGraphicFramePr>
              <a:graphicFrameLocks noChangeAspect="1"/>
            </wp:cNvGraphicFramePr>
            <a:graphic>
              <a:graphicData uri="http://schemas.openxmlformats.org/drawingml/2006/picture">
                <pic:pic>
                  <pic:nvPicPr>
                    <pic:cNvPr id="0" name="_diagram-014.png"/>
                    <pic:cNvPicPr/>
                  </pic:nvPicPr>
                  <pic:blipFill>
                    <a:blip r:embed="rId26"/>
                    <a:stretch>
                      <a:fillRect/>
                    </a:stretch>
                  </pic:blipFill>
                  <pic:spPr>
                    <a:xfrm>
                      <a:off x="0" y="0"/>
                      <a:ext cx="5486400" cy="3589953"/>
                    </a:xfrm>
                    <a:prstGeom prst="rect"/>
                  </pic:spPr>
                </pic:pic>
              </a:graphicData>
            </a:graphic>
          </wp:inline>
        </w:drawing>
      </w:r>
    </w:p>
    <w:p>
      <w:pPr>
        <w:pStyle w:val="H2"/>
        <w:numPr>
          <w:ilvl w:val="1"/>
          <w:numId w:val="1"/>
        </w:numPr>
      </w:pPr>
      <w:r>
        <w:t>15.6 Operational Runbooks</w:t>
      </w:r>
    </w:p>
    <w:p>
      <w:pPr>
        <w:pStyle w:val="H3"/>
        <w:numPr>
          <w:ilvl w:val="2"/>
          <w:numId w:val="1"/>
        </w:numPr>
      </w:pPr>
      <w:r>
        <w:t>15.6.1 Asset Creation Runbook</w:t>
      </w:r>
    </w:p>
    <w:p>
      <w:pPr>
        <w:pStyle w:val="ListParagraph"/>
        <w:numPr>
          <w:ilvl w:val="0"/>
          <w:numId w:val="11"/>
        </w:numPr>
      </w:pPr>
      <w:r>
        <w:rPr>
          <w:rFonts w:ascii="Figtree" w:hAnsi="Figtree"/>
          <w:b/>
          <w:i w:val="0"/>
          <w:sz w:val="22"/>
        </w:rPr>
        <w:t>Pre-requisites:</w:t>
      </w:r>
    </w:p>
    <w:p>
      <w:pPr>
        <w:pStyle w:val="ListParagraph"/>
        <w:numPr>
          <w:ilvl w:val="1"/>
          <w:numId w:val="4"/>
        </w:numPr>
      </w:pPr>
      <w:r>
        <w:rPr>
          <w:rFonts w:ascii="Figtree" w:hAnsi="Figtree"/>
          <w:b w:val="0"/>
          <w:i w:val="0"/>
          <w:sz w:val="22"/>
        </w:rPr>
        <w:t>Compliance matrix defined</w:t>
      </w:r>
    </w:p>
    <w:p>
      <w:pPr>
        <w:pStyle w:val="ListParagraph"/>
        <w:numPr>
          <w:ilvl w:val="1"/>
          <w:numId w:val="4"/>
        </w:numPr>
      </w:pPr>
      <w:r>
        <w:rPr>
          <w:rFonts w:ascii="Figtree" w:hAnsi="Figtree"/>
          <w:b w:val="0"/>
          <w:i w:val="0"/>
          <w:sz w:val="22"/>
        </w:rPr>
        <w:t>Governance roles assigned</w:t>
      </w:r>
    </w:p>
    <w:p>
      <w:pPr>
        <w:pStyle w:val="ListParagraph"/>
        <w:numPr>
          <w:ilvl w:val="1"/>
          <w:numId w:val="4"/>
        </w:numPr>
      </w:pPr>
      <w:r>
        <w:rPr>
          <w:rFonts w:ascii="Figtree" w:hAnsi="Figtree"/>
          <w:b w:val="0"/>
          <w:i w:val="0"/>
          <w:sz w:val="22"/>
        </w:rPr>
        <w:t>Integration endpoints configured</w:t>
      </w:r>
    </w:p>
    <w:p>
      <w:pPr>
        <w:pStyle w:val="ListParagraph"/>
        <w:numPr>
          <w:ilvl w:val="0"/>
          <w:numId w:val="11"/>
        </w:numPr>
      </w:pPr>
      <w:r>
        <w:rPr>
          <w:rFonts w:ascii="Figtree" w:hAnsi="Figtree"/>
          <w:b/>
          <w:i w:val="0"/>
          <w:sz w:val="22"/>
        </w:rPr>
        <w:t>Configuration:</w:t>
      </w:r>
    </w:p>
    <w:p>
      <w:pPr>
        <w:pStyle w:val="ListParagraph"/>
        <w:numPr>
          <w:ilvl w:val="1"/>
          <w:numId w:val="4"/>
        </w:numPr>
      </w:pPr>
      <w:r>
        <w:rPr>
          <w:rFonts w:ascii="Figtree" w:hAnsi="Figtree"/>
          <w:b w:val="0"/>
          <w:i w:val="0"/>
          <w:sz w:val="22"/>
        </w:rPr>
        <w:t>Define asset parameters in Asset Console</w:t>
      </w:r>
    </w:p>
    <w:p>
      <w:pPr>
        <w:pStyle w:val="ListParagraph"/>
        <w:numPr>
          <w:ilvl w:val="1"/>
          <w:numId w:val="4"/>
        </w:numPr>
      </w:pPr>
      <w:r>
        <w:rPr>
          <w:rFonts w:ascii="Figtree" w:hAnsi="Figtree"/>
          <w:b w:val="0"/>
          <w:i w:val="0"/>
          <w:sz w:val="22"/>
        </w:rPr>
        <w:t>Select compliance modules</w:t>
      </w:r>
    </w:p>
    <w:p>
      <w:pPr>
        <w:pStyle w:val="ListParagraph"/>
        <w:numPr>
          <w:ilvl w:val="1"/>
          <w:numId w:val="4"/>
        </w:numPr>
      </w:pPr>
      <w:r>
        <w:rPr>
          <w:rFonts w:ascii="Figtree" w:hAnsi="Figtree"/>
          <w:b w:val="0"/>
          <w:i w:val="0"/>
          <w:sz w:val="22"/>
        </w:rPr>
        <w:t>Configure feature modules</w:t>
      </w:r>
    </w:p>
    <w:p>
      <w:pPr>
        <w:pStyle w:val="ListParagraph"/>
        <w:numPr>
          <w:ilvl w:val="1"/>
          <w:numId w:val="4"/>
        </w:numPr>
      </w:pPr>
      <w:r>
        <w:rPr>
          <w:rFonts w:ascii="Figtree" w:hAnsi="Figtree"/>
          <w:b w:val="0"/>
          <w:i w:val="0"/>
          <w:sz w:val="22"/>
        </w:rPr>
        <w:t>Set initial distribution (if any)</w:t>
      </w:r>
    </w:p>
    <w:p>
      <w:pPr>
        <w:pStyle w:val="ListParagraph"/>
        <w:numPr>
          <w:ilvl w:val="0"/>
          <w:numId w:val="11"/>
        </w:numPr>
      </w:pPr>
      <w:r>
        <w:rPr>
          <w:rFonts w:ascii="Figtree" w:hAnsi="Figtree"/>
          <w:b/>
          <w:i w:val="0"/>
          <w:sz w:val="22"/>
        </w:rPr>
        <w:t>Validation:</w:t>
      </w:r>
    </w:p>
    <w:p>
      <w:pPr>
        <w:pStyle w:val="ListParagraph"/>
        <w:numPr>
          <w:ilvl w:val="1"/>
          <w:numId w:val="4"/>
        </w:numPr>
      </w:pPr>
      <w:r>
        <w:rPr>
          <w:rFonts w:ascii="Figtree" w:hAnsi="Figtree"/>
          <w:b w:val="0"/>
          <w:i w:val="0"/>
          <w:sz w:val="22"/>
        </w:rPr>
        <w:t>Review configuration</w:t>
      </w:r>
    </w:p>
    <w:p>
      <w:pPr>
        <w:pStyle w:val="ListParagraph"/>
        <w:numPr>
          <w:ilvl w:val="1"/>
          <w:numId w:val="4"/>
        </w:numPr>
      </w:pPr>
      <w:r>
        <w:rPr>
          <w:rFonts w:ascii="Figtree" w:hAnsi="Figtree"/>
          <w:b w:val="0"/>
          <w:i w:val="0"/>
          <w:sz w:val="22"/>
        </w:rPr>
        <w:t>Dry-run deployment in test environment</w:t>
      </w:r>
    </w:p>
    <w:p>
      <w:pPr>
        <w:pStyle w:val="ListParagraph"/>
        <w:numPr>
          <w:ilvl w:val="1"/>
          <w:numId w:val="4"/>
        </w:numPr>
      </w:pPr>
      <w:r>
        <w:rPr>
          <w:rFonts w:ascii="Figtree" w:hAnsi="Figtree"/>
          <w:b w:val="0"/>
          <w:i w:val="0"/>
          <w:sz w:val="22"/>
        </w:rPr>
        <w:t>Verify compliance rules</w:t>
      </w:r>
    </w:p>
    <w:p>
      <w:pPr>
        <w:pStyle w:val="ListParagraph"/>
        <w:numPr>
          <w:ilvl w:val="0"/>
          <w:numId w:val="11"/>
        </w:numPr>
      </w:pPr>
      <w:r>
        <w:rPr>
          <w:rFonts w:ascii="Figtree" w:hAnsi="Figtree"/>
          <w:b/>
          <w:i w:val="0"/>
          <w:sz w:val="22"/>
        </w:rPr>
        <w:t>Deployment:</w:t>
      </w:r>
    </w:p>
    <w:p>
      <w:pPr>
        <w:pStyle w:val="ListParagraph"/>
        <w:numPr>
          <w:ilvl w:val="1"/>
          <w:numId w:val="4"/>
        </w:numPr>
      </w:pPr>
      <w:r>
        <w:rPr>
          <w:rFonts w:ascii="Figtree" w:hAnsi="Figtree"/>
          <w:b w:val="0"/>
          <w:i w:val="0"/>
          <w:sz w:val="22"/>
        </w:rPr>
        <w:t>Execute deployment in production</w:t>
      </w:r>
    </w:p>
    <w:p>
      <w:pPr>
        <w:pStyle w:val="ListParagraph"/>
        <w:numPr>
          <w:ilvl w:val="1"/>
          <w:numId w:val="4"/>
        </w:numPr>
      </w:pPr>
      <w:r>
        <w:rPr>
          <w:rFonts w:ascii="Figtree" w:hAnsi="Figtree"/>
          <w:b w:val="0"/>
          <w:i w:val="0"/>
          <w:sz w:val="22"/>
        </w:rPr>
        <w:t>Verify contract address</w:t>
      </w:r>
    </w:p>
    <w:p>
      <w:pPr>
        <w:pStyle w:val="ListParagraph"/>
        <w:numPr>
          <w:ilvl w:val="1"/>
          <w:numId w:val="4"/>
        </w:numPr>
      </w:pPr>
      <w:r>
        <w:rPr>
          <w:rFonts w:ascii="Figtree" w:hAnsi="Figtree"/>
          <w:b w:val="0"/>
          <w:i w:val="0"/>
          <w:sz w:val="22"/>
        </w:rPr>
        <w:t>Confirm initial state</w:t>
      </w:r>
    </w:p>
    <w:p>
      <w:pPr>
        <w:pStyle w:val="ListParagraph"/>
        <w:numPr>
          <w:ilvl w:val="0"/>
          <w:numId w:val="11"/>
        </w:numPr>
      </w:pPr>
      <w:r>
        <w:rPr>
          <w:rFonts w:ascii="Figtree" w:hAnsi="Figtree"/>
          <w:b/>
          <w:i w:val="0"/>
          <w:sz w:val="22"/>
        </w:rPr>
        <w:t>Activation:</w:t>
      </w:r>
    </w:p>
    <w:p>
      <w:pPr>
        <w:pStyle w:val="ListParagraph"/>
        <w:numPr>
          <w:ilvl w:val="1"/>
          <w:numId w:val="4"/>
        </w:numPr>
      </w:pPr>
      <w:r>
        <w:rPr>
          <w:rFonts w:ascii="Figtree" w:hAnsi="Figtree"/>
          <w:b w:val="0"/>
          <w:i w:val="0"/>
          <w:sz w:val="22"/>
        </w:rPr>
        <w:t>Assign initial holders</w:t>
      </w:r>
    </w:p>
    <w:p>
      <w:pPr>
        <w:pStyle w:val="ListParagraph"/>
        <w:numPr>
          <w:ilvl w:val="1"/>
          <w:numId w:val="4"/>
        </w:numPr>
      </w:pPr>
      <w:r>
        <w:rPr>
          <w:rFonts w:ascii="Figtree" w:hAnsi="Figtree"/>
          <w:b w:val="0"/>
          <w:i w:val="0"/>
          <w:sz w:val="22"/>
        </w:rPr>
        <w:t>Enable transfers (if applicable)</w:t>
      </w:r>
    </w:p>
    <w:p>
      <w:pPr>
        <w:pStyle w:val="ListParagraph"/>
        <w:numPr>
          <w:ilvl w:val="1"/>
          <w:numId w:val="4"/>
        </w:numPr>
      </w:pPr>
      <w:r>
        <w:rPr>
          <w:rFonts w:ascii="Figtree" w:hAnsi="Figtree"/>
          <w:b w:val="0"/>
          <w:i w:val="0"/>
          <w:sz w:val="22"/>
        </w:rPr>
        <w:t>Notify stakeholders</w:t>
      </w:r>
    </w:p>
    <w:p>
      <w:pPr>
        <w:pStyle w:val="H3"/>
        <w:numPr>
          <w:ilvl w:val="2"/>
          <w:numId w:val="1"/>
        </w:numPr>
      </w:pPr>
      <w:r>
        <w:t>15.6.2 Incident Response: Platform Down</w:t>
      </w:r>
    </w:p>
    <w:p>
      <w:pPr>
        <w:pStyle w:val="ListParagraph"/>
        <w:numPr>
          <w:ilvl w:val="0"/>
          <w:numId w:val="11"/>
        </w:numPr>
      </w:pPr>
      <w:r>
        <w:rPr>
          <w:rFonts w:ascii="Figtree" w:hAnsi="Figtree"/>
          <w:b/>
          <w:i w:val="0"/>
          <w:sz w:val="22"/>
        </w:rPr>
        <w:t>Detection:</w:t>
      </w:r>
    </w:p>
    <w:p>
      <w:pPr>
        <w:pStyle w:val="ListParagraph"/>
        <w:numPr>
          <w:ilvl w:val="1"/>
          <w:numId w:val="4"/>
        </w:numPr>
      </w:pPr>
      <w:r>
        <w:rPr>
          <w:rFonts w:ascii="Figtree" w:hAnsi="Figtree"/>
          <w:b w:val="0"/>
          <w:i w:val="0"/>
          <w:sz w:val="22"/>
        </w:rPr>
        <w:t>Alert triggers from monitoring</w:t>
      </w:r>
    </w:p>
    <w:p>
      <w:pPr>
        <w:pStyle w:val="ListParagraph"/>
        <w:numPr>
          <w:ilvl w:val="1"/>
          <w:numId w:val="4"/>
        </w:numPr>
      </w:pPr>
      <w:r>
        <w:rPr>
          <w:rFonts w:ascii="Figtree" w:hAnsi="Figtree"/>
          <w:b w:val="0"/>
          <w:i w:val="0"/>
          <w:sz w:val="22"/>
        </w:rPr>
        <w:t>User reports via support</w:t>
      </w:r>
    </w:p>
    <w:p>
      <w:pPr>
        <w:pStyle w:val="ListParagraph"/>
        <w:numPr>
          <w:ilvl w:val="0"/>
          <w:numId w:val="11"/>
        </w:numPr>
      </w:pPr>
      <w:r>
        <w:rPr>
          <w:rFonts w:ascii="Figtree" w:hAnsi="Figtree"/>
          <w:b/>
          <w:i w:val="0"/>
          <w:sz w:val="22"/>
        </w:rPr>
        <w:t>Assessment:</w:t>
      </w:r>
    </w:p>
    <w:p>
      <w:pPr>
        <w:pStyle w:val="ListParagraph"/>
        <w:numPr>
          <w:ilvl w:val="1"/>
          <w:numId w:val="4"/>
        </w:numPr>
      </w:pPr>
      <w:r>
        <w:rPr>
          <w:rFonts w:ascii="Figtree" w:hAnsi="Figtree"/>
          <w:b w:val="0"/>
          <w:i w:val="0"/>
          <w:sz w:val="22"/>
        </w:rPr>
        <w:t>Check platform health endpoints</w:t>
      </w:r>
    </w:p>
    <w:p>
      <w:pPr>
        <w:pStyle w:val="ListParagraph"/>
        <w:numPr>
          <w:ilvl w:val="1"/>
          <w:numId w:val="4"/>
        </w:numPr>
      </w:pPr>
      <w:r>
        <w:rPr>
          <w:rFonts w:ascii="Figtree" w:hAnsi="Figtree"/>
          <w:b w:val="0"/>
          <w:i w:val="0"/>
          <w:sz w:val="22"/>
        </w:rPr>
        <w:t>Verify database connectivity</w:t>
      </w:r>
    </w:p>
    <w:p>
      <w:pPr>
        <w:pStyle w:val="ListParagraph"/>
        <w:numPr>
          <w:ilvl w:val="1"/>
          <w:numId w:val="4"/>
        </w:numPr>
      </w:pPr>
      <w:r>
        <w:rPr>
          <w:rFonts w:ascii="Figtree" w:hAnsi="Figtree"/>
          <w:b w:val="0"/>
          <w:i w:val="0"/>
          <w:sz w:val="22"/>
        </w:rPr>
        <w:t>Check blockchain connectivity</w:t>
      </w:r>
    </w:p>
    <w:p>
      <w:pPr>
        <w:pStyle w:val="ListParagraph"/>
        <w:numPr>
          <w:ilvl w:val="0"/>
          <w:numId w:val="11"/>
        </w:numPr>
      </w:pPr>
      <w:r>
        <w:rPr>
          <w:rFonts w:ascii="Figtree" w:hAnsi="Figtree"/>
          <w:b/>
          <w:i w:val="0"/>
          <w:sz w:val="22"/>
        </w:rPr>
        <w:t>Escalation:</w:t>
      </w:r>
    </w:p>
    <w:p>
      <w:pPr>
        <w:pStyle w:val="ListParagraph"/>
        <w:numPr>
          <w:ilvl w:val="1"/>
          <w:numId w:val="4"/>
        </w:numPr>
      </w:pPr>
      <w:r>
        <w:rPr>
          <w:rFonts w:ascii="Figtree" w:hAnsi="Figtree"/>
          <w:b w:val="0"/>
          <w:i w:val="0"/>
          <w:sz w:val="22"/>
        </w:rPr>
        <w:t>P1: Immediate escalation to on-call</w:t>
      </w:r>
    </w:p>
    <w:p>
      <w:pPr>
        <w:pStyle w:val="ListParagraph"/>
        <w:numPr>
          <w:ilvl w:val="1"/>
          <w:numId w:val="4"/>
        </w:numPr>
      </w:pPr>
      <w:r>
        <w:rPr>
          <w:rFonts w:ascii="Figtree" w:hAnsi="Figtree"/>
          <w:b w:val="0"/>
          <w:i w:val="0"/>
          <w:sz w:val="22"/>
        </w:rPr>
        <w:t>Engage incident manager</w:t>
      </w:r>
    </w:p>
    <w:p>
      <w:pPr>
        <w:pStyle w:val="ListParagraph"/>
        <w:numPr>
          <w:ilvl w:val="0"/>
          <w:numId w:val="11"/>
        </w:numPr>
      </w:pPr>
      <w:r>
        <w:rPr>
          <w:rFonts w:ascii="Figtree" w:hAnsi="Figtree"/>
          <w:b/>
          <w:i w:val="0"/>
          <w:sz w:val="22"/>
        </w:rPr>
        <w:t>Resolution:</w:t>
      </w:r>
    </w:p>
    <w:p>
      <w:pPr>
        <w:pStyle w:val="ListParagraph"/>
        <w:numPr>
          <w:ilvl w:val="1"/>
          <w:numId w:val="4"/>
        </w:numPr>
      </w:pPr>
      <w:r>
        <w:rPr>
          <w:rFonts w:ascii="Figtree" w:hAnsi="Figtree"/>
          <w:b w:val="0"/>
          <w:i w:val="0"/>
          <w:sz w:val="22"/>
        </w:rPr>
        <w:t>Identify root cause</w:t>
      </w:r>
    </w:p>
    <w:p>
      <w:pPr>
        <w:pStyle w:val="ListParagraph"/>
        <w:numPr>
          <w:ilvl w:val="1"/>
          <w:numId w:val="4"/>
        </w:numPr>
      </w:pPr>
      <w:r>
        <w:rPr>
          <w:rFonts w:ascii="Figtree" w:hAnsi="Figtree"/>
          <w:b w:val="0"/>
          <w:i w:val="0"/>
          <w:sz w:val="22"/>
        </w:rPr>
        <w:t>Apply fix or workaround</w:t>
      </w:r>
    </w:p>
    <w:p>
      <w:pPr>
        <w:pStyle w:val="ListParagraph"/>
        <w:numPr>
          <w:ilvl w:val="1"/>
          <w:numId w:val="4"/>
        </w:numPr>
      </w:pPr>
      <w:r>
        <w:rPr>
          <w:rFonts w:ascii="Figtree" w:hAnsi="Figtree"/>
          <w:b w:val="0"/>
          <w:i w:val="0"/>
          <w:sz w:val="22"/>
        </w:rPr>
        <w:t>Verify recovery</w:t>
      </w:r>
    </w:p>
    <w:p>
      <w:pPr>
        <w:pStyle w:val="ListParagraph"/>
        <w:numPr>
          <w:ilvl w:val="0"/>
          <w:numId w:val="11"/>
        </w:numPr>
      </w:pPr>
      <w:r>
        <w:rPr>
          <w:rFonts w:ascii="Figtree" w:hAnsi="Figtree"/>
          <w:b/>
          <w:i w:val="0"/>
          <w:sz w:val="22"/>
        </w:rPr>
        <w:t>Post-Incident:</w:t>
      </w:r>
    </w:p>
    <w:p>
      <w:pPr>
        <w:pStyle w:val="ListParagraph"/>
        <w:numPr>
          <w:ilvl w:val="1"/>
          <w:numId w:val="4"/>
        </w:numPr>
      </w:pPr>
      <w:r>
        <w:rPr>
          <w:rFonts w:ascii="Figtree" w:hAnsi="Figtree"/>
          <w:b w:val="0"/>
          <w:i w:val="0"/>
          <w:sz w:val="22"/>
        </w:rPr>
        <w:t>Document timeline</w:t>
      </w:r>
    </w:p>
    <w:p>
      <w:pPr>
        <w:pStyle w:val="ListParagraph"/>
        <w:numPr>
          <w:ilvl w:val="1"/>
          <w:numId w:val="4"/>
        </w:numPr>
      </w:pPr>
      <w:r>
        <w:rPr>
          <w:rFonts w:ascii="Figtree" w:hAnsi="Figtree"/>
          <w:b w:val="0"/>
          <w:i w:val="0"/>
          <w:sz w:val="22"/>
        </w:rPr>
        <w:t>Conduct post-mortem</w:t>
      </w:r>
    </w:p>
    <w:p>
      <w:pPr>
        <w:pStyle w:val="ListParagraph"/>
        <w:numPr>
          <w:ilvl w:val="1"/>
          <w:numId w:val="4"/>
        </w:numPr>
      </w:pPr>
      <w:r>
        <w:rPr>
          <w:rFonts w:ascii="Figtree" w:hAnsi="Figtree"/>
          <w:b w:val="0"/>
          <w:i w:val="0"/>
          <w:sz w:val="22"/>
        </w:rPr>
        <w:t>Implement preventive measures</w:t>
      </w:r>
    </w:p>
    <w:p>
      <w:pPr>
        <w:pStyle w:val="H3"/>
        <w:numPr>
          <w:ilvl w:val="2"/>
          <w:numId w:val="1"/>
        </w:numPr>
      </w:pPr>
      <w:r>
        <w:t>15.6.3 Compliance Violation Response</w:t>
      </w:r>
    </w:p>
    <w:p>
      <w:pPr>
        <w:pStyle w:val="ListParagraph"/>
        <w:numPr>
          <w:ilvl w:val="0"/>
          <w:numId w:val="11"/>
        </w:numPr>
      </w:pPr>
      <w:r>
        <w:rPr>
          <w:rFonts w:ascii="Figtree" w:hAnsi="Figtree"/>
          <w:b/>
          <w:i w:val="0"/>
          <w:sz w:val="22"/>
        </w:rPr>
        <w:t>Detection:</w:t>
      </w:r>
    </w:p>
    <w:p>
      <w:pPr>
        <w:pStyle w:val="ListParagraph"/>
        <w:numPr>
          <w:ilvl w:val="1"/>
          <w:numId w:val="4"/>
        </w:numPr>
      </w:pPr>
      <w:r>
        <w:rPr>
          <w:rFonts w:ascii="Figtree" w:hAnsi="Figtree"/>
          <w:b w:val="0"/>
          <w:i w:val="0"/>
          <w:sz w:val="22"/>
        </w:rPr>
        <w:t>Automated alert from compliance monitoring</w:t>
      </w:r>
    </w:p>
    <w:p>
      <w:pPr>
        <w:pStyle w:val="ListParagraph"/>
        <w:numPr>
          <w:ilvl w:val="1"/>
          <w:numId w:val="4"/>
        </w:numPr>
      </w:pPr>
      <w:r>
        <w:rPr>
          <w:rFonts w:ascii="Figtree" w:hAnsi="Figtree"/>
          <w:b w:val="0"/>
          <w:i w:val="0"/>
          <w:sz w:val="22"/>
        </w:rPr>
        <w:t>Manual review发现</w:t>
      </w:r>
    </w:p>
    <w:p>
      <w:pPr>
        <w:pStyle w:val="ListParagraph"/>
        <w:numPr>
          <w:ilvl w:val="0"/>
          <w:numId w:val="11"/>
        </w:numPr>
      </w:pPr>
      <w:r>
        <w:rPr>
          <w:rFonts w:ascii="Figtree" w:hAnsi="Figtree"/>
          <w:b/>
          <w:i w:val="0"/>
          <w:sz w:val="22"/>
        </w:rPr>
        <w:t>Assessment:</w:t>
      </w:r>
    </w:p>
    <w:p>
      <w:pPr>
        <w:pStyle w:val="ListParagraph"/>
        <w:numPr>
          <w:ilvl w:val="1"/>
          <w:numId w:val="4"/>
        </w:numPr>
      </w:pPr>
      <w:r>
        <w:rPr>
          <w:rFonts w:ascii="Figtree" w:hAnsi="Figtree"/>
          <w:b w:val="0"/>
          <w:i w:val="0"/>
          <w:sz w:val="22"/>
        </w:rPr>
        <w:t>Identify affected transaction</w:t>
      </w:r>
    </w:p>
    <w:p>
      <w:pPr>
        <w:pStyle w:val="ListParagraph"/>
        <w:numPr>
          <w:ilvl w:val="1"/>
          <w:numId w:val="4"/>
        </w:numPr>
      </w:pPr>
      <w:r>
        <w:rPr>
          <w:rFonts w:ascii="Figtree" w:hAnsi="Figtree"/>
          <w:b w:val="0"/>
          <w:i w:val="0"/>
          <w:sz w:val="22"/>
        </w:rPr>
        <w:t>Review compliance logs</w:t>
      </w:r>
    </w:p>
    <w:p>
      <w:pPr>
        <w:pStyle w:val="ListParagraph"/>
        <w:numPr>
          <w:ilvl w:val="1"/>
          <w:numId w:val="4"/>
        </w:numPr>
      </w:pPr>
      <w:r>
        <w:rPr>
          <w:rFonts w:ascii="Figtree" w:hAnsi="Figtree"/>
          <w:b w:val="0"/>
          <w:i w:val="0"/>
          <w:sz w:val="22"/>
        </w:rPr>
        <w:t>Determine violation nature</w:t>
      </w:r>
    </w:p>
    <w:p>
      <w:pPr>
        <w:pStyle w:val="ListParagraph"/>
        <w:numPr>
          <w:ilvl w:val="0"/>
          <w:numId w:val="11"/>
        </w:numPr>
      </w:pPr>
      <w:r>
        <w:rPr>
          <w:rFonts w:ascii="Figtree" w:hAnsi="Figtree"/>
          <w:b/>
          <w:i w:val="0"/>
          <w:sz w:val="22"/>
        </w:rPr>
        <w:t>Containment:</w:t>
      </w:r>
    </w:p>
    <w:p>
      <w:pPr>
        <w:pStyle w:val="ListParagraph"/>
        <w:numPr>
          <w:ilvl w:val="1"/>
          <w:numId w:val="4"/>
        </w:numPr>
      </w:pPr>
      <w:r>
        <w:rPr>
          <w:rFonts w:ascii="Figtree" w:hAnsi="Figtree"/>
          <w:b w:val="0"/>
          <w:i w:val="0"/>
          <w:sz w:val="22"/>
        </w:rPr>
        <w:t>Freeze affected assets (if needed)</w:t>
      </w:r>
    </w:p>
    <w:p>
      <w:pPr>
        <w:pStyle w:val="ListParagraph"/>
        <w:numPr>
          <w:ilvl w:val="1"/>
          <w:numId w:val="4"/>
        </w:numPr>
      </w:pPr>
      <w:r>
        <w:rPr>
          <w:rFonts w:ascii="Figtree" w:hAnsi="Figtree"/>
          <w:b w:val="0"/>
          <w:i w:val="0"/>
          <w:sz w:val="22"/>
        </w:rPr>
        <w:t>Block related transfers</w:t>
      </w:r>
    </w:p>
    <w:p>
      <w:pPr>
        <w:pStyle w:val="ListParagraph"/>
        <w:numPr>
          <w:ilvl w:val="1"/>
          <w:numId w:val="4"/>
        </w:numPr>
      </w:pPr>
      <w:r>
        <w:rPr>
          <w:rFonts w:ascii="Figtree" w:hAnsi="Figtree"/>
          <w:b w:val="0"/>
          <w:i w:val="0"/>
          <w:sz w:val="22"/>
        </w:rPr>
        <w:t>Preserve evidence</w:t>
      </w:r>
    </w:p>
    <w:p>
      <w:pPr>
        <w:pStyle w:val="ListParagraph"/>
        <w:numPr>
          <w:ilvl w:val="0"/>
          <w:numId w:val="11"/>
        </w:numPr>
      </w:pPr>
      <w:r>
        <w:rPr>
          <w:rFonts w:ascii="Figtree" w:hAnsi="Figtree"/>
          <w:b/>
          <w:i w:val="0"/>
          <w:sz w:val="22"/>
        </w:rPr>
        <w:t>Investigation:</w:t>
      </w:r>
    </w:p>
    <w:p>
      <w:pPr>
        <w:pStyle w:val="ListParagraph"/>
        <w:numPr>
          <w:ilvl w:val="1"/>
          <w:numId w:val="4"/>
        </w:numPr>
      </w:pPr>
      <w:r>
        <w:rPr>
          <w:rFonts w:ascii="Figtree" w:hAnsi="Figtree"/>
          <w:b w:val="0"/>
          <w:i w:val="0"/>
          <w:sz w:val="22"/>
        </w:rPr>
        <w:t>Review full transaction history</w:t>
      </w:r>
    </w:p>
    <w:p>
      <w:pPr>
        <w:pStyle w:val="ListParagraph"/>
        <w:numPr>
          <w:ilvl w:val="1"/>
          <w:numId w:val="4"/>
        </w:numPr>
      </w:pPr>
      <w:r>
        <w:rPr>
          <w:rFonts w:ascii="Figtree" w:hAnsi="Figtree"/>
          <w:b w:val="0"/>
          <w:i w:val="0"/>
          <w:sz w:val="22"/>
        </w:rPr>
        <w:t>Interview involved parties</w:t>
      </w:r>
    </w:p>
    <w:p>
      <w:pPr>
        <w:pStyle w:val="ListParagraph"/>
        <w:numPr>
          <w:ilvl w:val="1"/>
          <w:numId w:val="4"/>
        </w:numPr>
      </w:pPr>
      <w:r>
        <w:rPr>
          <w:rFonts w:ascii="Figtree" w:hAnsi="Figtree"/>
          <w:b w:val="0"/>
          <w:i w:val="0"/>
          <w:sz w:val="22"/>
        </w:rPr>
        <w:t>Assess scope of violation</w:t>
      </w:r>
    </w:p>
    <w:p>
      <w:pPr>
        <w:pStyle w:val="ListParagraph"/>
        <w:numPr>
          <w:ilvl w:val="0"/>
          <w:numId w:val="11"/>
        </w:numPr>
      </w:pPr>
      <w:r>
        <w:rPr>
          <w:rFonts w:ascii="Figtree" w:hAnsi="Figtree"/>
          <w:b/>
          <w:i w:val="0"/>
          <w:sz w:val="22"/>
        </w:rPr>
        <w:t>Resolution:</w:t>
      </w:r>
    </w:p>
    <w:p>
      <w:pPr>
        <w:pStyle w:val="ListParagraph"/>
        <w:numPr>
          <w:ilvl w:val="1"/>
          <w:numId w:val="4"/>
        </w:numPr>
      </w:pPr>
      <w:r>
        <w:rPr>
          <w:rFonts w:ascii="Figtree" w:hAnsi="Figtree"/>
          <w:b w:val="0"/>
          <w:i w:val="0"/>
          <w:sz w:val="22"/>
        </w:rPr>
        <w:t>Execute remediation actions</w:t>
      </w:r>
    </w:p>
    <w:p>
      <w:pPr>
        <w:pStyle w:val="ListParagraph"/>
        <w:numPr>
          <w:ilvl w:val="1"/>
          <w:numId w:val="4"/>
        </w:numPr>
      </w:pPr>
      <w:r>
        <w:rPr>
          <w:rFonts w:ascii="Figtree" w:hAnsi="Figtree"/>
          <w:b w:val="0"/>
          <w:i w:val="0"/>
          <w:sz w:val="22"/>
        </w:rPr>
        <w:t>Update compliance rules (if needed)</w:t>
      </w:r>
    </w:p>
    <w:p>
      <w:pPr>
        <w:pStyle w:val="ListParagraph"/>
        <w:numPr>
          <w:ilvl w:val="1"/>
          <w:numId w:val="4"/>
        </w:numPr>
      </w:pPr>
      <w:r>
        <w:rPr>
          <w:rFonts w:ascii="Figtree" w:hAnsi="Figtree"/>
          <w:b w:val="0"/>
          <w:i w:val="0"/>
          <w:sz w:val="22"/>
        </w:rPr>
        <w:t>Document findings</w:t>
      </w:r>
    </w:p>
    <w:p>
      <w:pPr>
        <w:pStyle w:val="ListParagraph"/>
        <w:numPr>
          <w:ilvl w:val="0"/>
          <w:numId w:val="11"/>
        </w:numPr>
      </w:pPr>
      <w:r>
        <w:rPr>
          <w:rFonts w:ascii="Figtree" w:hAnsi="Figtree"/>
          <w:b/>
          <w:i w:val="0"/>
          <w:sz w:val="22"/>
        </w:rPr>
        <w:t>Reporting:</w:t>
      </w:r>
    </w:p>
    <w:p>
      <w:pPr>
        <w:pStyle w:val="ListParagraph"/>
        <w:numPr>
          <w:ilvl w:val="1"/>
          <w:numId w:val="4"/>
        </w:numPr>
      </w:pPr>
      <w:r>
        <w:rPr>
          <w:rFonts w:ascii="Figtree" w:hAnsi="Figtree"/>
          <w:b w:val="0"/>
          <w:i w:val="0"/>
          <w:sz w:val="22"/>
        </w:rPr>
        <w:t>Prepare regulatory report (if required)</w:t>
      </w:r>
    </w:p>
    <w:p>
      <w:pPr>
        <w:pStyle w:val="ListParagraph"/>
        <w:numPr>
          <w:ilvl w:val="1"/>
          <w:numId w:val="4"/>
        </w:numPr>
      </w:pPr>
      <w:r>
        <w:rPr>
          <w:rFonts w:ascii="Figtree" w:hAnsi="Figtree"/>
          <w:b w:val="0"/>
          <w:i w:val="0"/>
          <w:sz w:val="22"/>
        </w:rPr>
        <w:t>Update internal stakeholders</w:t>
      </w:r>
    </w:p>
    <w:p>
      <w:pPr>
        <w:pStyle w:val="ListParagraph"/>
        <w:numPr>
          <w:ilvl w:val="1"/>
          <w:numId w:val="4"/>
        </w:numPr>
      </w:pPr>
      <w:r>
        <w:rPr>
          <w:rFonts w:ascii="Figtree" w:hAnsi="Figtree"/>
          <w:b w:val="0"/>
          <w:i w:val="0"/>
          <w:sz w:val="22"/>
        </w:rPr>
        <w:t>Document lessons learned</w:t>
      </w:r>
    </w:p>
    <w:p>
      <w:r>
        <w:br w:type="page"/>
      </w:r>
    </w:p>
    <w:p>
      <w:pPr>
        <w:pStyle w:val="H1"/>
        <w:numPr>
          <w:ilvl w:val="0"/>
          <w:numId w:val="1"/>
        </w:numPr>
      </w:pPr>
      <w:r>
        <w:t>16. Conclusion</w:t>
      </w:r>
    </w:p>
    <w:p>
      <w:pPr>
        <w:pStyle w:val="H2"/>
        <w:numPr>
          <w:ilvl w:val="1"/>
          <w:numId w:val="1"/>
        </w:numPr>
      </w:pPr>
      <w:r>
        <w:t>16.1 Summary of Value</w:t>
      </w:r>
    </w:p>
    <w:p>
      <w:r>
        <w:rPr>
          <w:rFonts w:ascii="Figtree" w:hAnsi="Figtree"/>
          <w:b w:val="0"/>
          <w:i w:val="0"/>
          <w:sz w:val="22"/>
        </w:rPr>
        <w:t>SettleMint and DALP bring a unique combination of capabilities to ADGM's Digital Asset Regulatory Framework Support Platform:</w:t>
      </w:r>
    </w:p>
    <w:p>
      <w:r>
        <w:rPr>
          <w:rFonts w:ascii="Figtree" w:hAnsi="Figtree"/>
          <w:b/>
          <w:i w:val="0"/>
          <w:sz w:val="22"/>
        </w:rPr>
        <w:t>Production Credibility:</w:t>
      </w:r>
      <w:r>
        <w:rPr>
          <w:rFonts w:ascii="Figtree" w:hAnsi="Figtree"/>
          <w:b w:val="0"/>
          <w:i w:val="0"/>
          <w:sz w:val="22"/>
        </w:rPr>
        <w:t xml:space="preserve"> Seven years of live deployments at regulated financial institutions, including sovereign-scale programmes in the Middle East. ADI-Finstreet demonstrates direct familiarity with Abu Dhabi's digital asset ecosystem.</w:t>
      </w:r>
    </w:p>
    <w:p>
      <w:r>
        <w:rPr>
          <w:rFonts w:ascii="Figtree" w:hAnsi="Figtree"/>
          <w:b/>
          <w:i w:val="0"/>
          <w:sz w:val="22"/>
        </w:rPr>
        <w:t>Regulatory Alignment:</w:t>
      </w:r>
      <w:r>
        <w:rPr>
          <w:rFonts w:ascii="Figtree" w:hAnsi="Figtree"/>
          <w:b w:val="0"/>
          <w:i w:val="0"/>
          <w:sz w:val="22"/>
        </w:rPr>
        <w:t xml:space="preserve"> ERC-3643 foundation with 18 modular compliance types, OnchainID identity, and configurable controls that map to FSMR, UAE AML/CFT, and other UAE regulatory requirements without bespoke development.</w:t>
      </w:r>
    </w:p>
    <w:p>
      <w:r>
        <w:rPr>
          <w:rFonts w:ascii="Figtree" w:hAnsi="Figtree"/>
          <w:b/>
          <w:i w:val="0"/>
          <w:sz w:val="22"/>
        </w:rPr>
        <w:t>Control Integrity:</w:t>
      </w:r>
      <w:r>
        <w:rPr>
          <w:rFonts w:ascii="Figtree" w:hAnsi="Figtree"/>
          <w:b w:val="0"/>
          <w:i w:val="0"/>
          <w:sz w:val="22"/>
        </w:rPr>
        <w:t xml:space="preserve"> Five-layer defense-in-depth security model, dual-layer RBAC, immutable audit trails, and maker-checker workflows that satisfy institutional control requirements.</w:t>
      </w:r>
    </w:p>
    <w:p>
      <w:r>
        <w:rPr>
          <w:rFonts w:ascii="Figtree" w:hAnsi="Figtree"/>
          <w:b/>
          <w:i w:val="0"/>
          <w:sz w:val="22"/>
        </w:rPr>
        <w:t>Operational Excellence:</w:t>
      </w:r>
      <w:r>
        <w:rPr>
          <w:rFonts w:ascii="Figtree" w:hAnsi="Figtree"/>
          <w:b w:val="0"/>
          <w:i w:val="0"/>
          <w:sz w:val="22"/>
        </w:rPr>
        <w:t xml:space="preserve"> API-first architecture, comprehensive observability, tiered support with defined SLAs, and structured implementation methodology with proven delivery track record.</w:t>
      </w:r>
    </w:p>
    <w:p>
      <w:r>
        <w:rPr>
          <w:rFonts w:ascii="Figtree" w:hAnsi="Figtree"/>
          <w:b/>
          <w:i w:val="0"/>
          <w:sz w:val="22"/>
        </w:rPr>
        <w:t>Regional Presence:</w:t>
      </w:r>
      <w:r>
        <w:rPr>
          <w:rFonts w:ascii="Figtree" w:hAnsi="Figtree"/>
          <w:b w:val="0"/>
          <w:i w:val="0"/>
          <w:sz w:val="22"/>
        </w:rPr>
        <w:t xml:space="preserve"> Active programmes in the Gulf region with local support capabilities, providing on-the-ground responsiveness for a programme of this strategic importance.</w:t>
      </w:r>
    </w:p>
    <w:p>
      <w:pPr>
        <w:pStyle w:val="H2"/>
        <w:numPr>
          <w:ilvl w:val="1"/>
          <w:numId w:val="1"/>
        </w:numPr>
      </w:pPr>
      <w:r>
        <w:t>16.2 Call to Action</w:t>
      </w:r>
    </w:p>
    <w:p>
      <w:r>
        <w:rPr>
          <w:rFonts w:ascii="Figtree" w:hAnsi="Figtree"/>
          <w:b w:val="0"/>
          <w:i w:val="0"/>
          <w:sz w:val="22"/>
        </w:rPr>
        <w:t>SettleMint welcomes the opportunity to discuss this proposal in detail with ADGM's evaluation team. The company is prepared to:</w:t>
      </w:r>
    </w:p>
    <w:p>
      <w:pPr>
        <w:pStyle w:val="ListParagraph"/>
        <w:numPr>
          <w:ilvl w:val="0"/>
          <w:numId w:val="4"/>
        </w:numPr>
      </w:pPr>
      <w:r>
        <w:rPr>
          <w:rFonts w:ascii="Figtree" w:hAnsi="Figtree"/>
          <w:b w:val="0"/>
          <w:i w:val="0"/>
          <w:sz w:val="22"/>
        </w:rPr>
        <w:t>Conduct detailed technical demonstrations</w:t>
      </w:r>
    </w:p>
    <w:p>
      <w:pPr>
        <w:pStyle w:val="ListParagraph"/>
        <w:numPr>
          <w:ilvl w:val="0"/>
          <w:numId w:val="4"/>
        </w:numPr>
      </w:pPr>
      <w:r>
        <w:rPr>
          <w:rFonts w:ascii="Figtree" w:hAnsi="Figtree"/>
          <w:b w:val="0"/>
          <w:i w:val="0"/>
          <w:sz w:val="22"/>
        </w:rPr>
        <w:t>Provide reference calls with comparable clients</w:t>
      </w:r>
    </w:p>
    <w:p>
      <w:pPr>
        <w:pStyle w:val="ListParagraph"/>
        <w:numPr>
          <w:ilvl w:val="0"/>
          <w:numId w:val="4"/>
        </w:numPr>
      </w:pPr>
      <w:r>
        <w:rPr>
          <w:rFonts w:ascii="Figtree" w:hAnsi="Figtree"/>
          <w:b w:val="0"/>
          <w:i w:val="0"/>
          <w:sz w:val="22"/>
        </w:rPr>
        <w:t>Develop detailed implementation plans upon selection</w:t>
      </w:r>
    </w:p>
    <w:p>
      <w:pPr>
        <w:pStyle w:val="ListParagraph"/>
        <w:numPr>
          <w:ilvl w:val="0"/>
          <w:numId w:val="4"/>
        </w:numPr>
      </w:pPr>
      <w:r>
        <w:rPr>
          <w:rFonts w:ascii="Figtree" w:hAnsi="Figtree"/>
          <w:b w:val="0"/>
          <w:i w:val="0"/>
          <w:sz w:val="22"/>
        </w:rPr>
        <w:t>Engage in commercial discussions that meet ADGM's procurement requirements</w:t>
      </w:r>
    </w:p>
    <w:p>
      <w:r>
        <w:rPr>
          <w:rFonts w:ascii="Figtree" w:hAnsi="Figtree"/>
          <w:b w:val="0"/>
          <w:i w:val="0"/>
          <w:sz w:val="22"/>
        </w:rPr>
        <w:t>The proposed solution delivers a production-grade Digital Asset Regulatory Framework Support Platform that meets ADGM's functional requirements, control expectations, and timeline objectives.</w:t>
      </w:r>
    </w:p>
    <w:p>
      <w:r>
        <w:br w:type="page"/>
      </w:r>
    </w:p>
    <w:p>
      <w:r>
        <w:rPr>
          <w:rFonts w:ascii="Figtree" w:hAnsi="Figtree"/>
          <w:b w:val="0"/>
          <w:i/>
          <w:sz w:val="22"/>
        </w:rPr>
        <w:t>End of Technical Proposal - Total Document Length: Approximately 20,000+ words</w:t>
      </w:r>
    </w:p>
    <w:p>
      <w:r>
        <w:br w:type="page"/>
      </w:r>
    </w:p>
    <w:p>
      <w:pPr>
        <w:pStyle w:val="H1"/>
        <w:numPr>
          <w:ilvl w:val="0"/>
          <w:numId w:val="1"/>
        </w:numPr>
      </w:pPr>
      <w:r>
        <w:t>17. Extended Technical Specifications</w:t>
      </w:r>
    </w:p>
    <w:p>
      <w:pPr>
        <w:pStyle w:val="H2"/>
        <w:numPr>
          <w:ilvl w:val="1"/>
          <w:numId w:val="1"/>
        </w:numPr>
      </w:pPr>
      <w:r>
        <w:t>17.1 Smart Contract Technical Details</w:t>
      </w:r>
    </w:p>
    <w:p>
      <w:pPr>
        <w:pStyle w:val="H3"/>
        <w:numPr>
          <w:ilvl w:val="2"/>
          <w:numId w:val="1"/>
        </w:numPr>
      </w:pPr>
      <w:r>
        <w:t>17.1.1 SMART Protocol Architecture</w:t>
      </w:r>
    </w:p>
    <w:p>
      <w:r>
        <w:rPr>
          <w:rFonts w:ascii="Figtree" w:hAnsi="Figtree"/>
          <w:b w:val="0"/>
          <w:i w:val="0"/>
          <w:sz w:val="22"/>
        </w:rPr>
        <w:t>The SMART Protocol forms the foundation of all DALP smart contracts, implementing the ERC-3643 standard for regulated security tokens. This section provides detailed technical specifications of the protocol's architecture.</w:t>
      </w:r>
    </w:p>
    <w:p>
      <w:r>
        <w:rPr>
          <w:rFonts w:ascii="Figtree" w:hAnsi="Figtree"/>
          <w:b w:val="0"/>
          <w:i w:val="0"/>
          <w:sz w:val="22"/>
        </w:rPr>
        <w:t>The SMART Protocol implements a layered architecture where each layer builds upon the foundation provided by the layer below. This modular approach allows for flexible configuration while maintaining security guarantees.</w:t>
      </w:r>
    </w:p>
    <w:p>
      <w:r>
        <w:rPr>
          <w:rFonts w:ascii="Figtree" w:hAnsi="Figtree"/>
          <w:b/>
          <w:i w:val="0"/>
          <w:sz w:val="22"/>
        </w:rPr>
        <w:t>Core Layer (SMART Protocol Core):</w:t>
      </w:r>
    </w:p>
    <w:p>
      <w:r>
        <w:rPr>
          <w:rFonts w:ascii="Figtree" w:hAnsi="Figtree"/>
          <w:b w:val="0"/>
          <w:i w:val="0"/>
          <w:sz w:val="22"/>
        </w:rPr>
        <w:t>The core layer provides fundamental token functionality including ERC-20 compatibility, compliance engine integration, and identity verification hooks. This layer is shared across all token implementations and remains stable throughout the platform's lifetime.</w:t>
      </w:r>
    </w:p>
    <w:p>
      <w:r>
        <w:rPr>
          <w:rFonts w:ascii="Figtree" w:hAnsi="Figtree"/>
          <w:b w:val="0"/>
          <w:i w:val="0"/>
          <w:sz w:val="22"/>
        </w:rPr>
        <w:t>The core implements several critical interfaces:</w:t>
      </w:r>
    </w:p>
    <w:p>
      <w:pPr>
        <w:pStyle w:val="ListParagraph"/>
        <w:numPr>
          <w:ilvl w:val="0"/>
          <w:numId w:val="4"/>
        </w:numPr>
      </w:pPr>
      <w:r>
        <w:rPr>
          <w:rFonts w:ascii="Figtree" w:hAnsi="Figtree"/>
          <w:b w:val="0"/>
          <w:i w:val="0"/>
          <w:sz w:val="22"/>
        </w:rPr>
        <w:t>IERC20: Standard token interface for balance and transfer operations</w:t>
      </w:r>
    </w:p>
    <w:p>
      <w:pPr>
        <w:pStyle w:val="ListParagraph"/>
        <w:numPr>
          <w:ilvl w:val="0"/>
          <w:numId w:val="4"/>
        </w:numPr>
      </w:pPr>
      <w:r>
        <w:rPr>
          <w:rFonts w:ascii="Figtree" w:hAnsi="Figtree"/>
          <w:b w:val="0"/>
          <w:i w:val="0"/>
          <w:sz w:val="22"/>
        </w:rPr>
        <w:t>IERC3643: Compliance-aware transfer interface with forced transfer capabilities</w:t>
      </w:r>
    </w:p>
    <w:p>
      <w:pPr>
        <w:pStyle w:val="ListParagraph"/>
        <w:numPr>
          <w:ilvl w:val="0"/>
          <w:numId w:val="4"/>
        </w:numPr>
      </w:pPr>
      <w:r>
        <w:rPr>
          <w:rFonts w:ascii="Figtree" w:hAnsi="Figtree"/>
          <w:b w:val="0"/>
          <w:i w:val="0"/>
          <w:sz w:val="22"/>
        </w:rPr>
        <w:t>IERC734: Key management interface for identity control</w:t>
      </w:r>
    </w:p>
    <w:p>
      <w:pPr>
        <w:pStyle w:val="ListParagraph"/>
        <w:numPr>
          <w:ilvl w:val="0"/>
          <w:numId w:val="4"/>
        </w:numPr>
      </w:pPr>
      <w:r>
        <w:rPr>
          <w:rFonts w:ascii="Figtree" w:hAnsi="Figtree"/>
          <w:b w:val="0"/>
          <w:i w:val="0"/>
          <w:sz w:val="22"/>
        </w:rPr>
        <w:t>IERC735: Claim management interface for identity verification</w:t>
      </w:r>
    </w:p>
    <w:p>
      <w:r>
        <w:rPr>
          <w:rFonts w:ascii="Figtree" w:hAnsi="Figtree"/>
          <w:b/>
          <w:i w:val="0"/>
          <w:sz w:val="22"/>
        </w:rPr>
        <w:t>Extension Layer (SMART Extensions):</w:t>
      </w:r>
    </w:p>
    <w:p>
      <w:r>
        <w:rPr>
          <w:rFonts w:ascii="Figtree" w:hAnsi="Figtree"/>
          <w:b w:val="0"/>
          <w:i w:val="0"/>
          <w:sz w:val="22"/>
        </w:rPr>
        <w:t>The extension layer provides additional capabilities that can be optionally attached to core tokens. These extensions are implemented as separate contracts that integrate through well-defined interfaces.</w:t>
      </w:r>
    </w:p>
    <w:p>
      <w:r>
        <w:rPr>
          <w:rFonts w:ascii="Figtree" w:hAnsi="Figtree"/>
          <w:b w:val="0"/>
          <w:i w:val="0"/>
          <w:sz w:val="22"/>
        </w:rPr>
        <w:t>Available extensions include:</w:t>
      </w:r>
    </w:p>
    <w:p>
      <w:pPr>
        <w:pStyle w:val="ListParagraph"/>
        <w:numPr>
          <w:ilvl w:val="0"/>
          <w:numId w:val="4"/>
        </w:numPr>
      </w:pPr>
      <w:r>
        <w:rPr>
          <w:rFonts w:ascii="Figtree" w:hAnsi="Figtree"/>
          <w:b w:val="0"/>
          <w:i w:val="0"/>
          <w:sz w:val="22"/>
        </w:rPr>
        <w:t>SMARTConfigurable: Runtime configuration of token features and compliance</w:t>
      </w:r>
    </w:p>
    <w:p>
      <w:pPr>
        <w:pStyle w:val="ListParagraph"/>
        <w:numPr>
          <w:ilvl w:val="0"/>
          <w:numId w:val="4"/>
        </w:numPr>
      </w:pPr>
      <w:r>
        <w:rPr>
          <w:rFonts w:ascii="Figtree" w:hAnsi="Figtree"/>
          <w:b w:val="0"/>
          <w:i w:val="0"/>
          <w:sz w:val="22"/>
        </w:rPr>
        <w:t>SMARTFeature: Pluggable features (voting, fees, redemption)</w:t>
      </w:r>
    </w:p>
    <w:p>
      <w:pPr>
        <w:pStyle w:val="ListParagraph"/>
        <w:numPr>
          <w:ilvl w:val="0"/>
          <w:numId w:val="4"/>
        </w:numPr>
      </w:pPr>
      <w:r>
        <w:rPr>
          <w:rFonts w:ascii="Figtree" w:hAnsi="Figtree"/>
          <w:b w:val="0"/>
          <w:i w:val="0"/>
          <w:sz w:val="22"/>
        </w:rPr>
        <w:t>SMARTMintable: Mint and burn capabilities</w:t>
      </w:r>
    </w:p>
    <w:p>
      <w:pPr>
        <w:pStyle w:val="ListParagraph"/>
        <w:numPr>
          <w:ilvl w:val="0"/>
          <w:numId w:val="4"/>
        </w:numPr>
      </w:pPr>
      <w:r>
        <w:rPr>
          <w:rFonts w:ascii="Figtree" w:hAnsi="Figtree"/>
          <w:b w:val="0"/>
          <w:i w:val="0"/>
          <w:sz w:val="22"/>
        </w:rPr>
        <w:t>SMARTPauseable: Emergency pause functionality</w:t>
      </w:r>
    </w:p>
    <w:p>
      <w:pPr>
        <w:pStyle w:val="ListParagraph"/>
        <w:numPr>
          <w:ilvl w:val="0"/>
          <w:numId w:val="4"/>
        </w:numPr>
      </w:pPr>
      <w:r>
        <w:rPr>
          <w:rFonts w:ascii="Figtree" w:hAnsi="Figtree"/>
          <w:b w:val="0"/>
          <w:i w:val="0"/>
          <w:sz w:val="22"/>
        </w:rPr>
        <w:t>SMARTIdentity: Enhanced identity management</w:t>
      </w:r>
    </w:p>
    <w:p>
      <w:r>
        <w:rPr>
          <w:rFonts w:ascii="Figtree" w:hAnsi="Figtree"/>
          <w:b/>
          <w:i w:val="0"/>
          <w:sz w:val="22"/>
        </w:rPr>
        <w:t>Compliance Layer:</w:t>
      </w:r>
    </w:p>
    <w:p>
      <w:r>
        <w:rPr>
          <w:rFonts w:ascii="Figtree" w:hAnsi="Figtree"/>
          <w:b w:val="0"/>
          <w:i w:val="0"/>
          <w:sz w:val="22"/>
        </w:rPr>
        <w:t>The compliance layer implements the modular compliance engine. Each compliance module is an independent contract that implements the IComplianceModule interface. The compliance orchestrator iterates through attached modules, calling the module's verifyTransfer function for each.</w:t>
      </w:r>
    </w:p>
    <w:p>
      <w:r>
        <w:rPr>
          <w:rFonts w:ascii="Figtree" w:hAnsi="Figtree"/>
          <w:b w:val="0"/>
          <w:i w:val="0"/>
          <w:sz w:val="22"/>
        </w:rPr>
        <w:t>This architecture ensures that:</w:t>
      </w:r>
    </w:p>
    <w:p>
      <w:pPr>
        <w:pStyle w:val="ListParagraph"/>
        <w:numPr>
          <w:ilvl w:val="0"/>
          <w:numId w:val="4"/>
        </w:numPr>
      </w:pPr>
      <w:r>
        <w:rPr>
          <w:rFonts w:ascii="Figtree" w:hAnsi="Figtree"/>
          <w:b w:val="0"/>
          <w:i w:val="0"/>
          <w:sz w:val="22"/>
        </w:rPr>
        <w:t>Compliance logic is isolated from token logic</w:t>
      </w:r>
    </w:p>
    <w:p>
      <w:pPr>
        <w:pStyle w:val="ListParagraph"/>
        <w:numPr>
          <w:ilvl w:val="0"/>
          <w:numId w:val="4"/>
        </w:numPr>
      </w:pPr>
      <w:r>
        <w:rPr>
          <w:rFonts w:ascii="Figtree" w:hAnsi="Figtree"/>
          <w:b w:val="0"/>
          <w:i w:val="0"/>
          <w:sz w:val="22"/>
        </w:rPr>
        <w:t>New compliance rules can be added without modifying token contracts</w:t>
      </w:r>
    </w:p>
    <w:p>
      <w:pPr>
        <w:pStyle w:val="ListParagraph"/>
        <w:numPr>
          <w:ilvl w:val="0"/>
          <w:numId w:val="4"/>
        </w:numPr>
      </w:pPr>
      <w:r>
        <w:rPr>
          <w:rFonts w:ascii="Figtree" w:hAnsi="Figtree"/>
          <w:b w:val="0"/>
          <w:i w:val="0"/>
          <w:sz w:val="22"/>
        </w:rPr>
        <w:t>Compliance modules can be independently audited</w:t>
      </w:r>
    </w:p>
    <w:p>
      <w:pPr>
        <w:pStyle w:val="ListParagraph"/>
        <w:numPr>
          <w:ilvl w:val="0"/>
          <w:numId w:val="4"/>
        </w:numPr>
      </w:pPr>
      <w:r>
        <w:rPr>
          <w:rFonts w:ascii="Figtree" w:hAnsi="Figtree"/>
          <w:b w:val="0"/>
          <w:i w:val="0"/>
          <w:sz w:val="22"/>
        </w:rPr>
        <w:t>Runtime configuration changes do not require contract upgrades</w:t>
      </w:r>
    </w:p>
    <w:p>
      <w:pPr>
        <w:pStyle w:val="H3"/>
        <w:numPr>
          <w:ilvl w:val="2"/>
          <w:numId w:val="1"/>
        </w:numPr>
      </w:pPr>
      <w:r>
        <w:t>17.1.2 DALPAsset Contract Specification</w:t>
      </w:r>
    </w:p>
    <w:p>
      <w:r>
        <w:rPr>
          <w:rFonts w:ascii="Figtree" w:hAnsi="Figtree"/>
          <w:b w:val="0"/>
          <w:i w:val="0"/>
          <w:sz w:val="22"/>
        </w:rPr>
        <w:t>DALPAsset is the recommended contract type for new tokenization projects. This section provides detailed specifications.</w:t>
      </w:r>
    </w:p>
    <w:p>
      <w:r>
        <w:rPr>
          <w:rFonts w:ascii="Figtree" w:hAnsi="Figtree"/>
          <w:b/>
          <w:i w:val="0"/>
          <w:sz w:val="22"/>
        </w:rPr>
        <w:t>Constructor Parameters:</w:t>
      </w:r>
    </w:p>
    <w:p>
      <w:pPr>
        <w:pStyle w:val="ListParagraph"/>
        <w:numPr>
          <w:ilvl w:val="0"/>
          <w:numId w:val="4"/>
        </w:numPr>
      </w:pPr>
      <w:r>
        <w:rPr>
          <w:rFonts w:ascii="Figtree" w:hAnsi="Figtree"/>
          <w:b w:val="0"/>
          <w:i w:val="0"/>
          <w:sz w:val="22"/>
        </w:rPr>
        <w:t>name: string - Full name of the token</w:t>
      </w:r>
    </w:p>
    <w:p>
      <w:pPr>
        <w:pStyle w:val="ListParagraph"/>
        <w:numPr>
          <w:ilvl w:val="0"/>
          <w:numId w:val="4"/>
        </w:numPr>
      </w:pPr>
      <w:r>
        <w:rPr>
          <w:rFonts w:ascii="Figtree" w:hAnsi="Figtree"/>
          <w:b w:val="0"/>
          <w:i w:val="0"/>
          <w:sz w:val="22"/>
        </w:rPr>
        <w:t>symbol: string - Trading symbol (typically 3-10 characters)</w:t>
      </w:r>
    </w:p>
    <w:p>
      <w:pPr>
        <w:pStyle w:val="ListParagraph"/>
        <w:numPr>
          <w:ilvl w:val="0"/>
          <w:numId w:val="4"/>
        </w:numPr>
      </w:pPr>
      <w:r>
        <w:rPr>
          <w:rFonts w:ascii="Figtree" w:hAnsi="Figtree"/>
          <w:b w:val="0"/>
          <w:i w:val="0"/>
          <w:sz w:val="22"/>
        </w:rPr>
        <w:t>decimals: uint8 - Decimal precision (0 for whole units, 2 for cents, etc.)</w:t>
      </w:r>
    </w:p>
    <w:p>
      <w:pPr>
        <w:pStyle w:val="ListParagraph"/>
        <w:numPr>
          <w:ilvl w:val="0"/>
          <w:numId w:val="4"/>
        </w:numPr>
      </w:pPr>
      <w:r>
        <w:rPr>
          <w:rFonts w:ascii="Figtree" w:hAnsi="Figtree"/>
          <w:b w:val="0"/>
          <w:i w:val="0"/>
          <w:sz w:val="22"/>
        </w:rPr>
        <w:t>supply: uint256 - Initial total supply (if minting to deployer)</w:t>
      </w:r>
    </w:p>
    <w:p>
      <w:pPr>
        <w:pStyle w:val="ListParagraph"/>
        <w:numPr>
          <w:ilvl w:val="0"/>
          <w:numId w:val="4"/>
        </w:numPr>
      </w:pPr>
      <w:r>
        <w:rPr>
          <w:rFonts w:ascii="Figtree" w:hAnsi="Figtree"/>
          <w:b w:val="0"/>
          <w:i w:val="0"/>
          <w:sz w:val="22"/>
        </w:rPr>
        <w:t>identity: address - OnchainID contract for this token</w:t>
      </w:r>
    </w:p>
    <w:p>
      <w:pPr>
        <w:pStyle w:val="ListParagraph"/>
        <w:numPr>
          <w:ilvl w:val="0"/>
          <w:numId w:val="4"/>
        </w:numPr>
      </w:pPr>
      <w:r>
        <w:rPr>
          <w:rFonts w:ascii="Figtree" w:hAnsi="Figtree"/>
          <w:b w:val="0"/>
          <w:i w:val="0"/>
          <w:sz w:val="22"/>
        </w:rPr>
        <w:t>compliance: address - Compliance module registry</w:t>
      </w:r>
    </w:p>
    <w:p>
      <w:pPr>
        <w:pStyle w:val="ListParagraph"/>
        <w:numPr>
          <w:ilvl w:val="0"/>
          <w:numId w:val="4"/>
        </w:numPr>
      </w:pPr>
      <w:r>
        <w:rPr>
          <w:rFonts w:ascii="Figtree" w:hAnsi="Figtree"/>
          <w:b w:val="0"/>
          <w:i w:val="0"/>
          <w:sz w:val="22"/>
        </w:rPr>
        <w:t>features: address[] - Initial feature modules to attach</w:t>
      </w:r>
    </w:p>
    <w:p>
      <w:r>
        <w:rPr>
          <w:rFonts w:ascii="Figtree" w:hAnsi="Figtree"/>
          <w:b/>
          <w:i w:val="0"/>
          <w:sz w:val="22"/>
        </w:rPr>
        <w:t>Key Functions:</w:t>
      </w:r>
    </w:p>
    <w:p>
      <w:r>
        <w:rPr>
          <w:rFonts w:ascii="Figtree" w:hAnsi="Figtree"/>
          <w:b/>
          <w:i w:val="0"/>
          <w:sz w:val="22"/>
        </w:rPr>
        <w:t>Access Control Roles: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97"/>
        <w:gridCol w:w="2697"/>
        <w:gridCol w:w="367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Capabilities</w:t>
            </w:r>
          </w:p>
        </w:tc>
      </w:tr>
      <w:tr>
        <w:trPr>
          <w:trHeight w:val="425" w:hRule="atLeast"/>
        </w:trPr>
        <w:tc>
          <w:tcPr>
            <w:tcW w:type="dxa" w:w="3249"/>
            <w:vAlign w:val="center"/>
          </w:tcPr>
          <w:p>
            <w:pPr>
              <w:spacing w:line="276" w:lineRule="auto" w:before="0" w:after="0"/>
            </w:pPr>
            <w:r/>
            <w:r>
              <w:rPr>
                <w:rFonts w:ascii="Figtree" w:hAnsi="Figtree"/>
                <w:b w:val="0"/>
                <w:i w:val="0"/>
                <w:sz w:val="20"/>
              </w:rPr>
              <w:t>DEFAULT</w:t>
            </w:r>
            <w:r>
              <w:rPr>
                <w:rFonts w:ascii="Figtree" w:hAnsi="Figtree"/>
                <w:b w:val="0"/>
                <w:i/>
                <w:sz w:val="20"/>
              </w:rPr>
              <w:t>ADMIN</w:t>
            </w:r>
            <w:r>
              <w:rPr>
                <w:rFonts w:ascii="Figtree" w:hAnsi="Figtree"/>
                <w:b w:val="0"/>
                <w:i w:val="0"/>
                <w:sz w:val="20"/>
              </w:rPr>
              <w:t>ROLE</w:t>
            </w:r>
          </w:p>
        </w:tc>
        <w:tc>
          <w:tcPr>
            <w:tcW w:type="dxa" w:w="3249"/>
            <w:vAlign w:val="center"/>
          </w:tcPr>
          <w:p>
            <w:pPr>
              <w:spacing w:line="276" w:lineRule="auto" w:before="0" w:after="0"/>
            </w:pPr>
            <w:r/>
            <w:r>
              <w:rPr>
                <w:rFonts w:ascii="Figtree" w:hAnsi="Figtree"/>
                <w:b w:val="0"/>
                <w:i w:val="0"/>
                <w:sz w:val="20"/>
              </w:rPr>
              <w:t>Token owner</w:t>
            </w:r>
          </w:p>
        </w:tc>
        <w:tc>
          <w:tcPr>
            <w:tcW w:type="dxa" w:w="3249"/>
            <w:vAlign w:val="center"/>
          </w:tcPr>
          <w:p>
            <w:pPr>
              <w:spacing w:line="276" w:lineRule="auto" w:before="0" w:after="0"/>
            </w:pPr>
            <w:r/>
            <w:r>
              <w:rPr>
                <w:rFonts w:ascii="Figtree" w:hAnsi="Figtree"/>
                <w:b w:val="0"/>
                <w:i w:val="0"/>
                <w:sz w:val="20"/>
              </w:rPr>
              <w:t>Grant/revoke all roles</w:t>
            </w:r>
          </w:p>
        </w:tc>
      </w:tr>
      <w:tr>
        <w:trPr>
          <w:trHeight w:val="425" w:hRule="atLeast"/>
        </w:trPr>
        <w:tc>
          <w:tcPr>
            <w:tcW w:type="dxa" w:w="3249"/>
            <w:vAlign w:val="center"/>
          </w:tcPr>
          <w:p>
            <w:pPr>
              <w:spacing w:line="276" w:lineRule="auto" w:before="0" w:after="0"/>
            </w:pPr>
            <w:r/>
            <w:r>
              <w:rPr>
                <w:rFonts w:ascii="Figtree" w:hAnsi="Figtree"/>
                <w:b w:val="0"/>
                <w:i w:val="0"/>
                <w:sz w:val="20"/>
              </w:rPr>
              <w:t>GOVERNANCE_ROLE</w:t>
            </w:r>
          </w:p>
        </w:tc>
        <w:tc>
          <w:tcPr>
            <w:tcW w:type="dxa" w:w="3249"/>
            <w:vAlign w:val="center"/>
          </w:tcPr>
          <w:p>
            <w:pPr>
              <w:spacing w:line="276" w:lineRule="auto" w:before="0" w:after="0"/>
            </w:pPr>
            <w:r/>
            <w:r>
              <w:rPr>
                <w:rFonts w:ascii="Figtree" w:hAnsi="Figtree"/>
                <w:b w:val="0"/>
                <w:i w:val="0"/>
                <w:sz w:val="20"/>
              </w:rPr>
              <w:t>Governance controller</w:t>
            </w:r>
          </w:p>
        </w:tc>
        <w:tc>
          <w:tcPr>
            <w:tcW w:type="dxa" w:w="3249"/>
            <w:vAlign w:val="center"/>
          </w:tcPr>
          <w:p>
            <w:pPr>
              <w:spacing w:line="276" w:lineRule="auto" w:before="0" w:after="0"/>
            </w:pPr>
            <w:r/>
            <w:r>
              <w:rPr>
                <w:rFonts w:ascii="Figtree" w:hAnsi="Figtree"/>
                <w:b w:val="0"/>
                <w:i w:val="0"/>
                <w:sz w:val="20"/>
              </w:rPr>
              <w:t>Compliance, features, metadata</w:t>
            </w:r>
          </w:p>
        </w:tc>
      </w:tr>
      <w:tr>
        <w:trPr>
          <w:trHeight w:val="425" w:hRule="atLeast"/>
        </w:trPr>
        <w:tc>
          <w:tcPr>
            <w:tcW w:type="dxa" w:w="3249"/>
            <w:vAlign w:val="center"/>
          </w:tcPr>
          <w:p>
            <w:pPr>
              <w:spacing w:line="276" w:lineRule="auto" w:before="0" w:after="0"/>
            </w:pPr>
            <w:r/>
            <w:r>
              <w:rPr>
                <w:rFonts w:ascii="Figtree" w:hAnsi="Figtree"/>
                <w:b w:val="0"/>
                <w:i w:val="0"/>
                <w:sz w:val="20"/>
              </w:rPr>
              <w:t>SUPPLY</w:t>
            </w:r>
            <w:r>
              <w:rPr>
                <w:rFonts w:ascii="Figtree" w:hAnsi="Figtree"/>
                <w:b w:val="0"/>
                <w:i/>
                <w:sz w:val="20"/>
              </w:rPr>
              <w:t>MANAGEMENT</w:t>
            </w:r>
            <w:r>
              <w:rPr>
                <w:rFonts w:ascii="Figtree" w:hAnsi="Figtree"/>
                <w:b w:val="0"/>
                <w:i w:val="0"/>
                <w:sz w:val="20"/>
              </w:rPr>
              <w:t>ROLE</w:t>
            </w:r>
          </w:p>
        </w:tc>
        <w:tc>
          <w:tcPr>
            <w:tcW w:type="dxa" w:w="3249"/>
            <w:vAlign w:val="center"/>
          </w:tcPr>
          <w:p>
            <w:pPr>
              <w:spacing w:line="276" w:lineRule="auto" w:before="0" w:after="0"/>
            </w:pPr>
            <w:r/>
            <w:r>
              <w:rPr>
                <w:rFonts w:ascii="Figtree" w:hAnsi="Figtree"/>
                <w:b w:val="0"/>
                <w:i w:val="0"/>
                <w:sz w:val="20"/>
              </w:rPr>
              <w:t>Supply controller</w:t>
            </w:r>
          </w:p>
        </w:tc>
        <w:tc>
          <w:tcPr>
            <w:tcW w:type="dxa" w:w="3249"/>
            <w:vAlign w:val="center"/>
          </w:tcPr>
          <w:p>
            <w:pPr>
              <w:spacing w:line="276" w:lineRule="auto" w:before="0" w:after="0"/>
            </w:pPr>
            <w:r/>
            <w:r>
              <w:rPr>
                <w:rFonts w:ascii="Figtree" w:hAnsi="Figtree"/>
                <w:b w:val="0"/>
                <w:i w:val="0"/>
                <w:sz w:val="20"/>
              </w:rPr>
              <w:t>Mint, burn</w:t>
            </w:r>
          </w:p>
        </w:tc>
      </w:tr>
      <w:tr>
        <w:trPr>
          <w:trHeight w:val="425" w:hRule="atLeast"/>
        </w:trPr>
        <w:tc>
          <w:tcPr>
            <w:tcW w:type="dxa" w:w="3249"/>
            <w:vAlign w:val="center"/>
          </w:tcPr>
          <w:p>
            <w:pPr>
              <w:spacing w:line="276" w:lineRule="auto" w:before="0" w:after="0"/>
            </w:pPr>
            <w:r/>
            <w:r>
              <w:rPr>
                <w:rFonts w:ascii="Figtree" w:hAnsi="Figtree"/>
                <w:b w:val="0"/>
                <w:i w:val="0"/>
                <w:sz w:val="20"/>
              </w:rPr>
              <w:t>CUSTODIAN_ROLE</w:t>
            </w:r>
          </w:p>
        </w:tc>
        <w:tc>
          <w:tcPr>
            <w:tcW w:type="dxa" w:w="3249"/>
            <w:vAlign w:val="center"/>
          </w:tcPr>
          <w:p>
            <w:pPr>
              <w:spacing w:line="276" w:lineRule="auto" w:before="0" w:after="0"/>
            </w:pPr>
            <w:r/>
            <w:r>
              <w:rPr>
                <w:rFonts w:ascii="Figtree" w:hAnsi="Figtree"/>
                <w:b w:val="0"/>
                <w:i w:val="0"/>
                <w:sz w:val="20"/>
              </w:rPr>
              <w:t>Custodian operations</w:t>
            </w:r>
          </w:p>
        </w:tc>
        <w:tc>
          <w:tcPr>
            <w:tcW w:type="dxa" w:w="3249"/>
            <w:vAlign w:val="center"/>
          </w:tcPr>
          <w:p>
            <w:pPr>
              <w:spacing w:line="276" w:lineRule="auto" w:before="0" w:after="0"/>
            </w:pPr>
            <w:r/>
            <w:r>
              <w:rPr>
                <w:rFonts w:ascii="Figtree" w:hAnsi="Figtree"/>
                <w:b w:val="0"/>
                <w:i w:val="0"/>
                <w:sz w:val="20"/>
              </w:rPr>
              <w:t>Forced transfers, freezing</w:t>
            </w:r>
          </w:p>
        </w:tc>
      </w:tr>
      <w:tr>
        <w:trPr>
          <w:trHeight w:val="425" w:hRule="atLeast"/>
        </w:trPr>
        <w:tc>
          <w:tcPr>
            <w:tcW w:type="dxa" w:w="3249"/>
            <w:vAlign w:val="center"/>
          </w:tcPr>
          <w:p>
            <w:pPr>
              <w:spacing w:line="276" w:lineRule="auto" w:before="0" w:after="0"/>
            </w:pPr>
            <w:r/>
            <w:r>
              <w:rPr>
                <w:rFonts w:ascii="Figtree" w:hAnsi="Figtree"/>
                <w:b w:val="0"/>
                <w:i w:val="0"/>
                <w:sz w:val="20"/>
              </w:rPr>
              <w:t>EMERGENCY_ROLE</w:t>
            </w:r>
          </w:p>
        </w:tc>
        <w:tc>
          <w:tcPr>
            <w:tcW w:type="dxa" w:w="3249"/>
            <w:vAlign w:val="center"/>
          </w:tcPr>
          <w:p>
            <w:pPr>
              <w:spacing w:line="276" w:lineRule="auto" w:before="0" w:after="0"/>
            </w:pPr>
            <w:r/>
            <w:r>
              <w:rPr>
                <w:rFonts w:ascii="Figtree" w:hAnsi="Figtree"/>
                <w:b w:val="0"/>
                <w:i w:val="0"/>
                <w:sz w:val="20"/>
              </w:rPr>
              <w:t>Emergency response</w:t>
            </w:r>
          </w:p>
        </w:tc>
        <w:tc>
          <w:tcPr>
            <w:tcW w:type="dxa" w:w="3249"/>
            <w:vAlign w:val="center"/>
          </w:tcPr>
          <w:p>
            <w:pPr>
              <w:spacing w:line="276" w:lineRule="auto" w:before="0" w:after="0"/>
            </w:pPr>
            <w:r/>
            <w:r>
              <w:rPr>
                <w:rFonts w:ascii="Figtree" w:hAnsi="Figtree"/>
                <w:b w:val="0"/>
                <w:i w:val="0"/>
                <w:sz w:val="20"/>
              </w:rPr>
              <w:t>Pause/unpause</w:t>
            </w:r>
          </w:p>
        </w:tc>
      </w:tr>
      <w:tr>
        <w:trPr>
          <w:trHeight w:val="425" w:hRule="atLeast"/>
        </w:trPr>
        <w:tc>
          <w:tcPr>
            <w:tcW w:type="dxa" w:w="3249"/>
            <w:vAlign w:val="center"/>
          </w:tcPr>
          <w:p>
            <w:pPr>
              <w:spacing w:line="276" w:lineRule="auto" w:before="0" w:after="0"/>
            </w:pPr>
            <w:r/>
            <w:r>
              <w:rPr>
                <w:rFonts w:ascii="Figtree" w:hAnsi="Figtree"/>
                <w:b w:val="0"/>
                <w:i w:val="0"/>
                <w:sz w:val="20"/>
              </w:rPr>
              <w:t>TRANSFER_ROLE</w:t>
            </w:r>
          </w:p>
        </w:tc>
        <w:tc>
          <w:tcPr>
            <w:tcW w:type="dxa" w:w="3249"/>
            <w:vAlign w:val="center"/>
          </w:tcPr>
          <w:p>
            <w:pPr>
              <w:spacing w:line="276" w:lineRule="auto" w:before="0" w:after="0"/>
            </w:pPr>
            <w:r/>
            <w:r>
              <w:rPr>
                <w:rFonts w:ascii="Figtree" w:hAnsi="Figtree"/>
                <w:b w:val="0"/>
                <w:i w:val="0"/>
                <w:sz w:val="20"/>
              </w:rPr>
              <w:t>Transfer authorization</w:t>
            </w:r>
          </w:p>
        </w:tc>
        <w:tc>
          <w:tcPr>
            <w:tcW w:type="dxa" w:w="3249"/>
            <w:vAlign w:val="center"/>
          </w:tcPr>
          <w:p>
            <w:pPr>
              <w:spacing w:line="276" w:lineRule="auto" w:before="0" w:after="0"/>
            </w:pPr>
            <w:r/>
            <w:r>
              <w:rPr>
                <w:rFonts w:ascii="Figtree" w:hAnsi="Figtree"/>
                <w:b w:val="0"/>
                <w:i w:val="0"/>
                <w:sz w:val="20"/>
              </w:rPr>
              <w:t>Approve transfers</w:t>
            </w:r>
          </w:p>
        </w:tc>
      </w:tr>
    </w:tbl>
    <w:p>
      <w:pPr>
        <w:spacing w:before="0" w:after="0" w:line="120" w:lineRule="exact"/>
      </w:pPr>
    </w:p>
    <w:p>
      <w:pPr>
        <w:pStyle w:val="H3"/>
        <w:numPr>
          <w:ilvl w:val="2"/>
          <w:numId w:val="1"/>
        </w:numPr>
      </w:pPr>
      <w:r>
        <w:t>17.1.3 Factory Deployment Details</w:t>
      </w:r>
    </w:p>
    <w:p>
      <w:r>
        <w:rPr>
          <w:rFonts w:ascii="Figtree" w:hAnsi="Figtree"/>
          <w:b w:val="0"/>
          <w:i w:val="0"/>
          <w:sz w:val="22"/>
        </w:rPr>
        <w:t>All DALP assets are deployed through a factory pattern that ensures consistency and security:</w:t>
      </w:r>
    </w:p>
    <w:p>
      <w:r>
        <w:rPr>
          <w:rFonts w:ascii="Figtree" w:hAnsi="Figtree"/>
          <w:b/>
          <w:i w:val="0"/>
          <w:sz w:val="22"/>
        </w:rPr>
        <w:t>Deployment Flow:</w:t>
      </w:r>
    </w:p>
    <w:p>
      <w:pPr>
        <w:jc w:val="center"/>
      </w:pPr>
      <w:r>
        <w:drawing>
          <wp:inline xmlns:a="http://schemas.openxmlformats.org/drawingml/2006/main" xmlns:pic="http://schemas.openxmlformats.org/drawingml/2006/picture">
            <wp:extent cx="5486400" cy="5745325"/>
            <wp:docPr id="15" name="Picture 15"/>
            <wp:cNvGraphicFramePr>
              <a:graphicFrameLocks noChangeAspect="1"/>
            </wp:cNvGraphicFramePr>
            <a:graphic>
              <a:graphicData uri="http://schemas.openxmlformats.org/drawingml/2006/picture">
                <pic:pic>
                  <pic:nvPicPr>
                    <pic:cNvPr id="0" name="_diagram-015.png"/>
                    <pic:cNvPicPr/>
                  </pic:nvPicPr>
                  <pic:blipFill>
                    <a:blip r:embed="rId27"/>
                    <a:stretch>
                      <a:fillRect/>
                    </a:stretch>
                  </pic:blipFill>
                  <pic:spPr>
                    <a:xfrm>
                      <a:off x="0" y="0"/>
                      <a:ext cx="5486400" cy="5745325"/>
                    </a:xfrm>
                    <a:prstGeom prst="rect"/>
                  </pic:spPr>
                </pic:pic>
              </a:graphicData>
            </a:graphic>
          </wp:inline>
        </w:drawing>
      </w:r>
    </w:p>
    <w:p>
      <w:r>
        <w:rPr>
          <w:rFonts w:ascii="Figtree" w:hAnsi="Figtree"/>
          <w:b/>
          <w:i w:val="0"/>
          <w:sz w:val="22"/>
        </w:rPr>
        <w:t>Deterministic Addressing:</w:t>
      </w:r>
    </w:p>
    <w:p>
      <w:r>
        <w:rPr>
          <w:rFonts w:ascii="Figtree" w:hAnsi="Figtree"/>
          <w:b w:val="0"/>
          <w:i w:val="0"/>
          <w:sz w:val="22"/>
        </w:rPr>
        <w:t>The factory uses CREATE2 to ensure deterministic addressing. The token address is computed as:</w:t>
      </w:r>
    </w:p>
    <w:p>
      <w:r>
        <w:rPr>
          <w:rFonts w:ascii="Figtree" w:hAnsi="Figtree"/>
          <w:b w:val="0"/>
          <w:i w:val="0"/>
          <w:sz w:val="22"/>
        </w:rPr>
        <w:t>This allows external systems to be configured with the expected token address before deployment.</w:t>
      </w:r>
    </w:p>
    <w:p>
      <w:pPr>
        <w:pStyle w:val="H3"/>
        <w:numPr>
          <w:ilvl w:val="2"/>
          <w:numId w:val="1"/>
        </w:numPr>
      </w:pPr>
      <w:r>
        <w:t>17.1.4 Upgrade Mechanism (UUPS)</w:t>
      </w:r>
    </w:p>
    <w:p>
      <w:r>
        <w:rPr>
          <w:rFonts w:ascii="Figtree" w:hAnsi="Figtree"/>
          <w:b w:val="0"/>
          <w:i w:val="0"/>
          <w:sz w:val="22"/>
        </w:rPr>
        <w:t>DALPAsset supports upgradeability through the UUPS (Universal Upgradeable Proxy Standard) pattern:</w:t>
      </w:r>
    </w:p>
    <w:p>
      <w:r>
        <w:rPr>
          <w:rFonts w:ascii="Figtree" w:hAnsi="Figtree"/>
          <w:b/>
          <w:i w:val="0"/>
          <w:sz w:val="22"/>
        </w:rPr>
        <w:t>Proxy Architecture:</w:t>
      </w:r>
    </w:p>
    <w:p>
      <w:pPr>
        <w:pStyle w:val="ListParagraph"/>
        <w:numPr>
          <w:ilvl w:val="0"/>
          <w:numId w:val="4"/>
        </w:numPr>
      </w:pPr>
      <w:r>
        <w:rPr>
          <w:rFonts w:ascii="Figtree" w:hAnsi="Figtree"/>
          <w:b w:val="0"/>
          <w:i w:val="0"/>
          <w:sz w:val="22"/>
        </w:rPr>
        <w:t>Proxy contract: Holds all state (balances, compliance config, identity)</w:t>
      </w:r>
    </w:p>
    <w:p>
      <w:pPr>
        <w:pStyle w:val="ListParagraph"/>
        <w:numPr>
          <w:ilvl w:val="0"/>
          <w:numId w:val="4"/>
        </w:numPr>
      </w:pPr>
      <w:r>
        <w:rPr>
          <w:rFonts w:ascii="Figtree" w:hAnsi="Figtree"/>
          <w:b w:val="0"/>
          <w:i w:val="0"/>
          <w:sz w:val="22"/>
        </w:rPr>
        <w:t>Implementation contract: Contains execution logic</w:t>
      </w:r>
    </w:p>
    <w:p>
      <w:pPr>
        <w:pStyle w:val="ListParagraph"/>
        <w:numPr>
          <w:ilvl w:val="0"/>
          <w:numId w:val="4"/>
        </w:numPr>
      </w:pPr>
      <w:r>
        <w:rPr>
          <w:rFonts w:ascii="Figtree" w:hAnsi="Figtree"/>
          <w:b w:val="0"/>
          <w:i w:val="0"/>
          <w:sz w:val="22"/>
        </w:rPr>
        <w:t>Storage layout: Structured to prevent storage collisions during upgrades</w:t>
      </w:r>
    </w:p>
    <w:p>
      <w:r>
        <w:rPr>
          <w:rFonts w:ascii="Figtree" w:hAnsi="Figtree"/>
          <w:b/>
          <w:i w:val="0"/>
          <w:sz w:val="22"/>
        </w:rPr>
        <w:t>Upgrade Process:</w:t>
      </w:r>
    </w:p>
    <w:p>
      <w:pPr>
        <w:pStyle w:val="ListParagraph"/>
        <w:numPr>
          <w:ilvl w:val="0"/>
          <w:numId w:val="12"/>
        </w:numPr>
      </w:pPr>
      <w:r>
        <w:rPr>
          <w:rFonts w:ascii="Figtree" w:hAnsi="Figtree"/>
          <w:b w:val="0"/>
          <w:i w:val="0"/>
          <w:sz w:val="22"/>
        </w:rPr>
        <w:t>New implementation contract is deployed</w:t>
      </w:r>
    </w:p>
    <w:p>
      <w:pPr>
        <w:pStyle w:val="ListParagraph"/>
        <w:numPr>
          <w:ilvl w:val="0"/>
          <w:numId w:val="12"/>
        </w:numPr>
      </w:pPr>
      <w:r>
        <w:rPr>
          <w:rFonts w:ascii="Figtree" w:hAnsi="Figtree"/>
          <w:b w:val="0"/>
          <w:i w:val="0"/>
          <w:sz w:val="22"/>
        </w:rPr>
        <w:t>Governance approves upgrade through role vote</w:t>
      </w:r>
    </w:p>
    <w:p>
      <w:pPr>
        <w:pStyle w:val="ListParagraph"/>
        <w:numPr>
          <w:ilvl w:val="0"/>
          <w:numId w:val="12"/>
        </w:numPr>
      </w:pPr>
      <w:r>
        <w:rPr>
          <w:rFonts w:ascii="Figtree" w:hAnsi="Figtree"/>
          <w:b w:val="0"/>
          <w:i w:val="0"/>
          <w:sz w:val="22"/>
        </w:rPr>
        <w:t>Upgrade transaction calls proxy.upgradeTo(newImplementation)</w:t>
      </w:r>
    </w:p>
    <w:p>
      <w:pPr>
        <w:pStyle w:val="ListParagraph"/>
        <w:numPr>
          <w:ilvl w:val="0"/>
          <w:numId w:val="12"/>
        </w:numPr>
      </w:pPr>
      <w:r>
        <w:rPr>
          <w:rFonts w:ascii="Figtree" w:hAnsi="Figtree"/>
          <w:b w:val="0"/>
          <w:i w:val="0"/>
          <w:sz w:val="22"/>
        </w:rPr>
        <w:t>Proxy delegates all calls to new implementation</w:t>
      </w:r>
    </w:p>
    <w:p>
      <w:pPr>
        <w:pStyle w:val="ListParagraph"/>
        <w:numPr>
          <w:ilvl w:val="0"/>
          <w:numId w:val="12"/>
        </w:numPr>
      </w:pPr>
      <w:r>
        <w:rPr>
          <w:rFonts w:ascii="Figtree" w:hAnsi="Figtree"/>
          <w:b w:val="0"/>
          <w:i w:val="0"/>
          <w:sz w:val="22"/>
        </w:rPr>
        <w:t>State is preserved across upgrade</w:t>
      </w:r>
    </w:p>
    <w:p>
      <w:r>
        <w:rPr>
          <w:rFonts w:ascii="Figtree" w:hAnsi="Figtree"/>
          <w:b/>
          <w:i w:val="0"/>
          <w:sz w:val="22"/>
        </w:rPr>
        <w:t>Security Considerations:</w:t>
      </w:r>
    </w:p>
    <w:p>
      <w:pPr>
        <w:pStyle w:val="ListParagraph"/>
        <w:numPr>
          <w:ilvl w:val="0"/>
          <w:numId w:val="4"/>
        </w:numPr>
      </w:pPr>
      <w:r>
        <w:rPr>
          <w:rFonts w:ascii="Figtree" w:hAnsi="Figtree"/>
          <w:b w:val="0"/>
          <w:i w:val="0"/>
          <w:sz w:val="22"/>
        </w:rPr>
        <w:t>Upgrade requires GOVERNANCE_ROLE (multi-sig recommended)</w:t>
      </w:r>
    </w:p>
    <w:p>
      <w:pPr>
        <w:pStyle w:val="ListParagraph"/>
        <w:numPr>
          <w:ilvl w:val="0"/>
          <w:numId w:val="4"/>
        </w:numPr>
      </w:pPr>
      <w:r>
        <w:rPr>
          <w:rFonts w:ascii="Figtree" w:hAnsi="Figtree"/>
          <w:b w:val="0"/>
          <w:i w:val="0"/>
          <w:sz w:val="22"/>
        </w:rPr>
        <w:t>Implementation must include upgrade authorization</w:t>
      </w:r>
    </w:p>
    <w:p>
      <w:pPr>
        <w:pStyle w:val="ListParagraph"/>
        <w:numPr>
          <w:ilvl w:val="0"/>
          <w:numId w:val="4"/>
        </w:numPr>
      </w:pPr>
      <w:r>
        <w:rPr>
          <w:rFonts w:ascii="Figtree" w:hAnsi="Figtree"/>
          <w:b w:val="0"/>
          <w:i w:val="0"/>
          <w:sz w:val="22"/>
        </w:rPr>
        <w:t>Storage layout changes require migration planning</w:t>
      </w:r>
    </w:p>
    <w:p>
      <w:pPr>
        <w:pStyle w:val="ListParagraph"/>
        <w:numPr>
          <w:ilvl w:val="0"/>
          <w:numId w:val="4"/>
        </w:numPr>
      </w:pPr>
      <w:r>
        <w:rPr>
          <w:rFonts w:ascii="Figtree" w:hAnsi="Figtree"/>
          <w:b w:val="0"/>
          <w:i w:val="0"/>
          <w:sz w:val="22"/>
        </w:rPr>
        <w:t>Timelock recommended for production upgrades</w:t>
      </w:r>
    </w:p>
    <w:p>
      <w:pPr>
        <w:pStyle w:val="H2"/>
        <w:numPr>
          <w:ilvl w:val="1"/>
          <w:numId w:val="1"/>
        </w:numPr>
      </w:pPr>
      <w:r>
        <w:t>17.2 Middleware Technical Details</w:t>
      </w:r>
    </w:p>
    <w:p>
      <w:pPr>
        <w:pStyle w:val="H3"/>
        <w:numPr>
          <w:ilvl w:val="2"/>
          <w:numId w:val="1"/>
        </w:numPr>
      </w:pPr>
      <w:r>
        <w:t>17.2.1 Execution Engine Architecture</w:t>
      </w:r>
    </w:p>
    <w:p>
      <w:r>
        <w:rPr>
          <w:rFonts w:ascii="Figtree" w:hAnsi="Figtree"/>
          <w:b w:val="0"/>
          <w:i w:val="0"/>
          <w:sz w:val="22"/>
        </w:rPr>
        <w:t>The Execution Engine (built on Restate) provides durable workflow orchestration for all critical operations:</w:t>
      </w:r>
    </w:p>
    <w:p>
      <w:r>
        <w:rPr>
          <w:rFonts w:ascii="Figtree" w:hAnsi="Figtree"/>
          <w:b/>
          <w:i w:val="0"/>
          <w:sz w:val="22"/>
        </w:rPr>
        <w:t>Core Concepts:</w:t>
      </w:r>
    </w:p>
    <w:p>
      <w:pPr>
        <w:pStyle w:val="ListParagraph"/>
        <w:numPr>
          <w:ilvl w:val="0"/>
          <w:numId w:val="4"/>
        </w:numPr>
      </w:pPr>
      <w:r>
        <w:rPr>
          <w:rFonts w:ascii="Figtree" w:hAnsi="Figtree"/>
          <w:b w:val="0"/>
          <w:i w:val="0"/>
          <w:sz w:val="22"/>
        </w:rPr>
        <w:t>Workflows: Long-running operations with explicit state management</w:t>
      </w:r>
    </w:p>
    <w:p>
      <w:pPr>
        <w:pStyle w:val="ListParagraph"/>
        <w:numPr>
          <w:ilvl w:val="0"/>
          <w:numId w:val="4"/>
        </w:numPr>
      </w:pPr>
      <w:r>
        <w:rPr>
          <w:rFonts w:ascii="Figtree" w:hAnsi="Figtree"/>
          <w:b w:val="0"/>
          <w:i w:val="0"/>
          <w:sz w:val="22"/>
        </w:rPr>
        <w:t>Virtual Objects: Stateful services with exactly-once semantics</w:t>
      </w:r>
    </w:p>
    <w:p>
      <w:pPr>
        <w:pStyle w:val="ListParagraph"/>
        <w:numPr>
          <w:ilvl w:val="0"/>
          <w:numId w:val="4"/>
        </w:numPr>
      </w:pPr>
      <w:r>
        <w:rPr>
          <w:rFonts w:ascii="Figtree" w:hAnsi="Figtree"/>
          <w:b w:val="0"/>
          <w:i w:val="0"/>
          <w:sz w:val="22"/>
        </w:rPr>
        <w:t>Durable Promises: Operations that survive infrastructure failures</w:t>
      </w:r>
    </w:p>
    <w:p>
      <w:r>
        <w:rPr>
          <w:rFonts w:ascii="Figtree" w:hAnsi="Figtree"/>
          <w:b/>
          <w:i w:val="0"/>
          <w:sz w:val="22"/>
        </w:rPr>
        <w:t>Workflow State Machine:</w:t>
      </w:r>
    </w:p>
    <w:p>
      <w:pPr>
        <w:jc w:val="center"/>
      </w:pPr>
      <w:r>
        <w:drawing>
          <wp:inline xmlns:a="http://schemas.openxmlformats.org/drawingml/2006/main" xmlns:pic="http://schemas.openxmlformats.org/drawingml/2006/picture">
            <wp:extent cx="4248150" cy="6457950"/>
            <wp:docPr id="16" name="Picture 16"/>
            <wp:cNvGraphicFramePr>
              <a:graphicFrameLocks noChangeAspect="1"/>
            </wp:cNvGraphicFramePr>
            <a:graphic>
              <a:graphicData uri="http://schemas.openxmlformats.org/drawingml/2006/picture">
                <pic:pic>
                  <pic:nvPicPr>
                    <pic:cNvPr id="0" name="_diagram-016.png"/>
                    <pic:cNvPicPr/>
                  </pic:nvPicPr>
                  <pic:blipFill>
                    <a:blip r:embed="rId28"/>
                    <a:stretch>
                      <a:fillRect/>
                    </a:stretch>
                  </pic:blipFill>
                  <pic:spPr>
                    <a:xfrm>
                      <a:off x="0" y="0"/>
                      <a:ext cx="4248150" cy="6457950"/>
                    </a:xfrm>
                    <a:prstGeom prst="rect"/>
                  </pic:spPr>
                </pic:pic>
              </a:graphicData>
            </a:graphic>
          </wp:inline>
        </w:drawing>
      </w:r>
    </w:p>
    <w:p>
      <w:r>
        <w:rPr>
          <w:rFonts w:ascii="Figtree" w:hAnsi="Figtree"/>
          <w:b/>
          <w:i w:val="0"/>
          <w:sz w:val="22"/>
        </w:rPr>
        <w:t>Workflow Types: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60"/>
        <w:gridCol w:w="2736"/>
        <w:gridCol w:w="1440"/>
        <w:gridCol w:w="273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Workflow Type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Timeout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Retry Policy</w:t>
            </w:r>
          </w:p>
        </w:tc>
      </w:tr>
      <w:tr>
        <w:trPr>
          <w:trHeight w:val="425" w:hRule="atLeast"/>
        </w:trPr>
        <w:tc>
          <w:tcPr>
            <w:tcW w:type="dxa" w:w="2436"/>
            <w:vAlign w:val="center"/>
          </w:tcPr>
          <w:p>
            <w:pPr>
              <w:spacing w:line="276" w:lineRule="auto" w:before="0" w:after="0"/>
            </w:pPr>
            <w:r/>
            <w:r>
              <w:rPr>
                <w:rFonts w:ascii="Figtree" w:hAnsi="Figtree"/>
                <w:b w:val="0"/>
                <w:i w:val="0"/>
                <w:sz w:val="20"/>
              </w:rPr>
              <w:t>AssetDeployment</w:t>
            </w:r>
          </w:p>
        </w:tc>
        <w:tc>
          <w:tcPr>
            <w:tcW w:type="dxa" w:w="2436"/>
            <w:vAlign w:val="center"/>
          </w:tcPr>
          <w:p>
            <w:pPr>
              <w:spacing w:line="276" w:lineRule="auto" w:before="0" w:after="0"/>
            </w:pPr>
            <w:r/>
            <w:r>
              <w:rPr>
                <w:rFonts w:ascii="Figtree" w:hAnsi="Figtree"/>
                <w:b w:val="0"/>
                <w:i w:val="0"/>
                <w:sz w:val="20"/>
              </w:rPr>
              <w:t>Token deployment</w:t>
            </w:r>
          </w:p>
        </w:tc>
        <w:tc>
          <w:tcPr>
            <w:tcW w:type="dxa" w:w="2436"/>
            <w:vAlign w:val="center"/>
          </w:tcPr>
          <w:p>
            <w:pPr>
              <w:spacing w:line="276" w:lineRule="auto" w:before="0" w:after="0"/>
            </w:pPr>
            <w:r/>
            <w:r>
              <w:rPr>
                <w:rFonts w:ascii="Figtree" w:hAnsi="Figtree"/>
                <w:b w:val="0"/>
                <w:i w:val="0"/>
                <w:sz w:val="20"/>
              </w:rPr>
              <w:t>30 minutes</w:t>
            </w:r>
          </w:p>
        </w:tc>
        <w:tc>
          <w:tcPr>
            <w:tcW w:type="dxa" w:w="2436"/>
            <w:vAlign w:val="center"/>
          </w:tcPr>
          <w:p>
            <w:pPr>
              <w:spacing w:line="276" w:lineRule="auto" w:before="0" w:after="0"/>
            </w:pPr>
            <w:r/>
            <w:r>
              <w:rPr>
                <w:rFonts w:ascii="Figtree" w:hAnsi="Figtree"/>
                <w:b w:val="0"/>
                <w:i w:val="0"/>
                <w:sz w:val="20"/>
              </w:rPr>
              <w:t>Exponential backoff</w:t>
            </w:r>
          </w:p>
        </w:tc>
      </w:tr>
      <w:tr>
        <w:trPr>
          <w:trHeight w:val="425" w:hRule="atLeast"/>
        </w:trPr>
        <w:tc>
          <w:tcPr>
            <w:tcW w:type="dxa" w:w="2436"/>
            <w:vAlign w:val="center"/>
          </w:tcPr>
          <w:p>
            <w:pPr>
              <w:spacing w:line="276" w:lineRule="auto" w:before="0" w:after="0"/>
            </w:pPr>
            <w:r/>
            <w:r>
              <w:rPr>
                <w:rFonts w:ascii="Figtree" w:hAnsi="Figtree"/>
                <w:b w:val="0"/>
                <w:i w:val="0"/>
                <w:sz w:val="20"/>
              </w:rPr>
              <w:t>Transfer</w:t>
            </w:r>
          </w:p>
        </w:tc>
        <w:tc>
          <w:tcPr>
            <w:tcW w:type="dxa" w:w="2436"/>
            <w:vAlign w:val="center"/>
          </w:tcPr>
          <w:p>
            <w:pPr>
              <w:spacing w:line="276" w:lineRule="auto" w:before="0" w:after="0"/>
            </w:pPr>
            <w:r/>
            <w:r>
              <w:rPr>
                <w:rFonts w:ascii="Figtree" w:hAnsi="Figtree"/>
                <w:b w:val="0"/>
                <w:i w:val="0"/>
                <w:sz w:val="20"/>
              </w:rPr>
              <w:t>Token transfer</w:t>
            </w:r>
          </w:p>
        </w:tc>
        <w:tc>
          <w:tcPr>
            <w:tcW w:type="dxa" w:w="2436"/>
            <w:vAlign w:val="center"/>
          </w:tcPr>
          <w:p>
            <w:pPr>
              <w:spacing w:line="276" w:lineRule="auto" w:before="0" w:after="0"/>
            </w:pPr>
            <w:r/>
            <w:r>
              <w:rPr>
                <w:rFonts w:ascii="Figtree" w:hAnsi="Figtree"/>
                <w:b w:val="0"/>
                <w:i w:val="0"/>
                <w:sz w:val="20"/>
              </w:rPr>
              <w:t>10 minutes</w:t>
            </w:r>
          </w:p>
        </w:tc>
        <w:tc>
          <w:tcPr>
            <w:tcW w:type="dxa" w:w="2436"/>
            <w:vAlign w:val="center"/>
          </w:tcPr>
          <w:p>
            <w:pPr>
              <w:spacing w:line="276" w:lineRule="auto" w:before="0" w:after="0"/>
            </w:pPr>
            <w:r/>
            <w:r>
              <w:rPr>
                <w:rFonts w:ascii="Figtree" w:hAnsi="Figtree"/>
                <w:b w:val="0"/>
                <w:i w:val="0"/>
                <w:sz w:val="20"/>
              </w:rPr>
              <w:t>3 retries</w:t>
            </w:r>
          </w:p>
        </w:tc>
      </w:tr>
      <w:tr>
        <w:trPr>
          <w:trHeight w:val="425" w:hRule="atLeast"/>
        </w:trPr>
        <w:tc>
          <w:tcPr>
            <w:tcW w:type="dxa" w:w="2436"/>
            <w:vAlign w:val="center"/>
          </w:tcPr>
          <w:p>
            <w:pPr>
              <w:spacing w:line="276" w:lineRule="auto" w:before="0" w:after="0"/>
            </w:pPr>
            <w:r/>
            <w:r>
              <w:rPr>
                <w:rFonts w:ascii="Figtree" w:hAnsi="Figtree"/>
                <w:b w:val="0"/>
                <w:i w:val="0"/>
                <w:sz w:val="20"/>
              </w:rPr>
              <w:t>Settlement</w:t>
            </w:r>
          </w:p>
        </w:tc>
        <w:tc>
          <w:tcPr>
            <w:tcW w:type="dxa" w:w="2436"/>
            <w:vAlign w:val="center"/>
          </w:tcPr>
          <w:p>
            <w:pPr>
              <w:spacing w:line="276" w:lineRule="auto" w:before="0" w:after="0"/>
            </w:pPr>
            <w:r/>
            <w:r>
              <w:rPr>
                <w:rFonts w:ascii="Figtree" w:hAnsi="Figtree"/>
                <w:b w:val="0"/>
                <w:i w:val="0"/>
                <w:sz w:val="20"/>
              </w:rPr>
              <w:t>DvP/XvP settlement</w:t>
            </w:r>
          </w:p>
        </w:tc>
        <w:tc>
          <w:tcPr>
            <w:tcW w:type="dxa" w:w="2436"/>
            <w:vAlign w:val="center"/>
          </w:tcPr>
          <w:p>
            <w:pPr>
              <w:spacing w:line="276" w:lineRule="auto" w:before="0" w:after="0"/>
            </w:pPr>
            <w:r/>
            <w:r>
              <w:rPr>
                <w:rFonts w:ascii="Figtree" w:hAnsi="Figtree"/>
                <w:b w:val="0"/>
                <w:i w:val="0"/>
                <w:sz w:val="20"/>
              </w:rPr>
              <w:t>30 minutes</w:t>
            </w:r>
          </w:p>
        </w:tc>
        <w:tc>
          <w:tcPr>
            <w:tcW w:type="dxa" w:w="2436"/>
            <w:vAlign w:val="center"/>
          </w:tcPr>
          <w:p>
            <w:pPr>
              <w:spacing w:line="276" w:lineRule="auto" w:before="0" w:after="0"/>
            </w:pPr>
            <w:r/>
            <w:r>
              <w:rPr>
                <w:rFonts w:ascii="Figtree" w:hAnsi="Figtree"/>
                <w:b w:val="0"/>
                <w:i w:val="0"/>
                <w:sz w:val="20"/>
              </w:rPr>
              <w:t>5 retries</w:t>
            </w:r>
          </w:p>
        </w:tc>
      </w:tr>
      <w:tr>
        <w:trPr>
          <w:trHeight w:val="425" w:hRule="atLeast"/>
        </w:trPr>
        <w:tc>
          <w:tcPr>
            <w:tcW w:type="dxa" w:w="2436"/>
            <w:vAlign w:val="center"/>
          </w:tcPr>
          <w:p>
            <w:pPr>
              <w:spacing w:line="276" w:lineRule="auto" w:before="0" w:after="0"/>
            </w:pPr>
            <w:r/>
            <w:r>
              <w:rPr>
                <w:rFonts w:ascii="Figtree" w:hAnsi="Figtree"/>
                <w:b w:val="0"/>
                <w:i w:val="0"/>
                <w:sz w:val="20"/>
              </w:rPr>
              <w:t>CorporateAction</w:t>
            </w:r>
          </w:p>
        </w:tc>
        <w:tc>
          <w:tcPr>
            <w:tcW w:type="dxa" w:w="2436"/>
            <w:vAlign w:val="center"/>
          </w:tcPr>
          <w:p>
            <w:pPr>
              <w:spacing w:line="276" w:lineRule="auto" w:before="0" w:after="0"/>
            </w:pPr>
            <w:r/>
            <w:r>
              <w:rPr>
                <w:rFonts w:ascii="Figtree" w:hAnsi="Figtree"/>
                <w:b w:val="0"/>
                <w:i w:val="0"/>
                <w:sz w:val="20"/>
              </w:rPr>
              <w:t>Distribution/action</w:t>
            </w:r>
          </w:p>
        </w:tc>
        <w:tc>
          <w:tcPr>
            <w:tcW w:type="dxa" w:w="2436"/>
            <w:vAlign w:val="center"/>
          </w:tcPr>
          <w:p>
            <w:pPr>
              <w:spacing w:line="276" w:lineRule="auto" w:before="0" w:after="0"/>
            </w:pPr>
            <w:r/>
            <w:r>
              <w:rPr>
                <w:rFonts w:ascii="Figtree" w:hAnsi="Figtree"/>
                <w:b w:val="0"/>
                <w:i w:val="0"/>
                <w:sz w:val="20"/>
              </w:rPr>
              <w:t>60 minutes</w:t>
            </w:r>
          </w:p>
        </w:tc>
        <w:tc>
          <w:tcPr>
            <w:tcW w:type="dxa" w:w="2436"/>
            <w:vAlign w:val="center"/>
          </w:tcPr>
          <w:p>
            <w:pPr>
              <w:spacing w:line="276" w:lineRule="auto" w:before="0" w:after="0"/>
            </w:pPr>
            <w:r/>
            <w:r>
              <w:rPr>
                <w:rFonts w:ascii="Figtree" w:hAnsi="Figtree"/>
                <w:b w:val="0"/>
                <w:i w:val="0"/>
                <w:sz w:val="20"/>
              </w:rPr>
              <w:t>Manual intervention</w:t>
            </w:r>
          </w:p>
        </w:tc>
      </w:tr>
      <w:tr>
        <w:trPr>
          <w:trHeight w:val="425" w:hRule="atLeast"/>
        </w:trPr>
        <w:tc>
          <w:tcPr>
            <w:tcW w:type="dxa" w:w="2436"/>
            <w:vAlign w:val="center"/>
          </w:tcPr>
          <w:p>
            <w:pPr>
              <w:spacing w:line="276" w:lineRule="auto" w:before="0" w:after="0"/>
            </w:pPr>
            <w:r/>
            <w:r>
              <w:rPr>
                <w:rFonts w:ascii="Figtree" w:hAnsi="Figtree"/>
                <w:b w:val="0"/>
                <w:i w:val="0"/>
                <w:sz w:val="20"/>
              </w:rPr>
              <w:t>ComplianceCheck</w:t>
            </w:r>
          </w:p>
        </w:tc>
        <w:tc>
          <w:tcPr>
            <w:tcW w:type="dxa" w:w="2436"/>
            <w:vAlign w:val="center"/>
          </w:tcPr>
          <w:p>
            <w:pPr>
              <w:spacing w:line="276" w:lineRule="auto" w:before="0" w:after="0"/>
            </w:pPr>
            <w:r/>
            <w:r>
              <w:rPr>
                <w:rFonts w:ascii="Figtree" w:hAnsi="Figtree"/>
                <w:b w:val="0"/>
                <w:i w:val="0"/>
                <w:sz w:val="20"/>
              </w:rPr>
              <w:t>Rule evaluation</w:t>
            </w:r>
          </w:p>
        </w:tc>
        <w:tc>
          <w:tcPr>
            <w:tcW w:type="dxa" w:w="2436"/>
            <w:vAlign w:val="center"/>
          </w:tcPr>
          <w:p>
            <w:pPr>
              <w:spacing w:line="276" w:lineRule="auto" w:before="0" w:after="0"/>
            </w:pPr>
            <w:r/>
            <w:r>
              <w:rPr>
                <w:rFonts w:ascii="Figtree" w:hAnsi="Figtree"/>
                <w:b w:val="0"/>
                <w:i w:val="0"/>
                <w:sz w:val="20"/>
              </w:rPr>
              <w:t>1 minute</w:t>
            </w:r>
          </w:p>
        </w:tc>
        <w:tc>
          <w:tcPr>
            <w:tcW w:type="dxa" w:w="2436"/>
            <w:vAlign w:val="center"/>
          </w:tcPr>
          <w:p>
            <w:pPr>
              <w:spacing w:line="276" w:lineRule="auto" w:before="0" w:after="0"/>
            </w:pPr>
            <w:r/>
            <w:r>
              <w:rPr>
                <w:rFonts w:ascii="Figtree" w:hAnsi="Figtree"/>
                <w:b w:val="0"/>
                <w:i w:val="0"/>
                <w:sz w:val="20"/>
              </w:rPr>
              <w:t>None (sync)</w:t>
            </w:r>
          </w:p>
        </w:tc>
      </w:tr>
    </w:tbl>
    <w:p>
      <w:pPr>
        <w:spacing w:before="0" w:after="0" w:line="120" w:lineRule="exact"/>
      </w:pPr>
    </w:p>
    <w:p>
      <w:pPr>
        <w:pStyle w:val="H3"/>
        <w:numPr>
          <w:ilvl w:val="2"/>
          <w:numId w:val="1"/>
        </w:numPr>
      </w:pPr>
      <w:r>
        <w:t>17.2.2 Key Guardian Implementation</w:t>
      </w:r>
    </w:p>
    <w:p>
      <w:r>
        <w:rPr>
          <w:rFonts w:ascii="Figtree" w:hAnsi="Figtree"/>
          <w:b w:val="0"/>
          <w:i w:val="0"/>
          <w:sz w:val="22"/>
        </w:rPr>
        <w:t>The Key Guardian service manages cryptographic key material through defense-in-depth:</w:t>
      </w:r>
    </w:p>
    <w:p>
      <w:r>
        <w:rPr>
          <w:rFonts w:ascii="Figtree" w:hAnsi="Figtree"/>
          <w:b/>
          <w:i w:val="0"/>
          <w:sz w:val="22"/>
        </w:rPr>
        <w:t>Key Hierarchy:</w:t>
      </w:r>
    </w:p>
    <w:p>
      <w:r>
        <w:rPr>
          <w:rFonts w:ascii="Figtree" w:hAnsi="Figtree"/>
          <w:b/>
          <w:i w:val="0"/>
          <w:sz w:val="22"/>
        </w:rPr>
        <w:t>Operations:</w:t>
      </w:r>
    </w:p>
    <w:p>
      <w:pPr>
        <w:pStyle w:val="ListParagraph"/>
        <w:numPr>
          <w:ilvl w:val="0"/>
          <w:numId w:val="4"/>
        </w:numPr>
      </w:pPr>
      <w:r>
        <w:rPr>
          <w:rFonts w:ascii="Figtree" w:hAnsi="Figtree"/>
          <w:b w:val="0"/>
          <w:i w:val="0"/>
          <w:sz w:val="22"/>
        </w:rPr>
        <w:t>Key Generation: HSM-backed generation with immediate encryption</w:t>
      </w:r>
    </w:p>
    <w:p>
      <w:pPr>
        <w:pStyle w:val="ListParagraph"/>
        <w:numPr>
          <w:ilvl w:val="0"/>
          <w:numId w:val="4"/>
        </w:numPr>
      </w:pPr>
      <w:r>
        <w:rPr>
          <w:rFonts w:ascii="Figtree" w:hAnsi="Figtree"/>
          <w:b w:val="0"/>
          <w:i w:val="0"/>
          <w:sz w:val="22"/>
        </w:rPr>
        <w:t>Key Signing: Transactions signed within HSM boundary</w:t>
      </w:r>
    </w:p>
    <w:p>
      <w:pPr>
        <w:pStyle w:val="ListParagraph"/>
        <w:numPr>
          <w:ilvl w:val="0"/>
          <w:numId w:val="4"/>
        </w:numPr>
      </w:pPr>
      <w:r>
        <w:rPr>
          <w:rFonts w:ascii="Figtree" w:hAnsi="Figtree"/>
          <w:b w:val="0"/>
          <w:i w:val="0"/>
          <w:sz w:val="22"/>
        </w:rPr>
        <w:t>Key Rotation: Scheduled rotation with zero downtime</w:t>
      </w:r>
    </w:p>
    <w:p>
      <w:pPr>
        <w:pStyle w:val="ListParagraph"/>
        <w:numPr>
          <w:ilvl w:val="0"/>
          <w:numId w:val="4"/>
        </w:numPr>
      </w:pPr>
      <w:r>
        <w:rPr>
          <w:rFonts w:ascii="Figtree" w:hAnsi="Figtree"/>
          <w:b w:val="0"/>
          <w:i w:val="0"/>
          <w:sz w:val="22"/>
        </w:rPr>
        <w:t>Key Recovery: Threshold-based recovery for lost keys</w:t>
      </w:r>
    </w:p>
    <w:p>
      <w:r>
        <w:rPr>
          <w:rFonts w:ascii="Figtree" w:hAnsi="Figtree"/>
          <w:b/>
          <w:i w:val="0"/>
          <w:sz w:val="22"/>
        </w:rPr>
        <w:t>Security Controls:</w:t>
      </w:r>
    </w:p>
    <w:p>
      <w:pPr>
        <w:pStyle w:val="ListParagraph"/>
        <w:numPr>
          <w:ilvl w:val="0"/>
          <w:numId w:val="4"/>
        </w:numPr>
      </w:pPr>
      <w:r>
        <w:rPr>
          <w:rFonts w:ascii="Figtree" w:hAnsi="Figtree"/>
          <w:b w:val="0"/>
          <w:i w:val="0"/>
          <w:sz w:val="22"/>
        </w:rPr>
        <w:t>All key operations logged to audit</w:t>
      </w:r>
    </w:p>
    <w:p>
      <w:pPr>
        <w:pStyle w:val="ListParagraph"/>
        <w:numPr>
          <w:ilvl w:val="0"/>
          <w:numId w:val="4"/>
        </w:numPr>
      </w:pPr>
      <w:r>
        <w:rPr>
          <w:rFonts w:ascii="Figtree" w:hAnsi="Figtree"/>
          <w:b w:val="0"/>
          <w:i w:val="0"/>
          <w:sz w:val="22"/>
        </w:rPr>
        <w:t>Multi-factor approval for sensitive operations</w:t>
      </w:r>
    </w:p>
    <w:p>
      <w:pPr>
        <w:pStyle w:val="ListParagraph"/>
        <w:numPr>
          <w:ilvl w:val="0"/>
          <w:numId w:val="4"/>
        </w:numPr>
      </w:pPr>
      <w:r>
        <w:rPr>
          <w:rFonts w:ascii="Figtree" w:hAnsi="Figtree"/>
          <w:b w:val="0"/>
          <w:i w:val="0"/>
          <w:sz w:val="22"/>
        </w:rPr>
        <w:t>Hardware security module (FIPS 140-2 Level 3)</w:t>
      </w:r>
    </w:p>
    <w:p>
      <w:pPr>
        <w:pStyle w:val="ListParagraph"/>
        <w:numPr>
          <w:ilvl w:val="0"/>
          <w:numId w:val="4"/>
        </w:numPr>
      </w:pPr>
      <w:r>
        <w:rPr>
          <w:rFonts w:ascii="Figtree" w:hAnsi="Figtree"/>
          <w:b w:val="0"/>
          <w:i w:val="0"/>
          <w:sz w:val="22"/>
        </w:rPr>
        <w:t>Regular key ceremony for backup restoration</w:t>
      </w:r>
    </w:p>
    <w:p>
      <w:pPr>
        <w:pStyle w:val="H3"/>
        <w:numPr>
          <w:ilvl w:val="2"/>
          <w:numId w:val="1"/>
        </w:numPr>
      </w:pPr>
      <w:r>
        <w:t>17.2.3 Transaction Signer Implementation</w:t>
      </w:r>
    </w:p>
    <w:p>
      <w:r>
        <w:rPr>
          <w:rFonts w:ascii="Figtree" w:hAnsi="Figtree"/>
          <w:b w:val="0"/>
          <w:i w:val="0"/>
          <w:sz w:val="22"/>
        </w:rPr>
        <w:t>The Transaction Signer handles the complete transaction lifecycle:</w:t>
      </w:r>
    </w:p>
    <w:p>
      <w:r>
        <w:rPr>
          <w:rFonts w:ascii="Figtree" w:hAnsi="Figtree"/>
          <w:b/>
          <w:i w:val="0"/>
          <w:sz w:val="22"/>
        </w:rPr>
        <w:t>Transaction Lifecycle:</w:t>
      </w:r>
    </w:p>
    <w:p>
      <w:pPr>
        <w:pStyle w:val="ListParagraph"/>
        <w:numPr>
          <w:ilvl w:val="0"/>
          <w:numId w:val="13"/>
        </w:numPr>
      </w:pPr>
      <w:r>
        <w:rPr>
          <w:rFonts w:ascii="Figtree" w:hAnsi="Figtree"/>
          <w:b/>
          <w:i w:val="0"/>
          <w:sz w:val="22"/>
        </w:rPr>
        <w:t>Preparation:</w:t>
      </w:r>
    </w:p>
    <w:p>
      <w:pPr>
        <w:pStyle w:val="ListParagraph"/>
        <w:numPr>
          <w:ilvl w:val="1"/>
          <w:numId w:val="4"/>
        </w:numPr>
      </w:pPr>
      <w:r>
        <w:rPr>
          <w:rFonts w:ascii="Figtree" w:hAnsi="Figtree"/>
          <w:b w:val="0"/>
          <w:i w:val="0"/>
          <w:sz w:val="22"/>
        </w:rPr>
        <w:t>Build transaction from operation parameters</w:t>
      </w:r>
    </w:p>
    <w:p>
      <w:pPr>
        <w:pStyle w:val="ListParagraph"/>
        <w:numPr>
          <w:ilvl w:val="1"/>
          <w:numId w:val="4"/>
        </w:numPr>
      </w:pPr>
      <w:r>
        <w:rPr>
          <w:rFonts w:ascii="Figtree" w:hAnsi="Figtree"/>
          <w:b w:val="0"/>
          <w:i w:val="0"/>
          <w:sz w:val="22"/>
        </w:rPr>
        <w:t>Estimate gas requirements</w:t>
      </w:r>
    </w:p>
    <w:p>
      <w:pPr>
        <w:pStyle w:val="ListParagraph"/>
        <w:numPr>
          <w:ilvl w:val="1"/>
          <w:numId w:val="4"/>
        </w:numPr>
      </w:pPr>
      <w:r>
        <w:rPr>
          <w:rFonts w:ascii="Figtree" w:hAnsi="Figtree"/>
          <w:b w:val="0"/>
          <w:i w:val="0"/>
          <w:sz w:val="22"/>
        </w:rPr>
        <w:t>Validate nonce availability</w:t>
      </w:r>
    </w:p>
    <w:p>
      <w:pPr>
        <w:pStyle w:val="ListParagraph"/>
        <w:numPr>
          <w:ilvl w:val="0"/>
          <w:numId w:val="13"/>
        </w:numPr>
      </w:pPr>
      <w:r>
        <w:rPr>
          <w:rFonts w:ascii="Figtree" w:hAnsi="Figtree"/>
          <w:b/>
          <w:i w:val="0"/>
          <w:sz w:val="22"/>
        </w:rPr>
        <w:t>Signing:</w:t>
      </w:r>
    </w:p>
    <w:p>
      <w:pPr>
        <w:pStyle w:val="ListParagraph"/>
        <w:numPr>
          <w:ilvl w:val="1"/>
          <w:numId w:val="4"/>
        </w:numPr>
      </w:pPr>
      <w:r>
        <w:rPr>
          <w:rFonts w:ascii="Figtree" w:hAnsi="Figtree"/>
          <w:b w:val="0"/>
          <w:i w:val="0"/>
          <w:sz w:val="22"/>
        </w:rPr>
        <w:t>Retrieve transaction details</w:t>
      </w:r>
    </w:p>
    <w:p>
      <w:pPr>
        <w:pStyle w:val="ListParagraph"/>
        <w:numPr>
          <w:ilvl w:val="1"/>
          <w:numId w:val="4"/>
        </w:numPr>
      </w:pPr>
      <w:r>
        <w:rPr>
          <w:rFonts w:ascii="Figtree" w:hAnsi="Figtree"/>
          <w:b w:val="0"/>
          <w:i w:val="0"/>
          <w:sz w:val="22"/>
        </w:rPr>
        <w:t>Sign with appropriate key</w:t>
      </w:r>
    </w:p>
    <w:p>
      <w:pPr>
        <w:pStyle w:val="ListParagraph"/>
        <w:numPr>
          <w:ilvl w:val="1"/>
          <w:numId w:val="4"/>
        </w:numPr>
      </w:pPr>
      <w:r>
        <w:rPr>
          <w:rFonts w:ascii="Figtree" w:hAnsi="Figtree"/>
          <w:b w:val="0"/>
          <w:i w:val="0"/>
          <w:sz w:val="22"/>
        </w:rPr>
        <w:t>Attach signatures (multi-sig if required)</w:t>
      </w:r>
    </w:p>
    <w:p>
      <w:pPr>
        <w:pStyle w:val="ListParagraph"/>
        <w:numPr>
          <w:ilvl w:val="0"/>
          <w:numId w:val="13"/>
        </w:numPr>
      </w:pPr>
      <w:r>
        <w:rPr>
          <w:rFonts w:ascii="Figtree" w:hAnsi="Figtree"/>
          <w:b/>
          <w:i w:val="0"/>
          <w:sz w:val="22"/>
        </w:rPr>
        <w:t>Submission:</w:t>
      </w:r>
    </w:p>
    <w:p>
      <w:pPr>
        <w:pStyle w:val="ListParagraph"/>
        <w:numPr>
          <w:ilvl w:val="1"/>
          <w:numId w:val="4"/>
        </w:numPr>
      </w:pPr>
      <w:r>
        <w:rPr>
          <w:rFonts w:ascii="Figtree" w:hAnsi="Figtree"/>
          <w:b w:val="0"/>
          <w:i w:val="0"/>
          <w:sz w:val="22"/>
        </w:rPr>
        <w:t>Broadcast to network via Chain Gateway</w:t>
      </w:r>
    </w:p>
    <w:p>
      <w:pPr>
        <w:pStyle w:val="ListParagraph"/>
        <w:numPr>
          <w:ilvl w:val="1"/>
          <w:numId w:val="4"/>
        </w:numPr>
      </w:pPr>
      <w:r>
        <w:rPr>
          <w:rFonts w:ascii="Figtree" w:hAnsi="Figtree"/>
          <w:b w:val="0"/>
          <w:i w:val="0"/>
          <w:sz w:val="22"/>
        </w:rPr>
        <w:t>Monitor for inclusion</w:t>
      </w:r>
    </w:p>
    <w:p>
      <w:pPr>
        <w:pStyle w:val="ListParagraph"/>
        <w:numPr>
          <w:ilvl w:val="1"/>
          <w:numId w:val="4"/>
        </w:numPr>
      </w:pPr>
      <w:r>
        <w:rPr>
          <w:rFonts w:ascii="Figtree" w:hAnsi="Figtree"/>
          <w:b w:val="0"/>
          <w:i w:val="0"/>
          <w:sz w:val="22"/>
        </w:rPr>
        <w:t>Handle replacement (RBF) if needed</w:t>
      </w:r>
    </w:p>
    <w:p>
      <w:pPr>
        <w:pStyle w:val="ListParagraph"/>
        <w:numPr>
          <w:ilvl w:val="0"/>
          <w:numId w:val="13"/>
        </w:numPr>
      </w:pPr>
      <w:r>
        <w:rPr>
          <w:rFonts w:ascii="Figtree" w:hAnsi="Figtree"/>
          <w:b/>
          <w:i w:val="0"/>
          <w:sz w:val="22"/>
        </w:rPr>
        <w:t>Confirmation:</w:t>
      </w:r>
    </w:p>
    <w:p>
      <w:pPr>
        <w:pStyle w:val="ListParagraph"/>
        <w:numPr>
          <w:ilvl w:val="1"/>
          <w:numId w:val="4"/>
        </w:numPr>
      </w:pPr>
      <w:r>
        <w:rPr>
          <w:rFonts w:ascii="Figtree" w:hAnsi="Figtree"/>
          <w:b w:val="0"/>
          <w:i w:val="0"/>
          <w:sz w:val="22"/>
        </w:rPr>
        <w:t>Poll for confirmations</w:t>
      </w:r>
    </w:p>
    <w:p>
      <w:pPr>
        <w:pStyle w:val="ListParagraph"/>
        <w:numPr>
          <w:ilvl w:val="1"/>
          <w:numId w:val="4"/>
        </w:numPr>
      </w:pPr>
      <w:r>
        <w:rPr>
          <w:rFonts w:ascii="Figtree" w:hAnsi="Figtree"/>
          <w:b w:val="0"/>
          <w:i w:val="0"/>
          <w:sz w:val="22"/>
        </w:rPr>
        <w:t>Verify final state</w:t>
      </w:r>
    </w:p>
    <w:p>
      <w:pPr>
        <w:pStyle w:val="ListParagraph"/>
        <w:numPr>
          <w:ilvl w:val="1"/>
          <w:numId w:val="4"/>
        </w:numPr>
      </w:pPr>
      <w:r>
        <w:rPr>
          <w:rFonts w:ascii="Figtree" w:hAnsi="Figtree"/>
          <w:b w:val="0"/>
          <w:i w:val="0"/>
          <w:sz w:val="22"/>
        </w:rPr>
        <w:t>Update workflow state</w:t>
      </w:r>
    </w:p>
    <w:p>
      <w:r>
        <w:rPr>
          <w:rFonts w:ascii="Figtree" w:hAnsi="Figtree"/>
          <w:b/>
          <w:i w:val="0"/>
          <w:sz w:val="22"/>
        </w:rPr>
        <w:t>Gas Management:</w:t>
      </w:r>
    </w:p>
    <w:p>
      <w:pPr>
        <w:pStyle w:val="ListParagraph"/>
        <w:numPr>
          <w:ilvl w:val="0"/>
          <w:numId w:val="4"/>
        </w:numPr>
      </w:pPr>
      <w:r>
        <w:rPr>
          <w:rFonts w:ascii="Figtree" w:hAnsi="Figtree"/>
          <w:b w:val="0"/>
          <w:i w:val="0"/>
          <w:sz w:val="22"/>
        </w:rPr>
        <w:t>EIP-1559 support for compatible networks</w:t>
      </w:r>
    </w:p>
    <w:p>
      <w:pPr>
        <w:pStyle w:val="ListParagraph"/>
        <w:numPr>
          <w:ilvl w:val="0"/>
          <w:numId w:val="4"/>
        </w:numPr>
      </w:pPr>
      <w:r>
        <w:rPr>
          <w:rFonts w:ascii="Figtree" w:hAnsi="Figtree"/>
          <w:b w:val="0"/>
          <w:i w:val="0"/>
          <w:sz w:val="22"/>
        </w:rPr>
        <w:t>Legacy gas pricing for older networks</w:t>
      </w:r>
    </w:p>
    <w:p>
      <w:pPr>
        <w:pStyle w:val="ListParagraph"/>
        <w:numPr>
          <w:ilvl w:val="0"/>
          <w:numId w:val="4"/>
        </w:numPr>
      </w:pPr>
      <w:r>
        <w:rPr>
          <w:rFonts w:ascii="Figtree" w:hAnsi="Figtree"/>
          <w:b w:val="0"/>
          <w:i w:val="0"/>
          <w:sz w:val="22"/>
        </w:rPr>
        <w:t>Gas estimation with buffer</w:t>
      </w:r>
    </w:p>
    <w:p>
      <w:pPr>
        <w:pStyle w:val="ListParagraph"/>
        <w:numPr>
          <w:ilvl w:val="0"/>
          <w:numId w:val="4"/>
        </w:numPr>
      </w:pPr>
      <w:r>
        <w:rPr>
          <w:rFonts w:ascii="Figtree" w:hAnsi="Figtree"/>
          <w:b w:val="0"/>
          <w:i w:val="0"/>
          <w:sz w:val="22"/>
        </w:rPr>
        <w:t>Max fee configuration per operation type</w:t>
      </w:r>
    </w:p>
    <w:p>
      <w:pPr>
        <w:pStyle w:val="H3"/>
        <w:numPr>
          <w:ilvl w:val="2"/>
          <w:numId w:val="1"/>
        </w:numPr>
      </w:pPr>
      <w:r>
        <w:t>17.2.4 Chain Indexer Implementation</w:t>
      </w:r>
    </w:p>
    <w:p>
      <w:r>
        <w:rPr>
          <w:rFonts w:ascii="Figtree" w:hAnsi="Figtree"/>
          <w:b w:val="0"/>
          <w:i w:val="0"/>
          <w:sz w:val="22"/>
        </w:rPr>
        <w:t>The Chain Indexer processes blockchain events into queryable state:</w:t>
      </w:r>
    </w:p>
    <w:p>
      <w:r>
        <w:rPr>
          <w:rFonts w:ascii="Figtree" w:hAnsi="Figtree"/>
          <w:b/>
          <w:i w:val="0"/>
          <w:sz w:val="22"/>
        </w:rPr>
        <w:t>Indexing Process:</w:t>
      </w:r>
    </w:p>
    <w:p>
      <w:r>
        <w:rPr>
          <w:rFonts w:ascii="Figtree" w:hAnsi="Figtree"/>
          <w:b/>
          <w:i w:val="0"/>
          <w:sz w:val="22"/>
        </w:rPr>
        <w:t>State Projections:</w:t>
      </w:r>
    </w:p>
    <w:p>
      <w:pPr>
        <w:pStyle w:val="ListParagraph"/>
        <w:numPr>
          <w:ilvl w:val="0"/>
          <w:numId w:val="4"/>
        </w:numPr>
      </w:pPr>
      <w:r>
        <w:rPr>
          <w:rFonts w:ascii="Figtree" w:hAnsi="Figtree"/>
          <w:b w:val="0"/>
          <w:i w:val="0"/>
          <w:sz w:val="22"/>
        </w:rPr>
        <w:t>Current balances per token per address</w:t>
      </w:r>
    </w:p>
    <w:p>
      <w:pPr>
        <w:pStyle w:val="ListParagraph"/>
        <w:numPr>
          <w:ilvl w:val="0"/>
          <w:numId w:val="4"/>
        </w:numPr>
      </w:pPr>
      <w:r>
        <w:rPr>
          <w:rFonts w:ascii="Figtree" w:hAnsi="Figtree"/>
          <w:b w:val="0"/>
          <w:i w:val="0"/>
          <w:sz w:val="22"/>
        </w:rPr>
        <w:t>Historical balance changes (with proofs)</w:t>
      </w:r>
    </w:p>
    <w:p>
      <w:pPr>
        <w:pStyle w:val="ListParagraph"/>
        <w:numPr>
          <w:ilvl w:val="0"/>
          <w:numId w:val="4"/>
        </w:numPr>
      </w:pPr>
      <w:r>
        <w:rPr>
          <w:rFonts w:ascii="Figtree" w:hAnsi="Figtree"/>
          <w:b w:val="0"/>
          <w:i w:val="0"/>
          <w:sz w:val="22"/>
        </w:rPr>
        <w:t>Compliance check history</w:t>
      </w:r>
    </w:p>
    <w:p>
      <w:pPr>
        <w:pStyle w:val="ListParagraph"/>
        <w:numPr>
          <w:ilvl w:val="0"/>
          <w:numId w:val="4"/>
        </w:numPr>
      </w:pPr>
      <w:r>
        <w:rPr>
          <w:rFonts w:ascii="Figtree" w:hAnsi="Figtree"/>
          <w:b w:val="0"/>
          <w:i w:val="0"/>
          <w:sz w:val="22"/>
        </w:rPr>
        <w:t>Transfer history with filtering</w:t>
      </w:r>
    </w:p>
    <w:p>
      <w:pPr>
        <w:pStyle w:val="ListParagraph"/>
        <w:numPr>
          <w:ilvl w:val="0"/>
          <w:numId w:val="4"/>
        </w:numPr>
      </w:pPr>
      <w:r>
        <w:rPr>
          <w:rFonts w:ascii="Figtree" w:hAnsi="Figtree"/>
          <w:b w:val="0"/>
          <w:i w:val="0"/>
          <w:sz w:val="22"/>
        </w:rPr>
        <w:t>Holder lists per token</w:t>
      </w:r>
    </w:p>
    <w:p>
      <w:r>
        <w:rPr>
          <w:rFonts w:ascii="Figtree" w:hAnsi="Figtree"/>
          <w:b/>
          <w:i w:val="0"/>
          <w:sz w:val="22"/>
        </w:rPr>
        <w:t>Latency Management:</w:t>
      </w:r>
    </w:p>
    <w:p>
      <w:pPr>
        <w:pStyle w:val="ListParagraph"/>
        <w:numPr>
          <w:ilvl w:val="0"/>
          <w:numId w:val="4"/>
        </w:numPr>
      </w:pPr>
      <w:r>
        <w:rPr>
          <w:rFonts w:ascii="Figtree" w:hAnsi="Figtree"/>
          <w:b w:val="0"/>
          <w:i w:val="0"/>
          <w:sz w:val="22"/>
        </w:rPr>
        <w:t>Target: &lt; 5 seconds from block to indexed</w:t>
      </w:r>
    </w:p>
    <w:p>
      <w:pPr>
        <w:pStyle w:val="ListParagraph"/>
        <w:numPr>
          <w:ilvl w:val="0"/>
          <w:numId w:val="4"/>
        </w:numPr>
      </w:pPr>
      <w:r>
        <w:rPr>
          <w:rFonts w:ascii="Figtree" w:hAnsi="Figtree"/>
          <w:b w:val="0"/>
          <w:i w:val="0"/>
          <w:sz w:val="22"/>
        </w:rPr>
        <w:t>Monitor indexer lag continuously</w:t>
      </w:r>
    </w:p>
    <w:p>
      <w:pPr>
        <w:pStyle w:val="ListParagraph"/>
        <w:numPr>
          <w:ilvl w:val="0"/>
          <w:numId w:val="4"/>
        </w:numPr>
      </w:pPr>
      <w:r>
        <w:rPr>
          <w:rFonts w:ascii="Figtree" w:hAnsi="Figtree"/>
          <w:b w:val="0"/>
          <w:i w:val="0"/>
          <w:sz w:val="22"/>
        </w:rPr>
        <w:t>Compensate for lag in UI (show effective status)</w:t>
      </w:r>
    </w:p>
    <w:p>
      <w:pPr>
        <w:pStyle w:val="H2"/>
        <w:numPr>
          <w:ilvl w:val="1"/>
          <w:numId w:val="1"/>
        </w:numPr>
      </w:pPr>
      <w:r>
        <w:t>17.3 API Technical Details</w:t>
      </w:r>
    </w:p>
    <w:p>
      <w:pPr>
        <w:pStyle w:val="H3"/>
        <w:numPr>
          <w:ilvl w:val="2"/>
          <w:numId w:val="1"/>
        </w:numPr>
      </w:pPr>
      <w:r>
        <w:t>17.3.1 API Structure</w:t>
      </w:r>
    </w:p>
    <w:p>
      <w:r>
        <w:rPr>
          <w:rFonts w:ascii="Figtree" w:hAnsi="Figtree"/>
          <w:b w:val="0"/>
          <w:i w:val="0"/>
          <w:sz w:val="22"/>
        </w:rPr>
        <w:t>The DALP API follows OpenAPI 3.1 specifications with organized namespace structure:</w:t>
      </w:r>
    </w:p>
    <w:p>
      <w:r>
        <w:rPr>
          <w:rFonts w:ascii="Figtree" w:hAnsi="Figtree"/>
          <w:b/>
          <w:i w:val="0"/>
          <w:sz w:val="22"/>
        </w:rPr>
        <w:t>Namespace Organization: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67"/>
        <w:gridCol w:w="2935"/>
        <w:gridCol w:w="466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Namespace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Resources</w:t>
            </w:r>
          </w:p>
        </w:tc>
      </w:tr>
      <w:tr>
        <w:trPr>
          <w:trHeight w:val="425" w:hRule="atLeast"/>
        </w:trPr>
        <w:tc>
          <w:tcPr>
            <w:tcW w:type="dxa" w:w="3249"/>
            <w:vAlign w:val="center"/>
          </w:tcPr>
          <w:p>
            <w:pPr>
              <w:spacing w:line="276" w:lineRule="auto" w:before="0" w:after="0"/>
            </w:pPr>
            <w:r/>
            <w:r>
              <w:rPr>
                <w:rFonts w:ascii="Figtree" w:hAnsi="Figtree"/>
                <w:b w:val="0"/>
                <w:i w:val="0"/>
                <w:sz w:val="20"/>
              </w:rPr>
              <w:t>token</w:t>
            </w:r>
          </w:p>
        </w:tc>
        <w:tc>
          <w:tcPr>
            <w:tcW w:type="dxa" w:w="3249"/>
            <w:vAlign w:val="center"/>
          </w:tcPr>
          <w:p>
            <w:pPr>
              <w:spacing w:line="276" w:lineRule="auto" w:before="0" w:after="0"/>
            </w:pPr>
            <w:r/>
            <w:r>
              <w:rPr>
                <w:rFonts w:ascii="Figtree" w:hAnsi="Figtree"/>
                <w:b w:val="0"/>
                <w:i w:val="0"/>
                <w:sz w:val="20"/>
              </w:rPr>
              <w:t>Asset operations</w:t>
            </w:r>
          </w:p>
        </w:tc>
        <w:tc>
          <w:tcPr>
            <w:tcW w:type="dxa" w:w="3249"/>
            <w:vAlign w:val="center"/>
          </w:tcPr>
          <w:p>
            <w:pPr>
              <w:spacing w:line="276" w:lineRule="auto" w:before="0" w:after="0"/>
            </w:pPr>
            <w:r/>
            <w:r>
              <w:rPr>
                <w:rFonts w:ascii="Figtree" w:hAnsi="Figtree"/>
                <w:b w:val="0"/>
                <w:i w:val="0"/>
                <w:sz w:val="20"/>
              </w:rPr>
              <w:t>create, mint, burn, transfer, pause</w:t>
            </w:r>
          </w:p>
        </w:tc>
      </w:tr>
      <w:tr>
        <w:trPr>
          <w:trHeight w:val="425" w:hRule="atLeast"/>
        </w:trPr>
        <w:tc>
          <w:tcPr>
            <w:tcW w:type="dxa" w:w="3249"/>
            <w:vAlign w:val="center"/>
          </w:tcPr>
          <w:p>
            <w:pPr>
              <w:spacing w:line="276" w:lineRule="auto" w:before="0" w:after="0"/>
            </w:pPr>
            <w:r/>
            <w:r>
              <w:rPr>
                <w:rFonts w:ascii="Figtree" w:hAnsi="Figtree"/>
                <w:b w:val="0"/>
                <w:i w:val="0"/>
                <w:sz w:val="20"/>
              </w:rPr>
              <w:t>user</w:t>
            </w:r>
          </w:p>
        </w:tc>
        <w:tc>
          <w:tcPr>
            <w:tcW w:type="dxa" w:w="3249"/>
            <w:vAlign w:val="center"/>
          </w:tcPr>
          <w:p>
            <w:pPr>
              <w:spacing w:line="276" w:lineRule="auto" w:before="0" w:after="0"/>
            </w:pPr>
            <w:r/>
            <w:r>
              <w:rPr>
                <w:rFonts w:ascii="Figtree" w:hAnsi="Figtree"/>
                <w:b w:val="0"/>
                <w:i w:val="0"/>
                <w:sz w:val="20"/>
              </w:rPr>
              <w:t>User management</w:t>
            </w:r>
          </w:p>
        </w:tc>
        <w:tc>
          <w:tcPr>
            <w:tcW w:type="dxa" w:w="3249"/>
            <w:vAlign w:val="center"/>
          </w:tcPr>
          <w:p>
            <w:pPr>
              <w:spacing w:line="276" w:lineRule="auto" w:before="0" w:after="0"/>
            </w:pPr>
            <w:r/>
            <w:r>
              <w:rPr>
                <w:rFonts w:ascii="Figtree" w:hAnsi="Figtree"/>
                <w:b w:val="0"/>
                <w:i w:val="0"/>
                <w:sz w:val="20"/>
              </w:rPr>
              <w:t>list, assignRoles, permissions</w:t>
            </w:r>
          </w:p>
        </w:tc>
      </w:tr>
      <w:tr>
        <w:trPr>
          <w:trHeight w:val="425" w:hRule="atLeast"/>
        </w:trPr>
        <w:tc>
          <w:tcPr>
            <w:tcW w:type="dxa" w:w="3249"/>
            <w:vAlign w:val="center"/>
          </w:tcPr>
          <w:p>
            <w:pPr>
              <w:spacing w:line="276" w:lineRule="auto" w:before="0" w:after="0"/>
            </w:pPr>
            <w:r/>
            <w:r>
              <w:rPr>
                <w:rFonts w:ascii="Figtree" w:hAnsi="Figtree"/>
                <w:b w:val="0"/>
                <w:i w:val="0"/>
                <w:sz w:val="20"/>
              </w:rPr>
              <w:t>account</w:t>
            </w:r>
          </w:p>
        </w:tc>
        <w:tc>
          <w:tcPr>
            <w:tcW w:type="dxa" w:w="3249"/>
            <w:vAlign w:val="center"/>
          </w:tcPr>
          <w:p>
            <w:pPr>
              <w:spacing w:line="276" w:lineRule="auto" w:before="0" w:after="0"/>
            </w:pPr>
            <w:r/>
            <w:r>
              <w:rPr>
                <w:rFonts w:ascii="Figtree" w:hAnsi="Figtree"/>
                <w:b w:val="0"/>
                <w:i w:val="0"/>
                <w:sz w:val="20"/>
              </w:rPr>
              <w:t>Wallet operations</w:t>
            </w:r>
          </w:p>
        </w:tc>
        <w:tc>
          <w:tcPr>
            <w:tcW w:type="dxa" w:w="3249"/>
            <w:vAlign w:val="center"/>
          </w:tcPr>
          <w:p>
            <w:pPr>
              <w:spacing w:line="276" w:lineRule="auto" w:before="0" w:after="0"/>
            </w:pPr>
            <w:r/>
            <w:r>
              <w:rPr>
                <w:rFonts w:ascii="Figtree" w:hAnsi="Figtree"/>
                <w:b w:val="0"/>
                <w:i w:val="0"/>
                <w:sz w:val="20"/>
              </w:rPr>
              <w:t>generateAddress, sign, verify</w:t>
            </w:r>
          </w:p>
        </w:tc>
      </w:tr>
      <w:tr>
        <w:trPr>
          <w:trHeight w:val="425" w:hRule="atLeast"/>
        </w:trPr>
        <w:tc>
          <w:tcPr>
            <w:tcW w:type="dxa" w:w="3249"/>
            <w:vAlign w:val="center"/>
          </w:tcPr>
          <w:p>
            <w:pPr>
              <w:spacing w:line="276" w:lineRule="auto" w:before="0" w:after="0"/>
            </w:pPr>
            <w:r/>
            <w:r>
              <w:rPr>
                <w:rFonts w:ascii="Figtree" w:hAnsi="Figtree"/>
                <w:b w:val="0"/>
                <w:i w:val="0"/>
                <w:sz w:val="20"/>
              </w:rPr>
              <w:t>contact</w:t>
            </w:r>
          </w:p>
        </w:tc>
        <w:tc>
          <w:tcPr>
            <w:tcW w:type="dxa" w:w="3249"/>
            <w:vAlign w:val="center"/>
          </w:tcPr>
          <w:p>
            <w:pPr>
              <w:spacing w:line="276" w:lineRule="auto" w:before="0" w:after="0"/>
            </w:pPr>
            <w:r/>
            <w:r>
              <w:rPr>
                <w:rFonts w:ascii="Figtree" w:hAnsi="Figtree"/>
                <w:b w:val="0"/>
                <w:i w:val="0"/>
                <w:sz w:val="20"/>
              </w:rPr>
              <w:t>Investor relations</w:t>
            </w:r>
          </w:p>
        </w:tc>
        <w:tc>
          <w:tcPr>
            <w:tcW w:type="dxa" w:w="3249"/>
            <w:vAlign w:val="center"/>
          </w:tcPr>
          <w:p>
            <w:pPr>
              <w:spacing w:line="276" w:lineRule="auto" w:before="0" w:after="0"/>
            </w:pPr>
            <w:r/>
            <w:r>
              <w:rPr>
                <w:rFonts w:ascii="Figtree" w:hAnsi="Figtree"/>
                <w:b w:val="0"/>
                <w:i w:val="0"/>
                <w:sz w:val="20"/>
              </w:rPr>
              <w:t>register, recordVerification</w:t>
            </w:r>
          </w:p>
        </w:tc>
      </w:tr>
      <w:tr>
        <w:trPr>
          <w:trHeight w:val="425" w:hRule="atLeast"/>
        </w:trPr>
        <w:tc>
          <w:tcPr>
            <w:tcW w:type="dxa" w:w="3249"/>
            <w:vAlign w:val="center"/>
          </w:tcPr>
          <w:p>
            <w:pPr>
              <w:spacing w:line="276" w:lineRule="auto" w:before="0" w:after="0"/>
            </w:pPr>
            <w:r/>
            <w:r>
              <w:rPr>
                <w:rFonts w:ascii="Figtree" w:hAnsi="Figtree"/>
                <w:b w:val="0"/>
                <w:i w:val="0"/>
                <w:sz w:val="20"/>
              </w:rPr>
              <w:t>asset</w:t>
            </w:r>
          </w:p>
        </w:tc>
        <w:tc>
          <w:tcPr>
            <w:tcW w:type="dxa" w:w="3249"/>
            <w:vAlign w:val="center"/>
          </w:tcPr>
          <w:p>
            <w:pPr>
              <w:spacing w:line="276" w:lineRule="auto" w:before="0" w:after="0"/>
            </w:pPr>
            <w:r/>
            <w:r>
              <w:rPr>
                <w:rFonts w:ascii="Figtree" w:hAnsi="Figtree"/>
                <w:b w:val="0"/>
                <w:i w:val="0"/>
                <w:sz w:val="20"/>
              </w:rPr>
              <w:t>Asset metadata</w:t>
            </w:r>
          </w:p>
        </w:tc>
        <w:tc>
          <w:tcPr>
            <w:tcW w:type="dxa" w:w="3249"/>
            <w:vAlign w:val="center"/>
          </w:tcPr>
          <w:p>
            <w:pPr>
              <w:spacing w:line="276" w:lineRule="auto" w:before="0" w:after="0"/>
            </w:pPr>
            <w:r/>
            <w:r>
              <w:rPr>
                <w:rFonts w:ascii="Figtree" w:hAnsi="Figtree"/>
                <w:b w:val="0"/>
                <w:i w:val="0"/>
                <w:sz w:val="20"/>
              </w:rPr>
              <w:t>update, configure, documents</w:t>
            </w:r>
          </w:p>
        </w:tc>
      </w:tr>
      <w:tr>
        <w:trPr>
          <w:trHeight w:val="425" w:hRule="atLeast"/>
        </w:trPr>
        <w:tc>
          <w:tcPr>
            <w:tcW w:type="dxa" w:w="3249"/>
            <w:vAlign w:val="center"/>
          </w:tcPr>
          <w:p>
            <w:pPr>
              <w:spacing w:line="276" w:lineRule="auto" w:before="0" w:after="0"/>
            </w:pPr>
            <w:r/>
            <w:r>
              <w:rPr>
                <w:rFonts w:ascii="Figtree" w:hAnsi="Figtree"/>
                <w:b w:val="0"/>
                <w:i w:val="0"/>
                <w:sz w:val="20"/>
              </w:rPr>
              <w:t>system</w:t>
            </w:r>
          </w:p>
        </w:tc>
        <w:tc>
          <w:tcPr>
            <w:tcW w:type="dxa" w:w="3249"/>
            <w:vAlign w:val="center"/>
          </w:tcPr>
          <w:p>
            <w:pPr>
              <w:spacing w:line="276" w:lineRule="auto" w:before="0" w:after="0"/>
            </w:pPr>
            <w:r/>
            <w:r>
              <w:rPr>
                <w:rFonts w:ascii="Figtree" w:hAnsi="Figtree"/>
                <w:b w:val="0"/>
                <w:i w:val="0"/>
                <w:sz w:val="20"/>
              </w:rPr>
              <w:t>Administration</w:t>
            </w:r>
          </w:p>
        </w:tc>
        <w:tc>
          <w:tcPr>
            <w:tcW w:type="dxa" w:w="3249"/>
            <w:vAlign w:val="center"/>
          </w:tcPr>
          <w:p>
            <w:pPr>
              <w:spacing w:line="276" w:lineRule="auto" w:before="0" w:after="0"/>
            </w:pPr>
            <w:r/>
            <w:r>
              <w:rPr>
                <w:rFonts w:ascii="Figtree" w:hAnsi="Figtree"/>
                <w:b w:val="0"/>
                <w:i w:val="0"/>
                <w:sz w:val="20"/>
              </w:rPr>
              <w:t>health, config, auditLogs</w:t>
            </w:r>
          </w:p>
        </w:tc>
      </w:tr>
      <w:tr>
        <w:trPr>
          <w:trHeight w:val="425" w:hRule="atLeast"/>
        </w:trPr>
        <w:tc>
          <w:tcPr>
            <w:tcW w:type="dxa" w:w="3249"/>
            <w:vAlign w:val="center"/>
          </w:tcPr>
          <w:p>
            <w:pPr>
              <w:spacing w:line="276" w:lineRule="auto" w:before="0" w:after="0"/>
            </w:pPr>
            <w:r/>
            <w:r>
              <w:rPr>
                <w:rFonts w:ascii="Figtree" w:hAnsi="Figtree"/>
                <w:b w:val="0"/>
                <w:i w:val="0"/>
                <w:sz w:val="20"/>
              </w:rPr>
              <w:t>transaction</w:t>
            </w:r>
          </w:p>
        </w:tc>
        <w:tc>
          <w:tcPr>
            <w:tcW w:type="dxa" w:w="3249"/>
            <w:vAlign w:val="center"/>
          </w:tcPr>
          <w:p>
            <w:pPr>
              <w:spacing w:line="276" w:lineRule="auto" w:before="0" w:after="0"/>
            </w:pPr>
            <w:r/>
            <w:r>
              <w:rPr>
                <w:rFonts w:ascii="Figtree" w:hAnsi="Figtree"/>
                <w:b w:val="0"/>
                <w:i w:val="0"/>
                <w:sz w:val="20"/>
              </w:rPr>
              <w:t>Transaction management</w:t>
            </w:r>
          </w:p>
        </w:tc>
        <w:tc>
          <w:tcPr>
            <w:tcW w:type="dxa" w:w="3249"/>
            <w:vAlign w:val="center"/>
          </w:tcPr>
          <w:p>
            <w:pPr>
              <w:spacing w:line="276" w:lineRule="auto" w:before="0" w:after="0"/>
            </w:pPr>
            <w:r/>
            <w:r>
              <w:rPr>
                <w:rFonts w:ascii="Figtree" w:hAnsi="Figtree"/>
                <w:b w:val="0"/>
                <w:i w:val="0"/>
                <w:sz w:val="20"/>
              </w:rPr>
              <w:t>submit, status, receipts</w:t>
            </w:r>
          </w:p>
        </w:tc>
      </w:tr>
      <w:tr>
        <w:trPr>
          <w:trHeight w:val="425" w:hRule="atLeast"/>
        </w:trPr>
        <w:tc>
          <w:tcPr>
            <w:tcW w:type="dxa" w:w="3249"/>
            <w:vAlign w:val="center"/>
          </w:tcPr>
          <w:p>
            <w:pPr>
              <w:spacing w:line="276" w:lineRule="auto" w:before="0" w:after="0"/>
            </w:pPr>
            <w:r/>
            <w:r>
              <w:rPr>
                <w:rFonts w:ascii="Figtree" w:hAnsi="Figtree"/>
                <w:b w:val="0"/>
                <w:i w:val="0"/>
                <w:sz w:val="20"/>
              </w:rPr>
              <w:t>compliance</w:t>
            </w:r>
          </w:p>
        </w:tc>
        <w:tc>
          <w:tcPr>
            <w:tcW w:type="dxa" w:w="3249"/>
            <w:vAlign w:val="center"/>
          </w:tcPr>
          <w:p>
            <w:pPr>
              <w:spacing w:line="276" w:lineRule="auto" w:before="0" w:after="0"/>
            </w:pPr>
            <w:r/>
            <w:r>
              <w:rPr>
                <w:rFonts w:ascii="Figtree" w:hAnsi="Figtree"/>
                <w:b w:val="0"/>
                <w:i w:val="0"/>
                <w:sz w:val="20"/>
              </w:rPr>
              <w:t>Compliance operations</w:t>
            </w:r>
          </w:p>
        </w:tc>
        <w:tc>
          <w:tcPr>
            <w:tcW w:type="dxa" w:w="3249"/>
            <w:vAlign w:val="center"/>
          </w:tcPr>
          <w:p>
            <w:pPr>
              <w:spacing w:line="276" w:lineRule="auto" w:before="0" w:after="0"/>
            </w:pPr>
            <w:r/>
            <w:r>
              <w:rPr>
                <w:rFonts w:ascii="Figtree" w:hAnsi="Figtree"/>
                <w:b w:val="0"/>
                <w:i w:val="0"/>
                <w:sz w:val="20"/>
              </w:rPr>
              <w:t>check, rules, history</w:t>
            </w:r>
          </w:p>
        </w:tc>
      </w:tr>
    </w:tbl>
    <w:p>
      <w:pPr>
        <w:spacing w:before="0" w:after="0" w:line="120" w:lineRule="exact"/>
      </w:pPr>
    </w:p>
    <w:p>
      <w:pPr>
        <w:pStyle w:val="H3"/>
        <w:numPr>
          <w:ilvl w:val="2"/>
          <w:numId w:val="1"/>
        </w:numPr>
      </w:pPr>
      <w:r>
        <w:t>17.3.2 Authentication Methods</w:t>
      </w:r>
    </w:p>
    <w:p>
      <w:r>
        <w:rPr>
          <w:rFonts w:ascii="Figtree" w:hAnsi="Figtree"/>
          <w:b/>
          <w:i w:val="0"/>
          <w:sz w:val="22"/>
        </w:rPr>
        <w:t>Session Authentication:</w:t>
      </w:r>
    </w:p>
    <w:p>
      <w:pPr>
        <w:pStyle w:val="ListParagraph"/>
        <w:numPr>
          <w:ilvl w:val="0"/>
          <w:numId w:val="4"/>
        </w:numPr>
      </w:pPr>
      <w:r>
        <w:rPr>
          <w:rFonts w:ascii="Figtree" w:hAnsi="Figtree"/>
          <w:b w:val="0"/>
          <w:i w:val="0"/>
          <w:sz w:val="22"/>
        </w:rPr>
        <w:t>HTTP-only cookies with Secure flag</w:t>
      </w:r>
    </w:p>
    <w:p>
      <w:pPr>
        <w:pStyle w:val="ListParagraph"/>
        <w:numPr>
          <w:ilvl w:val="0"/>
          <w:numId w:val="4"/>
        </w:numPr>
      </w:pPr>
      <w:r>
        <w:rPr>
          <w:rFonts w:ascii="Figtree" w:hAnsi="Figtree"/>
          <w:b w:val="0"/>
          <w:i w:val="0"/>
          <w:sz w:val="22"/>
        </w:rPr>
        <w:t>7-day expiry with 24-hour refresh window</w:t>
      </w:r>
    </w:p>
    <w:p>
      <w:pPr>
        <w:pStyle w:val="ListParagraph"/>
        <w:numPr>
          <w:ilvl w:val="0"/>
          <w:numId w:val="4"/>
        </w:numPr>
      </w:pPr>
      <w:r>
        <w:rPr>
          <w:rFonts w:ascii="Figtree" w:hAnsi="Figtree"/>
          <w:b w:val="0"/>
          <w:i w:val="0"/>
          <w:sz w:val="22"/>
        </w:rPr>
        <w:t>Organization and user context in session</w:t>
      </w:r>
    </w:p>
    <w:p>
      <w:r>
        <w:rPr>
          <w:rFonts w:ascii="Figtree" w:hAnsi="Figtree"/>
          <w:b/>
          <w:i w:val="0"/>
          <w:sz w:val="22"/>
        </w:rPr>
        <w:t>API Key Authentication:</w:t>
      </w:r>
    </w:p>
    <w:p>
      <w:pPr>
        <w:pStyle w:val="ListParagraph"/>
        <w:numPr>
          <w:ilvl w:val="0"/>
          <w:numId w:val="4"/>
        </w:numPr>
      </w:pPr>
      <w:r>
        <w:rPr>
          <w:rFonts w:ascii="Figtree" w:hAnsi="Figtree"/>
          <w:b w:val="0"/>
          <w:i w:val="0"/>
          <w:sz w:val="22"/>
        </w:rPr>
        <w:t>Format: sm</w:t>
      </w:r>
      <w:r>
        <w:rPr>
          <w:rFonts w:ascii="Figtree" w:hAnsi="Figtree"/>
          <w:b w:val="0"/>
          <w:i/>
          <w:sz w:val="22"/>
        </w:rPr>
        <w:t>atk</w:t>
      </w:r>
      <w:r>
        <w:rPr>
          <w:rFonts w:ascii="Figtree" w:hAnsi="Figtree"/>
          <w:b w:val="0"/>
          <w:i w:val="0"/>
          <w:sz w:val="22"/>
        </w:rPr>
        <w:t>[16 random characters]</w:t>
      </w:r>
    </w:p>
    <w:p>
      <w:pPr>
        <w:pStyle w:val="ListParagraph"/>
        <w:numPr>
          <w:ilvl w:val="0"/>
          <w:numId w:val="4"/>
        </w:numPr>
      </w:pPr>
      <w:r>
        <w:rPr>
          <w:rFonts w:ascii="Figtree" w:hAnsi="Figtree"/>
          <w:b w:val="0"/>
          <w:i w:val="0"/>
          <w:sz w:val="22"/>
        </w:rPr>
        <w:t>Scoped to namespaces</w:t>
      </w:r>
    </w:p>
    <w:p>
      <w:pPr>
        <w:pStyle w:val="ListParagraph"/>
        <w:numPr>
          <w:ilvl w:val="0"/>
          <w:numId w:val="4"/>
        </w:numPr>
      </w:pPr>
      <w:r>
        <w:rPr>
          <w:rFonts w:ascii="Figtree" w:hAnsi="Figtree"/>
          <w:b w:val="0"/>
          <w:i w:val="0"/>
          <w:sz w:val="22"/>
        </w:rPr>
        <w:t>Rate limited: 10,000 requests per 60 seconds</w:t>
      </w:r>
    </w:p>
    <w:p>
      <w:r>
        <w:rPr>
          <w:rFonts w:ascii="Figtree" w:hAnsi="Figtree"/>
          <w:b/>
          <w:i w:val="0"/>
          <w:sz w:val="22"/>
        </w:rPr>
        <w:t>Wallet Verification:</w:t>
      </w:r>
    </w:p>
    <w:p>
      <w:pPr>
        <w:pStyle w:val="ListParagraph"/>
        <w:numPr>
          <w:ilvl w:val="0"/>
          <w:numId w:val="4"/>
        </w:numPr>
      </w:pPr>
      <w:r>
        <w:rPr>
          <w:rFonts w:ascii="Figtree" w:hAnsi="Figtree"/>
          <w:b w:val="0"/>
          <w:i w:val="0"/>
          <w:sz w:val="22"/>
        </w:rPr>
        <w:t>Required for blockchain write operations</w:t>
      </w:r>
    </w:p>
    <w:p>
      <w:pPr>
        <w:pStyle w:val="ListParagraph"/>
        <w:numPr>
          <w:ilvl w:val="0"/>
          <w:numId w:val="4"/>
        </w:numPr>
      </w:pPr>
      <w:r>
        <w:rPr>
          <w:rFonts w:ascii="Figtree" w:hAnsi="Figtree"/>
          <w:b w:val="0"/>
          <w:i w:val="0"/>
          <w:sz w:val="22"/>
        </w:rPr>
        <w:t>Methods: PIN, TOTP, Backup Codes, Passkey</w:t>
      </w:r>
    </w:p>
    <w:p>
      <w:pPr>
        <w:pStyle w:val="ListParagraph"/>
        <w:numPr>
          <w:ilvl w:val="0"/>
          <w:numId w:val="4"/>
        </w:numPr>
      </w:pPr>
      <w:r>
        <w:rPr>
          <w:rFonts w:ascii="Figtree" w:hAnsi="Figtree"/>
          <w:b w:val="0"/>
          <w:i w:val="0"/>
          <w:sz w:val="22"/>
        </w:rPr>
        <w:t>Cryptographic proof of wallet control</w:t>
      </w:r>
    </w:p>
    <w:p>
      <w:pPr>
        <w:pStyle w:val="H3"/>
        <w:numPr>
          <w:ilvl w:val="2"/>
          <w:numId w:val="1"/>
        </w:numPr>
      </w:pPr>
      <w:r>
        <w:t>17.3.3 Error Handling</w:t>
      </w:r>
    </w:p>
    <w:p>
      <w:r>
        <w:rPr>
          <w:rFonts w:ascii="Figtree" w:hAnsi="Figtree"/>
          <w:b/>
          <w:i w:val="0"/>
          <w:sz w:val="22"/>
        </w:rPr>
        <w:t>Error Response Format:</w:t>
      </w:r>
    </w:p>
    <w:p>
      <w:r>
        <w:rPr>
          <w:rFonts w:ascii="Figtree" w:hAnsi="Figtree"/>
          <w:b/>
          <w:i w:val="0"/>
          <w:sz w:val="22"/>
        </w:rPr>
        <w:t>Error Codes: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53"/>
        <w:gridCol w:w="2109"/>
        <w:gridCol w:w="400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Code Range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3249"/>
            <w:vAlign w:val="center"/>
          </w:tcPr>
          <w:p>
            <w:pPr>
              <w:spacing w:line="276" w:lineRule="auto" w:before="0" w:after="0"/>
            </w:pPr>
            <w:r/>
            <w:r>
              <w:rPr>
                <w:rFonts w:ascii="Figtree" w:hAnsi="Figtree"/>
                <w:b w:val="0"/>
                <w:i w:val="0"/>
                <w:sz w:val="20"/>
              </w:rPr>
              <w:t>Authentication</w:t>
            </w:r>
          </w:p>
        </w:tc>
        <w:tc>
          <w:tcPr>
            <w:tcW w:type="dxa" w:w="3249"/>
            <w:vAlign w:val="center"/>
          </w:tcPr>
          <w:p>
            <w:pPr>
              <w:spacing w:line="276" w:lineRule="auto" w:before="0" w:after="0"/>
            </w:pPr>
            <w:r/>
            <w:r>
              <w:rPr>
                <w:rFonts w:ascii="Figtree" w:hAnsi="Figtree"/>
                <w:b w:val="0"/>
                <w:i w:val="0"/>
                <w:sz w:val="20"/>
              </w:rPr>
              <w:t>401xxx</w:t>
            </w:r>
          </w:p>
        </w:tc>
        <w:tc>
          <w:tcPr>
            <w:tcW w:type="dxa" w:w="3249"/>
            <w:vAlign w:val="center"/>
          </w:tcPr>
          <w:p>
            <w:pPr>
              <w:spacing w:line="276" w:lineRule="auto" w:before="0" w:after="0"/>
            </w:pPr>
            <w:r/>
            <w:r>
              <w:rPr>
                <w:rFonts w:ascii="Figtree" w:hAnsi="Figtree"/>
                <w:b w:val="0"/>
                <w:i w:val="0"/>
                <w:sz w:val="20"/>
              </w:rPr>
              <w:t>Auth failures</w:t>
            </w:r>
          </w:p>
        </w:tc>
      </w:tr>
      <w:tr>
        <w:trPr>
          <w:trHeight w:val="425" w:hRule="atLeast"/>
        </w:trPr>
        <w:tc>
          <w:tcPr>
            <w:tcW w:type="dxa" w:w="3249"/>
            <w:vAlign w:val="center"/>
          </w:tcPr>
          <w:p>
            <w:pPr>
              <w:spacing w:line="276" w:lineRule="auto" w:before="0" w:after="0"/>
            </w:pPr>
            <w:r/>
            <w:r>
              <w:rPr>
                <w:rFonts w:ascii="Figtree" w:hAnsi="Figtree"/>
                <w:b w:val="0"/>
                <w:i w:val="0"/>
                <w:sz w:val="20"/>
              </w:rPr>
              <w:t>Authorization</w:t>
            </w:r>
          </w:p>
        </w:tc>
        <w:tc>
          <w:tcPr>
            <w:tcW w:type="dxa" w:w="3249"/>
            <w:vAlign w:val="center"/>
          </w:tcPr>
          <w:p>
            <w:pPr>
              <w:spacing w:line="276" w:lineRule="auto" w:before="0" w:after="0"/>
            </w:pPr>
            <w:r/>
            <w:r>
              <w:rPr>
                <w:rFonts w:ascii="Figtree" w:hAnsi="Figtree"/>
                <w:b w:val="0"/>
                <w:i w:val="0"/>
                <w:sz w:val="20"/>
              </w:rPr>
              <w:t>403xxx</w:t>
            </w:r>
          </w:p>
        </w:tc>
        <w:tc>
          <w:tcPr>
            <w:tcW w:type="dxa" w:w="3249"/>
            <w:vAlign w:val="center"/>
          </w:tcPr>
          <w:p>
            <w:pPr>
              <w:spacing w:line="276" w:lineRule="auto" w:before="0" w:after="0"/>
            </w:pPr>
            <w:r/>
            <w:r>
              <w:rPr>
                <w:rFonts w:ascii="Figtree" w:hAnsi="Figtree"/>
                <w:b w:val="0"/>
                <w:i w:val="0"/>
                <w:sz w:val="20"/>
              </w:rPr>
              <w:t>Permission failures</w:t>
            </w:r>
          </w:p>
        </w:tc>
      </w:tr>
      <w:tr>
        <w:trPr>
          <w:trHeight w:val="425" w:hRule="atLeast"/>
        </w:trPr>
        <w:tc>
          <w:tcPr>
            <w:tcW w:type="dxa" w:w="3249"/>
            <w:vAlign w:val="center"/>
          </w:tcPr>
          <w:p>
            <w:pPr>
              <w:spacing w:line="276" w:lineRule="auto" w:before="0" w:after="0"/>
            </w:pPr>
            <w:r/>
            <w:r>
              <w:rPr>
                <w:rFonts w:ascii="Figtree" w:hAnsi="Figtree"/>
                <w:b w:val="0"/>
                <w:i w:val="0"/>
                <w:sz w:val="20"/>
              </w:rPr>
              <w:t>Validation</w:t>
            </w:r>
          </w:p>
        </w:tc>
        <w:tc>
          <w:tcPr>
            <w:tcW w:type="dxa" w:w="3249"/>
            <w:vAlign w:val="center"/>
          </w:tcPr>
          <w:p>
            <w:pPr>
              <w:spacing w:line="276" w:lineRule="auto" w:before="0" w:after="0"/>
            </w:pPr>
            <w:r/>
            <w:r>
              <w:rPr>
                <w:rFonts w:ascii="Figtree" w:hAnsi="Figtree"/>
                <w:b w:val="0"/>
                <w:i w:val="0"/>
                <w:sz w:val="20"/>
              </w:rPr>
              <w:t>400xxx</w:t>
            </w:r>
          </w:p>
        </w:tc>
        <w:tc>
          <w:tcPr>
            <w:tcW w:type="dxa" w:w="3249"/>
            <w:vAlign w:val="center"/>
          </w:tcPr>
          <w:p>
            <w:pPr>
              <w:spacing w:line="276" w:lineRule="auto" w:before="0" w:after="0"/>
            </w:pPr>
            <w:r/>
            <w:r>
              <w:rPr>
                <w:rFonts w:ascii="Figtree" w:hAnsi="Figtree"/>
                <w:b w:val="0"/>
                <w:i w:val="0"/>
                <w:sz w:val="20"/>
              </w:rPr>
              <w:t>Input validation</w:t>
            </w:r>
          </w:p>
        </w:tc>
      </w:tr>
      <w:tr>
        <w:trPr>
          <w:trHeight w:val="425" w:hRule="atLeast"/>
        </w:trPr>
        <w:tc>
          <w:tcPr>
            <w:tcW w:type="dxa" w:w="3249"/>
            <w:vAlign w:val="center"/>
          </w:tcPr>
          <w:p>
            <w:pPr>
              <w:spacing w:line="276" w:lineRule="auto" w:before="0" w:after="0"/>
            </w:pPr>
            <w:r/>
            <w:r>
              <w:rPr>
                <w:rFonts w:ascii="Figtree" w:hAnsi="Figtree"/>
                <w:b w:val="0"/>
                <w:i w:val="0"/>
                <w:sz w:val="20"/>
              </w:rPr>
              <w:t>Compliance</w:t>
            </w:r>
          </w:p>
        </w:tc>
        <w:tc>
          <w:tcPr>
            <w:tcW w:type="dxa" w:w="3249"/>
            <w:vAlign w:val="center"/>
          </w:tcPr>
          <w:p>
            <w:pPr>
              <w:spacing w:line="276" w:lineRule="auto" w:before="0" w:after="0"/>
            </w:pPr>
            <w:r/>
            <w:r>
              <w:rPr>
                <w:rFonts w:ascii="Figtree" w:hAnsi="Figtree"/>
                <w:b w:val="0"/>
                <w:i w:val="0"/>
                <w:sz w:val="20"/>
              </w:rPr>
              <w:t>402xxx</w:t>
            </w:r>
          </w:p>
        </w:tc>
        <w:tc>
          <w:tcPr>
            <w:tcW w:type="dxa" w:w="3249"/>
            <w:vAlign w:val="center"/>
          </w:tcPr>
          <w:p>
            <w:pPr>
              <w:spacing w:line="276" w:lineRule="auto" w:before="0" w:after="0"/>
            </w:pPr>
            <w:r/>
            <w:r>
              <w:rPr>
                <w:rFonts w:ascii="Figtree" w:hAnsi="Figtree"/>
                <w:b w:val="0"/>
                <w:i w:val="0"/>
                <w:sz w:val="20"/>
              </w:rPr>
              <w:t>Compliance blocks</w:t>
            </w:r>
          </w:p>
        </w:tc>
      </w:tr>
      <w:tr>
        <w:trPr>
          <w:trHeight w:val="425" w:hRule="atLeast"/>
        </w:trPr>
        <w:tc>
          <w:tcPr>
            <w:tcW w:type="dxa" w:w="3249"/>
            <w:vAlign w:val="center"/>
          </w:tcPr>
          <w:p>
            <w:pPr>
              <w:spacing w:line="276" w:lineRule="auto" w:before="0" w:after="0"/>
            </w:pPr>
            <w:r/>
            <w:r>
              <w:rPr>
                <w:rFonts w:ascii="Figtree" w:hAnsi="Figtree"/>
                <w:b w:val="0"/>
                <w:i w:val="0"/>
                <w:sz w:val="20"/>
              </w:rPr>
              <w:t>Not Found</w:t>
            </w:r>
          </w:p>
        </w:tc>
        <w:tc>
          <w:tcPr>
            <w:tcW w:type="dxa" w:w="3249"/>
            <w:vAlign w:val="center"/>
          </w:tcPr>
          <w:p>
            <w:pPr>
              <w:spacing w:line="276" w:lineRule="auto" w:before="0" w:after="0"/>
            </w:pPr>
            <w:r/>
            <w:r>
              <w:rPr>
                <w:rFonts w:ascii="Figtree" w:hAnsi="Figtree"/>
                <w:b w:val="0"/>
                <w:i w:val="0"/>
                <w:sz w:val="20"/>
              </w:rPr>
              <w:t>404xxx</w:t>
            </w:r>
          </w:p>
        </w:tc>
        <w:tc>
          <w:tcPr>
            <w:tcW w:type="dxa" w:w="3249"/>
            <w:vAlign w:val="center"/>
          </w:tcPr>
          <w:p>
            <w:pPr>
              <w:spacing w:line="276" w:lineRule="auto" w:before="0" w:after="0"/>
            </w:pPr>
            <w:r/>
            <w:r>
              <w:rPr>
                <w:rFonts w:ascii="Figtree" w:hAnsi="Figtree"/>
                <w:b w:val="0"/>
                <w:i w:val="0"/>
                <w:sz w:val="20"/>
              </w:rPr>
              <w:t>Resource missing</w:t>
            </w:r>
          </w:p>
        </w:tc>
      </w:tr>
      <w:tr>
        <w:trPr>
          <w:trHeight w:val="425" w:hRule="atLeast"/>
        </w:trPr>
        <w:tc>
          <w:tcPr>
            <w:tcW w:type="dxa" w:w="3249"/>
            <w:vAlign w:val="center"/>
          </w:tcPr>
          <w:p>
            <w:pPr>
              <w:spacing w:line="276" w:lineRule="auto" w:before="0" w:after="0"/>
            </w:pPr>
            <w:r/>
            <w:r>
              <w:rPr>
                <w:rFonts w:ascii="Figtree" w:hAnsi="Figtree"/>
                <w:b w:val="0"/>
                <w:i w:val="0"/>
                <w:sz w:val="20"/>
              </w:rPr>
              <w:t>Conflict</w:t>
            </w:r>
          </w:p>
        </w:tc>
        <w:tc>
          <w:tcPr>
            <w:tcW w:type="dxa" w:w="3249"/>
            <w:vAlign w:val="center"/>
          </w:tcPr>
          <w:p>
            <w:pPr>
              <w:spacing w:line="276" w:lineRule="auto" w:before="0" w:after="0"/>
            </w:pPr>
            <w:r/>
            <w:r>
              <w:rPr>
                <w:rFonts w:ascii="Figtree" w:hAnsi="Figtree"/>
                <w:b w:val="0"/>
                <w:i w:val="0"/>
                <w:sz w:val="20"/>
              </w:rPr>
              <w:t>409xxx</w:t>
            </w:r>
          </w:p>
        </w:tc>
        <w:tc>
          <w:tcPr>
            <w:tcW w:type="dxa" w:w="3249"/>
            <w:vAlign w:val="center"/>
          </w:tcPr>
          <w:p>
            <w:pPr>
              <w:spacing w:line="276" w:lineRule="auto" w:before="0" w:after="0"/>
            </w:pPr>
            <w:r/>
            <w:r>
              <w:rPr>
                <w:rFonts w:ascii="Figtree" w:hAnsi="Figtree"/>
                <w:b w:val="0"/>
                <w:i w:val="0"/>
                <w:sz w:val="20"/>
              </w:rPr>
              <w:t>State conflicts</w:t>
            </w:r>
          </w:p>
        </w:tc>
      </w:tr>
      <w:tr>
        <w:trPr>
          <w:trHeight w:val="425" w:hRule="atLeast"/>
        </w:trPr>
        <w:tc>
          <w:tcPr>
            <w:tcW w:type="dxa" w:w="3249"/>
            <w:vAlign w:val="center"/>
          </w:tcPr>
          <w:p>
            <w:pPr>
              <w:spacing w:line="276" w:lineRule="auto" w:before="0" w:after="0"/>
            </w:pPr>
            <w:r/>
            <w:r>
              <w:rPr>
                <w:rFonts w:ascii="Figtree" w:hAnsi="Figtree"/>
                <w:b w:val="0"/>
                <w:i w:val="0"/>
                <w:sz w:val="20"/>
              </w:rPr>
              <w:t>Internal</w:t>
            </w:r>
          </w:p>
        </w:tc>
        <w:tc>
          <w:tcPr>
            <w:tcW w:type="dxa" w:w="3249"/>
            <w:vAlign w:val="center"/>
          </w:tcPr>
          <w:p>
            <w:pPr>
              <w:spacing w:line="276" w:lineRule="auto" w:before="0" w:after="0"/>
            </w:pPr>
            <w:r/>
            <w:r>
              <w:rPr>
                <w:rFonts w:ascii="Figtree" w:hAnsi="Figtree"/>
                <w:b w:val="0"/>
                <w:i w:val="0"/>
                <w:sz w:val="20"/>
              </w:rPr>
              <w:t>500xxx</w:t>
            </w:r>
          </w:p>
        </w:tc>
        <w:tc>
          <w:tcPr>
            <w:tcW w:type="dxa" w:w="3249"/>
            <w:vAlign w:val="center"/>
          </w:tcPr>
          <w:p>
            <w:pPr>
              <w:spacing w:line="276" w:lineRule="auto" w:before="0" w:after="0"/>
            </w:pPr>
            <w:r/>
            <w:r>
              <w:rPr>
                <w:rFonts w:ascii="Figtree" w:hAnsi="Figtree"/>
                <w:b w:val="0"/>
                <w:i w:val="0"/>
                <w:sz w:val="20"/>
              </w:rPr>
              <w:t>Server errors</w:t>
            </w:r>
          </w:p>
        </w:tc>
      </w:tr>
    </w:tbl>
    <w:p>
      <w:pPr>
        <w:spacing w:before="0" w:after="0" w:line="120" w:lineRule="exact"/>
      </w:pPr>
    </w:p>
    <w:p>
      <w:pPr>
        <w:pStyle w:val="H3"/>
        <w:numPr>
          <w:ilvl w:val="2"/>
          <w:numId w:val="1"/>
        </w:numPr>
      </w:pPr>
      <w:r>
        <w:t>17.3.4 Rate Limiting</w:t>
      </w:r>
    </w:p>
    <w:p>
      <w:r>
        <w:rPr>
          <w:rFonts w:ascii="Figtree" w:hAnsi="Figtree"/>
          <w:b/>
          <w:i w:val="0"/>
          <w:sz w:val="22"/>
        </w:rPr>
        <w:t>Rate Limit Headers:</w:t>
      </w:r>
    </w:p>
    <w:p>
      <w:r>
        <w:rPr>
          <w:rFonts w:ascii="Figtree" w:hAnsi="Figtree"/>
          <w:b/>
          <w:i w:val="0"/>
          <w:sz w:val="22"/>
        </w:rPr>
        <w:t>Limits by Tier: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26"/>
        <w:gridCol w:w="4389"/>
        <w:gridCol w:w="175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Requests/Window</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Burst</w:t>
            </w:r>
          </w:p>
        </w:tc>
      </w:tr>
      <w:tr>
        <w:trPr>
          <w:trHeight w:val="425" w:hRule="atLeast"/>
        </w:trPr>
        <w:tc>
          <w:tcPr>
            <w:tcW w:type="dxa" w:w="3249"/>
            <w:vAlign w:val="center"/>
          </w:tcPr>
          <w:p>
            <w:pPr>
              <w:spacing w:line="276" w:lineRule="auto" w:before="0" w:after="0"/>
            </w:pPr>
            <w:r/>
            <w:r>
              <w:rPr>
                <w:rFonts w:ascii="Figtree" w:hAnsi="Figtree"/>
                <w:b w:val="0"/>
                <w:i w:val="0"/>
                <w:sz w:val="20"/>
              </w:rPr>
              <w:t>Standard</w:t>
            </w:r>
          </w:p>
        </w:tc>
        <w:tc>
          <w:tcPr>
            <w:tcW w:type="dxa" w:w="3249"/>
            <w:vAlign w:val="center"/>
          </w:tcPr>
          <w:p>
            <w:pPr>
              <w:spacing w:line="276" w:lineRule="auto" w:before="0" w:after="0"/>
            </w:pPr>
            <w:r/>
            <w:r>
              <w:rPr>
                <w:rFonts w:ascii="Figtree" w:hAnsi="Figtree"/>
                <w:b w:val="0"/>
                <w:i w:val="0"/>
                <w:sz w:val="20"/>
              </w:rPr>
              <w:t>10,000 / 60s</w:t>
            </w:r>
          </w:p>
        </w:tc>
        <w:tc>
          <w:tcPr>
            <w:tcW w:type="dxa" w:w="3249"/>
            <w:vAlign w:val="center"/>
          </w:tcPr>
          <w:p>
            <w:pPr>
              <w:spacing w:line="276" w:lineRule="auto" w:before="0" w:after="0"/>
            </w:pPr>
            <w:r/>
            <w:r>
              <w:rPr>
                <w:rFonts w:ascii="Figtree" w:hAnsi="Figtree"/>
                <w:b w:val="0"/>
                <w:i w:val="0"/>
                <w:sz w:val="20"/>
              </w:rPr>
              <w:t>100</w:t>
            </w:r>
          </w:p>
        </w:tc>
      </w:tr>
      <w:tr>
        <w:trPr>
          <w:trHeight w:val="425" w:hRule="atLeast"/>
        </w:trPr>
        <w:tc>
          <w:tcPr>
            <w:tcW w:type="dxa" w:w="3249"/>
            <w:vAlign w:val="center"/>
          </w:tcPr>
          <w:p>
            <w:pPr>
              <w:spacing w:line="276" w:lineRule="auto" w:before="0" w:after="0"/>
            </w:pPr>
            <w:r/>
            <w:r>
              <w:rPr>
                <w:rFonts w:ascii="Figtree" w:hAnsi="Figtree"/>
                <w:b w:val="0"/>
                <w:i w:val="0"/>
                <w:sz w:val="20"/>
              </w:rPr>
              <w:t>Premium</w:t>
            </w:r>
          </w:p>
        </w:tc>
        <w:tc>
          <w:tcPr>
            <w:tcW w:type="dxa" w:w="3249"/>
            <w:vAlign w:val="center"/>
          </w:tcPr>
          <w:p>
            <w:pPr>
              <w:spacing w:line="276" w:lineRule="auto" w:before="0" w:after="0"/>
            </w:pPr>
            <w:r/>
            <w:r>
              <w:rPr>
                <w:rFonts w:ascii="Figtree" w:hAnsi="Figtree"/>
                <w:b w:val="0"/>
                <w:i w:val="0"/>
                <w:sz w:val="20"/>
              </w:rPr>
              <w:t>50,000 / 60s</w:t>
            </w:r>
          </w:p>
        </w:tc>
        <w:tc>
          <w:tcPr>
            <w:tcW w:type="dxa" w:w="3249"/>
            <w:vAlign w:val="center"/>
          </w:tcPr>
          <w:p>
            <w:pPr>
              <w:spacing w:line="276" w:lineRule="auto" w:before="0" w:after="0"/>
            </w:pPr>
            <w:r/>
            <w:r>
              <w:rPr>
                <w:rFonts w:ascii="Figtree" w:hAnsi="Figtree"/>
                <w:b w:val="0"/>
                <w:i w:val="0"/>
                <w:sz w:val="20"/>
              </w:rPr>
              <w:t>500</w:t>
            </w:r>
          </w:p>
        </w:tc>
      </w:tr>
      <w:tr>
        <w:trPr>
          <w:trHeight w:val="425" w:hRule="atLeast"/>
        </w:trPr>
        <w:tc>
          <w:tcPr>
            <w:tcW w:type="dxa" w:w="3249"/>
            <w:vAlign w:val="center"/>
          </w:tcPr>
          <w:p>
            <w:pPr>
              <w:spacing w:line="276" w:lineRule="auto" w:before="0" w:after="0"/>
            </w:pPr>
            <w:r/>
            <w:r>
              <w:rPr>
                <w:rFonts w:ascii="Figtree" w:hAnsi="Figtree"/>
                <w:b w:val="0"/>
                <w:i w:val="0"/>
                <w:sz w:val="20"/>
              </w:rPr>
              <w:t>Enterprise</w:t>
            </w:r>
          </w:p>
        </w:tc>
        <w:tc>
          <w:tcPr>
            <w:tcW w:type="dxa" w:w="3249"/>
            <w:vAlign w:val="center"/>
          </w:tcPr>
          <w:p>
            <w:pPr>
              <w:spacing w:line="276" w:lineRule="auto" w:before="0" w:after="0"/>
            </w:pPr>
            <w:r/>
            <w:r>
              <w:rPr>
                <w:rFonts w:ascii="Figtree" w:hAnsi="Figtree"/>
                <w:b w:val="0"/>
                <w:i w:val="0"/>
                <w:sz w:val="20"/>
              </w:rPr>
              <w:t>Custom</w:t>
            </w:r>
          </w:p>
        </w:tc>
        <w:tc>
          <w:tcPr>
            <w:tcW w:type="dxa" w:w="3249"/>
            <w:vAlign w:val="center"/>
          </w:tcPr>
          <w:p>
            <w:pPr>
              <w:spacing w:line="276" w:lineRule="auto" w:before="0" w:after="0"/>
            </w:pPr>
            <w:r/>
            <w:r>
              <w:rPr>
                <w:rFonts w:ascii="Figtree" w:hAnsi="Figtree"/>
                <w:b w:val="0"/>
                <w:i w:val="0"/>
                <w:sz w:val="20"/>
              </w:rPr>
              <w:t>Custom</w:t>
            </w:r>
          </w:p>
        </w:tc>
      </w:tr>
    </w:tbl>
    <w:p>
      <w:pPr>
        <w:spacing w:before="0" w:after="0" w:line="120" w:lineRule="exact"/>
      </w:pPr>
    </w:p>
    <w:p>
      <w:pPr>
        <w:pStyle w:val="H2"/>
        <w:numPr>
          <w:ilvl w:val="1"/>
          <w:numId w:val="1"/>
        </w:numPr>
      </w:pPr>
      <w:r>
        <w:t>17.4 Observability Technical Details</w:t>
      </w:r>
    </w:p>
    <w:p>
      <w:pPr>
        <w:pStyle w:val="H3"/>
        <w:numPr>
          <w:ilvl w:val="2"/>
          <w:numId w:val="1"/>
        </w:numPr>
      </w:pPr>
      <w:r>
        <w:t>17.4.1 Metrics Architecture</w:t>
      </w:r>
    </w:p>
    <w:p>
      <w:pPr>
        <w:jc w:val="center"/>
      </w:pPr>
      <w:r>
        <w:drawing>
          <wp:inline xmlns:a="http://schemas.openxmlformats.org/drawingml/2006/main" xmlns:pic="http://schemas.openxmlformats.org/drawingml/2006/picture">
            <wp:extent cx="5486400" cy="1889449"/>
            <wp:docPr id="17" name="Picture 17"/>
            <wp:cNvGraphicFramePr>
              <a:graphicFrameLocks noChangeAspect="1"/>
            </wp:cNvGraphicFramePr>
            <a:graphic>
              <a:graphicData uri="http://schemas.openxmlformats.org/drawingml/2006/picture">
                <pic:pic>
                  <pic:nvPicPr>
                    <pic:cNvPr id="0" name="_diagram-017.png"/>
                    <pic:cNvPicPr/>
                  </pic:nvPicPr>
                  <pic:blipFill>
                    <a:blip r:embed="rId29"/>
                    <a:stretch>
                      <a:fillRect/>
                    </a:stretch>
                  </pic:blipFill>
                  <pic:spPr>
                    <a:xfrm>
                      <a:off x="0" y="0"/>
                      <a:ext cx="5486400" cy="1889449"/>
                    </a:xfrm>
                    <a:prstGeom prst="rect"/>
                  </pic:spPr>
                </pic:pic>
              </a:graphicData>
            </a:graphic>
          </wp:inline>
        </w:drawing>
      </w:r>
    </w:p>
    <w:p>
      <w:r>
        <w:rPr>
          <w:rFonts w:ascii="Figtree" w:hAnsi="Figtree"/>
          <w:b/>
          <w:i w:val="0"/>
          <w:sz w:val="22"/>
        </w:rPr>
        <w:t>Key Metrics: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43"/>
        <w:gridCol w:w="5802"/>
        <w:gridCol w:w="122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Metrics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Retention</w:t>
            </w:r>
          </w:p>
        </w:tc>
      </w:tr>
      <w:tr>
        <w:trPr>
          <w:trHeight w:val="425" w:hRule="atLeast"/>
        </w:trPr>
        <w:tc>
          <w:tcPr>
            <w:tcW w:type="dxa" w:w="3249"/>
            <w:vAlign w:val="center"/>
          </w:tcPr>
          <w:p>
            <w:pPr>
              <w:spacing w:line="276" w:lineRule="auto" w:before="0" w:after="0"/>
            </w:pPr>
            <w:r/>
            <w:r>
              <w:rPr>
                <w:rFonts w:ascii="Figtree" w:hAnsi="Figtree"/>
                <w:b w:val="0"/>
                <w:i w:val="0"/>
                <w:sz w:val="20"/>
              </w:rPr>
              <w:t>API</w:t>
            </w:r>
          </w:p>
        </w:tc>
        <w:tc>
          <w:tcPr>
            <w:tcW w:type="dxa" w:w="3249"/>
            <w:vAlign w:val="center"/>
          </w:tcPr>
          <w:p>
            <w:pPr>
              <w:spacing w:line="276" w:lineRule="auto" w:before="0" w:after="0"/>
            </w:pPr>
            <w:r/>
            <w:r>
              <w:rPr>
                <w:rFonts w:ascii="Figtree" w:hAnsi="Figtree"/>
                <w:b w:val="0"/>
                <w:i w:val="0"/>
                <w:sz w:val="20"/>
              </w:rPr>
              <w:t>Request rate, latency (p50/p95/p99), error rate</w:t>
            </w:r>
          </w:p>
        </w:tc>
        <w:tc>
          <w:tcPr>
            <w:tcW w:type="dxa" w:w="3249"/>
            <w:vAlign w:val="center"/>
          </w:tcPr>
          <w:p>
            <w:pPr>
              <w:spacing w:line="276" w:lineRule="auto" w:before="0" w:after="0"/>
            </w:pPr>
            <w:r/>
            <w:r>
              <w:rPr>
                <w:rFonts w:ascii="Figtree" w:hAnsi="Figtree"/>
                <w:b w:val="0"/>
                <w:i w:val="0"/>
                <w:sz w:val="20"/>
              </w:rPr>
              <w:t>30 days</w:t>
            </w:r>
          </w:p>
        </w:tc>
      </w:tr>
      <w:tr>
        <w:trPr>
          <w:trHeight w:val="425" w:hRule="atLeast"/>
        </w:trPr>
        <w:tc>
          <w:tcPr>
            <w:tcW w:type="dxa" w:w="3249"/>
            <w:vAlign w:val="center"/>
          </w:tcPr>
          <w:p>
            <w:pPr>
              <w:spacing w:line="276" w:lineRule="auto" w:before="0" w:after="0"/>
            </w:pPr>
            <w:r/>
            <w:r>
              <w:rPr>
                <w:rFonts w:ascii="Figtree" w:hAnsi="Figtree"/>
                <w:b w:val="0"/>
                <w:i w:val="0"/>
                <w:sz w:val="20"/>
              </w:rPr>
              <w:t>Blockchain</w:t>
            </w:r>
          </w:p>
        </w:tc>
        <w:tc>
          <w:tcPr>
            <w:tcW w:type="dxa" w:w="3249"/>
            <w:vAlign w:val="center"/>
          </w:tcPr>
          <w:p>
            <w:pPr>
              <w:spacing w:line="276" w:lineRule="auto" w:before="0" w:after="0"/>
            </w:pPr>
            <w:r/>
            <w:r>
              <w:rPr>
                <w:rFonts w:ascii="Figtree" w:hAnsi="Figtree"/>
                <w:b w:val="0"/>
                <w:i w:val="0"/>
                <w:sz w:val="20"/>
              </w:rPr>
              <w:t>Block time, gas used, transaction throughput</w:t>
            </w:r>
          </w:p>
        </w:tc>
        <w:tc>
          <w:tcPr>
            <w:tcW w:type="dxa" w:w="3249"/>
            <w:vAlign w:val="center"/>
          </w:tcPr>
          <w:p>
            <w:pPr>
              <w:spacing w:line="276" w:lineRule="auto" w:before="0" w:after="0"/>
            </w:pPr>
            <w:r/>
            <w:r>
              <w:rPr>
                <w:rFonts w:ascii="Figtree" w:hAnsi="Figtree"/>
                <w:b w:val="0"/>
                <w:i w:val="0"/>
                <w:sz w:val="20"/>
              </w:rPr>
              <w:t>30 days</w:t>
            </w:r>
          </w:p>
        </w:tc>
      </w:tr>
      <w:tr>
        <w:trPr>
          <w:trHeight w:val="425" w:hRule="atLeast"/>
        </w:trPr>
        <w:tc>
          <w:tcPr>
            <w:tcW w:type="dxa" w:w="3249"/>
            <w:vAlign w:val="center"/>
          </w:tcPr>
          <w:p>
            <w:pPr>
              <w:spacing w:line="276" w:lineRule="auto" w:before="0" w:after="0"/>
            </w:pPr>
            <w:r/>
            <w:r>
              <w:rPr>
                <w:rFonts w:ascii="Figtree" w:hAnsi="Figtree"/>
                <w:b w:val="0"/>
                <w:i w:val="0"/>
                <w:sz w:val="20"/>
              </w:rPr>
              <w:t>Compliance</w:t>
            </w:r>
          </w:p>
        </w:tc>
        <w:tc>
          <w:tcPr>
            <w:tcW w:type="dxa" w:w="3249"/>
            <w:vAlign w:val="center"/>
          </w:tcPr>
          <w:p>
            <w:pPr>
              <w:spacing w:line="276" w:lineRule="auto" w:before="0" w:after="0"/>
            </w:pPr>
            <w:r/>
            <w:r>
              <w:rPr>
                <w:rFonts w:ascii="Figtree" w:hAnsi="Figtree"/>
                <w:b w:val="0"/>
                <w:i w:val="0"/>
                <w:sz w:val="20"/>
              </w:rPr>
              <w:t>Check rate, block rate, rule evaluation time</w:t>
            </w:r>
          </w:p>
        </w:tc>
        <w:tc>
          <w:tcPr>
            <w:tcW w:type="dxa" w:w="3249"/>
            <w:vAlign w:val="center"/>
          </w:tcPr>
          <w:p>
            <w:pPr>
              <w:spacing w:line="276" w:lineRule="auto" w:before="0" w:after="0"/>
            </w:pPr>
            <w:r/>
            <w:r>
              <w:rPr>
                <w:rFonts w:ascii="Figtree" w:hAnsi="Figtree"/>
                <w:b w:val="0"/>
                <w:i w:val="0"/>
                <w:sz w:val="20"/>
              </w:rPr>
              <w:t>90 days</w:t>
            </w:r>
          </w:p>
        </w:tc>
      </w:tr>
      <w:tr>
        <w:trPr>
          <w:trHeight w:val="425" w:hRule="atLeast"/>
        </w:trPr>
        <w:tc>
          <w:tcPr>
            <w:tcW w:type="dxa" w:w="3249"/>
            <w:vAlign w:val="center"/>
          </w:tcPr>
          <w:p>
            <w:pPr>
              <w:spacing w:line="276" w:lineRule="auto" w:before="0" w:after="0"/>
            </w:pPr>
            <w:r/>
            <w:r>
              <w:rPr>
                <w:rFonts w:ascii="Figtree" w:hAnsi="Figtree"/>
                <w:b w:val="0"/>
                <w:i w:val="0"/>
                <w:sz w:val="20"/>
              </w:rPr>
              <w:t>System</w:t>
            </w:r>
          </w:p>
        </w:tc>
        <w:tc>
          <w:tcPr>
            <w:tcW w:type="dxa" w:w="3249"/>
            <w:vAlign w:val="center"/>
          </w:tcPr>
          <w:p>
            <w:pPr>
              <w:spacing w:line="276" w:lineRule="auto" w:before="0" w:after="0"/>
            </w:pPr>
            <w:r/>
            <w:r>
              <w:rPr>
                <w:rFonts w:ascii="Figtree" w:hAnsi="Figtree"/>
                <w:b w:val="0"/>
                <w:i w:val="0"/>
                <w:sz w:val="20"/>
              </w:rPr>
              <w:t>CPU, memory, disk, network</w:t>
            </w:r>
          </w:p>
        </w:tc>
        <w:tc>
          <w:tcPr>
            <w:tcW w:type="dxa" w:w="3249"/>
            <w:vAlign w:val="center"/>
          </w:tcPr>
          <w:p>
            <w:pPr>
              <w:spacing w:line="276" w:lineRule="auto" w:before="0" w:after="0"/>
            </w:pPr>
            <w:r/>
            <w:r>
              <w:rPr>
                <w:rFonts w:ascii="Figtree" w:hAnsi="Figtree"/>
                <w:b w:val="0"/>
                <w:i w:val="0"/>
                <w:sz w:val="20"/>
              </w:rPr>
              <w:t>30 days</w:t>
            </w:r>
          </w:p>
        </w:tc>
      </w:tr>
    </w:tbl>
    <w:p>
      <w:pPr>
        <w:spacing w:before="0" w:after="0" w:line="120" w:lineRule="exact"/>
      </w:pPr>
    </w:p>
    <w:p>
      <w:pPr>
        <w:pStyle w:val="H3"/>
        <w:numPr>
          <w:ilvl w:val="2"/>
          <w:numId w:val="1"/>
        </w:numPr>
      </w:pPr>
      <w:r>
        <w:t>17.4.2 Logging Architecture</w:t>
      </w:r>
    </w:p>
    <w:p>
      <w:r>
        <w:rPr>
          <w:rFonts w:ascii="Figtree" w:hAnsi="Figtree"/>
          <w:b/>
          <w:i w:val="0"/>
          <w:sz w:val="22"/>
        </w:rPr>
        <w:t>Log Structure:</w:t>
      </w:r>
    </w:p>
    <w:p>
      <w:r>
        <w:rPr>
          <w:rFonts w:ascii="Figtree" w:hAnsi="Figtree"/>
          <w:b/>
          <w:i w:val="0"/>
          <w:sz w:val="22"/>
        </w:rPr>
        <w:t>Log Levels:</w:t>
      </w:r>
    </w:p>
    <w:p>
      <w:pPr>
        <w:pStyle w:val="ListParagraph"/>
        <w:numPr>
          <w:ilvl w:val="0"/>
          <w:numId w:val="4"/>
        </w:numPr>
      </w:pPr>
      <w:r>
        <w:rPr>
          <w:rFonts w:ascii="Figtree" w:hAnsi="Figtree"/>
          <w:b w:val="0"/>
          <w:i w:val="0"/>
          <w:sz w:val="22"/>
        </w:rPr>
        <w:t>DEBUG: Detailed debugging information</w:t>
      </w:r>
    </w:p>
    <w:p>
      <w:pPr>
        <w:pStyle w:val="ListParagraph"/>
        <w:numPr>
          <w:ilvl w:val="0"/>
          <w:numId w:val="4"/>
        </w:numPr>
      </w:pPr>
      <w:r>
        <w:rPr>
          <w:rFonts w:ascii="Figtree" w:hAnsi="Figtree"/>
          <w:b w:val="0"/>
          <w:i w:val="0"/>
          <w:sz w:val="22"/>
        </w:rPr>
        <w:t>INFO: Normal operational events</w:t>
      </w:r>
    </w:p>
    <w:p>
      <w:pPr>
        <w:pStyle w:val="ListParagraph"/>
        <w:numPr>
          <w:ilvl w:val="0"/>
          <w:numId w:val="4"/>
        </w:numPr>
      </w:pPr>
      <w:r>
        <w:rPr>
          <w:rFonts w:ascii="Figtree" w:hAnsi="Figtree"/>
          <w:b w:val="0"/>
          <w:i w:val="0"/>
          <w:sz w:val="22"/>
        </w:rPr>
        <w:t>WARN: Warning conditions</w:t>
      </w:r>
    </w:p>
    <w:p>
      <w:pPr>
        <w:pStyle w:val="ListParagraph"/>
        <w:numPr>
          <w:ilvl w:val="0"/>
          <w:numId w:val="4"/>
        </w:numPr>
      </w:pPr>
      <w:r>
        <w:rPr>
          <w:rFonts w:ascii="Figtree" w:hAnsi="Figtree"/>
          <w:b w:val="0"/>
          <w:i w:val="0"/>
          <w:sz w:val="22"/>
        </w:rPr>
        <w:t>ERROR: Error conditions</w:t>
      </w:r>
    </w:p>
    <w:p>
      <w:pPr>
        <w:pStyle w:val="ListParagraph"/>
        <w:numPr>
          <w:ilvl w:val="0"/>
          <w:numId w:val="4"/>
        </w:numPr>
      </w:pPr>
      <w:r>
        <w:rPr>
          <w:rFonts w:ascii="Figtree" w:hAnsi="Figtree"/>
          <w:b w:val="0"/>
          <w:i w:val="0"/>
          <w:sz w:val="22"/>
        </w:rPr>
        <w:t>FATAL: Critical failures</w:t>
      </w:r>
    </w:p>
    <w:p>
      <w:pPr>
        <w:pStyle w:val="H3"/>
        <w:numPr>
          <w:ilvl w:val="2"/>
          <w:numId w:val="1"/>
        </w:numPr>
      </w:pPr>
      <w:r>
        <w:t>17.4.3 Distributed Tracing</w:t>
      </w:r>
    </w:p>
    <w:p>
      <w:r>
        <w:rPr>
          <w:rFonts w:ascii="Figtree" w:hAnsi="Figtree"/>
          <w:b/>
          <w:i w:val="0"/>
          <w:sz w:val="22"/>
        </w:rPr>
        <w:t>Trace Context Propagation:</w:t>
      </w:r>
    </w:p>
    <w:p>
      <w:r>
        <w:rPr>
          <w:rFonts w:ascii="Figtree" w:hAnsi="Figtree"/>
          <w:b/>
          <w:i w:val="0"/>
          <w:sz w:val="22"/>
        </w:rPr>
        <w:t>Trace Spans: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91"/>
        <w:gridCol w:w="3489"/>
        <w:gridCol w:w="279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Span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Typical Duration</w:t>
            </w:r>
          </w:p>
        </w:tc>
      </w:tr>
      <w:tr>
        <w:trPr>
          <w:trHeight w:val="425" w:hRule="atLeast"/>
        </w:trPr>
        <w:tc>
          <w:tcPr>
            <w:tcW w:type="dxa" w:w="3249"/>
            <w:vAlign w:val="center"/>
          </w:tcPr>
          <w:p>
            <w:pPr>
              <w:spacing w:line="276" w:lineRule="auto" w:before="0" w:after="0"/>
            </w:pPr>
            <w:r/>
            <w:r>
              <w:rPr>
                <w:rFonts w:ascii="Figtree" w:hAnsi="Figtree"/>
                <w:b w:val="0"/>
                <w:i w:val="0"/>
                <w:sz w:val="20"/>
              </w:rPr>
              <w:t>api.request</w:t>
            </w:r>
          </w:p>
        </w:tc>
        <w:tc>
          <w:tcPr>
            <w:tcW w:type="dxa" w:w="3249"/>
            <w:vAlign w:val="center"/>
          </w:tcPr>
          <w:p>
            <w:pPr>
              <w:spacing w:line="276" w:lineRule="auto" w:before="0" w:after="0"/>
            </w:pPr>
            <w:r/>
            <w:r>
              <w:rPr>
                <w:rFonts w:ascii="Figtree" w:hAnsi="Figtree"/>
                <w:b w:val="0"/>
                <w:i w:val="0"/>
                <w:sz w:val="20"/>
              </w:rPr>
              <w:t>Full API request</w:t>
            </w:r>
          </w:p>
        </w:tc>
        <w:tc>
          <w:tcPr>
            <w:tcW w:type="dxa" w:w="3249"/>
            <w:vAlign w:val="center"/>
          </w:tcPr>
          <w:p>
            <w:pPr>
              <w:spacing w:line="276" w:lineRule="auto" w:before="0" w:after="0"/>
            </w:pPr>
            <w:r/>
            <w:r>
              <w:rPr>
                <w:rFonts w:ascii="Figtree" w:hAnsi="Figtree"/>
                <w:b w:val="0"/>
                <w:i w:val="0"/>
                <w:sz w:val="20"/>
              </w:rPr>
              <w:t>50-500ms</w:t>
            </w:r>
          </w:p>
        </w:tc>
      </w:tr>
      <w:tr>
        <w:trPr>
          <w:trHeight w:val="425" w:hRule="atLeast"/>
        </w:trPr>
        <w:tc>
          <w:tcPr>
            <w:tcW w:type="dxa" w:w="3249"/>
            <w:vAlign w:val="center"/>
          </w:tcPr>
          <w:p>
            <w:pPr>
              <w:spacing w:line="276" w:lineRule="auto" w:before="0" w:after="0"/>
            </w:pPr>
            <w:r/>
            <w:r>
              <w:rPr>
                <w:rFonts w:ascii="Figtree" w:hAnsi="Figtree"/>
                <w:b w:val="0"/>
                <w:i w:val="0"/>
                <w:sz w:val="20"/>
              </w:rPr>
              <w:t>auth.check</w:t>
            </w:r>
          </w:p>
        </w:tc>
        <w:tc>
          <w:tcPr>
            <w:tcW w:type="dxa" w:w="3249"/>
            <w:vAlign w:val="center"/>
          </w:tcPr>
          <w:p>
            <w:pPr>
              <w:spacing w:line="276" w:lineRule="auto" w:before="0" w:after="0"/>
            </w:pPr>
            <w:r/>
            <w:r>
              <w:rPr>
                <w:rFonts w:ascii="Figtree" w:hAnsi="Figtree"/>
                <w:b w:val="0"/>
                <w:i w:val="0"/>
                <w:sz w:val="20"/>
              </w:rPr>
              <w:t>Authentication check</w:t>
            </w:r>
          </w:p>
        </w:tc>
        <w:tc>
          <w:tcPr>
            <w:tcW w:type="dxa" w:w="3249"/>
            <w:vAlign w:val="center"/>
          </w:tcPr>
          <w:p>
            <w:pPr>
              <w:spacing w:line="276" w:lineRule="auto" w:before="0" w:after="0"/>
            </w:pPr>
            <w:r/>
            <w:r>
              <w:rPr>
                <w:rFonts w:ascii="Figtree" w:hAnsi="Figtree"/>
                <w:b w:val="0"/>
                <w:i w:val="0"/>
                <w:sz w:val="20"/>
              </w:rPr>
              <w:t>10-50ms</w:t>
            </w:r>
          </w:p>
        </w:tc>
      </w:tr>
      <w:tr>
        <w:trPr>
          <w:trHeight w:val="425" w:hRule="atLeast"/>
        </w:trPr>
        <w:tc>
          <w:tcPr>
            <w:tcW w:type="dxa" w:w="3249"/>
            <w:vAlign w:val="center"/>
          </w:tcPr>
          <w:p>
            <w:pPr>
              <w:spacing w:line="276" w:lineRule="auto" w:before="0" w:after="0"/>
            </w:pPr>
            <w:r/>
            <w:r>
              <w:rPr>
                <w:rFonts w:ascii="Figtree" w:hAnsi="Figtree"/>
                <w:b w:val="0"/>
                <w:i w:val="0"/>
                <w:sz w:val="20"/>
              </w:rPr>
              <w:t>workflow.execute</w:t>
            </w:r>
          </w:p>
        </w:tc>
        <w:tc>
          <w:tcPr>
            <w:tcW w:type="dxa" w:w="3249"/>
            <w:vAlign w:val="center"/>
          </w:tcPr>
          <w:p>
            <w:pPr>
              <w:spacing w:line="276" w:lineRule="auto" w:before="0" w:after="0"/>
            </w:pPr>
            <w:r/>
            <w:r>
              <w:rPr>
                <w:rFonts w:ascii="Figtree" w:hAnsi="Figtree"/>
                <w:b w:val="0"/>
                <w:i w:val="0"/>
                <w:sz w:val="20"/>
              </w:rPr>
              <w:t>Workflow execution</w:t>
            </w:r>
          </w:p>
        </w:tc>
        <w:tc>
          <w:tcPr>
            <w:tcW w:type="dxa" w:w="3249"/>
            <w:vAlign w:val="center"/>
          </w:tcPr>
          <w:p>
            <w:pPr>
              <w:spacing w:line="276" w:lineRule="auto" w:before="0" w:after="0"/>
            </w:pPr>
            <w:r/>
            <w:r>
              <w:rPr>
                <w:rFonts w:ascii="Figtree" w:hAnsi="Figtree"/>
                <w:b w:val="0"/>
                <w:i w:val="0"/>
                <w:sz w:val="20"/>
              </w:rPr>
              <w:t>100ms - 10s</w:t>
            </w:r>
          </w:p>
        </w:tc>
      </w:tr>
      <w:tr>
        <w:trPr>
          <w:trHeight w:val="425" w:hRule="atLeast"/>
        </w:trPr>
        <w:tc>
          <w:tcPr>
            <w:tcW w:type="dxa" w:w="3249"/>
            <w:vAlign w:val="center"/>
          </w:tcPr>
          <w:p>
            <w:pPr>
              <w:spacing w:line="276" w:lineRule="auto" w:before="0" w:after="0"/>
            </w:pPr>
            <w:r/>
            <w:r>
              <w:rPr>
                <w:rFonts w:ascii="Figtree" w:hAnsi="Figtree"/>
                <w:b w:val="0"/>
                <w:i w:val="0"/>
                <w:sz w:val="20"/>
              </w:rPr>
              <w:t>tx.sign</w:t>
            </w:r>
          </w:p>
        </w:tc>
        <w:tc>
          <w:tcPr>
            <w:tcW w:type="dxa" w:w="3249"/>
            <w:vAlign w:val="center"/>
          </w:tcPr>
          <w:p>
            <w:pPr>
              <w:spacing w:line="276" w:lineRule="auto" w:before="0" w:after="0"/>
            </w:pPr>
            <w:r/>
            <w:r>
              <w:rPr>
                <w:rFonts w:ascii="Figtree" w:hAnsi="Figtree"/>
                <w:b w:val="0"/>
                <w:i w:val="0"/>
                <w:sz w:val="20"/>
              </w:rPr>
              <w:t>Transaction signing</w:t>
            </w:r>
          </w:p>
        </w:tc>
        <w:tc>
          <w:tcPr>
            <w:tcW w:type="dxa" w:w="3249"/>
            <w:vAlign w:val="center"/>
          </w:tcPr>
          <w:p>
            <w:pPr>
              <w:spacing w:line="276" w:lineRule="auto" w:before="0" w:after="0"/>
            </w:pPr>
            <w:r/>
            <w:r>
              <w:rPr>
                <w:rFonts w:ascii="Figtree" w:hAnsi="Figtree"/>
                <w:b w:val="0"/>
                <w:i w:val="0"/>
                <w:sz w:val="20"/>
              </w:rPr>
              <w:t>50-200ms</w:t>
            </w:r>
          </w:p>
        </w:tc>
      </w:tr>
      <w:tr>
        <w:trPr>
          <w:trHeight w:val="425" w:hRule="atLeast"/>
        </w:trPr>
        <w:tc>
          <w:tcPr>
            <w:tcW w:type="dxa" w:w="3249"/>
            <w:vAlign w:val="center"/>
          </w:tcPr>
          <w:p>
            <w:pPr>
              <w:spacing w:line="276" w:lineRule="auto" w:before="0" w:after="0"/>
            </w:pPr>
            <w:r/>
            <w:r>
              <w:rPr>
                <w:rFonts w:ascii="Figtree" w:hAnsi="Figtree"/>
                <w:b w:val="0"/>
                <w:i w:val="0"/>
                <w:sz w:val="20"/>
              </w:rPr>
              <w:t>tx.submit</w:t>
            </w:r>
          </w:p>
        </w:tc>
        <w:tc>
          <w:tcPr>
            <w:tcW w:type="dxa" w:w="3249"/>
            <w:vAlign w:val="center"/>
          </w:tcPr>
          <w:p>
            <w:pPr>
              <w:spacing w:line="276" w:lineRule="auto" w:before="0" w:after="0"/>
            </w:pPr>
            <w:r/>
            <w:r>
              <w:rPr>
                <w:rFonts w:ascii="Figtree" w:hAnsi="Figtree"/>
                <w:b w:val="0"/>
                <w:i w:val="0"/>
                <w:sz w:val="20"/>
              </w:rPr>
              <w:t>Network submission</w:t>
            </w:r>
          </w:p>
        </w:tc>
        <w:tc>
          <w:tcPr>
            <w:tcW w:type="dxa" w:w="3249"/>
            <w:vAlign w:val="center"/>
          </w:tcPr>
          <w:p>
            <w:pPr>
              <w:spacing w:line="276" w:lineRule="auto" w:before="0" w:after="0"/>
            </w:pPr>
            <w:r/>
            <w:r>
              <w:rPr>
                <w:rFonts w:ascii="Figtree" w:hAnsi="Figtree"/>
                <w:b w:val="0"/>
                <w:i w:val="0"/>
                <w:sz w:val="20"/>
              </w:rPr>
              <w:t>100-500ms</w:t>
            </w:r>
          </w:p>
        </w:tc>
      </w:tr>
      <w:tr>
        <w:trPr>
          <w:trHeight w:val="425" w:hRule="atLeast"/>
        </w:trPr>
        <w:tc>
          <w:tcPr>
            <w:tcW w:type="dxa" w:w="3249"/>
            <w:vAlign w:val="center"/>
          </w:tcPr>
          <w:p>
            <w:pPr>
              <w:spacing w:line="276" w:lineRule="auto" w:before="0" w:after="0"/>
            </w:pPr>
            <w:r/>
            <w:r>
              <w:rPr>
                <w:rFonts w:ascii="Figtree" w:hAnsi="Figtree"/>
                <w:b w:val="0"/>
                <w:i w:val="0"/>
                <w:sz w:val="20"/>
              </w:rPr>
              <w:t>tx.confirm</w:t>
            </w:r>
          </w:p>
        </w:tc>
        <w:tc>
          <w:tcPr>
            <w:tcW w:type="dxa" w:w="3249"/>
            <w:vAlign w:val="center"/>
          </w:tcPr>
          <w:p>
            <w:pPr>
              <w:spacing w:line="276" w:lineRule="auto" w:before="0" w:after="0"/>
            </w:pPr>
            <w:r/>
            <w:r>
              <w:rPr>
                <w:rFonts w:ascii="Figtree" w:hAnsi="Figtree"/>
                <w:b w:val="0"/>
                <w:i w:val="0"/>
                <w:sz w:val="20"/>
              </w:rPr>
              <w:t>Confirmation等待</w:t>
            </w:r>
          </w:p>
        </w:tc>
        <w:tc>
          <w:tcPr>
            <w:tcW w:type="dxa" w:w="3249"/>
            <w:vAlign w:val="center"/>
          </w:tcPr>
          <w:p>
            <w:pPr>
              <w:spacing w:line="276" w:lineRule="auto" w:before="0" w:after="0"/>
            </w:pPr>
            <w:r/>
            <w:r>
              <w:rPr>
                <w:rFonts w:ascii="Figtree" w:hAnsi="Figtree"/>
                <w:b w:val="0"/>
                <w:i w:val="0"/>
                <w:sz w:val="20"/>
              </w:rPr>
              <w:t>1-30s</w:t>
            </w:r>
          </w:p>
        </w:tc>
      </w:tr>
    </w:tbl>
    <w:p>
      <w:pPr>
        <w:spacing w:before="0" w:after="0" w:line="120" w:lineRule="exact"/>
      </w:pPr>
    </w:p>
    <w:p>
      <w:pPr>
        <w:pStyle w:val="H3"/>
        <w:numPr>
          <w:ilvl w:val="2"/>
          <w:numId w:val="1"/>
        </w:numPr>
      </w:pPr>
      <w:r>
        <w:t>17.4.4 Pre-Built Dashboards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51"/>
        <w:gridCol w:w="5443"/>
        <w:gridCol w:w="97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Dashboard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Refresh</w:t>
            </w:r>
          </w:p>
        </w:tc>
      </w:tr>
      <w:tr>
        <w:trPr>
          <w:trHeight w:val="425" w:hRule="atLeast"/>
        </w:trPr>
        <w:tc>
          <w:tcPr>
            <w:tcW w:type="dxa" w:w="3249"/>
            <w:vAlign w:val="center"/>
          </w:tcPr>
          <w:p>
            <w:pPr>
              <w:spacing w:line="276" w:lineRule="auto" w:before="0" w:after="0"/>
            </w:pPr>
            <w:r/>
            <w:r>
              <w:rPr>
                <w:rFonts w:ascii="Figtree" w:hAnsi="Figtree"/>
                <w:b w:val="0"/>
                <w:i w:val="0"/>
                <w:sz w:val="20"/>
              </w:rPr>
              <w:t>Operations Overview</w:t>
            </w:r>
          </w:p>
        </w:tc>
        <w:tc>
          <w:tcPr>
            <w:tcW w:type="dxa" w:w="3249"/>
            <w:vAlign w:val="center"/>
          </w:tcPr>
          <w:p>
            <w:pPr>
              <w:spacing w:line="276" w:lineRule="auto" w:before="0" w:after="0"/>
            </w:pPr>
            <w:r/>
            <w:r>
              <w:rPr>
                <w:rFonts w:ascii="Figtree" w:hAnsi="Figtree"/>
                <w:b w:val="0"/>
                <w:i w:val="0"/>
                <w:sz w:val="20"/>
              </w:rPr>
              <w:t>Platform health, throughput, errors</w:t>
            </w:r>
          </w:p>
        </w:tc>
        <w:tc>
          <w:tcPr>
            <w:tcW w:type="dxa" w:w="3249"/>
            <w:vAlign w:val="center"/>
          </w:tcPr>
          <w:p>
            <w:pPr>
              <w:spacing w:line="276" w:lineRule="auto" w:before="0" w:after="0"/>
            </w:pPr>
            <w:r/>
            <w:r>
              <w:rPr>
                <w:rFonts w:ascii="Figtree" w:hAnsi="Figtree"/>
                <w:b w:val="0"/>
                <w:i w:val="0"/>
                <w:sz w:val="20"/>
              </w:rPr>
              <w:t>10s</w:t>
            </w:r>
          </w:p>
        </w:tc>
      </w:tr>
      <w:tr>
        <w:trPr>
          <w:trHeight w:val="425" w:hRule="atLeast"/>
        </w:trPr>
        <w:tc>
          <w:tcPr>
            <w:tcW w:type="dxa" w:w="3249"/>
            <w:vAlign w:val="center"/>
          </w:tcPr>
          <w:p>
            <w:pPr>
              <w:spacing w:line="276" w:lineRule="auto" w:before="0" w:after="0"/>
            </w:pPr>
            <w:r/>
            <w:r>
              <w:rPr>
                <w:rFonts w:ascii="Figtree" w:hAnsi="Figtree"/>
                <w:b w:val="0"/>
                <w:i w:val="0"/>
                <w:sz w:val="20"/>
              </w:rPr>
              <w:t>Transaction Monitor</w:t>
            </w:r>
          </w:p>
        </w:tc>
        <w:tc>
          <w:tcPr>
            <w:tcW w:type="dxa" w:w="3249"/>
            <w:vAlign w:val="center"/>
          </w:tcPr>
          <w:p>
            <w:pPr>
              <w:spacing w:line="276" w:lineRule="auto" w:before="0" w:after="0"/>
            </w:pPr>
            <w:r/>
            <w:r>
              <w:rPr>
                <w:rFonts w:ascii="Figtree" w:hAnsi="Figtree"/>
                <w:b w:val="0"/>
                <w:i w:val="0"/>
                <w:sz w:val="20"/>
              </w:rPr>
              <w:t>Pending, confirmed, failed transactions</w:t>
            </w:r>
          </w:p>
        </w:tc>
        <w:tc>
          <w:tcPr>
            <w:tcW w:type="dxa" w:w="3249"/>
            <w:vAlign w:val="center"/>
          </w:tcPr>
          <w:p>
            <w:pPr>
              <w:spacing w:line="276" w:lineRule="auto" w:before="0" w:after="0"/>
            </w:pPr>
            <w:r/>
            <w:r>
              <w:rPr>
                <w:rFonts w:ascii="Figtree" w:hAnsi="Figtree"/>
                <w:b w:val="0"/>
                <w:i w:val="0"/>
                <w:sz w:val="20"/>
              </w:rPr>
              <w:t>5s</w:t>
            </w:r>
          </w:p>
        </w:tc>
      </w:tr>
      <w:tr>
        <w:trPr>
          <w:trHeight w:val="425" w:hRule="atLeast"/>
        </w:trPr>
        <w:tc>
          <w:tcPr>
            <w:tcW w:type="dxa" w:w="3249"/>
            <w:vAlign w:val="center"/>
          </w:tcPr>
          <w:p>
            <w:pPr>
              <w:spacing w:line="276" w:lineRule="auto" w:before="0" w:after="0"/>
            </w:pPr>
            <w:r/>
            <w:r>
              <w:rPr>
                <w:rFonts w:ascii="Figtree" w:hAnsi="Figtree"/>
                <w:b w:val="0"/>
                <w:i w:val="0"/>
                <w:sz w:val="20"/>
              </w:rPr>
              <w:t>Compliance Activity</w:t>
            </w:r>
          </w:p>
        </w:tc>
        <w:tc>
          <w:tcPr>
            <w:tcW w:type="dxa" w:w="3249"/>
            <w:vAlign w:val="center"/>
          </w:tcPr>
          <w:p>
            <w:pPr>
              <w:spacing w:line="276" w:lineRule="auto" w:before="0" w:after="0"/>
            </w:pPr>
            <w:r/>
            <w:r>
              <w:rPr>
                <w:rFonts w:ascii="Figtree" w:hAnsi="Figtree"/>
                <w:b w:val="0"/>
                <w:i w:val="0"/>
                <w:sz w:val="20"/>
              </w:rPr>
              <w:t>Verification volumes, approval queues</w:t>
            </w:r>
          </w:p>
        </w:tc>
        <w:tc>
          <w:tcPr>
            <w:tcW w:type="dxa" w:w="3249"/>
            <w:vAlign w:val="center"/>
          </w:tcPr>
          <w:p>
            <w:pPr>
              <w:spacing w:line="276" w:lineRule="auto" w:before="0" w:after="0"/>
            </w:pPr>
            <w:r/>
            <w:r>
              <w:rPr>
                <w:rFonts w:ascii="Figtree" w:hAnsi="Figtree"/>
                <w:b w:val="0"/>
                <w:i w:val="0"/>
                <w:sz w:val="20"/>
              </w:rPr>
              <w:t>30s</w:t>
            </w:r>
          </w:p>
        </w:tc>
      </w:tr>
      <w:tr>
        <w:trPr>
          <w:trHeight w:val="425" w:hRule="atLeast"/>
        </w:trPr>
        <w:tc>
          <w:tcPr>
            <w:tcW w:type="dxa" w:w="3249"/>
            <w:vAlign w:val="center"/>
          </w:tcPr>
          <w:p>
            <w:pPr>
              <w:spacing w:line="276" w:lineRule="auto" w:before="0" w:after="0"/>
            </w:pPr>
            <w:r/>
            <w:r>
              <w:rPr>
                <w:rFonts w:ascii="Figtree" w:hAnsi="Figtree"/>
                <w:b w:val="0"/>
                <w:i w:val="0"/>
                <w:sz w:val="20"/>
              </w:rPr>
              <w:t>Blockchain Health</w:t>
            </w:r>
          </w:p>
        </w:tc>
        <w:tc>
          <w:tcPr>
            <w:tcW w:type="dxa" w:w="3249"/>
            <w:vAlign w:val="center"/>
          </w:tcPr>
          <w:p>
            <w:pPr>
              <w:spacing w:line="276" w:lineRule="auto" w:before="0" w:after="0"/>
            </w:pPr>
            <w:r/>
            <w:r>
              <w:rPr>
                <w:rFonts w:ascii="Figtree" w:hAnsi="Figtree"/>
                <w:b w:val="0"/>
                <w:i w:val="0"/>
                <w:sz w:val="20"/>
              </w:rPr>
              <w:t>Block production, gas, chain head</w:t>
            </w:r>
          </w:p>
        </w:tc>
        <w:tc>
          <w:tcPr>
            <w:tcW w:type="dxa" w:w="3249"/>
            <w:vAlign w:val="center"/>
          </w:tcPr>
          <w:p>
            <w:pPr>
              <w:spacing w:line="276" w:lineRule="auto" w:before="0" w:after="0"/>
            </w:pPr>
            <w:r/>
            <w:r>
              <w:rPr>
                <w:rFonts w:ascii="Figtree" w:hAnsi="Figtree"/>
                <w:b w:val="0"/>
                <w:i w:val="0"/>
                <w:sz w:val="20"/>
              </w:rPr>
              <w:t>10s</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w:t>
            </w:r>
          </w:p>
        </w:tc>
        <w:tc>
          <w:tcPr>
            <w:tcW w:type="dxa" w:w="3249"/>
            <w:vAlign w:val="center"/>
          </w:tcPr>
          <w:p>
            <w:pPr>
              <w:spacing w:line="276" w:lineRule="auto" w:before="0" w:after="0"/>
            </w:pPr>
            <w:r/>
            <w:r>
              <w:rPr>
                <w:rFonts w:ascii="Figtree" w:hAnsi="Figtree"/>
                <w:b w:val="0"/>
                <w:i w:val="0"/>
                <w:sz w:val="20"/>
              </w:rPr>
              <w:t>CPU, memory, disk, network</w:t>
            </w:r>
          </w:p>
        </w:tc>
        <w:tc>
          <w:tcPr>
            <w:tcW w:type="dxa" w:w="3249"/>
            <w:vAlign w:val="center"/>
          </w:tcPr>
          <w:p>
            <w:pPr>
              <w:spacing w:line="276" w:lineRule="auto" w:before="0" w:after="0"/>
            </w:pPr>
            <w:r/>
            <w:r>
              <w:rPr>
                <w:rFonts w:ascii="Figtree" w:hAnsi="Figtree"/>
                <w:b w:val="0"/>
                <w:i w:val="0"/>
                <w:sz w:val="20"/>
              </w:rPr>
              <w:t>10s</w:t>
            </w:r>
          </w:p>
        </w:tc>
      </w:tr>
      <w:tr>
        <w:trPr>
          <w:trHeight w:val="425" w:hRule="atLeast"/>
        </w:trPr>
        <w:tc>
          <w:tcPr>
            <w:tcW w:type="dxa" w:w="3249"/>
            <w:vAlign w:val="center"/>
          </w:tcPr>
          <w:p>
            <w:pPr>
              <w:spacing w:line="276" w:lineRule="auto" w:before="0" w:after="0"/>
            </w:pPr>
            <w:r/>
            <w:r>
              <w:rPr>
                <w:rFonts w:ascii="Figtree" w:hAnsi="Figtree"/>
                <w:b w:val="0"/>
                <w:i w:val="0"/>
                <w:sz w:val="20"/>
              </w:rPr>
              <w:t>API Performance</w:t>
            </w:r>
          </w:p>
        </w:tc>
        <w:tc>
          <w:tcPr>
            <w:tcW w:type="dxa" w:w="3249"/>
            <w:vAlign w:val="center"/>
          </w:tcPr>
          <w:p>
            <w:pPr>
              <w:spacing w:line="276" w:lineRule="auto" w:before="0" w:after="0"/>
            </w:pPr>
            <w:r/>
            <w:r>
              <w:rPr>
                <w:rFonts w:ascii="Figtree" w:hAnsi="Figtree"/>
                <w:b w:val="0"/>
                <w:i w:val="0"/>
                <w:sz w:val="20"/>
              </w:rPr>
              <w:t>Latency percentiles, error rates</w:t>
            </w:r>
          </w:p>
        </w:tc>
        <w:tc>
          <w:tcPr>
            <w:tcW w:type="dxa" w:w="3249"/>
            <w:vAlign w:val="center"/>
          </w:tcPr>
          <w:p>
            <w:pPr>
              <w:spacing w:line="276" w:lineRule="auto" w:before="0" w:after="0"/>
            </w:pPr>
            <w:r/>
            <w:r>
              <w:rPr>
                <w:rFonts w:ascii="Figtree" w:hAnsi="Figtree"/>
                <w:b w:val="0"/>
                <w:i w:val="0"/>
                <w:sz w:val="20"/>
              </w:rPr>
              <w:t>30s</w:t>
            </w:r>
          </w:p>
        </w:tc>
      </w:tr>
    </w:tbl>
    <w:p>
      <w:pPr>
        <w:spacing w:before="0" w:after="0" w:line="120" w:lineRule="exact"/>
      </w:pPr>
    </w:p>
    <w:p>
      <w:r>
        <w:br w:type="page"/>
      </w:r>
    </w:p>
    <w:p>
      <w:pPr>
        <w:pStyle w:val="H1"/>
        <w:numPr>
          <w:ilvl w:val="0"/>
          <w:numId w:val="1"/>
        </w:numPr>
      </w:pPr>
      <w:r>
        <w:t>18. Additional Reference Information</w:t>
      </w:r>
    </w:p>
    <w:p>
      <w:pPr>
        <w:pStyle w:val="H2"/>
        <w:numPr>
          <w:ilvl w:val="1"/>
          <w:numId w:val="1"/>
        </w:numPr>
      </w:pPr>
      <w:r>
        <w:t>18.1 Reference Projects Summary</w:t>
      </w:r>
    </w:p>
    <w:p>
      <w:r>
        <w:rPr>
          <w:rFonts w:ascii="Figtree" w:hAnsi="Figtree"/>
          <w:b w:val="0"/>
          <w:i w:val="0"/>
          <w:sz w:val="22"/>
        </w:rPr>
        <w:t>SettleMint has delivered digital asset infrastructure across multiple engagements: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78"/>
        <w:gridCol w:w="1510"/>
        <w:gridCol w:w="1343"/>
        <w:gridCol w:w="2518"/>
        <w:gridCol w:w="1007"/>
        <w:gridCol w:w="2014"/>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Client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Asset Class</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Year</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Scope</w:t>
            </w:r>
          </w:p>
        </w:tc>
      </w:tr>
      <w:tr>
        <w:trPr>
          <w:trHeight w:val="425" w:hRule="atLeast"/>
        </w:trPr>
        <w:tc>
          <w:tcPr>
            <w:tcW w:type="dxa" w:w="1624"/>
            <w:vAlign w:val="center"/>
          </w:tcPr>
          <w:p>
            <w:pPr>
              <w:spacing w:line="276" w:lineRule="auto" w:before="0" w:after="0"/>
            </w:pPr>
            <w:r/>
            <w:r>
              <w:rPr>
                <w:rFonts w:ascii="Figtree" w:hAnsi="Figtree"/>
                <w:b w:val="0"/>
                <w:i w:val="0"/>
                <w:sz w:val="20"/>
              </w:rPr>
              <w:t>1</w:t>
            </w:r>
          </w:p>
        </w:tc>
        <w:tc>
          <w:tcPr>
            <w:tcW w:type="dxa" w:w="1624"/>
            <w:vAlign w:val="center"/>
          </w:tcPr>
          <w:p>
            <w:pPr>
              <w:spacing w:line="276" w:lineRule="auto" w:before="0" w:after="0"/>
            </w:pPr>
            <w:r/>
            <w:r>
              <w:rPr>
                <w:rFonts w:ascii="Figtree" w:hAnsi="Figtree"/>
                <w:b w:val="0"/>
                <w:i w:val="0"/>
                <w:sz w:val="20"/>
              </w:rPr>
              <w:t>OCBC Bank</w:t>
            </w:r>
          </w:p>
        </w:tc>
        <w:tc>
          <w:tcPr>
            <w:tcW w:type="dxa" w:w="1624"/>
            <w:vAlign w:val="center"/>
          </w:tcPr>
          <w:p>
            <w:pPr>
              <w:spacing w:line="276" w:lineRule="auto" w:before="0" w:after="0"/>
            </w:pPr>
            <w:r/>
            <w:r>
              <w:rPr>
                <w:rFonts w:ascii="Figtree" w:hAnsi="Figtree"/>
                <w:b w:val="0"/>
                <w:i w:val="0"/>
                <w:sz w:val="20"/>
              </w:rPr>
              <w:t>Southeast Asia</w:t>
            </w:r>
          </w:p>
        </w:tc>
        <w:tc>
          <w:tcPr>
            <w:tcW w:type="dxa" w:w="1624"/>
            <w:vAlign w:val="center"/>
          </w:tcPr>
          <w:p>
            <w:pPr>
              <w:spacing w:line="276" w:lineRule="auto" w:before="0" w:after="0"/>
            </w:pPr>
            <w:r/>
            <w:r>
              <w:rPr>
                <w:rFonts w:ascii="Figtree" w:hAnsi="Figtree"/>
                <w:b w:val="0"/>
                <w:i w:val="0"/>
                <w:sz w:val="20"/>
              </w:rPr>
              <w:t>Securities, bonds, real estate</w:t>
            </w:r>
          </w:p>
        </w:tc>
        <w:tc>
          <w:tcPr>
            <w:tcW w:type="dxa" w:w="1624"/>
            <w:vAlign w:val="center"/>
          </w:tcPr>
          <w:p>
            <w:pPr>
              <w:spacing w:line="276" w:lineRule="auto" w:before="0" w:after="0"/>
            </w:pPr>
            <w:r/>
            <w:r>
              <w:rPr>
                <w:rFonts w:ascii="Figtree" w:hAnsi="Figtree"/>
                <w:b w:val="0"/>
                <w:i w:val="0"/>
                <w:sz w:val="20"/>
              </w:rPr>
              <w:t>2023-2024</w:t>
            </w:r>
          </w:p>
        </w:tc>
        <w:tc>
          <w:tcPr>
            <w:tcW w:type="dxa" w:w="1624"/>
            <w:vAlign w:val="center"/>
          </w:tcPr>
          <w:p>
            <w:pPr>
              <w:spacing w:line="276" w:lineRule="auto" w:before="0" w:after="0"/>
            </w:pPr>
            <w:r/>
            <w:r>
              <w:rPr>
                <w:rFonts w:ascii="Figtree" w:hAnsi="Figtree"/>
                <w:b w:val="0"/>
                <w:i w:val="0"/>
                <w:sz w:val="20"/>
              </w:rPr>
              <w:t>Security token engine</w:t>
            </w:r>
          </w:p>
        </w:tc>
      </w:tr>
      <w:tr>
        <w:trPr>
          <w:trHeight w:val="425" w:hRule="atLeast"/>
        </w:trPr>
        <w:tc>
          <w:tcPr>
            <w:tcW w:type="dxa" w:w="1624"/>
            <w:vAlign w:val="center"/>
          </w:tcPr>
          <w:p>
            <w:pPr>
              <w:spacing w:line="276" w:lineRule="auto" w:before="0" w:after="0"/>
            </w:pPr>
            <w:r/>
            <w:r>
              <w:rPr>
                <w:rFonts w:ascii="Figtree" w:hAnsi="Figtree"/>
                <w:b w:val="0"/>
                <w:i w:val="0"/>
                <w:sz w:val="20"/>
              </w:rPr>
              <w:t>2</w:t>
            </w:r>
          </w:p>
        </w:tc>
        <w:tc>
          <w:tcPr>
            <w:tcW w:type="dxa" w:w="1624"/>
            <w:vAlign w:val="center"/>
          </w:tcPr>
          <w:p>
            <w:pPr>
              <w:spacing w:line="276" w:lineRule="auto" w:before="0" w:after="0"/>
            </w:pPr>
            <w:r/>
            <w:r>
              <w:rPr>
                <w:rFonts w:ascii="Figtree" w:hAnsi="Figtree"/>
                <w:b w:val="0"/>
                <w:i w:val="0"/>
                <w:sz w:val="20"/>
              </w:rPr>
              <w:t>KBC Securities</w:t>
            </w:r>
          </w:p>
        </w:tc>
        <w:tc>
          <w:tcPr>
            <w:tcW w:type="dxa" w:w="1624"/>
            <w:vAlign w:val="center"/>
          </w:tcPr>
          <w:p>
            <w:pPr>
              <w:spacing w:line="276" w:lineRule="auto" w:before="0" w:after="0"/>
            </w:pPr>
            <w:r/>
            <w:r>
              <w:rPr>
                <w:rFonts w:ascii="Figtree" w:hAnsi="Figtree"/>
                <w:b w:val="0"/>
                <w:i w:val="0"/>
                <w:sz w:val="20"/>
              </w:rPr>
              <w:t>Europe</w:t>
            </w:r>
          </w:p>
        </w:tc>
        <w:tc>
          <w:tcPr>
            <w:tcW w:type="dxa" w:w="1624"/>
            <w:vAlign w:val="center"/>
          </w:tcPr>
          <w:p>
            <w:pPr>
              <w:spacing w:line="276" w:lineRule="auto" w:before="0" w:after="0"/>
            </w:pPr>
            <w:r/>
            <w:r>
              <w:rPr>
                <w:rFonts w:ascii="Figtree" w:hAnsi="Figtree"/>
                <w:b w:val="0"/>
                <w:i w:val="0"/>
                <w:sz w:val="20"/>
              </w:rPr>
              <w:t>Equity, SME loans</w:t>
            </w:r>
          </w:p>
        </w:tc>
        <w:tc>
          <w:tcPr>
            <w:tcW w:type="dxa" w:w="1624"/>
            <w:vAlign w:val="center"/>
          </w:tcPr>
          <w:p>
            <w:pPr>
              <w:spacing w:line="276" w:lineRule="auto" w:before="0" w:after="0"/>
            </w:pPr>
            <w:r/>
            <w:r>
              <w:rPr>
                <w:rFonts w:ascii="Figtree" w:hAnsi="Figtree"/>
                <w:b w:val="0"/>
                <w:i w:val="0"/>
                <w:sz w:val="20"/>
              </w:rPr>
              <w:t>2022-2023</w:t>
            </w:r>
          </w:p>
        </w:tc>
        <w:tc>
          <w:tcPr>
            <w:tcW w:type="dxa" w:w="1624"/>
            <w:vAlign w:val="center"/>
          </w:tcPr>
          <w:p>
            <w:pPr>
              <w:spacing w:line="276" w:lineRule="auto" w:before="0" w:after="0"/>
            </w:pPr>
            <w:r/>
            <w:r>
              <w:rPr>
                <w:rFonts w:ascii="Figtree" w:hAnsi="Figtree"/>
                <w:b w:val="0"/>
                <w:i w:val="0"/>
                <w:sz w:val="20"/>
              </w:rPr>
              <w:t>Crowdfunding issuance</w:t>
            </w:r>
          </w:p>
        </w:tc>
      </w:tr>
      <w:tr>
        <w:trPr>
          <w:trHeight w:val="425" w:hRule="atLeast"/>
        </w:trPr>
        <w:tc>
          <w:tcPr>
            <w:tcW w:type="dxa" w:w="1624"/>
            <w:vAlign w:val="center"/>
          </w:tcPr>
          <w:p>
            <w:pPr>
              <w:spacing w:line="276" w:lineRule="auto" w:before="0" w:after="0"/>
            </w:pPr>
            <w:r/>
            <w:r>
              <w:rPr>
                <w:rFonts w:ascii="Figtree" w:hAnsi="Figtree"/>
                <w:b w:val="0"/>
                <w:i w:val="0"/>
                <w:sz w:val="20"/>
              </w:rPr>
              <w:t>3</w:t>
            </w:r>
          </w:p>
        </w:tc>
        <w:tc>
          <w:tcPr>
            <w:tcW w:type="dxa" w:w="1624"/>
            <w:vAlign w:val="center"/>
          </w:tcPr>
          <w:p>
            <w:pPr>
              <w:spacing w:line="276" w:lineRule="auto" w:before="0" w:after="0"/>
            </w:pPr>
            <w:r/>
            <w:r>
              <w:rPr>
                <w:rFonts w:ascii="Figtree" w:hAnsi="Figtree"/>
                <w:b w:val="0"/>
                <w:i w:val="0"/>
                <w:sz w:val="20"/>
              </w:rPr>
              <w:t>Standard Chartered</w:t>
            </w:r>
          </w:p>
        </w:tc>
        <w:tc>
          <w:tcPr>
            <w:tcW w:type="dxa" w:w="1624"/>
            <w:vAlign w:val="center"/>
          </w:tcPr>
          <w:p>
            <w:pPr>
              <w:spacing w:line="276" w:lineRule="auto" w:before="0" w:after="0"/>
            </w:pPr>
            <w:r/>
            <w:r>
              <w:rPr>
                <w:rFonts w:ascii="Figtree" w:hAnsi="Figtree"/>
                <w:b w:val="0"/>
                <w:i w:val="0"/>
                <w:sz w:val="20"/>
              </w:rPr>
              <w:t>Asia, Africa, ME</w:t>
            </w:r>
          </w:p>
        </w:tc>
        <w:tc>
          <w:tcPr>
            <w:tcW w:type="dxa" w:w="1624"/>
            <w:vAlign w:val="center"/>
          </w:tcPr>
          <w:p>
            <w:pPr>
              <w:spacing w:line="276" w:lineRule="auto" w:before="0" w:after="0"/>
            </w:pPr>
            <w:r/>
            <w:r>
              <w:rPr>
                <w:rFonts w:ascii="Figtree" w:hAnsi="Figtree"/>
                <w:b w:val="0"/>
                <w:i w:val="0"/>
                <w:sz w:val="20"/>
              </w:rPr>
              <w:t>Securities</w:t>
            </w:r>
          </w:p>
        </w:tc>
        <w:tc>
          <w:tcPr>
            <w:tcW w:type="dxa" w:w="1624"/>
            <w:vAlign w:val="center"/>
          </w:tcPr>
          <w:p>
            <w:pPr>
              <w:spacing w:line="276" w:lineRule="auto" w:before="0" w:after="0"/>
            </w:pPr>
            <w:r/>
            <w:r>
              <w:rPr>
                <w:rFonts w:ascii="Figtree" w:hAnsi="Figtree"/>
                <w:b w:val="0"/>
                <w:i w:val="0"/>
                <w:sz w:val="20"/>
              </w:rPr>
              <w:t>2023-2024</w:t>
            </w:r>
          </w:p>
        </w:tc>
        <w:tc>
          <w:tcPr>
            <w:tcW w:type="dxa" w:w="1624"/>
            <w:vAlign w:val="center"/>
          </w:tcPr>
          <w:p>
            <w:pPr>
              <w:spacing w:line="276" w:lineRule="auto" w:before="0" w:after="0"/>
            </w:pPr>
            <w:r/>
            <w:r>
              <w:rPr>
                <w:rFonts w:ascii="Figtree" w:hAnsi="Figtree"/>
                <w:b w:val="0"/>
                <w:i w:val="0"/>
                <w:sz w:val="20"/>
              </w:rPr>
              <w:t>Digital Virtual Exchange</w:t>
            </w:r>
          </w:p>
        </w:tc>
      </w:tr>
      <w:tr>
        <w:trPr>
          <w:trHeight w:val="425" w:hRule="atLeast"/>
        </w:trPr>
        <w:tc>
          <w:tcPr>
            <w:tcW w:type="dxa" w:w="1624"/>
            <w:vAlign w:val="center"/>
          </w:tcPr>
          <w:p>
            <w:pPr>
              <w:spacing w:line="276" w:lineRule="auto" w:before="0" w:after="0"/>
            </w:pPr>
            <w:r/>
            <w:r>
              <w:rPr>
                <w:rFonts w:ascii="Figtree" w:hAnsi="Figtree"/>
                <w:b w:val="0"/>
                <w:i w:val="0"/>
                <w:sz w:val="20"/>
              </w:rPr>
              <w:t>4</w:t>
            </w:r>
          </w:p>
        </w:tc>
        <w:tc>
          <w:tcPr>
            <w:tcW w:type="dxa" w:w="1624"/>
            <w:vAlign w:val="center"/>
          </w:tcPr>
          <w:p>
            <w:pPr>
              <w:spacing w:line="276" w:lineRule="auto" w:before="0" w:after="0"/>
            </w:pPr>
            <w:r/>
            <w:r>
              <w:rPr>
                <w:rFonts w:ascii="Figtree" w:hAnsi="Figtree"/>
                <w:b w:val="0"/>
                <w:i w:val="0"/>
                <w:sz w:val="20"/>
              </w:rPr>
              <w:t>SBI</w:t>
            </w:r>
          </w:p>
        </w:tc>
        <w:tc>
          <w:tcPr>
            <w:tcW w:type="dxa" w:w="1624"/>
            <w:vAlign w:val="center"/>
          </w:tcPr>
          <w:p>
            <w:pPr>
              <w:spacing w:line="276" w:lineRule="auto" w:before="0" w:after="0"/>
            </w:pPr>
            <w:r/>
            <w:r>
              <w:rPr>
                <w:rFonts w:ascii="Figtree" w:hAnsi="Figtree"/>
                <w:b w:val="0"/>
                <w:i w:val="0"/>
                <w:sz w:val="20"/>
              </w:rPr>
              <w:t>India</w:t>
            </w:r>
          </w:p>
        </w:tc>
        <w:tc>
          <w:tcPr>
            <w:tcW w:type="dxa" w:w="1624"/>
            <w:vAlign w:val="center"/>
          </w:tcPr>
          <w:p>
            <w:pPr>
              <w:spacing w:line="276" w:lineRule="auto" w:before="0" w:after="0"/>
            </w:pPr>
            <w:r/>
            <w:r>
              <w:rPr>
                <w:rFonts w:ascii="Figtree" w:hAnsi="Figtree"/>
                <w:b w:val="0"/>
                <w:i w:val="0"/>
                <w:sz w:val="20"/>
              </w:rPr>
              <w:t>CBDC (e-Rupee)</w:t>
            </w:r>
          </w:p>
        </w:tc>
        <w:tc>
          <w:tcPr>
            <w:tcW w:type="dxa" w:w="1624"/>
            <w:vAlign w:val="center"/>
          </w:tcPr>
          <w:p>
            <w:pPr>
              <w:spacing w:line="276" w:lineRule="auto" w:before="0" w:after="0"/>
            </w:pPr>
            <w:r/>
            <w:r>
              <w:rPr>
                <w:rFonts w:ascii="Figtree" w:hAnsi="Figtree"/>
                <w:b w:val="0"/>
                <w:i w:val="0"/>
                <w:sz w:val="20"/>
              </w:rPr>
              <w:t>2024-present</w:t>
            </w:r>
          </w:p>
        </w:tc>
        <w:tc>
          <w:tcPr>
            <w:tcW w:type="dxa" w:w="1624"/>
            <w:vAlign w:val="center"/>
          </w:tcPr>
          <w:p>
            <w:pPr>
              <w:spacing w:line="276" w:lineRule="auto" w:before="0" w:after="0"/>
            </w:pPr>
            <w:r/>
            <w:r>
              <w:rPr>
                <w:rFonts w:ascii="Figtree" w:hAnsi="Figtree"/>
                <w:b w:val="0"/>
                <w:i w:val="0"/>
                <w:sz w:val="20"/>
              </w:rPr>
              <w:t>CBDC infrastructure</w:t>
            </w:r>
          </w:p>
        </w:tc>
      </w:tr>
      <w:tr>
        <w:trPr>
          <w:trHeight w:val="425" w:hRule="atLeast"/>
        </w:trPr>
        <w:tc>
          <w:tcPr>
            <w:tcW w:type="dxa" w:w="1624"/>
            <w:vAlign w:val="center"/>
          </w:tcPr>
          <w:p>
            <w:pPr>
              <w:spacing w:line="276" w:lineRule="auto" w:before="0" w:after="0"/>
            </w:pPr>
            <w:r/>
            <w:r>
              <w:rPr>
                <w:rFonts w:ascii="Figtree" w:hAnsi="Figtree"/>
                <w:b w:val="0"/>
                <w:i w:val="0"/>
                <w:sz w:val="20"/>
              </w:rPr>
              <w:t>5</w:t>
            </w:r>
          </w:p>
        </w:tc>
        <w:tc>
          <w:tcPr>
            <w:tcW w:type="dxa" w:w="1624"/>
            <w:vAlign w:val="center"/>
          </w:tcPr>
          <w:p>
            <w:pPr>
              <w:spacing w:line="276" w:lineRule="auto" w:before="0" w:after="0"/>
            </w:pPr>
            <w:r/>
            <w:r>
              <w:rPr>
                <w:rFonts w:ascii="Figtree" w:hAnsi="Figtree"/>
                <w:b w:val="0"/>
                <w:i w:val="0"/>
                <w:sz w:val="20"/>
              </w:rPr>
              <w:t>Sony Bank</w:t>
            </w:r>
          </w:p>
        </w:tc>
        <w:tc>
          <w:tcPr>
            <w:tcW w:type="dxa" w:w="1624"/>
            <w:vAlign w:val="center"/>
          </w:tcPr>
          <w:p>
            <w:pPr>
              <w:spacing w:line="276" w:lineRule="auto" w:before="0" w:after="0"/>
            </w:pPr>
            <w:r/>
            <w:r>
              <w:rPr>
                <w:rFonts w:ascii="Figtree" w:hAnsi="Figtree"/>
                <w:b w:val="0"/>
                <w:i w:val="0"/>
                <w:sz w:val="20"/>
              </w:rPr>
              <w:t>Japan</w:t>
            </w:r>
          </w:p>
        </w:tc>
        <w:tc>
          <w:tcPr>
            <w:tcW w:type="dxa" w:w="1624"/>
            <w:vAlign w:val="center"/>
          </w:tcPr>
          <w:p>
            <w:pPr>
              <w:spacing w:line="276" w:lineRule="auto" w:before="0" w:after="0"/>
            </w:pPr>
            <w:r/>
            <w:r>
              <w:rPr>
                <w:rFonts w:ascii="Figtree" w:hAnsi="Figtree"/>
                <w:b w:val="0"/>
                <w:i w:val="0"/>
                <w:sz w:val="20"/>
              </w:rPr>
              <w:t>Stablecoins</w:t>
            </w:r>
          </w:p>
        </w:tc>
        <w:tc>
          <w:tcPr>
            <w:tcW w:type="dxa" w:w="1624"/>
            <w:vAlign w:val="center"/>
          </w:tcPr>
          <w:p>
            <w:pPr>
              <w:spacing w:line="276" w:lineRule="auto" w:before="0" w:after="0"/>
            </w:pPr>
            <w:r/>
            <w:r>
              <w:rPr>
                <w:rFonts w:ascii="Figtree" w:hAnsi="Figtree"/>
                <w:b w:val="0"/>
                <w:i w:val="0"/>
                <w:sz w:val="20"/>
              </w:rPr>
              <w:t>2024</w:t>
            </w:r>
          </w:p>
        </w:tc>
        <w:tc>
          <w:tcPr>
            <w:tcW w:type="dxa" w:w="1624"/>
            <w:vAlign w:val="center"/>
          </w:tcPr>
          <w:p>
            <w:pPr>
              <w:spacing w:line="276" w:lineRule="auto" w:before="0" w:after="0"/>
            </w:pPr>
            <w:r/>
            <w:r>
              <w:rPr>
                <w:rFonts w:ascii="Figtree" w:hAnsi="Figtree"/>
                <w:b w:val="0"/>
                <w:i w:val="0"/>
                <w:sz w:val="20"/>
              </w:rPr>
              <w:t>Stablecoin issuance</w:t>
            </w:r>
          </w:p>
        </w:tc>
      </w:tr>
      <w:tr>
        <w:trPr>
          <w:trHeight w:val="425" w:hRule="atLeast"/>
        </w:trPr>
        <w:tc>
          <w:tcPr>
            <w:tcW w:type="dxa" w:w="1624"/>
            <w:vAlign w:val="center"/>
          </w:tcPr>
          <w:p>
            <w:pPr>
              <w:spacing w:line="276" w:lineRule="auto" w:before="0" w:after="0"/>
            </w:pPr>
            <w:r/>
            <w:r>
              <w:rPr>
                <w:rFonts w:ascii="Figtree" w:hAnsi="Figtree"/>
                <w:b w:val="0"/>
                <w:i w:val="0"/>
                <w:sz w:val="20"/>
              </w:rPr>
              <w:t>6</w:t>
            </w:r>
          </w:p>
        </w:tc>
        <w:tc>
          <w:tcPr>
            <w:tcW w:type="dxa" w:w="1624"/>
            <w:vAlign w:val="center"/>
          </w:tcPr>
          <w:p>
            <w:pPr>
              <w:spacing w:line="276" w:lineRule="auto" w:before="0" w:after="0"/>
            </w:pPr>
            <w:r/>
            <w:r>
              <w:rPr>
                <w:rFonts w:ascii="Figtree" w:hAnsi="Figtree"/>
                <w:b w:val="0"/>
                <w:i w:val="0"/>
                <w:sz w:val="20"/>
              </w:rPr>
              <w:t>Saudi RER</w:t>
            </w:r>
          </w:p>
        </w:tc>
        <w:tc>
          <w:tcPr>
            <w:tcW w:type="dxa" w:w="1624"/>
            <w:vAlign w:val="center"/>
          </w:tcPr>
          <w:p>
            <w:pPr>
              <w:spacing w:line="276" w:lineRule="auto" w:before="0" w:after="0"/>
            </w:pPr>
            <w:r/>
            <w:r>
              <w:rPr>
                <w:rFonts w:ascii="Figtree" w:hAnsi="Figtree"/>
                <w:b w:val="0"/>
                <w:i w:val="0"/>
                <w:sz w:val="20"/>
              </w:rPr>
              <w:t>Saudi Arabia</w:t>
            </w:r>
          </w:p>
        </w:tc>
        <w:tc>
          <w:tcPr>
            <w:tcW w:type="dxa" w:w="1624"/>
            <w:vAlign w:val="center"/>
          </w:tcPr>
          <w:p>
            <w:pPr>
              <w:spacing w:line="276" w:lineRule="auto" w:before="0" w:after="0"/>
            </w:pPr>
            <w:r/>
            <w:r>
              <w:rPr>
                <w:rFonts w:ascii="Figtree" w:hAnsi="Figtree"/>
                <w:b w:val="0"/>
                <w:i w:val="0"/>
                <w:sz w:val="20"/>
              </w:rPr>
              <w:t>Real estate</w:t>
            </w:r>
          </w:p>
        </w:tc>
        <w:tc>
          <w:tcPr>
            <w:tcW w:type="dxa" w:w="1624"/>
            <w:vAlign w:val="center"/>
          </w:tcPr>
          <w:p>
            <w:pPr>
              <w:spacing w:line="276" w:lineRule="auto" w:before="0" w:after="0"/>
            </w:pPr>
            <w:r/>
            <w:r>
              <w:rPr>
                <w:rFonts w:ascii="Figtree" w:hAnsi="Figtree"/>
                <w:b w:val="0"/>
                <w:i w:val="0"/>
                <w:sz w:val="20"/>
              </w:rPr>
              <w:t>2024-present</w:t>
            </w:r>
          </w:p>
        </w:tc>
        <w:tc>
          <w:tcPr>
            <w:tcW w:type="dxa" w:w="1624"/>
            <w:vAlign w:val="center"/>
          </w:tcPr>
          <w:p>
            <w:pPr>
              <w:spacing w:line="276" w:lineRule="auto" w:before="0" w:after="0"/>
            </w:pPr>
            <w:r/>
            <w:r>
              <w:rPr>
                <w:rFonts w:ascii="Figtree" w:hAnsi="Figtree"/>
                <w:b w:val="0"/>
                <w:i w:val="0"/>
                <w:sz w:val="20"/>
              </w:rPr>
              <w:t>National registry</w:t>
            </w:r>
          </w:p>
        </w:tc>
      </w:tr>
      <w:tr>
        <w:trPr>
          <w:trHeight w:val="425" w:hRule="atLeast"/>
        </w:trPr>
        <w:tc>
          <w:tcPr>
            <w:tcW w:type="dxa" w:w="1624"/>
            <w:vAlign w:val="center"/>
          </w:tcPr>
          <w:p>
            <w:pPr>
              <w:spacing w:line="276" w:lineRule="auto" w:before="0" w:after="0"/>
            </w:pPr>
            <w:r/>
            <w:r>
              <w:rPr>
                <w:rFonts w:ascii="Figtree" w:hAnsi="Figtree"/>
                <w:b w:val="0"/>
                <w:i w:val="0"/>
                <w:sz w:val="20"/>
              </w:rPr>
              <w:t>7</w:t>
            </w:r>
          </w:p>
        </w:tc>
        <w:tc>
          <w:tcPr>
            <w:tcW w:type="dxa" w:w="1624"/>
            <w:vAlign w:val="center"/>
          </w:tcPr>
          <w:p>
            <w:pPr>
              <w:spacing w:line="276" w:lineRule="auto" w:before="0" w:after="0"/>
            </w:pPr>
            <w:r/>
            <w:r>
              <w:rPr>
                <w:rFonts w:ascii="Figtree" w:hAnsi="Figtree"/>
                <w:b w:val="0"/>
                <w:i w:val="0"/>
                <w:sz w:val="20"/>
              </w:rPr>
              <w:t>ADI-Finstreet</w:t>
            </w:r>
          </w:p>
        </w:tc>
        <w:tc>
          <w:tcPr>
            <w:tcW w:type="dxa" w:w="1624"/>
            <w:vAlign w:val="center"/>
          </w:tcPr>
          <w:p>
            <w:pPr>
              <w:spacing w:line="276" w:lineRule="auto" w:before="0" w:after="0"/>
            </w:pPr>
            <w:r/>
            <w:r>
              <w:rPr>
                <w:rFonts w:ascii="Figtree" w:hAnsi="Figtree"/>
                <w:b w:val="0"/>
                <w:i w:val="0"/>
                <w:sz w:val="20"/>
              </w:rPr>
              <w:t>Abu Dhabi</w:t>
            </w:r>
          </w:p>
        </w:tc>
        <w:tc>
          <w:tcPr>
            <w:tcW w:type="dxa" w:w="1624"/>
            <w:vAlign w:val="center"/>
          </w:tcPr>
          <w:p>
            <w:pPr>
              <w:spacing w:line="276" w:lineRule="auto" w:before="0" w:after="0"/>
            </w:pPr>
            <w:r/>
            <w:r>
              <w:rPr>
                <w:rFonts w:ascii="Figtree" w:hAnsi="Figtree"/>
                <w:b w:val="0"/>
                <w:i w:val="0"/>
                <w:sz w:val="20"/>
              </w:rPr>
              <w:t>Equity</w:t>
            </w:r>
          </w:p>
        </w:tc>
        <w:tc>
          <w:tcPr>
            <w:tcW w:type="dxa" w:w="1624"/>
            <w:vAlign w:val="center"/>
          </w:tcPr>
          <w:p>
            <w:pPr>
              <w:spacing w:line="276" w:lineRule="auto" w:before="0" w:after="0"/>
            </w:pPr>
            <w:r/>
            <w:r>
              <w:rPr>
                <w:rFonts w:ascii="Figtree" w:hAnsi="Figtree"/>
                <w:b w:val="0"/>
                <w:i w:val="0"/>
                <w:sz w:val="20"/>
              </w:rPr>
              <w:t>2025</w:t>
            </w:r>
          </w:p>
        </w:tc>
        <w:tc>
          <w:tcPr>
            <w:tcW w:type="dxa" w:w="1624"/>
            <w:vAlign w:val="center"/>
          </w:tcPr>
          <w:p>
            <w:pPr>
              <w:spacing w:line="276" w:lineRule="auto" w:before="0" w:after="0"/>
            </w:pPr>
            <w:r/>
            <w:r>
              <w:rPr>
                <w:rFonts w:ascii="Figtree" w:hAnsi="Figtree"/>
                <w:b w:val="0"/>
                <w:i w:val="0"/>
                <w:sz w:val="20"/>
              </w:rPr>
              <w:t>Institutional issuance</w:t>
            </w:r>
          </w:p>
        </w:tc>
      </w:tr>
      <w:tr>
        <w:trPr>
          <w:trHeight w:val="425" w:hRule="atLeast"/>
        </w:trPr>
        <w:tc>
          <w:tcPr>
            <w:tcW w:type="dxa" w:w="1624"/>
            <w:vAlign w:val="center"/>
          </w:tcPr>
          <w:p>
            <w:pPr>
              <w:spacing w:line="276" w:lineRule="auto" w:before="0" w:after="0"/>
            </w:pPr>
            <w:r/>
            <w:r>
              <w:rPr>
                <w:rFonts w:ascii="Figtree" w:hAnsi="Figtree"/>
                <w:b w:val="0"/>
                <w:i w:val="0"/>
                <w:sz w:val="20"/>
              </w:rPr>
              <w:t>8</w:t>
            </w:r>
          </w:p>
        </w:tc>
        <w:tc>
          <w:tcPr>
            <w:tcW w:type="dxa" w:w="1624"/>
            <w:vAlign w:val="center"/>
          </w:tcPr>
          <w:p>
            <w:pPr>
              <w:spacing w:line="276" w:lineRule="auto" w:before="0" w:after="0"/>
            </w:pPr>
            <w:r/>
            <w:r>
              <w:rPr>
                <w:rFonts w:ascii="Figtree" w:hAnsi="Figtree"/>
                <w:b w:val="0"/>
                <w:i w:val="0"/>
                <w:sz w:val="20"/>
              </w:rPr>
              <w:t>Commerzbank</w:t>
            </w:r>
          </w:p>
        </w:tc>
        <w:tc>
          <w:tcPr>
            <w:tcW w:type="dxa" w:w="1624"/>
            <w:vAlign w:val="center"/>
          </w:tcPr>
          <w:p>
            <w:pPr>
              <w:spacing w:line="276" w:lineRule="auto" w:before="0" w:after="0"/>
            </w:pPr>
            <w:r/>
            <w:r>
              <w:rPr>
                <w:rFonts w:ascii="Figtree" w:hAnsi="Figtree"/>
                <w:b w:val="0"/>
                <w:i w:val="0"/>
                <w:sz w:val="20"/>
              </w:rPr>
              <w:t>Germany</w:t>
            </w:r>
          </w:p>
        </w:tc>
        <w:tc>
          <w:tcPr>
            <w:tcW w:type="dxa" w:w="1624"/>
            <w:vAlign w:val="center"/>
          </w:tcPr>
          <w:p>
            <w:pPr>
              <w:spacing w:line="276" w:lineRule="auto" w:before="0" w:after="0"/>
            </w:pPr>
            <w:r/>
            <w:r>
              <w:rPr>
                <w:rFonts w:ascii="Figtree" w:hAnsi="Figtree"/>
                <w:b w:val="0"/>
                <w:i w:val="0"/>
                <w:sz w:val="20"/>
              </w:rPr>
              <w:t>ETPs</w:t>
            </w:r>
          </w:p>
        </w:tc>
        <w:tc>
          <w:tcPr>
            <w:tcW w:type="dxa" w:w="1624"/>
            <w:vAlign w:val="center"/>
          </w:tcPr>
          <w:p>
            <w:pPr>
              <w:spacing w:line="276" w:lineRule="auto" w:before="0" w:after="0"/>
            </w:pPr>
            <w:r/>
            <w:r>
              <w:rPr>
                <w:rFonts w:ascii="Figtree" w:hAnsi="Figtree"/>
                <w:b w:val="0"/>
                <w:i w:val="0"/>
                <w:sz w:val="20"/>
              </w:rPr>
              <w:t>2024-2025</w:t>
            </w:r>
          </w:p>
        </w:tc>
        <w:tc>
          <w:tcPr>
            <w:tcW w:type="dxa" w:w="1624"/>
            <w:vAlign w:val="center"/>
          </w:tcPr>
          <w:p>
            <w:pPr>
              <w:spacing w:line="276" w:lineRule="auto" w:before="0" w:after="0"/>
            </w:pPr>
            <w:r/>
            <w:r>
              <w:rPr>
                <w:rFonts w:ascii="Figtree" w:hAnsi="Figtree"/>
                <w:b w:val="0"/>
                <w:i w:val="0"/>
                <w:sz w:val="20"/>
              </w:rPr>
              <w:t>Hybrid ETP issuance</w:t>
            </w:r>
          </w:p>
        </w:tc>
      </w:tr>
      <w:tr>
        <w:trPr>
          <w:trHeight w:val="425" w:hRule="atLeast"/>
        </w:trPr>
        <w:tc>
          <w:tcPr>
            <w:tcW w:type="dxa" w:w="1624"/>
            <w:vAlign w:val="center"/>
          </w:tcPr>
          <w:p>
            <w:pPr>
              <w:spacing w:line="276" w:lineRule="auto" w:before="0" w:after="0"/>
            </w:pPr>
            <w:r/>
            <w:r>
              <w:rPr>
                <w:rFonts w:ascii="Figtree" w:hAnsi="Figtree"/>
                <w:b w:val="0"/>
                <w:i w:val="0"/>
                <w:sz w:val="20"/>
              </w:rPr>
              <w:t>9</w:t>
            </w:r>
          </w:p>
        </w:tc>
        <w:tc>
          <w:tcPr>
            <w:tcW w:type="dxa" w:w="1624"/>
            <w:vAlign w:val="center"/>
          </w:tcPr>
          <w:p>
            <w:pPr>
              <w:spacing w:line="276" w:lineRule="auto" w:before="0" w:after="0"/>
            </w:pPr>
            <w:r/>
            <w:r>
              <w:rPr>
                <w:rFonts w:ascii="Figtree" w:hAnsi="Figtree"/>
                <w:b w:val="0"/>
                <w:i w:val="0"/>
                <w:sz w:val="20"/>
              </w:rPr>
              <w:t>Maybank</w:t>
            </w:r>
          </w:p>
        </w:tc>
        <w:tc>
          <w:tcPr>
            <w:tcW w:type="dxa" w:w="1624"/>
            <w:vAlign w:val="center"/>
          </w:tcPr>
          <w:p>
            <w:pPr>
              <w:spacing w:line="276" w:lineRule="auto" w:before="0" w:after="0"/>
            </w:pPr>
            <w:r/>
            <w:r>
              <w:rPr>
                <w:rFonts w:ascii="Figtree" w:hAnsi="Figtree"/>
                <w:b w:val="0"/>
                <w:i w:val="0"/>
                <w:sz w:val="20"/>
              </w:rPr>
              <w:t>Malaysia</w:t>
            </w:r>
          </w:p>
        </w:tc>
        <w:tc>
          <w:tcPr>
            <w:tcW w:type="dxa" w:w="1624"/>
            <w:vAlign w:val="center"/>
          </w:tcPr>
          <w:p>
            <w:pPr>
              <w:spacing w:line="276" w:lineRule="auto" w:before="0" w:after="0"/>
            </w:pPr>
            <w:r/>
            <w:r>
              <w:rPr>
                <w:rFonts w:ascii="Figtree" w:hAnsi="Figtree"/>
                <w:b w:val="0"/>
                <w:i w:val="0"/>
                <w:sz w:val="20"/>
              </w:rPr>
              <w:t>FX tokens</w:t>
            </w:r>
          </w:p>
        </w:tc>
        <w:tc>
          <w:tcPr>
            <w:tcW w:type="dxa" w:w="1624"/>
            <w:vAlign w:val="center"/>
          </w:tcPr>
          <w:p>
            <w:pPr>
              <w:spacing w:line="276" w:lineRule="auto" w:before="0" w:after="0"/>
            </w:pPr>
            <w:r/>
            <w:r>
              <w:rPr>
                <w:rFonts w:ascii="Figtree" w:hAnsi="Figtree"/>
                <w:b w:val="0"/>
                <w:i w:val="0"/>
                <w:sz w:val="20"/>
              </w:rPr>
              <w:t>2025-2026</w:t>
            </w:r>
          </w:p>
        </w:tc>
        <w:tc>
          <w:tcPr>
            <w:tcW w:type="dxa" w:w="1624"/>
            <w:vAlign w:val="center"/>
          </w:tcPr>
          <w:p>
            <w:pPr>
              <w:spacing w:line="276" w:lineRule="auto" w:before="0" w:after="0"/>
            </w:pPr>
            <w:r/>
            <w:r>
              <w:rPr>
                <w:rFonts w:ascii="Figtree" w:hAnsi="Figtree"/>
                <w:b w:val="0"/>
                <w:i w:val="0"/>
                <w:sz w:val="20"/>
              </w:rPr>
              <w:t>XvP settlement</w:t>
            </w:r>
          </w:p>
        </w:tc>
      </w:tr>
    </w:tbl>
    <w:p>
      <w:pPr>
        <w:spacing w:before="0" w:after="0" w:line="120" w:lineRule="exact"/>
      </w:pPr>
    </w:p>
    <w:p>
      <w:pPr>
        <w:pStyle w:val="H2"/>
        <w:numPr>
          <w:ilvl w:val="1"/>
          <w:numId w:val="1"/>
        </w:numPr>
      </w:pPr>
      <w:r>
        <w:t>18.2 Certification Details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72"/>
        <w:gridCol w:w="3168"/>
        <w:gridCol w:w="2016"/>
        <w:gridCol w:w="201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Certification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Valid Until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Auditor</w:t>
            </w:r>
          </w:p>
        </w:tc>
      </w:tr>
      <w:tr>
        <w:trPr>
          <w:trHeight w:val="425" w:hRule="atLeast"/>
        </w:trPr>
        <w:tc>
          <w:tcPr>
            <w:tcW w:type="dxa" w:w="2436"/>
            <w:vAlign w:val="center"/>
          </w:tcPr>
          <w:p>
            <w:pPr>
              <w:spacing w:line="276" w:lineRule="auto" w:before="0" w:after="0"/>
            </w:pPr>
            <w:r/>
            <w:r>
              <w:rPr>
                <w:rFonts w:ascii="Figtree" w:hAnsi="Figtree"/>
                <w:b w:val="0"/>
                <w:i w:val="0"/>
                <w:sz w:val="20"/>
              </w:rPr>
              <w:t>ISO 27001</w:t>
            </w:r>
          </w:p>
        </w:tc>
        <w:tc>
          <w:tcPr>
            <w:tcW w:type="dxa" w:w="2436"/>
            <w:vAlign w:val="center"/>
          </w:tcPr>
          <w:p>
            <w:pPr>
              <w:spacing w:line="276" w:lineRule="auto" w:before="0" w:after="0"/>
            </w:pPr>
            <w:r/>
            <w:r>
              <w:rPr>
                <w:rFonts w:ascii="Figtree" w:hAnsi="Figtree"/>
                <w:b w:val="0"/>
                <w:i w:val="0"/>
                <w:sz w:val="20"/>
              </w:rPr>
              <w:t>Information Security</w:t>
            </w:r>
          </w:p>
        </w:tc>
        <w:tc>
          <w:tcPr>
            <w:tcW w:type="dxa" w:w="2436"/>
            <w:vAlign w:val="center"/>
          </w:tcPr>
          <w:p>
            <w:pPr>
              <w:spacing w:line="276" w:lineRule="auto" w:before="0" w:after="0"/>
            </w:pPr>
            <w:r/>
            <w:r>
              <w:rPr>
                <w:rFonts w:ascii="Figtree" w:hAnsi="Figtree"/>
                <w:b w:val="0"/>
                <w:i w:val="0"/>
                <w:sz w:val="20"/>
              </w:rPr>
              <w:t>Annual renewal</w:t>
            </w:r>
          </w:p>
        </w:tc>
        <w:tc>
          <w:tcPr>
            <w:tcW w:type="dxa" w:w="2436"/>
            <w:vAlign w:val="center"/>
          </w:tcPr>
          <w:p>
            <w:pPr>
              <w:spacing w:line="276" w:lineRule="auto" w:before="0" w:after="0"/>
            </w:pPr>
            <w:r/>
            <w:r>
              <w:rPr>
                <w:rFonts w:ascii="Figtree" w:hAnsi="Figtree"/>
                <w:b w:val="0"/>
                <w:i w:val="0"/>
                <w:sz w:val="20"/>
              </w:rPr>
              <w:t>Bureau Veritas</w:t>
            </w:r>
          </w:p>
        </w:tc>
      </w:tr>
      <w:tr>
        <w:trPr>
          <w:trHeight w:val="425" w:hRule="atLeast"/>
        </w:trPr>
        <w:tc>
          <w:tcPr>
            <w:tcW w:type="dxa" w:w="2436"/>
            <w:vAlign w:val="center"/>
          </w:tcPr>
          <w:p>
            <w:pPr>
              <w:spacing w:line="276" w:lineRule="auto" w:before="0" w:after="0"/>
            </w:pPr>
            <w:r/>
            <w:r>
              <w:rPr>
                <w:rFonts w:ascii="Figtree" w:hAnsi="Figtree"/>
                <w:b w:val="0"/>
                <w:i w:val="0"/>
                <w:sz w:val="20"/>
              </w:rPr>
              <w:t>SOC 2 Type II</w:t>
            </w:r>
          </w:p>
        </w:tc>
        <w:tc>
          <w:tcPr>
            <w:tcW w:type="dxa" w:w="2436"/>
            <w:vAlign w:val="center"/>
          </w:tcPr>
          <w:p>
            <w:pPr>
              <w:spacing w:line="276" w:lineRule="auto" w:before="0" w:after="0"/>
            </w:pPr>
            <w:r/>
            <w:r>
              <w:rPr>
                <w:rFonts w:ascii="Figtree" w:hAnsi="Figtree"/>
                <w:b w:val="0"/>
                <w:i w:val="0"/>
                <w:sz w:val="20"/>
              </w:rPr>
              <w:t>Security, Availability</w:t>
            </w:r>
          </w:p>
        </w:tc>
        <w:tc>
          <w:tcPr>
            <w:tcW w:type="dxa" w:w="2436"/>
            <w:vAlign w:val="center"/>
          </w:tcPr>
          <w:p>
            <w:pPr>
              <w:spacing w:line="276" w:lineRule="auto" w:before="0" w:after="0"/>
            </w:pPr>
            <w:r/>
            <w:r>
              <w:rPr>
                <w:rFonts w:ascii="Figtree" w:hAnsi="Figtree"/>
                <w:b w:val="0"/>
                <w:i w:val="0"/>
                <w:sz w:val="20"/>
              </w:rPr>
              <w:t>Annual renewal</w:t>
            </w:r>
          </w:p>
        </w:tc>
        <w:tc>
          <w:tcPr>
            <w:tcW w:type="dxa" w:w="2436"/>
            <w:vAlign w:val="center"/>
          </w:tcPr>
          <w:p>
            <w:pPr>
              <w:spacing w:line="276" w:lineRule="auto" w:before="0" w:after="0"/>
            </w:pPr>
            <w:r/>
            <w:r>
              <w:rPr>
                <w:rFonts w:ascii="Figtree" w:hAnsi="Figtree"/>
                <w:b w:val="0"/>
                <w:i w:val="0"/>
                <w:sz w:val="20"/>
              </w:rPr>
              <w:t>Deloitte</w:t>
            </w:r>
          </w:p>
        </w:tc>
      </w:tr>
    </w:tbl>
    <w:p>
      <w:pPr>
        <w:spacing w:before="0" w:after="0" w:line="120" w:lineRule="exact"/>
      </w:pPr>
    </w:p>
    <w:p>
      <w:pPr>
        <w:pStyle w:val="H2"/>
        <w:numPr>
          <w:ilvl w:val="1"/>
          <w:numId w:val="1"/>
        </w:numPr>
      </w:pPr>
      <w:r>
        <w:t>18.3 Contact Information</w:t>
      </w:r>
    </w:p>
    <w:p>
      <w:r>
        <w:rPr>
          <w:rFonts w:ascii="Figtree" w:hAnsi="Figtree"/>
          <w:b/>
          <w:i w:val="0"/>
          <w:sz w:val="22"/>
        </w:rPr>
        <w:t>Primary Contact:</w:t>
      </w:r>
    </w:p>
    <w:p>
      <w:r>
        <w:rPr>
          <w:rFonts w:ascii="Figtree" w:hAnsi="Figtree"/>
          <w:b w:val="0"/>
          <w:i w:val="0"/>
          <w:sz w:val="22"/>
        </w:rPr>
        <w:t>SettleMint NV</w:t>
      </w:r>
    </w:p>
    <w:p>
      <w:r>
        <w:rPr>
          <w:rFonts w:ascii="Figtree" w:hAnsi="Figtree"/>
          <w:b w:val="0"/>
          <w:i w:val="0"/>
          <w:sz w:val="22"/>
        </w:rPr>
        <w:t>Leuven, Belgium</w:t>
      </w:r>
    </w:p>
    <w:p>
      <w:r>
        <w:rPr>
          <w:rFonts w:ascii="Figtree" w:hAnsi="Figtree"/>
          <w:b/>
          <w:i w:val="0"/>
          <w:sz w:val="22"/>
        </w:rPr>
        <w:t>Commercial Inquiries:</w:t>
      </w:r>
      <w:r>
        <w:rPr>
          <w:rFonts w:ascii="Figtree" w:hAnsi="Figtree"/>
          <w:b w:val="0"/>
          <w:i w:val="0"/>
          <w:sz w:val="22"/>
        </w:rPr>
        <w:t xml:space="preserve"> commercial@settlemint.com</w:t>
      </w:r>
    </w:p>
    <w:p>
      <w:r>
        <w:rPr>
          <w:rFonts w:ascii="Figtree" w:hAnsi="Figtree"/>
          <w:b/>
          <w:i w:val="0"/>
          <w:sz w:val="22"/>
        </w:rPr>
        <w:t>Technical Inquiries:</w:t>
      </w:r>
      <w:r>
        <w:rPr>
          <w:rFonts w:ascii="Figtree" w:hAnsi="Figtree"/>
          <w:b w:val="0"/>
          <w:i w:val="0"/>
          <w:sz w:val="22"/>
        </w:rPr>
        <w:t xml:space="preserve"> solutions@settlemint.com</w:t>
      </w:r>
    </w:p>
    <w:p>
      <w:r>
        <w:rPr>
          <w:rFonts w:ascii="Figtree" w:hAnsi="Figtree"/>
          <w:b/>
          <w:i w:val="0"/>
          <w:sz w:val="22"/>
        </w:rPr>
        <w:t>Support Portal:</w:t>
      </w:r>
      <w:r>
        <w:rPr>
          <w:rFonts w:ascii="Figtree" w:hAnsi="Figtree"/>
          <w:b w:val="0"/>
          <w:i w:val="0"/>
          <w:sz w:val="22"/>
        </w:rPr>
        <w:t xml:space="preserve"> support.settlemint.com</w:t>
      </w:r>
    </w:p>
    <w:p>
      <w:r>
        <w:br w:type="page"/>
      </w:r>
    </w:p>
    <w:p>
      <w:r>
        <w:rPr>
          <w:rFonts w:ascii="Figtree" w:hAnsi="Figtree"/>
          <w:b w:val="0"/>
          <w:i/>
          <w:sz w:val="22"/>
        </w:rPr>
        <w:t>End of Technical Proposal - Final Version 1.0</w:t>
      </w:r>
    </w:p>
    <w:p>
      <w:r>
        <w:rPr>
          <w:rFonts w:ascii="Figtree" w:hAnsi="Figtree"/>
          <w:b w:val="0"/>
          <w:i/>
          <w:sz w:val="22"/>
        </w:rPr>
        <w:t>Total Document: ~2,100 lines, ~16,500 words, 14 mermaid diagrams</w:t>
      </w:r>
    </w:p>
    <w:p>
      <w:r>
        <w:br w:type="page"/>
      </w:r>
    </w:p>
    <w:p>
      <w:pPr>
        <w:pStyle w:val="H1"/>
        <w:numPr>
          <w:ilvl w:val="0"/>
          <w:numId w:val="1"/>
        </w:numPr>
      </w:pPr>
      <w:r>
        <w:t>19. Appendix: UAE Regulatory Context</w:t>
      </w:r>
    </w:p>
    <w:p>
      <w:pPr>
        <w:pStyle w:val="H2"/>
        <w:numPr>
          <w:ilvl w:val="1"/>
          <w:numId w:val="1"/>
        </w:numPr>
      </w:pPr>
      <w:r>
        <w:t>19.1 ADGM FSMR Framework Overview</w:t>
      </w:r>
    </w:p>
    <w:p>
      <w:r>
        <w:rPr>
          <w:rFonts w:ascii="Figtree" w:hAnsi="Figtree"/>
          <w:b w:val="0"/>
          <w:i w:val="0"/>
          <w:sz w:val="22"/>
        </w:rPr>
        <w:t>The Financial Services Regulatory Authority (FSRA) of Abu Dhabi Global Market (ADGM) established one of the first comprehensive virtual asset regulatory frameworks in the Middle East. The FSMR (Financial Services and Markets Regulation) provides the regulatory foundation for virtual asset activities within ADGM's jurisdiction.</w:t>
      </w:r>
    </w:p>
    <w:p>
      <w:r>
        <w:rPr>
          <w:rFonts w:ascii="Figtree" w:hAnsi="Figtree"/>
          <w:b/>
          <w:i w:val="0"/>
          <w:sz w:val="22"/>
        </w:rPr>
        <w:t>Key Regulatory Principles:</w:t>
      </w:r>
    </w:p>
    <w:p>
      <w:pPr>
        <w:pStyle w:val="ListParagraph"/>
        <w:numPr>
          <w:ilvl w:val="0"/>
          <w:numId w:val="4"/>
        </w:numPr>
      </w:pPr>
      <w:r>
        <w:rPr>
          <w:rFonts w:ascii="Figtree" w:hAnsi="Figtree"/>
          <w:b w:val="0"/>
          <w:i w:val="0"/>
          <w:sz w:val="22"/>
        </w:rPr>
        <w:t>Technology-neutral regulation that focuses on activities and risks</w:t>
      </w:r>
    </w:p>
    <w:p>
      <w:pPr>
        <w:pStyle w:val="ListParagraph"/>
        <w:numPr>
          <w:ilvl w:val="0"/>
          <w:numId w:val="4"/>
        </w:numPr>
      </w:pPr>
      <w:r>
        <w:rPr>
          <w:rFonts w:ascii="Figtree" w:hAnsi="Figtree"/>
          <w:b w:val="0"/>
          <w:i w:val="0"/>
          <w:sz w:val="22"/>
        </w:rPr>
        <w:t>Principles-based approach allowing for innovation within appropriate safeguards</w:t>
      </w:r>
    </w:p>
    <w:p>
      <w:pPr>
        <w:pStyle w:val="ListParagraph"/>
        <w:numPr>
          <w:ilvl w:val="0"/>
          <w:numId w:val="4"/>
        </w:numPr>
      </w:pPr>
      <w:r>
        <w:rPr>
          <w:rFonts w:ascii="Figtree" w:hAnsi="Figtree"/>
          <w:b w:val="0"/>
          <w:i w:val="0"/>
          <w:sz w:val="22"/>
        </w:rPr>
        <w:t>Outcomes-focused supervision that emphasizes substance over form</w:t>
      </w:r>
    </w:p>
    <w:p>
      <w:pPr>
        <w:pStyle w:val="ListParagraph"/>
        <w:numPr>
          <w:ilvl w:val="0"/>
          <w:numId w:val="4"/>
        </w:numPr>
      </w:pPr>
      <w:r>
        <w:rPr>
          <w:rFonts w:ascii="Figtree" w:hAnsi="Figtree"/>
          <w:b w:val="0"/>
          <w:i w:val="0"/>
          <w:sz w:val="22"/>
        </w:rPr>
        <w:t>International alignment with FATF recommendations and IOSCO principles</w:t>
      </w:r>
    </w:p>
    <w:p>
      <w:r>
        <w:rPr>
          <w:rFonts w:ascii="Figtree" w:hAnsi="Figtree"/>
          <w:b/>
          <w:i w:val="0"/>
          <w:sz w:val="22"/>
        </w:rPr>
        <w:t>Regulatory Perimeter:</w:t>
      </w:r>
    </w:p>
    <w:p>
      <w:r>
        <w:rPr>
          <w:rFonts w:ascii="Figtree" w:hAnsi="Figtree"/>
          <w:b w:val="0"/>
          <w:i w:val="0"/>
          <w:sz w:val="22"/>
        </w:rPr>
        <w:t>The FSMR framework covers virtual asset activities including:</w:t>
      </w:r>
    </w:p>
    <w:p>
      <w:pPr>
        <w:pStyle w:val="ListParagraph"/>
        <w:numPr>
          <w:ilvl w:val="0"/>
          <w:numId w:val="4"/>
        </w:numPr>
      </w:pPr>
      <w:r>
        <w:rPr>
          <w:rFonts w:ascii="Figtree" w:hAnsi="Figtree"/>
          <w:b w:val="0"/>
          <w:i w:val="0"/>
          <w:sz w:val="22"/>
        </w:rPr>
        <w:t>Virtual Asset Custody</w:t>
      </w:r>
    </w:p>
    <w:p>
      <w:pPr>
        <w:pStyle w:val="ListParagraph"/>
        <w:numPr>
          <w:ilvl w:val="0"/>
          <w:numId w:val="4"/>
        </w:numPr>
      </w:pPr>
      <w:r>
        <w:rPr>
          <w:rFonts w:ascii="Figtree" w:hAnsi="Figtree"/>
          <w:b w:val="0"/>
          <w:i w:val="0"/>
          <w:sz w:val="22"/>
        </w:rPr>
        <w:t>Virtual Asset Trading Platform Operations</w:t>
      </w:r>
    </w:p>
    <w:p>
      <w:pPr>
        <w:pStyle w:val="ListParagraph"/>
        <w:numPr>
          <w:ilvl w:val="0"/>
          <w:numId w:val="4"/>
        </w:numPr>
      </w:pPr>
      <w:r>
        <w:rPr>
          <w:rFonts w:ascii="Figtree" w:hAnsi="Figtree"/>
          <w:b w:val="0"/>
          <w:i w:val="0"/>
          <w:sz w:val="22"/>
        </w:rPr>
        <w:t>Virtual Asset Management</w:t>
      </w:r>
    </w:p>
    <w:p>
      <w:pPr>
        <w:pStyle w:val="ListParagraph"/>
        <w:numPr>
          <w:ilvl w:val="0"/>
          <w:numId w:val="4"/>
        </w:numPr>
      </w:pPr>
      <w:r>
        <w:rPr>
          <w:rFonts w:ascii="Figtree" w:hAnsi="Figtree"/>
          <w:b w:val="0"/>
          <w:i w:val="0"/>
          <w:sz w:val="22"/>
        </w:rPr>
        <w:t>Virtual Asset Advisory Services</w:t>
      </w:r>
    </w:p>
    <w:p>
      <w:pPr>
        <w:pStyle w:val="ListParagraph"/>
        <w:numPr>
          <w:ilvl w:val="0"/>
          <w:numId w:val="4"/>
        </w:numPr>
      </w:pPr>
      <w:r>
        <w:rPr>
          <w:rFonts w:ascii="Figtree" w:hAnsi="Figtree"/>
          <w:b w:val="0"/>
          <w:i w:val="0"/>
          <w:sz w:val="22"/>
        </w:rPr>
        <w:t>Virtual Asset Transfer</w:t>
      </w:r>
    </w:p>
    <w:p>
      <w:pPr>
        <w:pStyle w:val="H2"/>
        <w:numPr>
          <w:ilvl w:val="1"/>
          <w:numId w:val="1"/>
        </w:numPr>
      </w:pPr>
      <w:r>
        <w:t>19.2 UAE AML/CFT Requirements</w:t>
      </w:r>
    </w:p>
    <w:p>
      <w:r>
        <w:rPr>
          <w:rFonts w:ascii="Figtree" w:hAnsi="Figtree"/>
          <w:b w:val="0"/>
          <w:i w:val="0"/>
          <w:sz w:val="22"/>
        </w:rPr>
        <w:t>The UAE's anti-money laundering and counter-terrorism financing framework is governed by Federal Decree-Law No. (20) of 2018 and subsequent amendments. Theaml/cft regulations impose significant requirements on financial institutions and virtual asset service providers.</w:t>
      </w:r>
    </w:p>
    <w:p>
      <w:r>
        <w:rPr>
          <w:rFonts w:ascii="Figtree" w:hAnsi="Figtree"/>
          <w:b/>
          <w:i w:val="0"/>
          <w:sz w:val="22"/>
        </w:rPr>
        <w:t>Customer Due Diligence Requirements:</w:t>
      </w:r>
    </w:p>
    <w:p>
      <w:pPr>
        <w:pStyle w:val="ListParagraph"/>
        <w:numPr>
          <w:ilvl w:val="0"/>
          <w:numId w:val="4"/>
        </w:numPr>
      </w:pPr>
      <w:r>
        <w:rPr>
          <w:rFonts w:ascii="Figtree" w:hAnsi="Figtree"/>
          <w:b w:val="0"/>
          <w:i w:val="0"/>
          <w:sz w:val="22"/>
        </w:rPr>
        <w:t>Full KYC for all customers</w:t>
      </w:r>
    </w:p>
    <w:p>
      <w:pPr>
        <w:pStyle w:val="ListParagraph"/>
        <w:numPr>
          <w:ilvl w:val="0"/>
          <w:numId w:val="4"/>
        </w:numPr>
      </w:pPr>
      <w:r>
        <w:rPr>
          <w:rFonts w:ascii="Figtree" w:hAnsi="Figtree"/>
          <w:b w:val="0"/>
          <w:i w:val="0"/>
          <w:sz w:val="22"/>
        </w:rPr>
        <w:t>Enhanced due diligence for high-risk customers</w:t>
      </w:r>
    </w:p>
    <w:p>
      <w:pPr>
        <w:pStyle w:val="ListParagraph"/>
        <w:numPr>
          <w:ilvl w:val="0"/>
          <w:numId w:val="4"/>
        </w:numPr>
      </w:pPr>
      <w:r>
        <w:rPr>
          <w:rFonts w:ascii="Figtree" w:hAnsi="Figtree"/>
          <w:b w:val="0"/>
          <w:i w:val="0"/>
          <w:sz w:val="22"/>
        </w:rPr>
        <w:t>Ongoing monitoring and transaction screening</w:t>
      </w:r>
    </w:p>
    <w:p>
      <w:pPr>
        <w:pStyle w:val="ListParagraph"/>
        <w:numPr>
          <w:ilvl w:val="0"/>
          <w:numId w:val="4"/>
        </w:numPr>
      </w:pPr>
      <w:r>
        <w:rPr>
          <w:rFonts w:ascii="Figtree" w:hAnsi="Figtree"/>
          <w:b w:val="0"/>
          <w:i w:val="0"/>
          <w:sz w:val="22"/>
        </w:rPr>
        <w:t>Suspicious activity reporting</w:t>
      </w:r>
    </w:p>
    <w:p>
      <w:r>
        <w:rPr>
          <w:rFonts w:ascii="Figtree" w:hAnsi="Figtree"/>
          <w:b/>
          <w:i w:val="0"/>
          <w:sz w:val="22"/>
        </w:rPr>
        <w:t>Virtual Asset Specific Requirements:</w:t>
      </w:r>
    </w:p>
    <w:p>
      <w:pPr>
        <w:pStyle w:val="ListParagraph"/>
        <w:numPr>
          <w:ilvl w:val="0"/>
          <w:numId w:val="4"/>
        </w:numPr>
      </w:pPr>
      <w:r>
        <w:rPr>
          <w:rFonts w:ascii="Figtree" w:hAnsi="Figtree"/>
          <w:b w:val="0"/>
          <w:i w:val="0"/>
          <w:sz w:val="22"/>
        </w:rPr>
        <w:t>Travel rule compliance (FATF Recommendation 16)</w:t>
      </w:r>
    </w:p>
    <w:p>
      <w:pPr>
        <w:pStyle w:val="ListParagraph"/>
        <w:numPr>
          <w:ilvl w:val="0"/>
          <w:numId w:val="4"/>
        </w:numPr>
      </w:pPr>
      <w:r>
        <w:rPr>
          <w:rFonts w:ascii="Figtree" w:hAnsi="Figtree"/>
          <w:b w:val="0"/>
          <w:i w:val="0"/>
          <w:sz w:val="22"/>
        </w:rPr>
        <w:t>Unhosted wallet restrictions</w:t>
      </w:r>
    </w:p>
    <w:p>
      <w:pPr>
        <w:pStyle w:val="ListParagraph"/>
        <w:numPr>
          <w:ilvl w:val="0"/>
          <w:numId w:val="4"/>
        </w:numPr>
      </w:pPr>
      <w:r>
        <w:rPr>
          <w:rFonts w:ascii="Figtree" w:hAnsi="Figtree"/>
          <w:b w:val="0"/>
          <w:i w:val="0"/>
          <w:sz w:val="22"/>
        </w:rPr>
        <w:t>Transaction limits and monitoring</w:t>
      </w:r>
    </w:p>
    <w:p>
      <w:pPr>
        <w:pStyle w:val="ListParagraph"/>
        <w:numPr>
          <w:ilvl w:val="0"/>
          <w:numId w:val="4"/>
        </w:numPr>
      </w:pPr>
      <w:r>
        <w:rPr>
          <w:rFonts w:ascii="Figtree" w:hAnsi="Figtree"/>
          <w:b w:val="0"/>
          <w:i w:val="0"/>
          <w:sz w:val="22"/>
        </w:rPr>
        <w:t>Blockchain analysis and monitoring</w:t>
      </w:r>
    </w:p>
    <w:p>
      <w:pPr>
        <w:pStyle w:val="H2"/>
        <w:numPr>
          <w:ilvl w:val="1"/>
          <w:numId w:val="1"/>
        </w:numPr>
      </w:pPr>
      <w:r>
        <w:t>19.3 CBUAE Digital Currency Initiatives</w:t>
      </w:r>
    </w:p>
    <w:p>
      <w:r>
        <w:rPr>
          <w:rFonts w:ascii="Figtree" w:hAnsi="Figtree"/>
          <w:b w:val="0"/>
          <w:i w:val="0"/>
          <w:sz w:val="22"/>
        </w:rPr>
        <w:t>The Central Bank of the UAE (CBUAE) has been actively exploring digital currency and payment system modernization:</w:t>
      </w:r>
    </w:p>
    <w:p>
      <w:r>
        <w:rPr>
          <w:rFonts w:ascii="Figtree" w:hAnsi="Figtree"/>
          <w:b/>
          <w:i w:val="0"/>
          <w:sz w:val="22"/>
        </w:rPr>
        <w:t>Digital Dirham Initiative:</w:t>
      </w:r>
    </w:p>
    <w:p>
      <w:r>
        <w:rPr>
          <w:rFonts w:ascii="Figtree" w:hAnsi="Figtree"/>
          <w:b w:val="0"/>
          <w:i w:val="0"/>
          <w:sz w:val="22"/>
        </w:rPr>
        <w:t>The UAE's central bank digital currency (CBDC) initiative aims to modernize payment infrastructure and enhance cross-border settlement capabilities. The initiative follows a multi-phase approach starting with wholesale CBDC for interbank settlement.</w:t>
      </w:r>
    </w:p>
    <w:p>
      <w:r>
        <w:rPr>
          <w:rFonts w:ascii="Figtree" w:hAnsi="Figtree"/>
          <w:b/>
          <w:i w:val="0"/>
          <w:sz w:val="22"/>
        </w:rPr>
        <w:t>Implications for Digital Asset Platforms:</w:t>
      </w:r>
    </w:p>
    <w:p>
      <w:pPr>
        <w:pStyle w:val="ListParagraph"/>
        <w:numPr>
          <w:ilvl w:val="0"/>
          <w:numId w:val="4"/>
        </w:numPr>
      </w:pPr>
      <w:r>
        <w:rPr>
          <w:rFonts w:ascii="Figtree" w:hAnsi="Figtree"/>
          <w:b w:val="0"/>
          <w:i w:val="0"/>
          <w:sz w:val="22"/>
        </w:rPr>
        <w:t>Integration with existing payment rails (UAESWITCH, SWIFT)</w:t>
      </w:r>
    </w:p>
    <w:p>
      <w:pPr>
        <w:pStyle w:val="ListParagraph"/>
        <w:numPr>
          <w:ilvl w:val="0"/>
          <w:numId w:val="4"/>
        </w:numPr>
      </w:pPr>
      <w:r>
        <w:rPr>
          <w:rFonts w:ascii="Figtree" w:hAnsi="Figtree"/>
          <w:b w:val="0"/>
          <w:i w:val="0"/>
          <w:sz w:val="22"/>
        </w:rPr>
        <w:t>CBDC interoperability requirements</w:t>
      </w:r>
    </w:p>
    <w:p>
      <w:pPr>
        <w:pStyle w:val="ListParagraph"/>
        <w:numPr>
          <w:ilvl w:val="0"/>
          <w:numId w:val="4"/>
        </w:numPr>
      </w:pPr>
      <w:r>
        <w:rPr>
          <w:rFonts w:ascii="Figtree" w:hAnsi="Figtree"/>
          <w:b w:val="0"/>
          <w:i w:val="0"/>
          <w:sz w:val="22"/>
        </w:rPr>
        <w:t>Settlement finality standards</w:t>
      </w:r>
    </w:p>
    <w:p>
      <w:pPr>
        <w:pStyle w:val="ListParagraph"/>
        <w:numPr>
          <w:ilvl w:val="0"/>
          <w:numId w:val="4"/>
        </w:numPr>
      </w:pPr>
      <w:r>
        <w:rPr>
          <w:rFonts w:ascii="Figtree" w:hAnsi="Figtree"/>
          <w:b w:val="0"/>
          <w:i w:val="0"/>
          <w:sz w:val="22"/>
        </w:rPr>
        <w:t>Regulatory compliance for digital currency operations</w:t>
      </w:r>
    </w:p>
    <w:p>
      <w:pPr>
        <w:pStyle w:val="H2"/>
        <w:numPr>
          <w:ilvl w:val="1"/>
          <w:numId w:val="1"/>
        </w:numPr>
      </w:pPr>
      <w:r>
        <w:t>19.4 How DALP Addresses UAE Requirements</w:t>
      </w:r>
    </w:p>
    <w:p>
      <w:pPr>
        <w:pStyle w:val="H3"/>
        <w:numPr>
          <w:ilvl w:val="2"/>
          <w:numId w:val="1"/>
        </w:numPr>
      </w:pPr>
      <w:r>
        <w:t>19.4.1 FSMR Compliance</w:t>
      </w:r>
    </w:p>
    <w:p>
      <w:r>
        <w:rPr>
          <w:rFonts w:ascii="Figtree" w:hAnsi="Figtree"/>
          <w:b w:val="0"/>
          <w:i w:val="0"/>
          <w:sz w:val="22"/>
        </w:rPr>
        <w:t>DALP's modular compliance engine addresses FSMR requirements through configurable compliance modules: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23"/>
        <w:gridCol w:w="3447"/>
        <w:gridCol w:w="390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FSMR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Custody Controls</w:t>
            </w:r>
          </w:p>
        </w:tc>
        <w:tc>
          <w:tcPr>
            <w:tcW w:type="dxa" w:w="3249"/>
            <w:vAlign w:val="center"/>
          </w:tcPr>
          <w:p>
            <w:pPr>
              <w:spacing w:line="276" w:lineRule="auto" w:before="0" w:after="0"/>
            </w:pPr>
            <w:r/>
            <w:r>
              <w:rPr>
                <w:rFonts w:ascii="Figtree" w:hAnsi="Figtree"/>
                <w:b w:val="0"/>
                <w:i w:val="0"/>
                <w:sz w:val="20"/>
              </w:rPr>
              <w:t>Role-based access, multi-sig</w:t>
            </w:r>
          </w:p>
        </w:tc>
        <w:tc>
          <w:tcPr>
            <w:tcW w:type="dxa" w:w="3249"/>
            <w:vAlign w:val="center"/>
          </w:tcPr>
          <w:p>
            <w:pPr>
              <w:spacing w:line="276" w:lineRule="auto" w:before="0" w:after="0"/>
            </w:pPr>
            <w:r/>
            <w:r>
              <w:rPr>
                <w:rFonts w:ascii="Figtree" w:hAnsi="Figtree"/>
                <w:b w:val="0"/>
                <w:i w:val="0"/>
                <w:sz w:val="20"/>
              </w:rPr>
              <w:t>AccessManager with CUSTODIAN_ROLE</w:t>
            </w:r>
          </w:p>
        </w:tc>
      </w:tr>
      <w:tr>
        <w:trPr>
          <w:trHeight w:val="425" w:hRule="atLeast"/>
        </w:trPr>
        <w:tc>
          <w:tcPr>
            <w:tcW w:type="dxa" w:w="3249"/>
            <w:vAlign w:val="center"/>
          </w:tcPr>
          <w:p>
            <w:pPr>
              <w:spacing w:line="276" w:lineRule="auto" w:before="0" w:after="0"/>
            </w:pPr>
            <w:r/>
            <w:r>
              <w:rPr>
                <w:rFonts w:ascii="Figtree" w:hAnsi="Figtree"/>
                <w:b w:val="0"/>
                <w:i w:val="0"/>
                <w:sz w:val="20"/>
              </w:rPr>
              <w:t>Investor Protection</w:t>
            </w:r>
          </w:p>
        </w:tc>
        <w:tc>
          <w:tcPr>
            <w:tcW w:type="dxa" w:w="3249"/>
            <w:vAlign w:val="center"/>
          </w:tcPr>
          <w:p>
            <w:pPr>
              <w:spacing w:line="276" w:lineRule="auto" w:before="0" w:after="0"/>
            </w:pPr>
            <w:r/>
            <w:r>
              <w:rPr>
                <w:rFonts w:ascii="Figtree" w:hAnsi="Figtree"/>
                <w:b w:val="0"/>
                <w:i w:val="0"/>
                <w:sz w:val="20"/>
              </w:rPr>
              <w:t>Investor limits, transfer restrictions</w:t>
            </w:r>
          </w:p>
        </w:tc>
        <w:tc>
          <w:tcPr>
            <w:tcW w:type="dxa" w:w="3249"/>
            <w:vAlign w:val="center"/>
          </w:tcPr>
          <w:p>
            <w:pPr>
              <w:spacing w:line="276" w:lineRule="auto" w:before="0" w:after="0"/>
            </w:pPr>
            <w:r/>
            <w:r>
              <w:rPr>
                <w:rFonts w:ascii="Figtree" w:hAnsi="Figtree"/>
                <w:b w:val="0"/>
                <w:i w:val="0"/>
                <w:sz w:val="20"/>
              </w:rPr>
              <w:t>InvestorLimitModule, TransferApprovalModule</w:t>
            </w:r>
          </w:p>
        </w:tc>
      </w:tr>
      <w:tr>
        <w:trPr>
          <w:trHeight w:val="425" w:hRule="atLeast"/>
        </w:trPr>
        <w:tc>
          <w:tcPr>
            <w:tcW w:type="dxa" w:w="3249"/>
            <w:vAlign w:val="center"/>
          </w:tcPr>
          <w:p>
            <w:pPr>
              <w:spacing w:line="276" w:lineRule="auto" w:before="0" w:after="0"/>
            </w:pPr>
            <w:r/>
            <w:r>
              <w:rPr>
                <w:rFonts w:ascii="Figtree" w:hAnsi="Figtree"/>
                <w:b w:val="0"/>
                <w:i w:val="0"/>
                <w:sz w:val="20"/>
              </w:rPr>
              <w:t>Market Integrity</w:t>
            </w:r>
          </w:p>
        </w:tc>
        <w:tc>
          <w:tcPr>
            <w:tcW w:type="dxa" w:w="3249"/>
            <w:vAlign w:val="center"/>
          </w:tcPr>
          <w:p>
            <w:pPr>
              <w:spacing w:line="276" w:lineRule="auto" w:before="0" w:after="0"/>
            </w:pPr>
            <w:r/>
            <w:r>
              <w:rPr>
                <w:rFonts w:ascii="Figtree" w:hAnsi="Figtree"/>
                <w:b w:val="0"/>
                <w:i w:val="0"/>
                <w:sz w:val="20"/>
              </w:rPr>
              <w:t>Supply caps, trading restrictions</w:t>
            </w:r>
          </w:p>
        </w:tc>
        <w:tc>
          <w:tcPr>
            <w:tcW w:type="dxa" w:w="3249"/>
            <w:vAlign w:val="center"/>
          </w:tcPr>
          <w:p>
            <w:pPr>
              <w:spacing w:line="276" w:lineRule="auto" w:before="0" w:after="0"/>
            </w:pPr>
            <w:r/>
            <w:r>
              <w:rPr>
                <w:rFonts w:ascii="Figtree" w:hAnsi="Figtree"/>
                <w:b w:val="0"/>
                <w:i w:val="0"/>
                <w:sz w:val="20"/>
              </w:rPr>
              <w:t>SupplyCapModule, TimelockModule</w:t>
            </w:r>
          </w:p>
        </w:tc>
      </w:tr>
      <w:tr>
        <w:trPr>
          <w:trHeight w:val="425" w:hRule="atLeast"/>
        </w:trPr>
        <w:tc>
          <w:tcPr>
            <w:tcW w:type="dxa" w:w="3249"/>
            <w:vAlign w:val="center"/>
          </w:tcPr>
          <w:p>
            <w:pPr>
              <w:spacing w:line="276" w:lineRule="auto" w:before="0" w:after="0"/>
            </w:pPr>
            <w:r/>
            <w:r>
              <w:rPr>
                <w:rFonts w:ascii="Figtree" w:hAnsi="Figtree"/>
                <w:b w:val="0"/>
                <w:i w:val="0"/>
                <w:sz w:val="20"/>
              </w:rPr>
              <w:t>Transparency</w:t>
            </w:r>
          </w:p>
        </w:tc>
        <w:tc>
          <w:tcPr>
            <w:tcW w:type="dxa" w:w="3249"/>
            <w:vAlign w:val="center"/>
          </w:tcPr>
          <w:p>
            <w:pPr>
              <w:spacing w:line="276" w:lineRule="auto" w:before="0" w:after="0"/>
            </w:pPr>
            <w:r/>
            <w:r>
              <w:rPr>
                <w:rFonts w:ascii="Figtree" w:hAnsi="Figtree"/>
                <w:b w:val="0"/>
                <w:i w:val="0"/>
                <w:sz w:val="20"/>
              </w:rPr>
              <w:t>Audit logs, reporting</w:t>
            </w:r>
          </w:p>
        </w:tc>
        <w:tc>
          <w:tcPr>
            <w:tcW w:type="dxa" w:w="3249"/>
            <w:vAlign w:val="center"/>
          </w:tcPr>
          <w:p>
            <w:pPr>
              <w:spacing w:line="276" w:lineRule="auto" w:before="0" w:after="0"/>
            </w:pPr>
            <w:r/>
            <w:r>
              <w:rPr>
                <w:rFonts w:ascii="Figtree" w:hAnsi="Figtree"/>
                <w:b w:val="0"/>
                <w:i w:val="0"/>
                <w:sz w:val="20"/>
              </w:rPr>
              <w:t>Structured audit logging, API exports</w:t>
            </w:r>
          </w:p>
        </w:tc>
      </w:tr>
      <w:tr>
        <w:trPr>
          <w:trHeight w:val="425" w:hRule="atLeast"/>
        </w:trPr>
        <w:tc>
          <w:tcPr>
            <w:tcW w:type="dxa" w:w="3249"/>
            <w:vAlign w:val="center"/>
          </w:tcPr>
          <w:p>
            <w:pPr>
              <w:spacing w:line="276" w:lineRule="auto" w:before="0" w:after="0"/>
            </w:pPr>
            <w:r/>
            <w:r>
              <w:rPr>
                <w:rFonts w:ascii="Figtree" w:hAnsi="Figtree"/>
                <w:b w:val="0"/>
                <w:i w:val="0"/>
                <w:sz w:val="20"/>
              </w:rPr>
              <w:t>Governance</w:t>
            </w:r>
          </w:p>
        </w:tc>
        <w:tc>
          <w:tcPr>
            <w:tcW w:type="dxa" w:w="3249"/>
            <w:vAlign w:val="center"/>
          </w:tcPr>
          <w:p>
            <w:pPr>
              <w:spacing w:line="276" w:lineRule="auto" w:before="0" w:after="0"/>
            </w:pPr>
            <w:r/>
            <w:r>
              <w:rPr>
                <w:rFonts w:ascii="Figtree" w:hAnsi="Figtree"/>
                <w:b w:val="0"/>
                <w:i w:val="0"/>
                <w:sz w:val="20"/>
              </w:rPr>
              <w:t>Maker-checker, role separation</w:t>
            </w:r>
          </w:p>
        </w:tc>
        <w:tc>
          <w:tcPr>
            <w:tcW w:type="dxa" w:w="3249"/>
            <w:vAlign w:val="center"/>
          </w:tcPr>
          <w:p>
            <w:pPr>
              <w:spacing w:line="276" w:lineRule="auto" w:before="0" w:after="0"/>
            </w:pPr>
            <w:r/>
            <w:r>
              <w:rPr>
                <w:rFonts w:ascii="Figtree" w:hAnsi="Figtree"/>
                <w:b w:val="0"/>
                <w:i w:val="0"/>
                <w:sz w:val="20"/>
              </w:rPr>
              <w:t>Dual-layer RBAC, approval workflows</w:t>
            </w:r>
          </w:p>
        </w:tc>
      </w:tr>
    </w:tbl>
    <w:p>
      <w:pPr>
        <w:spacing w:before="0" w:after="0" w:line="120" w:lineRule="exact"/>
      </w:pPr>
    </w:p>
    <w:p>
      <w:pPr>
        <w:pStyle w:val="H3"/>
        <w:numPr>
          <w:ilvl w:val="2"/>
          <w:numId w:val="1"/>
        </w:numPr>
      </w:pPr>
      <w:r>
        <w:t>19.4.2 AML/CFT Implementation</w:t>
      </w:r>
    </w:p>
    <w:p>
      <w:r>
        <w:rPr>
          <w:rFonts w:ascii="Figtree" w:hAnsi="Figtree"/>
          <w:b w:val="0"/>
          <w:i w:val="0"/>
          <w:sz w:val="22"/>
        </w:rPr>
        <w:t>DALP addresses AML/CFT requirements through:</w:t>
      </w:r>
    </w:p>
    <w:p>
      <w:r>
        <w:rPr>
          <w:rFonts w:ascii="Figtree" w:hAnsi="Figtree"/>
          <w:b/>
          <w:i w:val="0"/>
          <w:sz w:val="22"/>
        </w:rPr>
        <w:t>Identity Verification:</w:t>
      </w:r>
    </w:p>
    <w:p>
      <w:pPr>
        <w:pStyle w:val="ListParagraph"/>
        <w:numPr>
          <w:ilvl w:val="0"/>
          <w:numId w:val="4"/>
        </w:numPr>
      </w:pPr>
      <w:r>
        <w:rPr>
          <w:rFonts w:ascii="Figtree" w:hAnsi="Figtree"/>
          <w:b w:val="0"/>
          <w:i w:val="0"/>
          <w:sz w:val="22"/>
        </w:rPr>
        <w:t>OnchainID integration with KYC providers</w:t>
      </w:r>
    </w:p>
    <w:p>
      <w:pPr>
        <w:pStyle w:val="ListParagraph"/>
        <w:numPr>
          <w:ilvl w:val="0"/>
          <w:numId w:val="4"/>
        </w:numPr>
      </w:pPr>
      <w:r>
        <w:rPr>
          <w:rFonts w:ascii="Figtree" w:hAnsi="Figtree"/>
          <w:b w:val="0"/>
          <w:i w:val="0"/>
          <w:sz w:val="22"/>
        </w:rPr>
        <w:t>Claim-based verification model</w:t>
      </w:r>
    </w:p>
    <w:p>
      <w:pPr>
        <w:pStyle w:val="ListParagraph"/>
        <w:numPr>
          <w:ilvl w:val="0"/>
          <w:numId w:val="4"/>
        </w:numPr>
      </w:pPr>
      <w:r>
        <w:rPr>
          <w:rFonts w:ascii="Figtree" w:hAnsi="Figtree"/>
          <w:b w:val="0"/>
          <w:i w:val="0"/>
          <w:sz w:val="22"/>
        </w:rPr>
        <w:t>Expiry and renewal tracking</w:t>
      </w:r>
    </w:p>
    <w:p>
      <w:pPr>
        <w:pStyle w:val="ListParagraph"/>
        <w:numPr>
          <w:ilvl w:val="0"/>
          <w:numId w:val="4"/>
        </w:numPr>
      </w:pPr>
      <w:r>
        <w:rPr>
          <w:rFonts w:ascii="Figtree" w:hAnsi="Figtree"/>
          <w:b w:val="0"/>
          <w:i w:val="0"/>
          <w:sz w:val="22"/>
        </w:rPr>
        <w:t>Revocation capabilities</w:t>
      </w:r>
    </w:p>
    <w:p>
      <w:r>
        <w:rPr>
          <w:rFonts w:ascii="Figtree" w:hAnsi="Figtree"/>
          <w:b/>
          <w:i w:val="0"/>
          <w:sz w:val="22"/>
        </w:rPr>
        <w:t>Transaction Monitoring:</w:t>
      </w:r>
    </w:p>
    <w:p>
      <w:pPr>
        <w:pStyle w:val="ListParagraph"/>
        <w:numPr>
          <w:ilvl w:val="0"/>
          <w:numId w:val="4"/>
        </w:numPr>
      </w:pPr>
      <w:r>
        <w:rPr>
          <w:rFonts w:ascii="Figtree" w:hAnsi="Figtree"/>
          <w:b w:val="0"/>
          <w:i w:val="0"/>
          <w:sz w:val="22"/>
        </w:rPr>
        <w:t>Real-time compliance checks on transfers</w:t>
      </w:r>
    </w:p>
    <w:p>
      <w:pPr>
        <w:pStyle w:val="ListParagraph"/>
        <w:numPr>
          <w:ilvl w:val="0"/>
          <w:numId w:val="4"/>
        </w:numPr>
      </w:pPr>
      <w:r>
        <w:rPr>
          <w:rFonts w:ascii="Figtree" w:hAnsi="Figtree"/>
          <w:b w:val="0"/>
          <w:i w:val="0"/>
          <w:sz w:val="22"/>
        </w:rPr>
        <w:t>Rate limiting capabilities</w:t>
      </w:r>
    </w:p>
    <w:p>
      <w:pPr>
        <w:pStyle w:val="ListParagraph"/>
        <w:numPr>
          <w:ilvl w:val="0"/>
          <w:numId w:val="4"/>
        </w:numPr>
      </w:pPr>
      <w:r>
        <w:rPr>
          <w:rFonts w:ascii="Figtree" w:hAnsi="Figtree"/>
          <w:b w:val="0"/>
          <w:i w:val="0"/>
          <w:sz w:val="22"/>
        </w:rPr>
        <w:t>Country restriction enforcement</w:t>
      </w:r>
    </w:p>
    <w:p>
      <w:pPr>
        <w:pStyle w:val="ListParagraph"/>
        <w:numPr>
          <w:ilvl w:val="0"/>
          <w:numId w:val="4"/>
        </w:numPr>
      </w:pPr>
      <w:r>
        <w:rPr>
          <w:rFonts w:ascii="Figtree" w:hAnsi="Figtree"/>
          <w:b w:val="0"/>
          <w:i w:val="0"/>
          <w:sz w:val="22"/>
        </w:rPr>
        <w:t>Sanctions screening integration points</w:t>
      </w:r>
    </w:p>
    <w:p>
      <w:r>
        <w:rPr>
          <w:rFonts w:ascii="Figtree" w:hAnsi="Figtree"/>
          <w:b/>
          <w:i w:val="0"/>
          <w:sz w:val="22"/>
        </w:rPr>
        <w:t>Record Keeping:</w:t>
      </w:r>
    </w:p>
    <w:p>
      <w:pPr>
        <w:pStyle w:val="ListParagraph"/>
        <w:numPr>
          <w:ilvl w:val="0"/>
          <w:numId w:val="4"/>
        </w:numPr>
      </w:pPr>
      <w:r>
        <w:rPr>
          <w:rFonts w:ascii="Figtree" w:hAnsi="Figtree"/>
          <w:b w:val="0"/>
          <w:i w:val="0"/>
          <w:sz w:val="22"/>
        </w:rPr>
        <w:t>Immutable audit trails</w:t>
      </w:r>
    </w:p>
    <w:p>
      <w:pPr>
        <w:pStyle w:val="ListParagraph"/>
        <w:numPr>
          <w:ilvl w:val="0"/>
          <w:numId w:val="4"/>
        </w:numPr>
      </w:pPr>
      <w:r>
        <w:rPr>
          <w:rFonts w:ascii="Figtree" w:hAnsi="Figtree"/>
          <w:b w:val="0"/>
          <w:i w:val="0"/>
          <w:sz w:val="22"/>
        </w:rPr>
        <w:t>Complete transaction history</w:t>
      </w:r>
    </w:p>
    <w:p>
      <w:pPr>
        <w:pStyle w:val="ListParagraph"/>
        <w:numPr>
          <w:ilvl w:val="0"/>
          <w:numId w:val="4"/>
        </w:numPr>
      </w:pPr>
      <w:r>
        <w:rPr>
          <w:rFonts w:ascii="Figtree" w:hAnsi="Figtree"/>
          <w:b w:val="0"/>
          <w:i w:val="0"/>
          <w:sz w:val="22"/>
        </w:rPr>
        <w:t>Regulatory reporting exports</w:t>
      </w:r>
    </w:p>
    <w:p>
      <w:pPr>
        <w:pStyle w:val="ListParagraph"/>
        <w:numPr>
          <w:ilvl w:val="0"/>
          <w:numId w:val="4"/>
        </w:numPr>
      </w:pPr>
      <w:r>
        <w:rPr>
          <w:rFonts w:ascii="Figtree" w:hAnsi="Figtree"/>
          <w:b w:val="0"/>
          <w:i w:val="0"/>
          <w:sz w:val="22"/>
        </w:rPr>
        <w:t>Evidence preservation</w:t>
      </w:r>
    </w:p>
    <w:p>
      <w:pPr>
        <w:pStyle w:val="H3"/>
        <w:numPr>
          <w:ilvl w:val="2"/>
          <w:numId w:val="1"/>
        </w:numPr>
      </w:pPr>
      <w:r>
        <w:t>19.4.3 Travel Rule Compliance</w:t>
      </w:r>
    </w:p>
    <w:p>
      <w:r>
        <w:rPr>
          <w:rFonts w:ascii="Figtree" w:hAnsi="Figtree"/>
          <w:b w:val="0"/>
          <w:i w:val="0"/>
          <w:sz w:val="22"/>
        </w:rPr>
        <w:t>FATF Travel Rule (Recommendation 16) requires virtual asset service providers to collect and transmit originator and beneficiary information for virtual asset transfers.</w:t>
      </w:r>
    </w:p>
    <w:p>
      <w:r>
        <w:rPr>
          <w:rFonts w:ascii="Figtree" w:hAnsi="Figtree"/>
          <w:b/>
          <w:i w:val="0"/>
          <w:sz w:val="22"/>
        </w:rPr>
        <w:t>DALP Implementation:</w:t>
      </w:r>
    </w:p>
    <w:p>
      <w:pPr>
        <w:pStyle w:val="ListParagraph"/>
        <w:numPr>
          <w:ilvl w:val="0"/>
          <w:numId w:val="4"/>
        </w:numPr>
      </w:pPr>
      <w:r>
        <w:rPr>
          <w:rFonts w:ascii="Figtree" w:hAnsi="Figtree"/>
          <w:b w:val="0"/>
          <w:i w:val="0"/>
          <w:sz w:val="22"/>
        </w:rPr>
        <w:t>Transfer request captures required sender/recipient information</w:t>
      </w:r>
    </w:p>
    <w:p>
      <w:pPr>
        <w:pStyle w:val="ListParagraph"/>
        <w:numPr>
          <w:ilvl w:val="0"/>
          <w:numId w:val="4"/>
        </w:numPr>
      </w:pPr>
      <w:r>
        <w:rPr>
          <w:rFonts w:ascii="Figtree" w:hAnsi="Figtree"/>
          <w:b w:val="0"/>
          <w:i w:val="0"/>
          <w:sz w:val="22"/>
        </w:rPr>
        <w:t>Information embedded in transaction metadata</w:t>
      </w:r>
    </w:p>
    <w:p>
      <w:pPr>
        <w:pStyle w:val="ListParagraph"/>
        <w:numPr>
          <w:ilvl w:val="0"/>
          <w:numId w:val="4"/>
        </w:numPr>
      </w:pPr>
      <w:r>
        <w:rPr>
          <w:rFonts w:ascii="Figtree" w:hAnsi="Figtree"/>
          <w:b w:val="0"/>
          <w:i w:val="0"/>
          <w:sz w:val="22"/>
        </w:rPr>
        <w:t>Recipient VASP verification before transfer</w:t>
      </w:r>
    </w:p>
    <w:p>
      <w:pPr>
        <w:pStyle w:val="ListParagraph"/>
        <w:numPr>
          <w:ilvl w:val="0"/>
          <w:numId w:val="4"/>
        </w:numPr>
      </w:pPr>
      <w:r>
        <w:rPr>
          <w:rFonts w:ascii="Figtree" w:hAnsi="Figtree"/>
          <w:b w:val="0"/>
          <w:i w:val="0"/>
          <w:sz w:val="22"/>
        </w:rPr>
        <w:t>Record retention for regulatory examination</w:t>
      </w:r>
    </w:p>
    <w:p>
      <w:r>
        <w:br w:type="page"/>
      </w:r>
    </w:p>
    <w:p>
      <w:pPr>
        <w:pStyle w:val="H1"/>
        <w:numPr>
          <w:ilvl w:val="0"/>
          <w:numId w:val="1"/>
        </w:numPr>
      </w:pPr>
      <w:r>
        <w:t>20. Appendix: Glossary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31"/>
        <w:gridCol w:w="694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r>
      <w:tr>
        <w:trPr>
          <w:trHeight w:val="425" w:hRule="atLeast"/>
        </w:trPr>
        <w:tc>
          <w:tcPr>
            <w:tcW w:type="dxa" w:w="4873"/>
            <w:vAlign w:val="center"/>
          </w:tcPr>
          <w:p>
            <w:pPr>
              <w:spacing w:line="276" w:lineRule="auto" w:before="0" w:after="0"/>
            </w:pPr>
            <w:r/>
            <w:r>
              <w:rPr>
                <w:rFonts w:ascii="Figtree" w:hAnsi="Figtree"/>
                <w:b w:val="0"/>
                <w:i w:val="0"/>
                <w:sz w:val="20"/>
              </w:rPr>
              <w:t>ADGM</w:t>
            </w:r>
          </w:p>
        </w:tc>
        <w:tc>
          <w:tcPr>
            <w:tcW w:type="dxa" w:w="4873"/>
            <w:vAlign w:val="center"/>
          </w:tcPr>
          <w:p>
            <w:pPr>
              <w:spacing w:line="276" w:lineRule="auto" w:before="0" w:after="0"/>
            </w:pPr>
            <w:r/>
            <w:r>
              <w:rPr>
                <w:rFonts w:ascii="Figtree" w:hAnsi="Figtree"/>
                <w:b w:val="0"/>
                <w:i w:val="0"/>
                <w:sz w:val="20"/>
              </w:rPr>
              <w:t>Abu Dhabi Global Market - financial centre in Abu Dhabi</w:t>
            </w:r>
          </w:p>
        </w:tc>
      </w:tr>
      <w:tr>
        <w:trPr>
          <w:trHeight w:val="425" w:hRule="atLeast"/>
        </w:trPr>
        <w:tc>
          <w:tcPr>
            <w:tcW w:type="dxa" w:w="4873"/>
            <w:vAlign w:val="center"/>
          </w:tcPr>
          <w:p>
            <w:pPr>
              <w:spacing w:line="276" w:lineRule="auto" w:before="0" w:after="0"/>
            </w:pPr>
            <w:r/>
            <w:r>
              <w:rPr>
                <w:rFonts w:ascii="Figtree" w:hAnsi="Figtree"/>
                <w:b w:val="0"/>
                <w:i w:val="0"/>
                <w:sz w:val="20"/>
              </w:rPr>
              <w:t>AML</w:t>
            </w:r>
          </w:p>
        </w:tc>
        <w:tc>
          <w:tcPr>
            <w:tcW w:type="dxa" w:w="4873"/>
            <w:vAlign w:val="center"/>
          </w:tcPr>
          <w:p>
            <w:pPr>
              <w:spacing w:line="276" w:lineRule="auto" w:before="0" w:after="0"/>
            </w:pPr>
            <w:r/>
            <w:r>
              <w:rPr>
                <w:rFonts w:ascii="Figtree" w:hAnsi="Figtree"/>
                <w:b w:val="0"/>
                <w:i w:val="0"/>
                <w:sz w:val="20"/>
              </w:rPr>
              <w:t>Anti-Money Laundering</w:t>
            </w:r>
          </w:p>
        </w:tc>
      </w:tr>
      <w:tr>
        <w:trPr>
          <w:trHeight w:val="425" w:hRule="atLeast"/>
        </w:trPr>
        <w:tc>
          <w:tcPr>
            <w:tcW w:type="dxa" w:w="4873"/>
            <w:vAlign w:val="center"/>
          </w:tcPr>
          <w:p>
            <w:pPr>
              <w:spacing w:line="276" w:lineRule="auto" w:before="0" w:after="0"/>
            </w:pPr>
            <w:r/>
            <w:r>
              <w:rPr>
                <w:rFonts w:ascii="Figtree" w:hAnsi="Figtree"/>
                <w:b w:val="0"/>
                <w:i w:val="0"/>
                <w:sz w:val="20"/>
              </w:rPr>
              <w:t>API</w:t>
            </w:r>
          </w:p>
        </w:tc>
        <w:tc>
          <w:tcPr>
            <w:tcW w:type="dxa" w:w="4873"/>
            <w:vAlign w:val="center"/>
          </w:tcPr>
          <w:p>
            <w:pPr>
              <w:spacing w:line="276" w:lineRule="auto" w:before="0" w:after="0"/>
            </w:pPr>
            <w:r/>
            <w:r>
              <w:rPr>
                <w:rFonts w:ascii="Figtree" w:hAnsi="Figtree"/>
                <w:b w:val="0"/>
                <w:i w:val="0"/>
                <w:sz w:val="20"/>
              </w:rPr>
              <w:t>Application Programming Interface</w:t>
            </w:r>
          </w:p>
        </w:tc>
      </w:tr>
      <w:tr>
        <w:trPr>
          <w:trHeight w:val="425" w:hRule="atLeast"/>
        </w:trPr>
        <w:tc>
          <w:tcPr>
            <w:tcW w:type="dxa" w:w="4873"/>
            <w:vAlign w:val="center"/>
          </w:tcPr>
          <w:p>
            <w:pPr>
              <w:spacing w:line="276" w:lineRule="auto" w:before="0" w:after="0"/>
            </w:pPr>
            <w:r/>
            <w:r>
              <w:rPr>
                <w:rFonts w:ascii="Figtree" w:hAnsi="Figtree"/>
                <w:b w:val="0"/>
                <w:i w:val="0"/>
                <w:sz w:val="20"/>
              </w:rPr>
              <w:t>CBUAE</w:t>
            </w:r>
          </w:p>
        </w:tc>
        <w:tc>
          <w:tcPr>
            <w:tcW w:type="dxa" w:w="4873"/>
            <w:vAlign w:val="center"/>
          </w:tcPr>
          <w:p>
            <w:pPr>
              <w:spacing w:line="276" w:lineRule="auto" w:before="0" w:after="0"/>
            </w:pPr>
            <w:r/>
            <w:r>
              <w:rPr>
                <w:rFonts w:ascii="Figtree" w:hAnsi="Figtree"/>
                <w:b w:val="0"/>
                <w:i w:val="0"/>
                <w:sz w:val="20"/>
              </w:rPr>
              <w:t>Central Bank of the United Arab Emirates</w:t>
            </w:r>
          </w:p>
        </w:tc>
      </w:tr>
      <w:tr>
        <w:trPr>
          <w:trHeight w:val="425" w:hRule="atLeast"/>
        </w:trPr>
        <w:tc>
          <w:tcPr>
            <w:tcW w:type="dxa" w:w="4873"/>
            <w:vAlign w:val="center"/>
          </w:tcPr>
          <w:p>
            <w:pPr>
              <w:spacing w:line="276" w:lineRule="auto" w:before="0" w:after="0"/>
            </w:pPr>
            <w:r/>
            <w:r>
              <w:rPr>
                <w:rFonts w:ascii="Figtree" w:hAnsi="Figtree"/>
                <w:b w:val="0"/>
                <w:i w:val="0"/>
                <w:sz w:val="20"/>
              </w:rPr>
              <w:t>CBDC</w:t>
            </w:r>
          </w:p>
        </w:tc>
        <w:tc>
          <w:tcPr>
            <w:tcW w:type="dxa" w:w="4873"/>
            <w:vAlign w:val="center"/>
          </w:tcPr>
          <w:p>
            <w:pPr>
              <w:spacing w:line="276" w:lineRule="auto" w:before="0" w:after="0"/>
            </w:pPr>
            <w:r/>
            <w:r>
              <w:rPr>
                <w:rFonts w:ascii="Figtree" w:hAnsi="Figtree"/>
                <w:b w:val="0"/>
                <w:i w:val="0"/>
                <w:sz w:val="20"/>
              </w:rPr>
              <w:t>Central Bank Digital Currency</w:t>
            </w:r>
          </w:p>
        </w:tc>
      </w:tr>
      <w:tr>
        <w:trPr>
          <w:trHeight w:val="425" w:hRule="atLeast"/>
        </w:trPr>
        <w:tc>
          <w:tcPr>
            <w:tcW w:type="dxa" w:w="4873"/>
            <w:vAlign w:val="center"/>
          </w:tcPr>
          <w:p>
            <w:pPr>
              <w:spacing w:line="276" w:lineRule="auto" w:before="0" w:after="0"/>
            </w:pPr>
            <w:r/>
            <w:r>
              <w:rPr>
                <w:rFonts w:ascii="Figtree" w:hAnsi="Figtree"/>
                <w:b w:val="0"/>
                <w:i w:val="0"/>
                <w:sz w:val="20"/>
              </w:rPr>
              <w:t>CFT</w:t>
            </w:r>
          </w:p>
        </w:tc>
        <w:tc>
          <w:tcPr>
            <w:tcW w:type="dxa" w:w="4873"/>
            <w:vAlign w:val="center"/>
          </w:tcPr>
          <w:p>
            <w:pPr>
              <w:spacing w:line="276" w:lineRule="auto" w:before="0" w:after="0"/>
            </w:pPr>
            <w:r/>
            <w:r>
              <w:rPr>
                <w:rFonts w:ascii="Figtree" w:hAnsi="Figtree"/>
                <w:b w:val="0"/>
                <w:i w:val="0"/>
                <w:sz w:val="20"/>
              </w:rPr>
              <w:t>Counter Financing of Terrorism</w:t>
            </w:r>
          </w:p>
        </w:tc>
      </w:tr>
      <w:tr>
        <w:trPr>
          <w:trHeight w:val="425" w:hRule="atLeast"/>
        </w:trPr>
        <w:tc>
          <w:tcPr>
            <w:tcW w:type="dxa" w:w="4873"/>
            <w:vAlign w:val="center"/>
          </w:tcPr>
          <w:p>
            <w:pPr>
              <w:spacing w:line="276" w:lineRule="auto" w:before="0" w:after="0"/>
            </w:pPr>
            <w:r/>
            <w:r>
              <w:rPr>
                <w:rFonts w:ascii="Figtree" w:hAnsi="Figtree"/>
                <w:b w:val="0"/>
                <w:i w:val="0"/>
                <w:sz w:val="20"/>
              </w:rPr>
              <w:t>CREATE2</w:t>
            </w:r>
          </w:p>
        </w:tc>
        <w:tc>
          <w:tcPr>
            <w:tcW w:type="dxa" w:w="4873"/>
            <w:vAlign w:val="center"/>
          </w:tcPr>
          <w:p>
            <w:pPr>
              <w:spacing w:line="276" w:lineRule="auto" w:before="0" w:after="0"/>
            </w:pPr>
            <w:r/>
            <w:r>
              <w:rPr>
                <w:rFonts w:ascii="Figtree" w:hAnsi="Figtree"/>
                <w:b w:val="0"/>
                <w:i w:val="0"/>
                <w:sz w:val="20"/>
              </w:rPr>
              <w:t>Ethereum opcode for deterministic contract deployment</w:t>
            </w:r>
          </w:p>
        </w:tc>
      </w:tr>
      <w:tr>
        <w:trPr>
          <w:trHeight w:val="425" w:hRule="atLeast"/>
        </w:trPr>
        <w:tc>
          <w:tcPr>
            <w:tcW w:type="dxa" w:w="4873"/>
            <w:vAlign w:val="center"/>
          </w:tcPr>
          <w:p>
            <w:pPr>
              <w:spacing w:line="276" w:lineRule="auto" w:before="0" w:after="0"/>
            </w:pPr>
            <w:r/>
            <w:r>
              <w:rPr>
                <w:rFonts w:ascii="Figtree" w:hAnsi="Figtree"/>
                <w:b w:val="0"/>
                <w:i w:val="0"/>
                <w:sz w:val="20"/>
              </w:rPr>
              <w:t>DALP</w:t>
            </w:r>
          </w:p>
        </w:tc>
        <w:tc>
          <w:tcPr>
            <w:tcW w:type="dxa" w:w="4873"/>
            <w:vAlign w:val="center"/>
          </w:tcPr>
          <w:p>
            <w:pPr>
              <w:spacing w:line="276" w:lineRule="auto" w:before="0" w:after="0"/>
            </w:pPr>
            <w:r/>
            <w:r>
              <w:rPr>
                <w:rFonts w:ascii="Figtree" w:hAnsi="Figtree"/>
                <w:b w:val="0"/>
                <w:i w:val="0"/>
                <w:sz w:val="20"/>
              </w:rPr>
              <w:t>Digital Asset Lifecycle Platform</w:t>
            </w:r>
          </w:p>
        </w:tc>
      </w:tr>
      <w:tr>
        <w:trPr>
          <w:trHeight w:val="425" w:hRule="atLeast"/>
        </w:trPr>
        <w:tc>
          <w:tcPr>
            <w:tcW w:type="dxa" w:w="4873"/>
            <w:vAlign w:val="center"/>
          </w:tcPr>
          <w:p>
            <w:pPr>
              <w:spacing w:line="276" w:lineRule="auto" w:before="0" w:after="0"/>
            </w:pPr>
            <w:r/>
            <w:r>
              <w:rPr>
                <w:rFonts w:ascii="Figtree" w:hAnsi="Figtree"/>
                <w:b w:val="0"/>
                <w:i w:val="0"/>
                <w:sz w:val="20"/>
              </w:rPr>
              <w:t>DvP</w:t>
            </w:r>
          </w:p>
        </w:tc>
        <w:tc>
          <w:tcPr>
            <w:tcW w:type="dxa" w:w="4873"/>
            <w:vAlign w:val="center"/>
          </w:tcPr>
          <w:p>
            <w:pPr>
              <w:spacing w:line="276" w:lineRule="auto" w:before="0" w:after="0"/>
            </w:pPr>
            <w:r/>
            <w:r>
              <w:rPr>
                <w:rFonts w:ascii="Figtree" w:hAnsi="Figtree"/>
                <w:b w:val="0"/>
                <w:i w:val="0"/>
                <w:sz w:val="20"/>
              </w:rPr>
              <w:t>Delivery versus Payment - atomic settlement protocol</w:t>
            </w:r>
          </w:p>
        </w:tc>
      </w:tr>
      <w:tr>
        <w:trPr>
          <w:trHeight w:val="425" w:hRule="atLeast"/>
        </w:trPr>
        <w:tc>
          <w:tcPr>
            <w:tcW w:type="dxa" w:w="4873"/>
            <w:vAlign w:val="center"/>
          </w:tcPr>
          <w:p>
            <w:pPr>
              <w:spacing w:line="276" w:lineRule="auto" w:before="0" w:after="0"/>
            </w:pPr>
            <w:r/>
            <w:r>
              <w:rPr>
                <w:rFonts w:ascii="Figtree" w:hAnsi="Figtree"/>
                <w:b w:val="0"/>
                <w:i w:val="0"/>
                <w:sz w:val="20"/>
              </w:rPr>
              <w:t>ERC-3643</w:t>
            </w:r>
          </w:p>
        </w:tc>
        <w:tc>
          <w:tcPr>
            <w:tcW w:type="dxa" w:w="4873"/>
            <w:vAlign w:val="center"/>
          </w:tcPr>
          <w:p>
            <w:pPr>
              <w:spacing w:line="276" w:lineRule="auto" w:before="0" w:after="0"/>
            </w:pPr>
            <w:r/>
            <w:r>
              <w:rPr>
                <w:rFonts w:ascii="Figtree" w:hAnsi="Figtree"/>
                <w:b w:val="0"/>
                <w:i w:val="0"/>
                <w:sz w:val="20"/>
              </w:rPr>
              <w:t>Ethereum standard for regulated security tokens</w:t>
            </w:r>
          </w:p>
        </w:tc>
      </w:tr>
      <w:tr>
        <w:trPr>
          <w:trHeight w:val="425" w:hRule="atLeast"/>
        </w:trPr>
        <w:tc>
          <w:tcPr>
            <w:tcW w:type="dxa" w:w="4873"/>
            <w:vAlign w:val="center"/>
          </w:tcPr>
          <w:p>
            <w:pPr>
              <w:spacing w:line="276" w:lineRule="auto" w:before="0" w:after="0"/>
            </w:pPr>
            <w:r/>
            <w:r>
              <w:rPr>
                <w:rFonts w:ascii="Figtree" w:hAnsi="Figtree"/>
                <w:b w:val="0"/>
                <w:i w:val="0"/>
                <w:sz w:val="20"/>
              </w:rPr>
              <w:t>FSRA</w:t>
            </w:r>
          </w:p>
        </w:tc>
        <w:tc>
          <w:tcPr>
            <w:tcW w:type="dxa" w:w="4873"/>
            <w:vAlign w:val="center"/>
          </w:tcPr>
          <w:p>
            <w:pPr>
              <w:spacing w:line="276" w:lineRule="auto" w:before="0" w:after="0"/>
            </w:pPr>
            <w:r/>
            <w:r>
              <w:rPr>
                <w:rFonts w:ascii="Figtree" w:hAnsi="Figtree"/>
                <w:b w:val="0"/>
                <w:i w:val="0"/>
                <w:sz w:val="20"/>
              </w:rPr>
              <w:t>Financial Services Regulatory Authority (ADGM)</w:t>
            </w:r>
          </w:p>
        </w:tc>
      </w:tr>
      <w:tr>
        <w:trPr>
          <w:trHeight w:val="425" w:hRule="atLeast"/>
        </w:trPr>
        <w:tc>
          <w:tcPr>
            <w:tcW w:type="dxa" w:w="4873"/>
            <w:vAlign w:val="center"/>
          </w:tcPr>
          <w:p>
            <w:pPr>
              <w:spacing w:line="276" w:lineRule="auto" w:before="0" w:after="0"/>
            </w:pPr>
            <w:r/>
            <w:r>
              <w:rPr>
                <w:rFonts w:ascii="Figtree" w:hAnsi="Figtree"/>
                <w:b w:val="0"/>
                <w:i w:val="0"/>
                <w:sz w:val="20"/>
              </w:rPr>
              <w:t>FSMR</w:t>
            </w:r>
          </w:p>
        </w:tc>
        <w:tc>
          <w:tcPr>
            <w:tcW w:type="dxa" w:w="4873"/>
            <w:vAlign w:val="center"/>
          </w:tcPr>
          <w:p>
            <w:pPr>
              <w:spacing w:line="276" w:lineRule="auto" w:before="0" w:after="0"/>
            </w:pPr>
            <w:r/>
            <w:r>
              <w:rPr>
                <w:rFonts w:ascii="Figtree" w:hAnsi="Figtree"/>
                <w:b w:val="0"/>
                <w:i w:val="0"/>
                <w:sz w:val="20"/>
              </w:rPr>
              <w:t>Financial Services and Markets Regulation</w:t>
            </w:r>
          </w:p>
        </w:tc>
      </w:tr>
      <w:tr>
        <w:trPr>
          <w:trHeight w:val="425" w:hRule="atLeast"/>
        </w:trPr>
        <w:tc>
          <w:tcPr>
            <w:tcW w:type="dxa" w:w="4873"/>
            <w:vAlign w:val="center"/>
          </w:tcPr>
          <w:p>
            <w:pPr>
              <w:spacing w:line="276" w:lineRule="auto" w:before="0" w:after="0"/>
            </w:pPr>
            <w:r/>
            <w:r>
              <w:rPr>
                <w:rFonts w:ascii="Figtree" w:hAnsi="Figtree"/>
                <w:b w:val="0"/>
                <w:i w:val="0"/>
                <w:sz w:val="20"/>
              </w:rPr>
              <w:t>HSM</w:t>
            </w:r>
          </w:p>
        </w:tc>
        <w:tc>
          <w:tcPr>
            <w:tcW w:type="dxa" w:w="4873"/>
            <w:vAlign w:val="center"/>
          </w:tcPr>
          <w:p>
            <w:pPr>
              <w:spacing w:line="276" w:lineRule="auto" w:before="0" w:after="0"/>
            </w:pPr>
            <w:r/>
            <w:r>
              <w:rPr>
                <w:rFonts w:ascii="Figtree" w:hAnsi="Figtree"/>
                <w:b w:val="0"/>
                <w:i w:val="0"/>
                <w:sz w:val="20"/>
              </w:rPr>
              <w:t>Hardware Security Module</w:t>
            </w:r>
          </w:p>
        </w:tc>
      </w:tr>
      <w:tr>
        <w:trPr>
          <w:trHeight w:val="425" w:hRule="atLeast"/>
        </w:trPr>
        <w:tc>
          <w:tcPr>
            <w:tcW w:type="dxa" w:w="4873"/>
            <w:vAlign w:val="center"/>
          </w:tcPr>
          <w:p>
            <w:pPr>
              <w:spacing w:line="276" w:lineRule="auto" w:before="0" w:after="0"/>
            </w:pPr>
            <w:r/>
            <w:r>
              <w:rPr>
                <w:rFonts w:ascii="Figtree" w:hAnsi="Figtree"/>
                <w:b w:val="0"/>
                <w:i w:val="0"/>
                <w:sz w:val="20"/>
              </w:rPr>
              <w:t>KYC</w:t>
            </w:r>
          </w:p>
        </w:tc>
        <w:tc>
          <w:tcPr>
            <w:tcW w:type="dxa" w:w="4873"/>
            <w:vAlign w:val="center"/>
          </w:tcPr>
          <w:p>
            <w:pPr>
              <w:spacing w:line="276" w:lineRule="auto" w:before="0" w:after="0"/>
            </w:pPr>
            <w:r/>
            <w:r>
              <w:rPr>
                <w:rFonts w:ascii="Figtree" w:hAnsi="Figtree"/>
                <w:b w:val="0"/>
                <w:i w:val="0"/>
                <w:sz w:val="20"/>
              </w:rPr>
              <w:t>Know Your Customer</w:t>
            </w:r>
          </w:p>
        </w:tc>
      </w:tr>
      <w:tr>
        <w:trPr>
          <w:trHeight w:val="425" w:hRule="atLeast"/>
        </w:trPr>
        <w:tc>
          <w:tcPr>
            <w:tcW w:type="dxa" w:w="4873"/>
            <w:vAlign w:val="center"/>
          </w:tcPr>
          <w:p>
            <w:pPr>
              <w:spacing w:line="276" w:lineRule="auto" w:before="0" w:after="0"/>
            </w:pPr>
            <w:r/>
            <w:r>
              <w:rPr>
                <w:rFonts w:ascii="Figtree" w:hAnsi="Figtree"/>
                <w:b w:val="0"/>
                <w:i w:val="0"/>
                <w:sz w:val="20"/>
              </w:rPr>
              <w:t>MPC</w:t>
            </w:r>
          </w:p>
        </w:tc>
        <w:tc>
          <w:tcPr>
            <w:tcW w:type="dxa" w:w="4873"/>
            <w:vAlign w:val="center"/>
          </w:tcPr>
          <w:p>
            <w:pPr>
              <w:spacing w:line="276" w:lineRule="auto" w:before="0" w:after="0"/>
            </w:pPr>
            <w:r/>
            <w:r>
              <w:rPr>
                <w:rFonts w:ascii="Figtree" w:hAnsi="Figtree"/>
                <w:b w:val="0"/>
                <w:i w:val="0"/>
                <w:sz w:val="20"/>
              </w:rPr>
              <w:t>Multi-Party Computation</w:t>
            </w:r>
          </w:p>
        </w:tc>
      </w:tr>
      <w:tr>
        <w:trPr>
          <w:trHeight w:val="425" w:hRule="atLeast"/>
        </w:trPr>
        <w:tc>
          <w:tcPr>
            <w:tcW w:type="dxa" w:w="4873"/>
            <w:vAlign w:val="center"/>
          </w:tcPr>
          <w:p>
            <w:pPr>
              <w:spacing w:line="276" w:lineRule="auto" w:before="0" w:after="0"/>
            </w:pPr>
            <w:r/>
            <w:r>
              <w:rPr>
                <w:rFonts w:ascii="Figtree" w:hAnsi="Figtree"/>
                <w:b w:val="0"/>
                <w:i w:val="0"/>
                <w:sz w:val="20"/>
              </w:rPr>
              <w:t>OnchainID</w:t>
            </w:r>
          </w:p>
        </w:tc>
        <w:tc>
          <w:tcPr>
            <w:tcW w:type="dxa" w:w="4873"/>
            <w:vAlign w:val="center"/>
          </w:tcPr>
          <w:p>
            <w:pPr>
              <w:spacing w:line="276" w:lineRule="auto" w:before="0" w:after="0"/>
            </w:pPr>
            <w:r/>
            <w:r>
              <w:rPr>
                <w:rFonts w:ascii="Figtree" w:hAnsi="Figtree"/>
                <w:b w:val="0"/>
                <w:i w:val="0"/>
                <w:sz w:val="20"/>
              </w:rPr>
              <w:t>Decentralized identity standard (ERC-734/735)</w:t>
            </w:r>
          </w:p>
        </w:tc>
      </w:tr>
      <w:tr>
        <w:trPr>
          <w:trHeight w:val="425" w:hRule="atLeast"/>
        </w:trPr>
        <w:tc>
          <w:tcPr>
            <w:tcW w:type="dxa" w:w="4873"/>
            <w:vAlign w:val="center"/>
          </w:tcPr>
          <w:p>
            <w:pPr>
              <w:spacing w:line="276" w:lineRule="auto" w:before="0" w:after="0"/>
            </w:pPr>
            <w:r/>
            <w:r>
              <w:rPr>
                <w:rFonts w:ascii="Figtree" w:hAnsi="Figtree"/>
                <w:b w:val="0"/>
                <w:i w:val="0"/>
                <w:sz w:val="20"/>
              </w:rPr>
              <w:t>RBAC</w:t>
            </w:r>
          </w:p>
        </w:tc>
        <w:tc>
          <w:tcPr>
            <w:tcW w:type="dxa" w:w="4873"/>
            <w:vAlign w:val="center"/>
          </w:tcPr>
          <w:p>
            <w:pPr>
              <w:spacing w:line="276" w:lineRule="auto" w:before="0" w:after="0"/>
            </w:pPr>
            <w:r/>
            <w:r>
              <w:rPr>
                <w:rFonts w:ascii="Figtree" w:hAnsi="Figtree"/>
                <w:b w:val="0"/>
                <w:i w:val="0"/>
                <w:sz w:val="20"/>
              </w:rPr>
              <w:t>Role-Based Access Control</w:t>
            </w:r>
          </w:p>
        </w:tc>
      </w:tr>
      <w:tr>
        <w:trPr>
          <w:trHeight w:val="425" w:hRule="atLeast"/>
        </w:trPr>
        <w:tc>
          <w:tcPr>
            <w:tcW w:type="dxa" w:w="4873"/>
            <w:vAlign w:val="center"/>
          </w:tcPr>
          <w:p>
            <w:pPr>
              <w:spacing w:line="276" w:lineRule="auto" w:before="0" w:after="0"/>
            </w:pPr>
            <w:r/>
            <w:r>
              <w:rPr>
                <w:rFonts w:ascii="Figtree" w:hAnsi="Figtree"/>
                <w:b w:val="0"/>
                <w:i w:val="0"/>
                <w:sz w:val="20"/>
              </w:rPr>
              <w:t>REST</w:t>
            </w:r>
          </w:p>
        </w:tc>
        <w:tc>
          <w:tcPr>
            <w:tcW w:type="dxa" w:w="4873"/>
            <w:vAlign w:val="center"/>
          </w:tcPr>
          <w:p>
            <w:pPr>
              <w:spacing w:line="276" w:lineRule="auto" w:before="0" w:after="0"/>
            </w:pPr>
            <w:r/>
            <w:r>
              <w:rPr>
                <w:rFonts w:ascii="Figtree" w:hAnsi="Figtree"/>
                <w:b w:val="0"/>
                <w:i w:val="0"/>
                <w:sz w:val="20"/>
              </w:rPr>
              <w:t>Representational State Transfer</w:t>
            </w:r>
          </w:p>
        </w:tc>
      </w:tr>
      <w:tr>
        <w:trPr>
          <w:trHeight w:val="425" w:hRule="atLeast"/>
        </w:trPr>
        <w:tc>
          <w:tcPr>
            <w:tcW w:type="dxa" w:w="4873"/>
            <w:vAlign w:val="center"/>
          </w:tcPr>
          <w:p>
            <w:pPr>
              <w:spacing w:line="276" w:lineRule="auto" w:before="0" w:after="0"/>
            </w:pPr>
            <w:r/>
            <w:r>
              <w:rPr>
                <w:rFonts w:ascii="Figtree" w:hAnsi="Figtree"/>
                <w:b w:val="0"/>
                <w:i w:val="0"/>
                <w:sz w:val="20"/>
              </w:rPr>
              <w:t>SCA</w:t>
            </w:r>
          </w:p>
        </w:tc>
        <w:tc>
          <w:tcPr>
            <w:tcW w:type="dxa" w:w="4873"/>
            <w:vAlign w:val="center"/>
          </w:tcPr>
          <w:p>
            <w:pPr>
              <w:spacing w:line="276" w:lineRule="auto" w:before="0" w:after="0"/>
            </w:pPr>
            <w:r/>
            <w:r>
              <w:rPr>
                <w:rFonts w:ascii="Figtree" w:hAnsi="Figtree"/>
                <w:b w:val="0"/>
                <w:i w:val="0"/>
                <w:sz w:val="20"/>
              </w:rPr>
              <w:t>Securities and Commodities Authority (UAE)</w:t>
            </w:r>
          </w:p>
        </w:tc>
      </w:tr>
      <w:tr>
        <w:trPr>
          <w:trHeight w:val="425" w:hRule="atLeast"/>
        </w:trPr>
        <w:tc>
          <w:tcPr>
            <w:tcW w:type="dxa" w:w="4873"/>
            <w:vAlign w:val="center"/>
          </w:tcPr>
          <w:p>
            <w:pPr>
              <w:spacing w:line="276" w:lineRule="auto" w:before="0" w:after="0"/>
            </w:pPr>
            <w:r/>
            <w:r>
              <w:rPr>
                <w:rFonts w:ascii="Figtree" w:hAnsi="Figtree"/>
                <w:b w:val="0"/>
                <w:i w:val="0"/>
                <w:sz w:val="20"/>
              </w:rPr>
              <w:t>SLA</w:t>
            </w:r>
          </w:p>
        </w:tc>
        <w:tc>
          <w:tcPr>
            <w:tcW w:type="dxa" w:w="4873"/>
            <w:vAlign w:val="center"/>
          </w:tcPr>
          <w:p>
            <w:pPr>
              <w:spacing w:line="276" w:lineRule="auto" w:before="0" w:after="0"/>
            </w:pPr>
            <w:r/>
            <w:r>
              <w:rPr>
                <w:rFonts w:ascii="Figtree" w:hAnsi="Figtree"/>
                <w:b w:val="0"/>
                <w:i w:val="0"/>
                <w:sz w:val="20"/>
              </w:rPr>
              <w:t>Service Level Agreement</w:t>
            </w:r>
          </w:p>
        </w:tc>
      </w:tr>
      <w:tr>
        <w:trPr>
          <w:trHeight w:val="425" w:hRule="atLeast"/>
        </w:trPr>
        <w:tc>
          <w:tcPr>
            <w:tcW w:type="dxa" w:w="4873"/>
            <w:vAlign w:val="center"/>
          </w:tcPr>
          <w:p>
            <w:pPr>
              <w:spacing w:line="276" w:lineRule="auto" w:before="0" w:after="0"/>
            </w:pPr>
            <w:r/>
            <w:r>
              <w:rPr>
                <w:rFonts w:ascii="Figtree" w:hAnsi="Figtree"/>
                <w:b w:val="0"/>
                <w:i w:val="0"/>
                <w:sz w:val="20"/>
              </w:rPr>
              <w:t>SMART Protocol</w:t>
            </w:r>
          </w:p>
        </w:tc>
        <w:tc>
          <w:tcPr>
            <w:tcW w:type="dxa" w:w="4873"/>
            <w:vAlign w:val="center"/>
          </w:tcPr>
          <w:p>
            <w:pPr>
              <w:spacing w:line="276" w:lineRule="auto" w:before="0" w:after="0"/>
            </w:pPr>
            <w:r/>
            <w:r>
              <w:rPr>
                <w:rFonts w:ascii="Figtree" w:hAnsi="Figtree"/>
                <w:b w:val="0"/>
                <w:i w:val="0"/>
                <w:sz w:val="20"/>
              </w:rPr>
              <w:t>SettleMint Adaptable Regulated Token - ERC-3643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UAE</w:t>
            </w:r>
          </w:p>
        </w:tc>
        <w:tc>
          <w:tcPr>
            <w:tcW w:type="dxa" w:w="4873"/>
            <w:vAlign w:val="center"/>
          </w:tcPr>
          <w:p>
            <w:pPr>
              <w:spacing w:line="276" w:lineRule="auto" w:before="0" w:after="0"/>
            </w:pPr>
            <w:r/>
            <w:r>
              <w:rPr>
                <w:rFonts w:ascii="Figtree" w:hAnsi="Figtree"/>
                <w:b w:val="0"/>
                <w:i w:val="0"/>
                <w:sz w:val="20"/>
              </w:rPr>
              <w:t>United Arab Emirates</w:t>
            </w:r>
          </w:p>
        </w:tc>
      </w:tr>
      <w:tr>
        <w:trPr>
          <w:trHeight w:val="425" w:hRule="atLeast"/>
        </w:trPr>
        <w:tc>
          <w:tcPr>
            <w:tcW w:type="dxa" w:w="4873"/>
            <w:vAlign w:val="center"/>
          </w:tcPr>
          <w:p>
            <w:pPr>
              <w:spacing w:line="276" w:lineRule="auto" w:before="0" w:after="0"/>
            </w:pPr>
            <w:r/>
            <w:r>
              <w:rPr>
                <w:rFonts w:ascii="Figtree" w:hAnsi="Figtree"/>
                <w:b w:val="0"/>
                <w:i w:val="0"/>
                <w:sz w:val="20"/>
              </w:rPr>
              <w:t>UUPS</w:t>
            </w:r>
          </w:p>
        </w:tc>
        <w:tc>
          <w:tcPr>
            <w:tcW w:type="dxa" w:w="4873"/>
            <w:vAlign w:val="center"/>
          </w:tcPr>
          <w:p>
            <w:pPr>
              <w:spacing w:line="276" w:lineRule="auto" w:before="0" w:after="0"/>
            </w:pPr>
            <w:r/>
            <w:r>
              <w:rPr>
                <w:rFonts w:ascii="Figtree" w:hAnsi="Figtree"/>
                <w:b w:val="0"/>
                <w:i w:val="0"/>
                <w:sz w:val="20"/>
              </w:rPr>
              <w:t>Universal Upgradeable Proxy Standard</w:t>
            </w:r>
          </w:p>
        </w:tc>
      </w:tr>
      <w:tr>
        <w:trPr>
          <w:trHeight w:val="425" w:hRule="atLeast"/>
        </w:trPr>
        <w:tc>
          <w:tcPr>
            <w:tcW w:type="dxa" w:w="4873"/>
            <w:vAlign w:val="center"/>
          </w:tcPr>
          <w:p>
            <w:pPr>
              <w:spacing w:line="276" w:lineRule="auto" w:before="0" w:after="0"/>
            </w:pPr>
            <w:r/>
            <w:r>
              <w:rPr>
                <w:rFonts w:ascii="Figtree" w:hAnsi="Figtree"/>
                <w:b w:val="0"/>
                <w:i w:val="0"/>
                <w:sz w:val="20"/>
              </w:rPr>
              <w:t>VASP</w:t>
            </w:r>
          </w:p>
        </w:tc>
        <w:tc>
          <w:tcPr>
            <w:tcW w:type="dxa" w:w="4873"/>
            <w:vAlign w:val="center"/>
          </w:tcPr>
          <w:p>
            <w:pPr>
              <w:spacing w:line="276" w:lineRule="auto" w:before="0" w:after="0"/>
            </w:pPr>
            <w:r/>
            <w:r>
              <w:rPr>
                <w:rFonts w:ascii="Figtree" w:hAnsi="Figtree"/>
                <w:b w:val="0"/>
                <w:i w:val="0"/>
                <w:sz w:val="20"/>
              </w:rPr>
              <w:t>Virtual Asset Service Provider</w:t>
            </w:r>
          </w:p>
        </w:tc>
      </w:tr>
      <w:tr>
        <w:trPr>
          <w:trHeight w:val="425" w:hRule="atLeast"/>
        </w:trPr>
        <w:tc>
          <w:tcPr>
            <w:tcW w:type="dxa" w:w="4873"/>
            <w:vAlign w:val="center"/>
          </w:tcPr>
          <w:p>
            <w:pPr>
              <w:spacing w:line="276" w:lineRule="auto" w:before="0" w:after="0"/>
            </w:pPr>
            <w:r/>
            <w:r>
              <w:rPr>
                <w:rFonts w:ascii="Figtree" w:hAnsi="Figtree"/>
                <w:b w:val="0"/>
                <w:i w:val="0"/>
                <w:sz w:val="20"/>
              </w:rPr>
              <w:t>XvP</w:t>
            </w:r>
          </w:p>
        </w:tc>
        <w:tc>
          <w:tcPr>
            <w:tcW w:type="dxa" w:w="4873"/>
            <w:vAlign w:val="center"/>
          </w:tcPr>
          <w:p>
            <w:pPr>
              <w:spacing w:line="276" w:lineRule="auto" w:before="0" w:after="0"/>
            </w:pPr>
            <w:r/>
            <w:r>
              <w:rPr>
                <w:rFonts w:ascii="Figtree" w:hAnsi="Figtree"/>
                <w:b w:val="0"/>
                <w:i w:val="0"/>
                <w:sz w:val="20"/>
              </w:rPr>
              <w:t>Exchange versus Payment - multi-party atomic exchange</w:t>
            </w:r>
          </w:p>
        </w:tc>
      </w:tr>
    </w:tbl>
    <w:p>
      <w:pPr>
        <w:spacing w:before="0" w:after="0" w:line="120" w:lineRule="exact"/>
      </w:pPr>
    </w:p>
    <w:p>
      <w:r>
        <w:br w:type="page"/>
      </w:r>
    </w:p>
    <w:p>
      <w:r>
        <w:rPr>
          <w:rFonts w:ascii="Figtree" w:hAnsi="Figtree"/>
          <w:b w:val="0"/>
          <w:i/>
          <w:sz w:val="22"/>
        </w:rPr>
        <w:t>End of Document - Technical Proposal v1.0</w:t>
      </w:r>
    </w:p>
    <w:p>
      <w:r>
        <w:rPr>
          <w:rFonts w:ascii="Figtree" w:hAnsi="Figtree"/>
          <w:b w:val="0"/>
          <w:i/>
          <w:sz w:val="22"/>
        </w:rPr>
        <w:t>Final Statistics: ~2,700 lines | ~17,500 words | 18 Mermaid Diagrams</w:t>
      </w:r>
    </w:p>
    <w:p>
      <w:r>
        <w:rPr>
          <w:rFonts w:ascii="Figtree" w:hAnsi="Figtree"/>
          <w:b w:val="0"/>
          <w:i/>
          <w:sz w:val="22"/>
        </w:rPr>
        <w:t>Submitted: March 17, 2026</w:t>
      </w:r>
    </w:p>
    <w:p>
      <w:r>
        <w:br w:type="page"/>
      </w:r>
    </w:p>
    <w:p>
      <w:pPr>
        <w:pStyle w:val="H1"/>
        <w:numPr>
          <w:ilvl w:val="0"/>
          <w:numId w:val="1"/>
        </w:numPr>
      </w:pPr>
      <w:r>
        <w:t>21. Appendix: Implementation Risk Mitigation Strategies</w:t>
      </w:r>
    </w:p>
    <w:p>
      <w:pPr>
        <w:pStyle w:val="H2"/>
        <w:numPr>
          <w:ilvl w:val="1"/>
          <w:numId w:val="1"/>
        </w:numPr>
      </w:pPr>
      <w:r>
        <w:t>21.1 Detailed Risk Mitigation</w:t>
      </w:r>
    </w:p>
    <w:p>
      <w:r>
        <w:rPr>
          <w:rFonts w:ascii="Figtree" w:hAnsi="Figtree"/>
          <w:b w:val="0"/>
          <w:i w:val="0"/>
          <w:sz w:val="22"/>
        </w:rPr>
        <w:t>This section provides comprehensive mitigation strategies for all identified project risks.</w:t>
      </w:r>
    </w:p>
    <w:p>
      <w:pPr>
        <w:pStyle w:val="H3"/>
        <w:numPr>
          <w:ilvl w:val="2"/>
          <w:numId w:val="1"/>
        </w:numPr>
      </w:pPr>
      <w:r>
        <w:t>Risk 1: Regulatory Requirement Changes</w:t>
      </w:r>
    </w:p>
    <w:p>
      <w:r>
        <w:rPr>
          <w:rFonts w:ascii="Figtree" w:hAnsi="Figtree"/>
          <w:b/>
          <w:i w:val="0"/>
          <w:sz w:val="22"/>
        </w:rPr>
        <w:t>Likelihood: Medium | Impact: High</w:t>
      </w:r>
    </w:p>
    <w:p>
      <w:r>
        <w:rPr>
          <w:rFonts w:ascii="Figtree" w:hAnsi="Figtree"/>
          <w:b w:val="0"/>
          <w:i w:val="0"/>
          <w:sz w:val="22"/>
        </w:rPr>
        <w:t>The UAE regulatory environment is evolving rapidly. New regulations may be introduced during implementation that affect the platform's design or operation.</w:t>
      </w:r>
    </w:p>
    <w:p>
      <w:r>
        <w:rPr>
          <w:rFonts w:ascii="Figtree" w:hAnsi="Figtree"/>
          <w:b/>
          <w:i w:val="0"/>
          <w:sz w:val="22"/>
        </w:rPr>
        <w:t>Mitigation Strategies:</w:t>
      </w:r>
    </w:p>
    <w:p>
      <w:pPr>
        <w:pStyle w:val="ListParagraph"/>
        <w:numPr>
          <w:ilvl w:val="0"/>
          <w:numId w:val="14"/>
        </w:numPr>
      </w:pPr>
      <w:r>
        <w:rPr>
          <w:rFonts w:ascii="Figtree" w:hAnsi="Figtree"/>
          <w:b/>
          <w:i w:val="0"/>
          <w:sz w:val="22"/>
        </w:rPr>
        <w:t>Regulatory Monitoring:</w:t>
      </w:r>
      <w:r>
        <w:rPr>
          <w:rFonts w:ascii="Figtree" w:hAnsi="Figtree"/>
          <w:b w:val="0"/>
          <w:i w:val="0"/>
          <w:sz w:val="22"/>
        </w:rPr>
        <w:t xml:space="preserve"> SettleMint maintains active monitoring of UAE regulatory developments through local legal counsel and industry associations. Regulatory updates are assessed for impact within 48 hours of publication.</w:t>
      </w:r>
    </w:p>
    <w:p>
      <w:pPr>
        <w:pStyle w:val="ListParagraph"/>
        <w:numPr>
          <w:ilvl w:val="0"/>
          <w:numId w:val="14"/>
        </w:numPr>
      </w:pPr>
      <w:r>
        <w:rPr>
          <w:rFonts w:ascii="Figtree" w:hAnsi="Figtree"/>
          <w:b/>
          <w:i w:val="0"/>
          <w:sz w:val="22"/>
        </w:rPr>
        <w:t>Modular Architecture:</w:t>
      </w:r>
      <w:r>
        <w:rPr>
          <w:rFonts w:ascii="Figtree" w:hAnsi="Figtree"/>
          <w:b w:val="0"/>
          <w:i w:val="0"/>
          <w:sz w:val="22"/>
        </w:rPr>
        <w:t xml:space="preserve"> DALP's modular design allows compliance modules to be updated without changing core platform code. New regulatory requirements can be implemented as new compliance modules.</w:t>
      </w:r>
    </w:p>
    <w:p>
      <w:pPr>
        <w:pStyle w:val="ListParagraph"/>
        <w:numPr>
          <w:ilvl w:val="0"/>
          <w:numId w:val="14"/>
        </w:numPr>
      </w:pPr>
      <w:r>
        <w:rPr>
          <w:rFonts w:ascii="Figtree" w:hAnsi="Figtree"/>
          <w:b/>
          <w:i w:val="0"/>
          <w:sz w:val="22"/>
        </w:rPr>
        <w:t>Configuration Over Customization:</w:t>
      </w:r>
      <w:r>
        <w:rPr>
          <w:rFonts w:ascii="Figtree" w:hAnsi="Figtree"/>
          <w:b w:val="0"/>
          <w:i w:val="0"/>
          <w:sz w:val="22"/>
        </w:rPr>
        <w:t xml:space="preserve"> The platform's configurable nature means most regulatory changes can be addressed through configuration rather than code changes.</w:t>
      </w:r>
    </w:p>
    <w:p>
      <w:pPr>
        <w:pStyle w:val="ListParagraph"/>
        <w:numPr>
          <w:ilvl w:val="0"/>
          <w:numId w:val="14"/>
        </w:numPr>
      </w:pPr>
      <w:r>
        <w:rPr>
          <w:rFonts w:ascii="Figtree" w:hAnsi="Figtree"/>
          <w:b/>
          <w:i w:val="0"/>
          <w:sz w:val="22"/>
        </w:rPr>
        <w:t>Phased Implementation:</w:t>
      </w:r>
      <w:r>
        <w:rPr>
          <w:rFonts w:ascii="Figtree" w:hAnsi="Figtree"/>
          <w:b w:val="0"/>
          <w:i w:val="0"/>
          <w:sz w:val="22"/>
        </w:rPr>
        <w:t xml:space="preserve"> The phased delivery model allows regulatory changes to be incorporated between phases if needed.</w:t>
      </w:r>
    </w:p>
    <w:p>
      <w:pPr>
        <w:pStyle w:val="ListParagraph"/>
        <w:numPr>
          <w:ilvl w:val="0"/>
          <w:numId w:val="14"/>
        </w:numPr>
      </w:pPr>
      <w:r>
        <w:rPr>
          <w:rFonts w:ascii="Figtree" w:hAnsi="Figtree"/>
          <w:b/>
          <w:i w:val="0"/>
          <w:sz w:val="22"/>
        </w:rPr>
        <w:t>Change Control Process:</w:t>
      </w:r>
      <w:r>
        <w:rPr>
          <w:rFonts w:ascii="Figtree" w:hAnsi="Figtree"/>
          <w:b w:val="0"/>
          <w:i w:val="0"/>
          <w:sz w:val="22"/>
        </w:rPr>
        <w:t xml:space="preserve"> A formal change control process manages scope changes with steering committee approval.</w:t>
      </w:r>
    </w:p>
    <w:p>
      <w:pPr>
        <w:pStyle w:val="H3"/>
        <w:numPr>
          <w:ilvl w:val="2"/>
          <w:numId w:val="1"/>
        </w:numPr>
      </w:pPr>
      <w:r>
        <w:t>Risk 2: Integration Complexity</w:t>
      </w:r>
    </w:p>
    <w:p>
      <w:r>
        <w:rPr>
          <w:rFonts w:ascii="Figtree" w:hAnsi="Figtree"/>
          <w:b/>
          <w:i w:val="0"/>
          <w:sz w:val="22"/>
        </w:rPr>
        <w:t>Likelihood: Medium | Impact: Medium</w:t>
      </w:r>
    </w:p>
    <w:p>
      <w:r>
        <w:rPr>
          <w:rFonts w:ascii="Figtree" w:hAnsi="Figtree"/>
          <w:b w:val="0"/>
          <w:i w:val="0"/>
          <w:sz w:val="22"/>
        </w:rPr>
        <w:t>Integration with ADGM's existing systems may reveal complexities not identified during discovery.</w:t>
      </w:r>
    </w:p>
    <w:p>
      <w:r>
        <w:rPr>
          <w:rFonts w:ascii="Figtree" w:hAnsi="Figtree"/>
          <w:b/>
          <w:i w:val="0"/>
          <w:sz w:val="22"/>
        </w:rPr>
        <w:t>Mitigation Strategies:</w:t>
      </w:r>
    </w:p>
    <w:p>
      <w:pPr>
        <w:pStyle w:val="ListParagraph"/>
        <w:numPr>
          <w:ilvl w:val="0"/>
          <w:numId w:val="15"/>
        </w:numPr>
      </w:pPr>
      <w:r>
        <w:rPr>
          <w:rFonts w:ascii="Figtree" w:hAnsi="Figtree"/>
          <w:b/>
          <w:i w:val="0"/>
          <w:sz w:val="22"/>
        </w:rPr>
        <w:t>Early Integration Design:</w:t>
      </w:r>
      <w:r>
        <w:rPr>
          <w:rFonts w:ascii="Figtree" w:hAnsi="Figtree"/>
          <w:b w:val="0"/>
          <w:i w:val="0"/>
          <w:sz w:val="22"/>
        </w:rPr>
        <w:t xml:space="preserve"> Integration design begins in Phase 1 with detailed API specifications.</w:t>
      </w:r>
    </w:p>
    <w:p>
      <w:pPr>
        <w:pStyle w:val="ListParagraph"/>
        <w:numPr>
          <w:ilvl w:val="0"/>
          <w:numId w:val="15"/>
        </w:numPr>
      </w:pPr>
      <w:r>
        <w:rPr>
          <w:rFonts w:ascii="Figtree" w:hAnsi="Figtree"/>
          <w:b/>
          <w:i w:val="0"/>
          <w:sz w:val="22"/>
        </w:rPr>
        <w:t>Mock Services:</w:t>
      </w:r>
      <w:r>
        <w:rPr>
          <w:rFonts w:ascii="Figtree" w:hAnsi="Figtree"/>
          <w:b w:val="0"/>
          <w:i w:val="0"/>
          <w:sz w:val="22"/>
        </w:rPr>
        <w:t xml:space="preserve"> Mock services are created for all external systems early in development, allowing parallel development.</w:t>
      </w:r>
    </w:p>
    <w:p>
      <w:pPr>
        <w:pStyle w:val="ListParagraph"/>
        <w:numPr>
          <w:ilvl w:val="0"/>
          <w:numId w:val="15"/>
        </w:numPr>
      </w:pPr>
      <w:r>
        <w:rPr>
          <w:rFonts w:ascii="Figtree" w:hAnsi="Figtree"/>
          <w:b/>
          <w:i w:val="0"/>
          <w:sz w:val="22"/>
        </w:rPr>
        <w:t>Integration Testing Buffer:</w:t>
      </w:r>
      <w:r>
        <w:rPr>
          <w:rFonts w:ascii="Figtree" w:hAnsi="Figtree"/>
          <w:b w:val="0"/>
          <w:i w:val="0"/>
          <w:sz w:val="22"/>
        </w:rPr>
        <w:t xml:space="preserve"> The timeline includes dedicated integration testing time in Phase 4.</w:t>
      </w:r>
    </w:p>
    <w:p>
      <w:pPr>
        <w:pStyle w:val="ListParagraph"/>
        <w:numPr>
          <w:ilvl w:val="0"/>
          <w:numId w:val="15"/>
        </w:numPr>
      </w:pPr>
      <w:r>
        <w:rPr>
          <w:rFonts w:ascii="Figtree" w:hAnsi="Figtree"/>
          <w:b/>
          <w:i w:val="0"/>
          <w:sz w:val="22"/>
        </w:rPr>
        <w:t>Fallback Patterns:</w:t>
      </w:r>
      <w:r>
        <w:rPr>
          <w:rFonts w:ascii="Figtree" w:hAnsi="Figtree"/>
          <w:b w:val="0"/>
          <w:i w:val="0"/>
          <w:sz w:val="22"/>
        </w:rPr>
        <w:t xml:space="preserve"> Graceful degradation patterns are designed for each integration point.</w:t>
      </w:r>
    </w:p>
    <w:p>
      <w:pPr>
        <w:pStyle w:val="ListParagraph"/>
        <w:numPr>
          <w:ilvl w:val="0"/>
          <w:numId w:val="15"/>
        </w:numPr>
      </w:pPr>
      <w:r>
        <w:rPr>
          <w:rFonts w:ascii="Figtree" w:hAnsi="Figtree"/>
          <w:b/>
          <w:i w:val="0"/>
          <w:sz w:val="22"/>
        </w:rPr>
        <w:t>Expert Resources:</w:t>
      </w:r>
      <w:r>
        <w:rPr>
          <w:rFonts w:ascii="Figtree" w:hAnsi="Figtree"/>
          <w:b w:val="0"/>
          <w:i w:val="0"/>
          <w:sz w:val="22"/>
        </w:rPr>
        <w:t xml:space="preserve"> Integration specialists are allocated from the start of the project.</w:t>
      </w:r>
    </w:p>
    <w:p>
      <w:pPr>
        <w:pStyle w:val="H3"/>
        <w:numPr>
          <w:ilvl w:val="2"/>
          <w:numId w:val="1"/>
        </w:numPr>
      </w:pPr>
      <w:r>
        <w:t>Risk 3: Client Dependency Delays</w:t>
      </w:r>
    </w:p>
    <w:p>
      <w:r>
        <w:rPr>
          <w:rFonts w:ascii="Figtree" w:hAnsi="Figtree"/>
          <w:b/>
          <w:i w:val="0"/>
          <w:sz w:val="22"/>
        </w:rPr>
        <w:t>Likelihood: Medium | Impact: High</w:t>
      </w:r>
    </w:p>
    <w:p>
      <w:r>
        <w:rPr>
          <w:rFonts w:ascii="Figtree" w:hAnsi="Figtree"/>
          <w:b w:val="0"/>
          <w:i w:val="0"/>
          <w:sz w:val="22"/>
        </w:rPr>
        <w:t>Client-provided dependencies (access, decisions, UAT participation) may be delayed, impacting the timeline.</w:t>
      </w:r>
    </w:p>
    <w:p>
      <w:r>
        <w:rPr>
          <w:rFonts w:ascii="Figtree" w:hAnsi="Figtree"/>
          <w:b/>
          <w:i w:val="0"/>
          <w:sz w:val="22"/>
        </w:rPr>
        <w:t>Mitigation Strategies:</w:t>
      </w:r>
    </w:p>
    <w:p>
      <w:pPr>
        <w:pStyle w:val="ListParagraph"/>
        <w:numPr>
          <w:ilvl w:val="0"/>
          <w:numId w:val="16"/>
        </w:numPr>
      </w:pPr>
      <w:r>
        <w:rPr>
          <w:rFonts w:ascii="Figtree" w:hAnsi="Figtree"/>
          <w:b/>
          <w:i w:val="0"/>
          <w:sz w:val="22"/>
        </w:rPr>
        <w:t>Dependency Tracking:</w:t>
      </w:r>
      <w:r>
        <w:rPr>
          <w:rFonts w:ascii="Figtree" w:hAnsi="Figtree"/>
          <w:b w:val="0"/>
          <w:i w:val="0"/>
          <w:sz w:val="22"/>
        </w:rPr>
        <w:t xml:space="preserve"> All client dependencies are documented in the project plan with clear owners and deadlines.</w:t>
      </w:r>
    </w:p>
    <w:p>
      <w:pPr>
        <w:pStyle w:val="ListParagraph"/>
        <w:numPr>
          <w:ilvl w:val="0"/>
          <w:numId w:val="16"/>
        </w:numPr>
      </w:pPr>
      <w:r>
        <w:rPr>
          <w:rFonts w:ascii="Figtree" w:hAnsi="Figtree"/>
          <w:b/>
          <w:i w:val="0"/>
          <w:sz w:val="22"/>
        </w:rPr>
        <w:t>Weekly Status Reviews:</w:t>
      </w:r>
      <w:r>
        <w:rPr>
          <w:rFonts w:ascii="Figtree" w:hAnsi="Figtree"/>
          <w:b w:val="0"/>
          <w:i w:val="0"/>
          <w:sz w:val="22"/>
        </w:rPr>
        <w:t xml:space="preserve"> Client dependencies are reviewed at every weekly status meeting.</w:t>
      </w:r>
    </w:p>
    <w:p>
      <w:pPr>
        <w:pStyle w:val="ListParagraph"/>
        <w:numPr>
          <w:ilvl w:val="0"/>
          <w:numId w:val="16"/>
        </w:numPr>
      </w:pPr>
      <w:r>
        <w:rPr>
          <w:rFonts w:ascii="Figtree" w:hAnsi="Figtree"/>
          <w:b/>
          <w:i w:val="0"/>
          <w:sz w:val="22"/>
        </w:rPr>
        <w:t>Escalation Path:</w:t>
      </w:r>
      <w:r>
        <w:rPr>
          <w:rFonts w:ascii="Figtree" w:hAnsi="Figtree"/>
          <w:b w:val="0"/>
          <w:i w:val="0"/>
          <w:sz w:val="22"/>
        </w:rPr>
        <w:t xml:space="preserve"> A clear escalation path exists for dependency delays.</w:t>
      </w:r>
    </w:p>
    <w:p>
      <w:pPr>
        <w:pStyle w:val="ListParagraph"/>
        <w:numPr>
          <w:ilvl w:val="0"/>
          <w:numId w:val="16"/>
        </w:numPr>
      </w:pPr>
      <w:r>
        <w:rPr>
          <w:rFonts w:ascii="Figtree" w:hAnsi="Figtree"/>
          <w:b/>
          <w:i w:val="0"/>
          <w:sz w:val="22"/>
        </w:rPr>
        <w:t>Schedule Buffer:</w:t>
      </w:r>
      <w:r>
        <w:rPr>
          <w:rFonts w:ascii="Figtree" w:hAnsi="Figtree"/>
          <w:b w:val="0"/>
          <w:i w:val="0"/>
          <w:sz w:val="22"/>
        </w:rPr>
        <w:t xml:space="preserve"> The timeline includes buffer to absorb reasonable delays.</w:t>
      </w:r>
    </w:p>
    <w:p>
      <w:pPr>
        <w:pStyle w:val="ListParagraph"/>
        <w:numPr>
          <w:ilvl w:val="0"/>
          <w:numId w:val="16"/>
        </w:numPr>
      </w:pPr>
      <w:r>
        <w:rPr>
          <w:rFonts w:ascii="Figtree" w:hAnsi="Figtree"/>
          <w:b/>
          <w:i w:val="0"/>
          <w:sz w:val="22"/>
        </w:rPr>
        <w:t>Parallel Workstreams:</w:t>
      </w:r>
      <w:r>
        <w:rPr>
          <w:rFonts w:ascii="Figtree" w:hAnsi="Figtree"/>
          <w:b w:val="0"/>
          <w:i w:val="0"/>
          <w:sz w:val="22"/>
        </w:rPr>
        <w:t xml:space="preserve"> Where possible, workstreams are parallelized to reduce dependency impact.</w:t>
      </w:r>
    </w:p>
    <w:p>
      <w:pPr>
        <w:pStyle w:val="H3"/>
        <w:numPr>
          <w:ilvl w:val="2"/>
          <w:numId w:val="1"/>
        </w:numPr>
      </w:pPr>
      <w:r>
        <w:t>Risk 4: Third-Party Provider Issues</w:t>
      </w:r>
    </w:p>
    <w:p>
      <w:r>
        <w:rPr>
          <w:rFonts w:ascii="Figtree" w:hAnsi="Figtree"/>
          <w:b/>
          <w:i w:val="0"/>
          <w:sz w:val="22"/>
        </w:rPr>
        <w:t>Likelihood: Low | Impact: High</w:t>
      </w:r>
    </w:p>
    <w:p>
      <w:r>
        <w:rPr>
          <w:rFonts w:ascii="Figtree" w:hAnsi="Figtree"/>
          <w:b w:val="0"/>
          <w:i w:val="0"/>
          <w:sz w:val="22"/>
        </w:rPr>
        <w:t>Custody providers, cloud providers, or other third-party services may experience issues affecting the project.</w:t>
      </w:r>
    </w:p>
    <w:p>
      <w:r>
        <w:rPr>
          <w:rFonts w:ascii="Figtree" w:hAnsi="Figtree"/>
          <w:b/>
          <w:i w:val="0"/>
          <w:sz w:val="22"/>
        </w:rPr>
        <w:t>Mitigation Strategies:</w:t>
      </w:r>
    </w:p>
    <w:p>
      <w:pPr>
        <w:pStyle w:val="ListParagraph"/>
        <w:numPr>
          <w:ilvl w:val="0"/>
          <w:numId w:val="17"/>
        </w:numPr>
      </w:pPr>
      <w:r>
        <w:rPr>
          <w:rFonts w:ascii="Figtree" w:hAnsi="Figtree"/>
          <w:b/>
          <w:i w:val="0"/>
          <w:sz w:val="22"/>
        </w:rPr>
        <w:t>Provider Selection:</w:t>
      </w:r>
      <w:r>
        <w:rPr>
          <w:rFonts w:ascii="Figtree" w:hAnsi="Figtree"/>
          <w:b w:val="0"/>
          <w:i w:val="0"/>
          <w:sz w:val="22"/>
        </w:rPr>
        <w:t xml:space="preserve"> Providers are selected based on track record and enterprise support availability.</w:t>
      </w:r>
    </w:p>
    <w:p>
      <w:pPr>
        <w:pStyle w:val="ListParagraph"/>
        <w:numPr>
          <w:ilvl w:val="0"/>
          <w:numId w:val="17"/>
        </w:numPr>
      </w:pPr>
      <w:r>
        <w:rPr>
          <w:rFonts w:ascii="Figtree" w:hAnsi="Figtree"/>
          <w:b/>
          <w:i w:val="0"/>
          <w:sz w:val="22"/>
        </w:rPr>
        <w:t>Backup Providers:</w:t>
      </w:r>
      <w:r>
        <w:rPr>
          <w:rFonts w:ascii="Figtree" w:hAnsi="Figtree"/>
          <w:b w:val="0"/>
          <w:i w:val="0"/>
          <w:sz w:val="22"/>
        </w:rPr>
        <w:t xml:space="preserve"> Alternative providers are identified for critical services.</w:t>
      </w:r>
    </w:p>
    <w:p>
      <w:pPr>
        <w:pStyle w:val="ListParagraph"/>
        <w:numPr>
          <w:ilvl w:val="0"/>
          <w:numId w:val="17"/>
        </w:numPr>
      </w:pPr>
      <w:r>
        <w:rPr>
          <w:rFonts w:ascii="Figtree" w:hAnsi="Figtree"/>
          <w:b/>
          <w:i w:val="0"/>
          <w:sz w:val="22"/>
        </w:rPr>
        <w:t>Graceful Degradation:</w:t>
      </w:r>
      <w:r>
        <w:rPr>
          <w:rFonts w:ascii="Figtree" w:hAnsi="Figtree"/>
          <w:b w:val="0"/>
          <w:i w:val="0"/>
          <w:sz w:val="22"/>
        </w:rPr>
        <w:t xml:space="preserve"> Architecture supports operation in degraded mode if third-party services fail.</w:t>
      </w:r>
    </w:p>
    <w:p>
      <w:pPr>
        <w:pStyle w:val="ListParagraph"/>
        <w:numPr>
          <w:ilvl w:val="0"/>
          <w:numId w:val="17"/>
        </w:numPr>
      </w:pPr>
      <w:r>
        <w:rPr>
          <w:rFonts w:ascii="Figtree" w:hAnsi="Figtree"/>
          <w:b/>
          <w:i w:val="0"/>
          <w:sz w:val="22"/>
        </w:rPr>
        <w:t>Service Level Agreements:</w:t>
      </w:r>
      <w:r>
        <w:rPr>
          <w:rFonts w:ascii="Figtree" w:hAnsi="Figtree"/>
          <w:b w:val="0"/>
          <w:i w:val="0"/>
          <w:sz w:val="22"/>
        </w:rPr>
        <w:t xml:space="preserve"> Contracts include appropriate SLAs with providers.</w:t>
      </w:r>
    </w:p>
    <w:p>
      <w:pPr>
        <w:pStyle w:val="ListParagraph"/>
        <w:numPr>
          <w:ilvl w:val="0"/>
          <w:numId w:val="17"/>
        </w:numPr>
      </w:pPr>
      <w:r>
        <w:rPr>
          <w:rFonts w:ascii="Figtree" w:hAnsi="Figtree"/>
          <w:b/>
          <w:i w:val="0"/>
          <w:sz w:val="22"/>
        </w:rPr>
        <w:t>Incident Response:</w:t>
      </w:r>
      <w:r>
        <w:rPr>
          <w:rFonts w:ascii="Figtree" w:hAnsi="Figtree"/>
          <w:b w:val="0"/>
          <w:i w:val="0"/>
          <w:sz w:val="22"/>
        </w:rPr>
        <w:t xml:space="preserve"> Procedures exist for responding to provider issues.</w:t>
      </w:r>
    </w:p>
    <w:p>
      <w:pPr>
        <w:pStyle w:val="H3"/>
        <w:numPr>
          <w:ilvl w:val="2"/>
          <w:numId w:val="1"/>
        </w:numPr>
      </w:pPr>
      <w:r>
        <w:t>Risk 5: Scope Creep</w:t>
      </w:r>
    </w:p>
    <w:p>
      <w:r>
        <w:rPr>
          <w:rFonts w:ascii="Figtree" w:hAnsi="Figtree"/>
          <w:b/>
          <w:i w:val="0"/>
          <w:sz w:val="22"/>
        </w:rPr>
        <w:t>Likelihood: High | Impact: Medium</w:t>
      </w:r>
    </w:p>
    <w:p>
      <w:r>
        <w:rPr>
          <w:rFonts w:ascii="Figtree" w:hAnsi="Figtree"/>
          <w:b w:val="0"/>
          <w:i w:val="0"/>
          <w:sz w:val="22"/>
        </w:rPr>
        <w:t>Additional requirements may be introduced during implementation, affecting timeline and budget.</w:t>
      </w:r>
    </w:p>
    <w:p>
      <w:r>
        <w:rPr>
          <w:rFonts w:ascii="Figtree" w:hAnsi="Figtree"/>
          <w:b/>
          <w:i w:val="0"/>
          <w:sz w:val="22"/>
        </w:rPr>
        <w:t>Mitigation Strategies:</w:t>
      </w:r>
    </w:p>
    <w:p>
      <w:pPr>
        <w:pStyle w:val="ListParagraph"/>
        <w:numPr>
          <w:ilvl w:val="0"/>
          <w:numId w:val="18"/>
        </w:numPr>
      </w:pPr>
      <w:r>
        <w:rPr>
          <w:rFonts w:ascii="Figtree" w:hAnsi="Figtree"/>
          <w:b/>
          <w:i w:val="0"/>
          <w:sz w:val="22"/>
        </w:rPr>
        <w:t>Phase-Gated Delivery:</w:t>
      </w:r>
      <w:r>
        <w:rPr>
          <w:rFonts w:ascii="Figtree" w:hAnsi="Figtree"/>
          <w:b w:val="0"/>
          <w:i w:val="0"/>
          <w:sz w:val="22"/>
        </w:rPr>
        <w:t xml:space="preserve"> Formal phase gates prevent uncontrolled scope expansion.</w:t>
      </w:r>
    </w:p>
    <w:p>
      <w:pPr>
        <w:pStyle w:val="ListParagraph"/>
        <w:numPr>
          <w:ilvl w:val="0"/>
          <w:numId w:val="18"/>
        </w:numPr>
      </w:pPr>
      <w:r>
        <w:rPr>
          <w:rFonts w:ascii="Figtree" w:hAnsi="Figtree"/>
          <w:b/>
          <w:i w:val="0"/>
          <w:sz w:val="22"/>
        </w:rPr>
        <w:t>Change Control Process:</w:t>
      </w:r>
      <w:r>
        <w:rPr>
          <w:rFonts w:ascii="Figtree" w:hAnsi="Figtree"/>
          <w:b w:val="0"/>
          <w:i w:val="0"/>
          <w:sz w:val="22"/>
        </w:rPr>
        <w:t xml:space="preserve"> All scope changes require formal approval through the change control process.</w:t>
      </w:r>
    </w:p>
    <w:p>
      <w:pPr>
        <w:pStyle w:val="ListParagraph"/>
        <w:numPr>
          <w:ilvl w:val="0"/>
          <w:numId w:val="18"/>
        </w:numPr>
      </w:pPr>
      <w:r>
        <w:rPr>
          <w:rFonts w:ascii="Figtree" w:hAnsi="Figtree"/>
          <w:b/>
          <w:i w:val="0"/>
          <w:sz w:val="22"/>
        </w:rPr>
        <w:t>Steering Committee:</w:t>
      </w:r>
      <w:r>
        <w:rPr>
          <w:rFonts w:ascii="Figtree" w:hAnsi="Figtree"/>
          <w:b w:val="0"/>
          <w:i w:val="0"/>
          <w:sz w:val="22"/>
        </w:rPr>
        <w:t xml:space="preserve"> The steering committee provides governance over scope decisions.</w:t>
      </w:r>
    </w:p>
    <w:p>
      <w:pPr>
        <w:pStyle w:val="ListParagraph"/>
        <w:numPr>
          <w:ilvl w:val="0"/>
          <w:numId w:val="18"/>
        </w:numPr>
      </w:pPr>
      <w:r>
        <w:rPr>
          <w:rFonts w:ascii="Figtree" w:hAnsi="Figtree"/>
          <w:b/>
          <w:i w:val="0"/>
          <w:sz w:val="22"/>
        </w:rPr>
        <w:t>Clear Requirements:</w:t>
      </w:r>
      <w:r>
        <w:rPr>
          <w:rFonts w:ascii="Figtree" w:hAnsi="Figtree"/>
          <w:b w:val="0"/>
          <w:i w:val="0"/>
          <w:sz w:val="22"/>
        </w:rPr>
        <w:t xml:space="preserve"> Requirements are documented in detail during Phase 1 to minimize ambiguity.</w:t>
      </w:r>
    </w:p>
    <w:p>
      <w:pPr>
        <w:pStyle w:val="ListParagraph"/>
        <w:numPr>
          <w:ilvl w:val="0"/>
          <w:numId w:val="18"/>
        </w:numPr>
      </w:pPr>
      <w:r>
        <w:rPr>
          <w:rFonts w:ascii="Figtree" w:hAnsi="Figtree"/>
          <w:b/>
          <w:i w:val="0"/>
          <w:sz w:val="22"/>
        </w:rPr>
        <w:t>Prioritization:</w:t>
      </w:r>
      <w:r>
        <w:rPr>
          <w:rFonts w:ascii="Figtree" w:hAnsi="Figtree"/>
          <w:b w:val="0"/>
          <w:i w:val="0"/>
          <w:sz w:val="22"/>
        </w:rPr>
        <w:t xml:space="preserve"> New requirements are prioritized against existing scope.</w:t>
      </w:r>
    </w:p>
    <w:p>
      <w:pPr>
        <w:pStyle w:val="H3"/>
        <w:numPr>
          <w:ilvl w:val="2"/>
          <w:numId w:val="1"/>
        </w:numPr>
      </w:pPr>
      <w:r>
        <w:t>Risk 6: Security Review Delays</w:t>
      </w:r>
    </w:p>
    <w:p>
      <w:r>
        <w:rPr>
          <w:rFonts w:ascii="Figtree" w:hAnsi="Figtree"/>
          <w:b/>
          <w:i w:val="0"/>
          <w:sz w:val="22"/>
        </w:rPr>
        <w:t>Likelihood: Medium | Impact: Medium</w:t>
      </w:r>
    </w:p>
    <w:p>
      <w:r>
        <w:rPr>
          <w:rFonts w:ascii="Figtree" w:hAnsi="Figtree"/>
          <w:b w:val="0"/>
          <w:i w:val="0"/>
          <w:sz w:val="22"/>
        </w:rPr>
        <w:t>Security review processes may take longer than anticipated, affecting the timeline.</w:t>
      </w:r>
    </w:p>
    <w:p>
      <w:r>
        <w:rPr>
          <w:rFonts w:ascii="Figtree" w:hAnsi="Figtree"/>
          <w:b/>
          <w:i w:val="0"/>
          <w:sz w:val="22"/>
        </w:rPr>
        <w:t>Mitigation Strategies:</w:t>
      </w:r>
    </w:p>
    <w:p>
      <w:pPr>
        <w:pStyle w:val="ListParagraph"/>
        <w:numPr>
          <w:ilvl w:val="0"/>
          <w:numId w:val="19"/>
        </w:numPr>
      </w:pPr>
      <w:r>
        <w:rPr>
          <w:rFonts w:ascii="Figtree" w:hAnsi="Figtree"/>
          <w:b/>
          <w:i w:val="0"/>
          <w:sz w:val="22"/>
        </w:rPr>
        <w:t>Early Engagement:</w:t>
      </w:r>
      <w:r>
        <w:rPr>
          <w:rFonts w:ascii="Figtree" w:hAnsi="Figtree"/>
          <w:b w:val="0"/>
          <w:i w:val="0"/>
          <w:sz w:val="22"/>
        </w:rPr>
        <w:t xml:space="preserve"> Security team engagement begins in Phase 1.</w:t>
      </w:r>
    </w:p>
    <w:p>
      <w:pPr>
        <w:pStyle w:val="ListParagraph"/>
        <w:numPr>
          <w:ilvl w:val="0"/>
          <w:numId w:val="19"/>
        </w:numPr>
      </w:pPr>
      <w:r>
        <w:rPr>
          <w:rFonts w:ascii="Figtree" w:hAnsi="Figtree"/>
          <w:b/>
          <w:i w:val="0"/>
          <w:sz w:val="22"/>
        </w:rPr>
        <w:t>Standard Controls:</w:t>
      </w:r>
      <w:r>
        <w:rPr>
          <w:rFonts w:ascii="Figtree" w:hAnsi="Figtree"/>
          <w:b w:val="0"/>
          <w:i w:val="0"/>
          <w:sz w:val="22"/>
        </w:rPr>
        <w:t xml:space="preserve"> The platform uses standard security controls that have been reviewed previously.</w:t>
      </w:r>
    </w:p>
    <w:p>
      <w:pPr>
        <w:pStyle w:val="ListParagraph"/>
        <w:numPr>
          <w:ilvl w:val="0"/>
          <w:numId w:val="19"/>
        </w:numPr>
      </w:pPr>
      <w:r>
        <w:rPr>
          <w:rFonts w:ascii="Figtree" w:hAnsi="Figtree"/>
          <w:b/>
          <w:i w:val="0"/>
          <w:sz w:val="22"/>
        </w:rPr>
        <w:t>Documentation:</w:t>
      </w:r>
      <w:r>
        <w:rPr>
          <w:rFonts w:ascii="Figtree" w:hAnsi="Figtree"/>
          <w:b w:val="0"/>
          <w:i w:val="0"/>
          <w:sz w:val="22"/>
        </w:rPr>
        <w:t xml:space="preserve"> Complete security documentation is provided to accelerate reviews.</w:t>
      </w:r>
    </w:p>
    <w:p>
      <w:pPr>
        <w:pStyle w:val="ListParagraph"/>
        <w:numPr>
          <w:ilvl w:val="0"/>
          <w:numId w:val="19"/>
        </w:numPr>
      </w:pPr>
      <w:r>
        <w:rPr>
          <w:rFonts w:ascii="Figtree" w:hAnsi="Figtree"/>
          <w:b/>
          <w:i w:val="0"/>
          <w:sz w:val="22"/>
        </w:rPr>
        <w:t>Parallel Reviews:</w:t>
      </w:r>
      <w:r>
        <w:rPr>
          <w:rFonts w:ascii="Figtree" w:hAnsi="Figtree"/>
          <w:b w:val="0"/>
          <w:i w:val="0"/>
          <w:sz w:val="22"/>
        </w:rPr>
        <w:t xml:space="preserve"> Security review is parallelized with development where possible.</w:t>
      </w:r>
    </w:p>
    <w:p>
      <w:pPr>
        <w:pStyle w:val="ListParagraph"/>
        <w:numPr>
          <w:ilvl w:val="0"/>
          <w:numId w:val="19"/>
        </w:numPr>
      </w:pPr>
      <w:r>
        <w:rPr>
          <w:rFonts w:ascii="Figtree" w:hAnsi="Figtree"/>
          <w:b/>
          <w:i w:val="0"/>
          <w:sz w:val="22"/>
        </w:rPr>
        <w:t>Review Criteria:</w:t>
      </w:r>
      <w:r>
        <w:rPr>
          <w:rFonts w:ascii="Figtree" w:hAnsi="Figtree"/>
          <w:b w:val="0"/>
          <w:i w:val="0"/>
          <w:sz w:val="22"/>
        </w:rPr>
        <w:t xml:space="preserve"> Clear security review criteria are established upfront.</w:t>
      </w:r>
    </w:p>
    <w:p>
      <w:pPr>
        <w:pStyle w:val="H3"/>
        <w:numPr>
          <w:ilvl w:val="2"/>
          <w:numId w:val="1"/>
        </w:numPr>
      </w:pPr>
      <w:r>
        <w:t>Risk 7: Data Residency Requirements</w:t>
      </w:r>
    </w:p>
    <w:p>
      <w:r>
        <w:rPr>
          <w:rFonts w:ascii="Figtree" w:hAnsi="Figtree"/>
          <w:b/>
          <w:i w:val="0"/>
          <w:sz w:val="22"/>
        </w:rPr>
        <w:t>Likelihood: Low | Impact: High</w:t>
      </w:r>
    </w:p>
    <w:p>
      <w:r>
        <w:rPr>
          <w:rFonts w:ascii="Figtree" w:hAnsi="Figtree"/>
          <w:b w:val="0"/>
          <w:i w:val="0"/>
          <w:sz w:val="22"/>
        </w:rPr>
        <w:t>Additional data residency requirements may emerge during implementation.</w:t>
      </w:r>
    </w:p>
    <w:p>
      <w:r>
        <w:rPr>
          <w:rFonts w:ascii="Figtree" w:hAnsi="Figtree"/>
          <w:b/>
          <w:i w:val="0"/>
          <w:sz w:val="22"/>
        </w:rPr>
        <w:t>Mitigation Strategies:</w:t>
      </w:r>
    </w:p>
    <w:p>
      <w:pPr>
        <w:pStyle w:val="ListParagraph"/>
        <w:numPr>
          <w:ilvl w:val="0"/>
          <w:numId w:val="20"/>
        </w:numPr>
      </w:pPr>
      <w:r>
        <w:rPr>
          <w:rFonts w:ascii="Figtree" w:hAnsi="Figtree"/>
          <w:b/>
          <w:i w:val="0"/>
          <w:sz w:val="22"/>
        </w:rPr>
        <w:t>Private Cloud Model:</w:t>
      </w:r>
      <w:r>
        <w:rPr>
          <w:rFonts w:ascii="Figtree" w:hAnsi="Figtree"/>
          <w:b w:val="0"/>
          <w:i w:val="0"/>
          <w:sz w:val="22"/>
        </w:rPr>
        <w:t xml:space="preserve"> The recommended deployment model already ensures data residency within UAE.</w:t>
      </w:r>
    </w:p>
    <w:p>
      <w:pPr>
        <w:pStyle w:val="ListParagraph"/>
        <w:numPr>
          <w:ilvl w:val="0"/>
          <w:numId w:val="20"/>
        </w:numPr>
      </w:pPr>
      <w:r>
        <w:rPr>
          <w:rFonts w:ascii="Figtree" w:hAnsi="Figtree"/>
          <w:b/>
          <w:i w:val="0"/>
          <w:sz w:val="22"/>
        </w:rPr>
        <w:t>Region Selection:</w:t>
      </w:r>
      <w:r>
        <w:rPr>
          <w:rFonts w:ascii="Figtree" w:hAnsi="Figtree"/>
          <w:b w:val="0"/>
          <w:i w:val="0"/>
          <w:sz w:val="22"/>
        </w:rPr>
        <w:t xml:space="preserve"> All data stores are provisioned in the specified region.</w:t>
      </w:r>
    </w:p>
    <w:p>
      <w:pPr>
        <w:pStyle w:val="ListParagraph"/>
        <w:numPr>
          <w:ilvl w:val="0"/>
          <w:numId w:val="20"/>
        </w:numPr>
      </w:pPr>
      <w:r>
        <w:rPr>
          <w:rFonts w:ascii="Figtree" w:hAnsi="Figtree"/>
          <w:b/>
          <w:i w:val="0"/>
          <w:sz w:val="22"/>
        </w:rPr>
        <w:t>Configuration Control:</w:t>
      </w:r>
      <w:r>
        <w:rPr>
          <w:rFonts w:ascii="Figtree" w:hAnsi="Figtree"/>
          <w:b w:val="0"/>
          <w:i w:val="0"/>
          <w:sz w:val="22"/>
        </w:rPr>
        <w:t xml:space="preserve"> Cross-region replication is disabled by default.</w:t>
      </w:r>
    </w:p>
    <w:p>
      <w:pPr>
        <w:pStyle w:val="ListParagraph"/>
        <w:numPr>
          <w:ilvl w:val="0"/>
          <w:numId w:val="20"/>
        </w:numPr>
      </w:pPr>
      <w:r>
        <w:rPr>
          <w:rFonts w:ascii="Figtree" w:hAnsi="Figtree"/>
          <w:b/>
          <w:i w:val="0"/>
          <w:sz w:val="22"/>
        </w:rPr>
        <w:t>Audit Trail:</w:t>
      </w:r>
      <w:r>
        <w:rPr>
          <w:rFonts w:ascii="Figtree" w:hAnsi="Figtree"/>
          <w:b w:val="0"/>
          <w:i w:val="0"/>
          <w:sz w:val="22"/>
        </w:rPr>
        <w:t xml:space="preserve"> Data flows are logged to demonstrate residency compliance.</w:t>
      </w:r>
    </w:p>
    <w:p>
      <w:pPr>
        <w:pStyle w:val="ListParagraph"/>
        <w:numPr>
          <w:ilvl w:val="0"/>
          <w:numId w:val="20"/>
        </w:numPr>
      </w:pPr>
      <w:r>
        <w:rPr>
          <w:rFonts w:ascii="Figtree" w:hAnsi="Figtree"/>
          <w:b/>
          <w:i w:val="0"/>
          <w:sz w:val="22"/>
        </w:rPr>
        <w:t>Legal Review:</w:t>
      </w:r>
      <w:r>
        <w:rPr>
          <w:rFonts w:ascii="Figtree" w:hAnsi="Figtree"/>
          <w:b w:val="0"/>
          <w:i w:val="0"/>
          <w:sz w:val="22"/>
        </w:rPr>
        <w:t xml:space="preserve"> Legal review confirms compliance with data residency requirements.</w:t>
      </w:r>
    </w:p>
    <w:p>
      <w:pPr>
        <w:pStyle w:val="H3"/>
        <w:numPr>
          <w:ilvl w:val="2"/>
          <w:numId w:val="1"/>
        </w:numPr>
      </w:pPr>
      <w:r>
        <w:t>Risk 8: Key Personnel Availability</w:t>
      </w:r>
    </w:p>
    <w:p>
      <w:r>
        <w:rPr>
          <w:rFonts w:ascii="Figtree" w:hAnsi="Figtree"/>
          <w:b/>
          <w:i w:val="0"/>
          <w:sz w:val="22"/>
        </w:rPr>
        <w:t>Likelihood: Low | Impact: Medium</w:t>
      </w:r>
    </w:p>
    <w:p>
      <w:r>
        <w:rPr>
          <w:rFonts w:ascii="Figtree" w:hAnsi="Figtree"/>
          <w:b w:val="0"/>
          <w:i w:val="0"/>
          <w:sz w:val="22"/>
        </w:rPr>
        <w:t>Key personnel from either party may become unavailable during the project.</w:t>
      </w:r>
    </w:p>
    <w:p>
      <w:r>
        <w:rPr>
          <w:rFonts w:ascii="Figtree" w:hAnsi="Figtree"/>
          <w:b/>
          <w:i w:val="0"/>
          <w:sz w:val="22"/>
        </w:rPr>
        <w:t>Mitigation Strategies:</w:t>
      </w:r>
    </w:p>
    <w:p>
      <w:pPr>
        <w:pStyle w:val="ListParagraph"/>
        <w:numPr>
          <w:ilvl w:val="0"/>
          <w:numId w:val="21"/>
        </w:numPr>
      </w:pPr>
      <w:r>
        <w:rPr>
          <w:rFonts w:ascii="Figtree" w:hAnsi="Figtree"/>
          <w:b/>
          <w:i w:val="0"/>
          <w:sz w:val="22"/>
        </w:rPr>
        <w:t>Team-Based Delivery:</w:t>
      </w:r>
      <w:r>
        <w:rPr>
          <w:rFonts w:ascii="Figtree" w:hAnsi="Figtree"/>
          <w:b w:val="0"/>
          <w:i w:val="0"/>
          <w:sz w:val="22"/>
        </w:rPr>
        <w:t xml:space="preserve"> No single point of failure; delivery is team-based.</w:t>
      </w:r>
    </w:p>
    <w:p>
      <w:pPr>
        <w:pStyle w:val="ListParagraph"/>
        <w:numPr>
          <w:ilvl w:val="0"/>
          <w:numId w:val="21"/>
        </w:numPr>
      </w:pPr>
      <w:r>
        <w:rPr>
          <w:rFonts w:ascii="Figtree" w:hAnsi="Figtree"/>
          <w:b/>
          <w:i w:val="0"/>
          <w:sz w:val="22"/>
        </w:rPr>
        <w:t>Cross-Training:</w:t>
      </w:r>
      <w:r>
        <w:rPr>
          <w:rFonts w:ascii="Figtree" w:hAnsi="Figtree"/>
          <w:b w:val="0"/>
          <w:i w:val="0"/>
          <w:sz w:val="22"/>
        </w:rPr>
        <w:t xml:space="preserve"> Team members are cross-trained on critical areas.</w:t>
      </w:r>
    </w:p>
    <w:p>
      <w:pPr>
        <w:pStyle w:val="ListParagraph"/>
        <w:numPr>
          <w:ilvl w:val="0"/>
          <w:numId w:val="21"/>
        </w:numPr>
      </w:pPr>
      <w:r>
        <w:rPr>
          <w:rFonts w:ascii="Figtree" w:hAnsi="Figtree"/>
          <w:b/>
          <w:i w:val="0"/>
          <w:sz w:val="22"/>
        </w:rPr>
        <w:t>Knowledge Transfer:</w:t>
      </w:r>
      <w:r>
        <w:rPr>
          <w:rFonts w:ascii="Figtree" w:hAnsi="Figtree"/>
          <w:b w:val="0"/>
          <w:i w:val="0"/>
          <w:sz w:val="22"/>
        </w:rPr>
        <w:t xml:space="preserve"> Knowledge transfer begins early and continues throughout.</w:t>
      </w:r>
    </w:p>
    <w:p>
      <w:pPr>
        <w:pStyle w:val="ListParagraph"/>
        <w:numPr>
          <w:ilvl w:val="0"/>
          <w:numId w:val="21"/>
        </w:numPr>
      </w:pPr>
      <w:r>
        <w:rPr>
          <w:rFonts w:ascii="Figtree" w:hAnsi="Figtree"/>
          <w:b/>
          <w:i w:val="0"/>
          <w:sz w:val="22"/>
        </w:rPr>
        <w:t>Backup Resources:</w:t>
      </w:r>
      <w:r>
        <w:rPr>
          <w:rFonts w:ascii="Figtree" w:hAnsi="Figtree"/>
          <w:b w:val="0"/>
          <w:i w:val="0"/>
          <w:sz w:val="22"/>
        </w:rPr>
        <w:t xml:space="preserve"> Backup resources are identified for critical roles.</w:t>
      </w:r>
    </w:p>
    <w:p>
      <w:pPr>
        <w:pStyle w:val="ListParagraph"/>
        <w:numPr>
          <w:ilvl w:val="0"/>
          <w:numId w:val="21"/>
        </w:numPr>
      </w:pPr>
      <w:r>
        <w:rPr>
          <w:rFonts w:ascii="Figtree" w:hAnsi="Figtree"/>
          <w:b/>
          <w:i w:val="0"/>
          <w:sz w:val="22"/>
        </w:rPr>
        <w:t>Documentation:</w:t>
      </w:r>
      <w:r>
        <w:rPr>
          <w:rFonts w:ascii="Figtree" w:hAnsi="Figtree"/>
          <w:b w:val="0"/>
          <w:i w:val="0"/>
          <w:sz w:val="22"/>
        </w:rPr>
        <w:t xml:space="preserve"> Complete documentation ensures continuity.</w:t>
      </w:r>
    </w:p>
    <w:p>
      <w:r>
        <w:br w:type="page"/>
      </w:r>
    </w:p>
    <w:p>
      <w:pPr>
        <w:pStyle w:val="H1"/>
        <w:numPr>
          <w:ilvl w:val="0"/>
          <w:numId w:val="1"/>
        </w:numPr>
      </w:pPr>
      <w:r>
        <w:t>22. Appendix: Quality Assurance Approach</w:t>
      </w:r>
    </w:p>
    <w:p>
      <w:pPr>
        <w:pStyle w:val="H2"/>
        <w:numPr>
          <w:ilvl w:val="1"/>
          <w:numId w:val="1"/>
        </w:numPr>
      </w:pPr>
      <w:r>
        <w:t>22.1 Testing Strategy</w:t>
      </w:r>
    </w:p>
    <w:p>
      <w:r>
        <w:rPr>
          <w:rFonts w:ascii="Figtree" w:hAnsi="Figtree"/>
          <w:b w:val="0"/>
          <w:i w:val="0"/>
          <w:sz w:val="22"/>
        </w:rPr>
        <w:t>The implementation follows a comprehensive testing strategy covering all aspects of the platform.</w:t>
      </w:r>
    </w:p>
    <w:p>
      <w:pPr>
        <w:pStyle w:val="H3"/>
        <w:numPr>
          <w:ilvl w:val="2"/>
          <w:numId w:val="1"/>
        </w:numPr>
      </w:pPr>
      <w:r>
        <w:t>22.1.1 Unit Testing</w:t>
      </w:r>
    </w:p>
    <w:p>
      <w:r>
        <w:rPr>
          <w:rFonts w:ascii="Figtree" w:hAnsi="Figtree"/>
          <w:b w:val="0"/>
          <w:i w:val="0"/>
          <w:sz w:val="22"/>
        </w:rPr>
        <w:t>Unit tests verify individual component functionality:</w:t>
      </w:r>
    </w:p>
    <w:p>
      <w:pPr>
        <w:pStyle w:val="ListParagraph"/>
        <w:numPr>
          <w:ilvl w:val="0"/>
          <w:numId w:val="4"/>
        </w:numPr>
      </w:pPr>
      <w:r>
        <w:rPr>
          <w:rFonts w:ascii="Figtree" w:hAnsi="Figtree"/>
          <w:b w:val="0"/>
          <w:i w:val="0"/>
          <w:sz w:val="22"/>
        </w:rPr>
        <w:t>Smart contract functions</w:t>
      </w:r>
    </w:p>
    <w:p>
      <w:pPr>
        <w:pStyle w:val="ListParagraph"/>
        <w:numPr>
          <w:ilvl w:val="0"/>
          <w:numId w:val="4"/>
        </w:numPr>
      </w:pPr>
      <w:r>
        <w:rPr>
          <w:rFonts w:ascii="Figtree" w:hAnsi="Figtree"/>
          <w:b w:val="0"/>
          <w:i w:val="0"/>
          <w:sz w:val="22"/>
        </w:rPr>
        <w:t>API endpoints</w:t>
      </w:r>
    </w:p>
    <w:p>
      <w:pPr>
        <w:pStyle w:val="ListParagraph"/>
        <w:numPr>
          <w:ilvl w:val="0"/>
          <w:numId w:val="4"/>
        </w:numPr>
      </w:pPr>
      <w:r>
        <w:rPr>
          <w:rFonts w:ascii="Figtree" w:hAnsi="Figtree"/>
          <w:b w:val="0"/>
          <w:i w:val="0"/>
          <w:sz w:val="22"/>
        </w:rPr>
        <w:t>Compliance modules</w:t>
      </w:r>
    </w:p>
    <w:p>
      <w:pPr>
        <w:pStyle w:val="ListParagraph"/>
        <w:numPr>
          <w:ilvl w:val="0"/>
          <w:numId w:val="4"/>
        </w:numPr>
      </w:pPr>
      <w:r>
        <w:rPr>
          <w:rFonts w:ascii="Figtree" w:hAnsi="Figtree"/>
          <w:b w:val="0"/>
          <w:i w:val="0"/>
          <w:sz w:val="22"/>
        </w:rPr>
        <w:t>Utility functions</w:t>
      </w:r>
    </w:p>
    <w:p>
      <w:r>
        <w:rPr>
          <w:rFonts w:ascii="Figtree" w:hAnsi="Figtree"/>
          <w:b/>
          <w:i w:val="0"/>
          <w:sz w:val="22"/>
        </w:rPr>
        <w:t>Coverage Target:</w:t>
      </w:r>
      <w:r>
        <w:rPr>
          <w:rFonts w:ascii="Figtree" w:hAnsi="Figtree"/>
          <w:b w:val="0"/>
          <w:i w:val="0"/>
          <w:sz w:val="22"/>
        </w:rPr>
        <w:t xml:space="preserve"> 90%+ code coverage for smart contracts</w:t>
      </w:r>
    </w:p>
    <w:p>
      <w:pPr>
        <w:pStyle w:val="H3"/>
        <w:numPr>
          <w:ilvl w:val="2"/>
          <w:numId w:val="1"/>
        </w:numPr>
      </w:pPr>
      <w:r>
        <w:t>22.1.2 Integration Testing</w:t>
      </w:r>
    </w:p>
    <w:p>
      <w:r>
        <w:rPr>
          <w:rFonts w:ascii="Figtree" w:hAnsi="Figtree"/>
          <w:b w:val="0"/>
          <w:i w:val="0"/>
          <w:sz w:val="22"/>
        </w:rPr>
        <w:t>Integration tests verify component interactions:</w:t>
      </w:r>
    </w:p>
    <w:p>
      <w:pPr>
        <w:pStyle w:val="ListParagraph"/>
        <w:numPr>
          <w:ilvl w:val="0"/>
          <w:numId w:val="4"/>
        </w:numPr>
      </w:pPr>
      <w:r>
        <w:rPr>
          <w:rFonts w:ascii="Figtree" w:hAnsi="Figtree"/>
          <w:b w:val="0"/>
          <w:i w:val="0"/>
          <w:sz w:val="22"/>
        </w:rPr>
        <w:t>API to database</w:t>
      </w:r>
    </w:p>
    <w:p>
      <w:pPr>
        <w:pStyle w:val="ListParagraph"/>
        <w:numPr>
          <w:ilvl w:val="0"/>
          <w:numId w:val="4"/>
        </w:numPr>
      </w:pPr>
      <w:r>
        <w:rPr>
          <w:rFonts w:ascii="Figtree" w:hAnsi="Figtree"/>
          <w:b w:val="0"/>
          <w:i w:val="0"/>
          <w:sz w:val="22"/>
        </w:rPr>
        <w:t>API to blockchain</w:t>
      </w:r>
    </w:p>
    <w:p>
      <w:pPr>
        <w:pStyle w:val="ListParagraph"/>
        <w:numPr>
          <w:ilvl w:val="0"/>
          <w:numId w:val="4"/>
        </w:numPr>
      </w:pPr>
      <w:r>
        <w:rPr>
          <w:rFonts w:ascii="Figtree" w:hAnsi="Figtree"/>
          <w:b w:val="0"/>
          <w:i w:val="0"/>
          <w:sz w:val="22"/>
        </w:rPr>
        <w:t>Cross-component workflows</w:t>
      </w:r>
    </w:p>
    <w:p>
      <w:r>
        <w:rPr>
          <w:rFonts w:ascii="Figtree" w:hAnsi="Figtree"/>
          <w:b/>
          <w:i w:val="0"/>
          <w:sz w:val="22"/>
        </w:rPr>
        <w:t>Environment:</w:t>
      </w:r>
      <w:r>
        <w:rPr>
          <w:rFonts w:ascii="Figtree" w:hAnsi="Figtree"/>
          <w:b w:val="0"/>
          <w:i w:val="0"/>
          <w:sz w:val="22"/>
        </w:rPr>
        <w:t xml:space="preserve"> Staging environment with test blockchain</w:t>
      </w:r>
    </w:p>
    <w:p>
      <w:pPr>
        <w:pStyle w:val="H3"/>
        <w:numPr>
          <w:ilvl w:val="2"/>
          <w:numId w:val="1"/>
        </w:numPr>
      </w:pPr>
      <w:r>
        <w:t>22.1.3 System Testing</w:t>
      </w:r>
    </w:p>
    <w:p>
      <w:r>
        <w:rPr>
          <w:rFonts w:ascii="Figtree" w:hAnsi="Figtree"/>
          <w:b w:val="0"/>
          <w:i w:val="0"/>
          <w:sz w:val="22"/>
        </w:rPr>
        <w:t>System tests verify end-to-end functionality:</w:t>
      </w:r>
    </w:p>
    <w:p>
      <w:pPr>
        <w:pStyle w:val="ListParagraph"/>
        <w:numPr>
          <w:ilvl w:val="0"/>
          <w:numId w:val="4"/>
        </w:numPr>
      </w:pPr>
      <w:r>
        <w:rPr>
          <w:rFonts w:ascii="Figtree" w:hAnsi="Figtree"/>
          <w:b w:val="0"/>
          <w:i w:val="0"/>
          <w:sz w:val="22"/>
        </w:rPr>
        <w:t>Complete asset lifecycle scenarios</w:t>
      </w:r>
    </w:p>
    <w:p>
      <w:pPr>
        <w:pStyle w:val="ListParagraph"/>
        <w:numPr>
          <w:ilvl w:val="0"/>
          <w:numId w:val="4"/>
        </w:numPr>
      </w:pPr>
      <w:r>
        <w:rPr>
          <w:rFonts w:ascii="Figtree" w:hAnsi="Figtree"/>
          <w:b w:val="0"/>
          <w:i w:val="0"/>
          <w:sz w:val="22"/>
        </w:rPr>
        <w:t>Compliance enforcement</w:t>
      </w:r>
    </w:p>
    <w:p>
      <w:pPr>
        <w:pStyle w:val="ListParagraph"/>
        <w:numPr>
          <w:ilvl w:val="0"/>
          <w:numId w:val="4"/>
        </w:numPr>
      </w:pPr>
      <w:r>
        <w:rPr>
          <w:rFonts w:ascii="Figtree" w:hAnsi="Figtree"/>
          <w:b w:val="0"/>
          <w:i w:val="0"/>
          <w:sz w:val="22"/>
        </w:rPr>
        <w:t>Settlement flows</w:t>
      </w:r>
    </w:p>
    <w:p>
      <w:r>
        <w:rPr>
          <w:rFonts w:ascii="Figtree" w:hAnsi="Figtree"/>
          <w:b/>
          <w:i w:val="0"/>
          <w:sz w:val="22"/>
        </w:rPr>
        <w:t>Environment:</w:t>
      </w:r>
      <w:r>
        <w:rPr>
          <w:rFonts w:ascii="Figtree" w:hAnsi="Figtree"/>
          <w:b w:val="0"/>
          <w:i w:val="0"/>
          <w:sz w:val="22"/>
        </w:rPr>
        <w:t xml:space="preserve"> Staging environment</w:t>
      </w:r>
    </w:p>
    <w:p>
      <w:pPr>
        <w:pStyle w:val="H3"/>
        <w:numPr>
          <w:ilvl w:val="2"/>
          <w:numId w:val="1"/>
        </w:numPr>
      </w:pPr>
      <w:r>
        <w:t>22.1.4 Security Testing</w:t>
      </w:r>
    </w:p>
    <w:p>
      <w:r>
        <w:rPr>
          <w:rFonts w:ascii="Figtree" w:hAnsi="Figtree"/>
          <w:b w:val="0"/>
          <w:i w:val="0"/>
          <w:sz w:val="22"/>
        </w:rPr>
        <w:t>Security tests identify vulnerabilities:</w:t>
      </w:r>
    </w:p>
    <w:p>
      <w:pPr>
        <w:pStyle w:val="ListParagraph"/>
        <w:numPr>
          <w:ilvl w:val="0"/>
          <w:numId w:val="4"/>
        </w:numPr>
      </w:pPr>
      <w:r>
        <w:rPr>
          <w:rFonts w:ascii="Figtree" w:hAnsi="Figtree"/>
          <w:b w:val="0"/>
          <w:i w:val="0"/>
          <w:sz w:val="22"/>
        </w:rPr>
        <w:t>Penetration testing</w:t>
      </w:r>
    </w:p>
    <w:p>
      <w:pPr>
        <w:pStyle w:val="ListParagraph"/>
        <w:numPr>
          <w:ilvl w:val="0"/>
          <w:numId w:val="4"/>
        </w:numPr>
      </w:pPr>
      <w:r>
        <w:rPr>
          <w:rFonts w:ascii="Figtree" w:hAnsi="Figtree"/>
          <w:b w:val="0"/>
          <w:i w:val="0"/>
          <w:sz w:val="22"/>
        </w:rPr>
        <w:t>Vulnerability scanning</w:t>
      </w:r>
    </w:p>
    <w:p>
      <w:pPr>
        <w:pStyle w:val="ListParagraph"/>
        <w:numPr>
          <w:ilvl w:val="0"/>
          <w:numId w:val="4"/>
        </w:numPr>
      </w:pPr>
      <w:r>
        <w:rPr>
          <w:rFonts w:ascii="Figtree" w:hAnsi="Figtree"/>
          <w:b w:val="0"/>
          <w:i w:val="0"/>
          <w:sz w:val="22"/>
        </w:rPr>
        <w:t>Access control testing</w:t>
      </w:r>
    </w:p>
    <w:p>
      <w:pPr>
        <w:pStyle w:val="ListParagraph"/>
        <w:numPr>
          <w:ilvl w:val="0"/>
          <w:numId w:val="4"/>
        </w:numPr>
      </w:pPr>
      <w:r>
        <w:rPr>
          <w:rFonts w:ascii="Figtree" w:hAnsi="Figtree"/>
          <w:b w:val="0"/>
          <w:i w:val="0"/>
          <w:sz w:val="22"/>
        </w:rPr>
        <w:t>Input validation testing</w:t>
      </w:r>
    </w:p>
    <w:p>
      <w:r>
        <w:rPr>
          <w:rFonts w:ascii="Figtree" w:hAnsi="Figtree"/>
          <w:b/>
          <w:i w:val="0"/>
          <w:sz w:val="22"/>
        </w:rPr>
        <w:t>Tools:</w:t>
      </w:r>
      <w:r>
        <w:rPr>
          <w:rFonts w:ascii="Figtree" w:hAnsi="Figtree"/>
          <w:b w:val="0"/>
          <w:i w:val="0"/>
          <w:sz w:val="22"/>
        </w:rPr>
        <w:t xml:space="preserve"> Industry-standard security testing tools</w:t>
      </w:r>
    </w:p>
    <w:p>
      <w:pPr>
        <w:pStyle w:val="H3"/>
        <w:numPr>
          <w:ilvl w:val="2"/>
          <w:numId w:val="1"/>
        </w:numPr>
      </w:pPr>
      <w:r>
        <w:t>22.1.5 Performance Testing</w:t>
      </w:r>
    </w:p>
    <w:p>
      <w:r>
        <w:rPr>
          <w:rFonts w:ascii="Figtree" w:hAnsi="Figtree"/>
          <w:b w:val="0"/>
          <w:i w:val="0"/>
          <w:sz w:val="22"/>
        </w:rPr>
        <w:t>Performance tests verify system behavior under load:</w:t>
      </w:r>
    </w:p>
    <w:p>
      <w:pPr>
        <w:pStyle w:val="ListParagraph"/>
        <w:numPr>
          <w:ilvl w:val="0"/>
          <w:numId w:val="4"/>
        </w:numPr>
      </w:pPr>
      <w:r>
        <w:rPr>
          <w:rFonts w:ascii="Figtree" w:hAnsi="Figtree"/>
          <w:b w:val="0"/>
          <w:i w:val="0"/>
          <w:sz w:val="22"/>
        </w:rPr>
        <w:t>API response times</w:t>
      </w:r>
    </w:p>
    <w:p>
      <w:pPr>
        <w:pStyle w:val="ListParagraph"/>
        <w:numPr>
          <w:ilvl w:val="0"/>
          <w:numId w:val="4"/>
        </w:numPr>
      </w:pPr>
      <w:r>
        <w:rPr>
          <w:rFonts w:ascii="Figtree" w:hAnsi="Figtree"/>
          <w:b w:val="0"/>
          <w:i w:val="0"/>
          <w:sz w:val="22"/>
        </w:rPr>
        <w:t>Transaction throughput</w:t>
      </w:r>
    </w:p>
    <w:p>
      <w:pPr>
        <w:pStyle w:val="ListParagraph"/>
        <w:numPr>
          <w:ilvl w:val="0"/>
          <w:numId w:val="4"/>
        </w:numPr>
      </w:pPr>
      <w:r>
        <w:rPr>
          <w:rFonts w:ascii="Figtree" w:hAnsi="Figtree"/>
          <w:b w:val="0"/>
          <w:i w:val="0"/>
          <w:sz w:val="22"/>
        </w:rPr>
        <w:t>Concurrent user capacity</w:t>
      </w:r>
    </w:p>
    <w:p>
      <w:r>
        <w:rPr>
          <w:rFonts w:ascii="Figtree" w:hAnsi="Figtree"/>
          <w:b/>
          <w:i w:val="0"/>
          <w:sz w:val="22"/>
        </w:rPr>
        <w:t>Environment:</w:t>
      </w:r>
      <w:r>
        <w:rPr>
          <w:rFonts w:ascii="Figtree" w:hAnsi="Figtree"/>
          <w:b w:val="0"/>
          <w:i w:val="0"/>
          <w:sz w:val="22"/>
        </w:rPr>
        <w:t xml:space="preserve"> Staging with production-like configuration</w:t>
      </w:r>
    </w:p>
    <w:p>
      <w:pPr>
        <w:pStyle w:val="H3"/>
        <w:numPr>
          <w:ilvl w:val="2"/>
          <w:numId w:val="1"/>
        </w:numPr>
      </w:pPr>
      <w:r>
        <w:t>22.1.6 User Acceptance Testing</w:t>
      </w:r>
    </w:p>
    <w:p>
      <w:r>
        <w:rPr>
          <w:rFonts w:ascii="Figtree" w:hAnsi="Figtree"/>
          <w:b w:val="0"/>
          <w:i w:val="0"/>
          <w:sz w:val="22"/>
        </w:rPr>
        <w:t>UAT validates business requirements:</w:t>
      </w:r>
    </w:p>
    <w:p>
      <w:pPr>
        <w:pStyle w:val="ListParagraph"/>
        <w:numPr>
          <w:ilvl w:val="0"/>
          <w:numId w:val="4"/>
        </w:numPr>
      </w:pPr>
      <w:r>
        <w:rPr>
          <w:rFonts w:ascii="Figtree" w:hAnsi="Figtree"/>
          <w:b w:val="0"/>
          <w:i w:val="0"/>
          <w:sz w:val="22"/>
        </w:rPr>
        <w:t>Business scenario testing</w:t>
      </w:r>
    </w:p>
    <w:p>
      <w:pPr>
        <w:pStyle w:val="ListParagraph"/>
        <w:numPr>
          <w:ilvl w:val="0"/>
          <w:numId w:val="4"/>
        </w:numPr>
      </w:pPr>
      <w:r>
        <w:rPr>
          <w:rFonts w:ascii="Figtree" w:hAnsi="Figtree"/>
          <w:b w:val="0"/>
          <w:i w:val="0"/>
          <w:sz w:val="22"/>
        </w:rPr>
        <w:t>Compliance validation</w:t>
      </w:r>
    </w:p>
    <w:p>
      <w:pPr>
        <w:pStyle w:val="ListParagraph"/>
        <w:numPr>
          <w:ilvl w:val="0"/>
          <w:numId w:val="4"/>
        </w:numPr>
      </w:pPr>
      <w:r>
        <w:rPr>
          <w:rFonts w:ascii="Figtree" w:hAnsi="Figtree"/>
          <w:b w:val="0"/>
          <w:i w:val="0"/>
          <w:sz w:val="22"/>
        </w:rPr>
        <w:t>Operational workflows</w:t>
      </w:r>
    </w:p>
    <w:p>
      <w:r>
        <w:rPr>
          <w:rFonts w:ascii="Figtree" w:hAnsi="Figtree"/>
          <w:b/>
          <w:i w:val="0"/>
          <w:sz w:val="22"/>
        </w:rPr>
        <w:t>Participants:</w:t>
      </w:r>
      <w:r>
        <w:rPr>
          <w:rFonts w:ascii="Figtree" w:hAnsi="Figtree"/>
          <w:b w:val="0"/>
          <w:i w:val="0"/>
          <w:sz w:val="22"/>
        </w:rPr>
        <w:t xml:space="preserve"> ADGM business and technical users</w:t>
      </w:r>
    </w:p>
    <w:p>
      <w:pPr>
        <w:pStyle w:val="H2"/>
        <w:numPr>
          <w:ilvl w:val="1"/>
          <w:numId w:val="1"/>
        </w:numPr>
      </w:pPr>
      <w:r>
        <w:t>22.2 Defect Management</w:t>
      </w:r>
    </w:p>
    <w:p>
      <w:pPr>
        <w:pStyle w:val="H3"/>
        <w:numPr>
          <w:ilvl w:val="2"/>
          <w:numId w:val="1"/>
        </w:numPr>
      </w:pPr>
      <w:r>
        <w:t>22.2.1 Severity Levels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84"/>
        <w:gridCol w:w="2980"/>
        <w:gridCol w:w="440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Examples</w:t>
            </w:r>
          </w:p>
        </w:tc>
      </w:tr>
      <w:tr>
        <w:trPr>
          <w:trHeight w:val="425" w:hRule="atLeast"/>
        </w:trPr>
        <w:tc>
          <w:tcPr>
            <w:tcW w:type="dxa" w:w="3249"/>
            <w:vAlign w:val="center"/>
          </w:tcPr>
          <w:p>
            <w:pPr>
              <w:spacing w:line="276" w:lineRule="auto" w:before="0" w:after="0"/>
            </w:pPr>
            <w:r/>
            <w:r>
              <w:rPr>
                <w:rFonts w:ascii="Figtree" w:hAnsi="Figtree"/>
                <w:b w:val="0"/>
                <w:i w:val="0"/>
                <w:sz w:val="20"/>
              </w:rPr>
              <w:t>Critical (P1)</w:t>
            </w:r>
          </w:p>
        </w:tc>
        <w:tc>
          <w:tcPr>
            <w:tcW w:type="dxa" w:w="3249"/>
            <w:vAlign w:val="center"/>
          </w:tcPr>
          <w:p>
            <w:pPr>
              <w:spacing w:line="276" w:lineRule="auto" w:before="0" w:after="0"/>
            </w:pPr>
            <w:r/>
            <w:r>
              <w:rPr>
                <w:rFonts w:ascii="Figtree" w:hAnsi="Figtree"/>
                <w:b w:val="0"/>
                <w:i w:val="0"/>
                <w:sz w:val="20"/>
              </w:rPr>
              <w:t>System down, data loss</w:t>
            </w:r>
          </w:p>
        </w:tc>
        <w:tc>
          <w:tcPr>
            <w:tcW w:type="dxa" w:w="3249"/>
            <w:vAlign w:val="center"/>
          </w:tcPr>
          <w:p>
            <w:pPr>
              <w:spacing w:line="276" w:lineRule="auto" w:before="0" w:after="0"/>
            </w:pPr>
            <w:r/>
            <w:r>
              <w:rPr>
                <w:rFonts w:ascii="Figtree" w:hAnsi="Figtree"/>
                <w:b w:val="0"/>
                <w:i w:val="0"/>
                <w:sz w:val="20"/>
              </w:rPr>
              <w:t>Production outage, data corruption</w:t>
            </w:r>
          </w:p>
        </w:tc>
      </w:tr>
      <w:tr>
        <w:trPr>
          <w:trHeight w:val="425" w:hRule="atLeast"/>
        </w:trPr>
        <w:tc>
          <w:tcPr>
            <w:tcW w:type="dxa" w:w="3249"/>
            <w:vAlign w:val="center"/>
          </w:tcPr>
          <w:p>
            <w:pPr>
              <w:spacing w:line="276" w:lineRule="auto" w:before="0" w:after="0"/>
            </w:pPr>
            <w:r/>
            <w:r>
              <w:rPr>
                <w:rFonts w:ascii="Figtree" w:hAnsi="Figtree"/>
                <w:b w:val="0"/>
                <w:i w:val="0"/>
                <w:sz w:val="20"/>
              </w:rPr>
              <w:t>High (P2)</w:t>
            </w:r>
          </w:p>
        </w:tc>
        <w:tc>
          <w:tcPr>
            <w:tcW w:type="dxa" w:w="3249"/>
            <w:vAlign w:val="center"/>
          </w:tcPr>
          <w:p>
            <w:pPr>
              <w:spacing w:line="276" w:lineRule="auto" w:before="0" w:after="0"/>
            </w:pPr>
            <w:r/>
            <w:r>
              <w:rPr>
                <w:rFonts w:ascii="Figtree" w:hAnsi="Figtree"/>
                <w:b w:val="0"/>
                <w:i w:val="0"/>
                <w:sz w:val="20"/>
              </w:rPr>
              <w:t>Major feature broken</w:t>
            </w:r>
          </w:p>
        </w:tc>
        <w:tc>
          <w:tcPr>
            <w:tcW w:type="dxa" w:w="3249"/>
            <w:vAlign w:val="center"/>
          </w:tcPr>
          <w:p>
            <w:pPr>
              <w:spacing w:line="276" w:lineRule="auto" w:before="0" w:after="0"/>
            </w:pPr>
            <w:r/>
            <w:r>
              <w:rPr>
                <w:rFonts w:ascii="Figtree" w:hAnsi="Figtree"/>
                <w:b w:val="0"/>
                <w:i w:val="0"/>
                <w:sz w:val="20"/>
              </w:rPr>
              <w:t>Core functionality unavailable</w:t>
            </w:r>
          </w:p>
        </w:tc>
      </w:tr>
      <w:tr>
        <w:trPr>
          <w:trHeight w:val="425" w:hRule="atLeast"/>
        </w:trPr>
        <w:tc>
          <w:tcPr>
            <w:tcW w:type="dxa" w:w="3249"/>
            <w:vAlign w:val="center"/>
          </w:tcPr>
          <w:p>
            <w:pPr>
              <w:spacing w:line="276" w:lineRule="auto" w:before="0" w:after="0"/>
            </w:pPr>
            <w:r/>
            <w:r>
              <w:rPr>
                <w:rFonts w:ascii="Figtree" w:hAnsi="Figtree"/>
                <w:b w:val="0"/>
                <w:i w:val="0"/>
                <w:sz w:val="20"/>
              </w:rPr>
              <w:t>Medium (P3)</w:t>
            </w:r>
          </w:p>
        </w:tc>
        <w:tc>
          <w:tcPr>
            <w:tcW w:type="dxa" w:w="3249"/>
            <w:vAlign w:val="center"/>
          </w:tcPr>
          <w:p>
            <w:pPr>
              <w:spacing w:line="276" w:lineRule="auto" w:before="0" w:after="0"/>
            </w:pPr>
            <w:r/>
            <w:r>
              <w:rPr>
                <w:rFonts w:ascii="Figtree" w:hAnsi="Figtree"/>
                <w:b w:val="0"/>
                <w:i w:val="0"/>
                <w:sz w:val="20"/>
              </w:rPr>
              <w:t>Feature partially works</w:t>
            </w:r>
          </w:p>
        </w:tc>
        <w:tc>
          <w:tcPr>
            <w:tcW w:type="dxa" w:w="3249"/>
            <w:vAlign w:val="center"/>
          </w:tcPr>
          <w:p>
            <w:pPr>
              <w:spacing w:line="276" w:lineRule="auto" w:before="0" w:after="0"/>
            </w:pPr>
            <w:r/>
            <w:r>
              <w:rPr>
                <w:rFonts w:ascii="Figtree" w:hAnsi="Figtree"/>
                <w:b w:val="0"/>
                <w:i w:val="0"/>
                <w:sz w:val="20"/>
              </w:rPr>
              <w:t>Workaround available</w:t>
            </w:r>
          </w:p>
        </w:tc>
      </w:tr>
      <w:tr>
        <w:trPr>
          <w:trHeight w:val="425" w:hRule="atLeast"/>
        </w:trPr>
        <w:tc>
          <w:tcPr>
            <w:tcW w:type="dxa" w:w="3249"/>
            <w:vAlign w:val="center"/>
          </w:tcPr>
          <w:p>
            <w:pPr>
              <w:spacing w:line="276" w:lineRule="auto" w:before="0" w:after="0"/>
            </w:pPr>
            <w:r/>
            <w:r>
              <w:rPr>
                <w:rFonts w:ascii="Figtree" w:hAnsi="Figtree"/>
                <w:b w:val="0"/>
                <w:i w:val="0"/>
                <w:sz w:val="20"/>
              </w:rPr>
              <w:t>Low (P4)</w:t>
            </w:r>
          </w:p>
        </w:tc>
        <w:tc>
          <w:tcPr>
            <w:tcW w:type="dxa" w:w="3249"/>
            <w:vAlign w:val="center"/>
          </w:tcPr>
          <w:p>
            <w:pPr>
              <w:spacing w:line="276" w:lineRule="auto" w:before="0" w:after="0"/>
            </w:pPr>
            <w:r/>
            <w:r>
              <w:rPr>
                <w:rFonts w:ascii="Figtree" w:hAnsi="Figtree"/>
                <w:b w:val="0"/>
                <w:i w:val="0"/>
                <w:sz w:val="20"/>
              </w:rPr>
              <w:t>Minor issue</w:t>
            </w:r>
          </w:p>
        </w:tc>
        <w:tc>
          <w:tcPr>
            <w:tcW w:type="dxa" w:w="3249"/>
            <w:vAlign w:val="center"/>
          </w:tcPr>
          <w:p>
            <w:pPr>
              <w:spacing w:line="276" w:lineRule="auto" w:before="0" w:after="0"/>
            </w:pPr>
            <w:r/>
            <w:r>
              <w:rPr>
                <w:rFonts w:ascii="Figtree" w:hAnsi="Figtree"/>
                <w:b w:val="0"/>
                <w:i w:val="0"/>
                <w:sz w:val="20"/>
              </w:rPr>
              <w:t>Cosmetic issues, documentation</w:t>
            </w:r>
          </w:p>
        </w:tc>
      </w:tr>
    </w:tbl>
    <w:p>
      <w:pPr>
        <w:spacing w:before="0" w:after="0" w:line="120" w:lineRule="exact"/>
      </w:pPr>
    </w:p>
    <w:p>
      <w:pPr>
        <w:pStyle w:val="H3"/>
        <w:numPr>
          <w:ilvl w:val="2"/>
          <w:numId w:val="1"/>
        </w:numPr>
      </w:pPr>
      <w:r>
        <w:t>22.2.2 Resolution Targets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12"/>
        <w:gridCol w:w="3427"/>
        <w:gridCol w:w="403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 Resolution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Escalation Path</w:t>
            </w:r>
          </w:p>
        </w:tc>
      </w:tr>
      <w:tr>
        <w:trPr>
          <w:trHeight w:val="425" w:hRule="atLeast"/>
        </w:trPr>
        <w:tc>
          <w:tcPr>
            <w:tcW w:type="dxa" w:w="3249"/>
            <w:vAlign w:val="center"/>
          </w:tcPr>
          <w:p>
            <w:pPr>
              <w:spacing w:line="276" w:lineRule="auto" w:before="0" w:after="0"/>
            </w:pPr>
            <w:r/>
            <w:r>
              <w:rPr>
                <w:rFonts w:ascii="Figtree" w:hAnsi="Figtree"/>
                <w:b w:val="0"/>
                <w:i w:val="0"/>
                <w:sz w:val="20"/>
              </w:rPr>
              <w:t>Critical</w:t>
            </w:r>
          </w:p>
        </w:tc>
        <w:tc>
          <w:tcPr>
            <w:tcW w:type="dxa" w:w="3249"/>
            <w:vAlign w:val="center"/>
          </w:tcPr>
          <w:p>
            <w:pPr>
              <w:spacing w:line="276" w:lineRule="auto" w:before="0" w:after="0"/>
            </w:pPr>
            <w:r/>
            <w:r>
              <w:rPr>
                <w:rFonts w:ascii="Figtree" w:hAnsi="Figtree"/>
                <w:b w:val="0"/>
                <w:i w:val="0"/>
                <w:sz w:val="20"/>
              </w:rPr>
              <w:t>8 hours</w:t>
            </w:r>
          </w:p>
        </w:tc>
        <w:tc>
          <w:tcPr>
            <w:tcW w:type="dxa" w:w="3249"/>
            <w:vAlign w:val="center"/>
          </w:tcPr>
          <w:p>
            <w:pPr>
              <w:spacing w:line="276" w:lineRule="auto" w:before="0" w:after="0"/>
            </w:pPr>
            <w:r/>
            <w:r>
              <w:rPr>
                <w:rFonts w:ascii="Figtree" w:hAnsi="Figtree"/>
                <w:b w:val="0"/>
                <w:i w:val="0"/>
                <w:sz w:val="20"/>
              </w:rPr>
              <w:t>Immediate escalation</w:t>
            </w:r>
          </w:p>
        </w:tc>
      </w:tr>
      <w:tr>
        <w:trPr>
          <w:trHeight w:val="425" w:hRule="atLeast"/>
        </w:trPr>
        <w:tc>
          <w:tcPr>
            <w:tcW w:type="dxa" w:w="3249"/>
            <w:vAlign w:val="center"/>
          </w:tcPr>
          <w:p>
            <w:pPr>
              <w:spacing w:line="276" w:lineRule="auto" w:before="0" w:after="0"/>
            </w:pPr>
            <w:r/>
            <w:r>
              <w:rPr>
                <w:rFonts w:ascii="Figtree" w:hAnsi="Figtree"/>
                <w:b w:val="0"/>
                <w:i w:val="0"/>
                <w:sz w:val="20"/>
              </w:rPr>
              <w:t>High</w:t>
            </w:r>
          </w:p>
        </w:tc>
        <w:tc>
          <w:tcPr>
            <w:tcW w:type="dxa" w:w="3249"/>
            <w:vAlign w:val="center"/>
          </w:tcPr>
          <w:p>
            <w:pPr>
              <w:spacing w:line="276" w:lineRule="auto" w:before="0" w:after="0"/>
            </w:pPr>
            <w:r/>
            <w:r>
              <w:rPr>
                <w:rFonts w:ascii="Figtree" w:hAnsi="Figtree"/>
                <w:b w:val="0"/>
                <w:i w:val="0"/>
                <w:sz w:val="20"/>
              </w:rPr>
              <w:t>24 hours</w:t>
            </w:r>
          </w:p>
        </w:tc>
        <w:tc>
          <w:tcPr>
            <w:tcW w:type="dxa" w:w="3249"/>
            <w:vAlign w:val="center"/>
          </w:tcPr>
          <w:p>
            <w:pPr>
              <w:spacing w:line="276" w:lineRule="auto" w:before="0" w:after="0"/>
            </w:pPr>
            <w:r/>
            <w:r>
              <w:rPr>
                <w:rFonts w:ascii="Figtree" w:hAnsi="Figtree"/>
                <w:b w:val="0"/>
                <w:i w:val="0"/>
                <w:sz w:val="20"/>
              </w:rPr>
              <w:t>Daily escalation</w:t>
            </w:r>
          </w:p>
        </w:tc>
      </w:tr>
      <w:tr>
        <w:trPr>
          <w:trHeight w:val="425" w:hRule="atLeast"/>
        </w:trPr>
        <w:tc>
          <w:tcPr>
            <w:tcW w:type="dxa" w:w="3249"/>
            <w:vAlign w:val="center"/>
          </w:tcPr>
          <w:p>
            <w:pPr>
              <w:spacing w:line="276" w:lineRule="auto" w:before="0" w:after="0"/>
            </w:pPr>
            <w:r/>
            <w:r>
              <w:rPr>
                <w:rFonts w:ascii="Figtree" w:hAnsi="Figtree"/>
                <w:b w:val="0"/>
                <w:i w:val="0"/>
                <w:sz w:val="20"/>
              </w:rPr>
              <w:t>Medium</w:t>
            </w:r>
          </w:p>
        </w:tc>
        <w:tc>
          <w:tcPr>
            <w:tcW w:type="dxa" w:w="3249"/>
            <w:vAlign w:val="center"/>
          </w:tcPr>
          <w:p>
            <w:pPr>
              <w:spacing w:line="276" w:lineRule="auto" w:before="0" w:after="0"/>
            </w:pPr>
            <w:r/>
            <w:r>
              <w:rPr>
                <w:rFonts w:ascii="Figtree" w:hAnsi="Figtree"/>
                <w:b w:val="0"/>
                <w:i w:val="0"/>
                <w:sz w:val="20"/>
              </w:rPr>
              <w:t>5 days</w:t>
            </w:r>
          </w:p>
        </w:tc>
        <w:tc>
          <w:tcPr>
            <w:tcW w:type="dxa" w:w="3249"/>
            <w:vAlign w:val="center"/>
          </w:tcPr>
          <w:p>
            <w:pPr>
              <w:spacing w:line="276" w:lineRule="auto" w:before="0" w:after="0"/>
            </w:pPr>
            <w:r/>
            <w:r>
              <w:rPr>
                <w:rFonts w:ascii="Figtree" w:hAnsi="Figtree"/>
                <w:b w:val="0"/>
                <w:i w:val="0"/>
                <w:sz w:val="20"/>
              </w:rPr>
              <w:t>Weekly review</w:t>
            </w:r>
          </w:p>
        </w:tc>
      </w:tr>
      <w:tr>
        <w:trPr>
          <w:trHeight w:val="425" w:hRule="atLeast"/>
        </w:trPr>
        <w:tc>
          <w:tcPr>
            <w:tcW w:type="dxa" w:w="3249"/>
            <w:vAlign w:val="center"/>
          </w:tcPr>
          <w:p>
            <w:pPr>
              <w:spacing w:line="276" w:lineRule="auto" w:before="0" w:after="0"/>
            </w:pPr>
            <w:r/>
            <w:r>
              <w:rPr>
                <w:rFonts w:ascii="Figtree" w:hAnsi="Figtree"/>
                <w:b w:val="0"/>
                <w:i w:val="0"/>
                <w:sz w:val="20"/>
              </w:rPr>
              <w:t>Low</w:t>
            </w:r>
          </w:p>
        </w:tc>
        <w:tc>
          <w:tcPr>
            <w:tcW w:type="dxa" w:w="3249"/>
            <w:vAlign w:val="center"/>
          </w:tcPr>
          <w:p>
            <w:pPr>
              <w:spacing w:line="276" w:lineRule="auto" w:before="0" w:after="0"/>
            </w:pPr>
            <w:r/>
            <w:r>
              <w:rPr>
                <w:rFonts w:ascii="Figtree" w:hAnsi="Figtree"/>
                <w:b w:val="0"/>
                <w:i w:val="0"/>
                <w:sz w:val="20"/>
              </w:rPr>
              <w:t>Next release</w:t>
            </w:r>
          </w:p>
        </w:tc>
        <w:tc>
          <w:tcPr>
            <w:tcW w:type="dxa" w:w="3249"/>
            <w:vAlign w:val="center"/>
          </w:tcPr>
          <w:p>
            <w:pPr>
              <w:spacing w:line="276" w:lineRule="auto" w:before="0" w:after="0"/>
            </w:pPr>
            <w:r/>
            <w:r>
              <w:rPr>
                <w:rFonts w:ascii="Figtree" w:hAnsi="Figtree"/>
                <w:b w:val="0"/>
                <w:i w:val="0"/>
                <w:sz w:val="20"/>
              </w:rPr>
              <w:t>Monthly review</w:t>
            </w:r>
          </w:p>
        </w:tc>
      </w:tr>
    </w:tbl>
    <w:p>
      <w:pPr>
        <w:spacing w:before="0" w:after="0" w:line="120" w:lineRule="exact"/>
      </w:pPr>
    </w:p>
    <w:p>
      <w:r>
        <w:br w:type="page"/>
      </w:r>
    </w:p>
    <w:p>
      <w:pPr>
        <w:pStyle w:val="H1"/>
        <w:numPr>
          <w:ilvl w:val="0"/>
          <w:numId w:val="1"/>
        </w:numPr>
      </w:pPr>
      <w:r>
        <w:t>23. Final Notes</w:t>
      </w:r>
    </w:p>
    <w:p>
      <w:r>
        <w:rPr>
          <w:rFonts w:ascii="Figtree" w:hAnsi="Figtree"/>
          <w:b w:val="0"/>
          <w:i w:val="0"/>
          <w:sz w:val="22"/>
        </w:rPr>
        <w:t>This technical proposal has been prepared in response to ADGM's RFP for a Digital Asset Regulatory Framework Support Platform. The proposal demonstrates SettleMint's capability to deliver a production-grade platform that meets ADGM's functional requirements, control expectations, and timeline objectives.</w:t>
      </w:r>
    </w:p>
    <w:p>
      <w:r>
        <w:rPr>
          <w:rFonts w:ascii="Figtree" w:hAnsi="Figtree"/>
          <w:b w:val="0"/>
          <w:i w:val="0"/>
          <w:sz w:val="22"/>
        </w:rPr>
        <w:t>SettleMint welcomes the opportunity to discuss this proposal in further detail and to address any questions the evaluation team may have.</w:t>
      </w:r>
    </w:p>
    <w:p>
      <w:r>
        <w:br w:type="page"/>
      </w:r>
    </w:p>
    <w:p>
      <w:r>
        <w:rPr>
          <w:rFonts w:ascii="Figtree" w:hAnsi="Figtree"/>
          <w:b w:val="0"/>
          <w:i/>
          <w:sz w:val="22"/>
        </w:rPr>
        <w:t>End of Technical Proposal</w:t>
      </w:r>
    </w:p>
    <w:p>
      <w:r>
        <w:rPr>
          <w:rFonts w:ascii="Figtree" w:hAnsi="Figtree"/>
          <w:b w:val="0"/>
          <w:i/>
          <w:sz w:val="22"/>
        </w:rPr>
        <w:t>Document Version: 1.0</w:t>
      </w:r>
    </w:p>
    <w:p>
      <w:r>
        <w:rPr>
          <w:rFonts w:ascii="Figtree" w:hAnsi="Figtree"/>
          <w:b w:val="0"/>
          <w:i/>
          <w:sz w:val="22"/>
        </w:rPr>
        <w:t>Total Length: Approximately 2,750 lines | 18,000+ words | 18 Mermaid Diagrams</w:t>
      </w:r>
    </w:p>
    <w:p>
      <w:r>
        <w:rPr>
          <w:rFonts w:ascii="Figtree" w:hAnsi="Figtree"/>
          <w:b w:val="0"/>
          <w:i/>
          <w:sz w:val="22"/>
        </w:rPr>
        <w:t>Date: March 17, 2026</w:t>
      </w:r>
    </w:p>
    <w:p>
      <w:r>
        <w:br w:type="page"/>
      </w:r>
    </w:p>
    <w:p>
      <w:pPr>
        <w:pStyle w:val="H1"/>
        <w:numPr>
          <w:ilvl w:val="0"/>
          <w:numId w:val="1"/>
        </w:numPr>
      </w:pPr>
      <w:r>
        <w:t>24. Executive Summary: Why SettleMint Wins This Deal</w:t>
      </w:r>
    </w:p>
    <w:p>
      <w:pPr>
        <w:pStyle w:val="H2"/>
        <w:numPr>
          <w:ilvl w:val="1"/>
          <w:numId w:val="1"/>
        </w:numPr>
      </w:pPr>
      <w:r>
        <w:t>24.1 Summary of Differentiators</w:t>
      </w:r>
    </w:p>
    <w:p>
      <w:r>
        <w:rPr>
          <w:rFonts w:ascii="Figtree" w:hAnsi="Figtree"/>
          <w:b w:val="0"/>
          <w:i w:val="0"/>
          <w:sz w:val="22"/>
        </w:rPr>
        <w:t>SettleMint wins this deal based on five key differentiators that align directly with ADGM's evaluation criteria:</w:t>
      </w:r>
    </w:p>
    <w:p>
      <w:r>
        <w:rPr>
          <w:rFonts w:ascii="Figtree" w:hAnsi="Figtree"/>
          <w:b/>
          <w:i w:val="0"/>
          <w:sz w:val="22"/>
        </w:rPr>
        <w:t>1. Direct ADGM Ecosystem Experience</w:t>
      </w:r>
    </w:p>
    <w:p>
      <w:r>
        <w:rPr>
          <w:rFonts w:ascii="Figtree" w:hAnsi="Figtree"/>
          <w:b w:val="0"/>
          <w:i w:val="0"/>
          <w:sz w:val="22"/>
        </w:rPr>
        <w:t>SettleMint has already delivered the ADI-Finstreet programme on ADI mainnet. This reference demonstrates direct familiarity with Abu Dhabi's digital asset ecosystem, regulatory framework, and market infrastructure. There is no learning curve. SettleMint understands ADGM's specific context because SettleMint has already worked within it. This is the strongest possible evidence of delivery capability in the target market.</w:t>
      </w:r>
    </w:p>
    <w:p>
      <w:r>
        <w:rPr>
          <w:rFonts w:ascii="Figtree" w:hAnsi="Figtree"/>
          <w:b/>
          <w:i w:val="0"/>
          <w:sz w:val="22"/>
        </w:rPr>
        <w:t>2. Sovereign-Scale Production Credentials</w:t>
      </w:r>
    </w:p>
    <w:p>
      <w:r>
        <w:rPr>
          <w:rFonts w:ascii="Figtree" w:hAnsi="Figtree"/>
          <w:b w:val="0"/>
          <w:i w:val="0"/>
          <w:sz w:val="22"/>
        </w:rPr>
        <w:t>The Saudi Arabia Real Estate Registry programme went live in January 2026 as the first country-scale blockchain for property registration. This programme demonstrates SettleMint's ability to deliver national-scale infrastructure under government supervision with live transaction processing. The governance, auditability, multi-participant coordination, and regulatory alignment required for this programme directly transfer to ADGM's supervisory platform requirements.</w:t>
      </w:r>
    </w:p>
    <w:p>
      <w:r>
        <w:rPr>
          <w:rFonts w:ascii="Figtree" w:hAnsi="Figtree"/>
          <w:b/>
          <w:i w:val="0"/>
          <w:sz w:val="22"/>
        </w:rPr>
        <w:t>3. Regulatory Compliance Depth</w:t>
      </w:r>
    </w:p>
    <w:p>
      <w:r>
        <w:rPr>
          <w:rFonts w:ascii="Figtree" w:hAnsi="Figtree"/>
          <w:b w:val="0"/>
          <w:i w:val="0"/>
          <w:sz w:val="22"/>
        </w:rPr>
        <w:t>DALP's modular compliance engine with 18 module types built on ERC-3643 provides the granular control required for FSMR compliance, UAE AML/CFT requirements, and supervisory evidence production. This is not a generic tokenization engine dressed up for regulated markets. This is a platform purpose-built for institutional compliance. The compliance engine enforces rules on-chain, not in application code. Every transfer check is logged, auditable, and produces evidence suitable for regulatory examination.</w:t>
      </w:r>
    </w:p>
    <w:p>
      <w:r>
        <w:rPr>
          <w:rFonts w:ascii="Figtree" w:hAnsi="Figtree"/>
          <w:b/>
          <w:i w:val="0"/>
          <w:sz w:val="22"/>
        </w:rPr>
        <w:t>4. Production-Grade Security Posture</w:t>
      </w:r>
    </w:p>
    <w:p>
      <w:r>
        <w:rPr>
          <w:rFonts w:ascii="Figtree" w:hAnsi="Figtree"/>
          <w:b w:val="0"/>
          <w:i w:val="0"/>
          <w:sz w:val="22"/>
        </w:rPr>
        <w:t>ISO 27001 and SOC 2 Type II certifications confirm security controls meet institutional standards. Successful tier-1 bank vendor assessments validate that SettleMint can pass the rigorous security review processes that ADGM's procurement, risk, and information security teams require. Security is not an afterthought; it is embedded in the platform architecture at every layer.</w:t>
      </w:r>
    </w:p>
    <w:p>
      <w:r>
        <w:rPr>
          <w:rFonts w:ascii="Figtree" w:hAnsi="Figtree"/>
          <w:b/>
          <w:i w:val="0"/>
          <w:sz w:val="22"/>
        </w:rPr>
        <w:t>5. Regional Presence and Support</w:t>
      </w:r>
    </w:p>
    <w:p>
      <w:r>
        <w:rPr>
          <w:rFonts w:ascii="Figtree" w:hAnsi="Figtree"/>
          <w:b w:val="0"/>
          <w:i w:val="0"/>
          <w:sz w:val="22"/>
        </w:rPr>
        <w:t>Active programmes in the Gulf region with local support capabilities provide on-the-ground responsiveness. ADGM receives regional support from a team that understands the local market, regulatory context, and operational expectations. This is not a European company selling remotely into the Middle East. This is a company with regional programmes, regional relationships, and regional commitment.</w:t>
      </w:r>
    </w:p>
    <w:p>
      <w:pPr>
        <w:pStyle w:val="H2"/>
        <w:numPr>
          <w:ilvl w:val="1"/>
          <w:numId w:val="1"/>
        </w:numPr>
      </w:pPr>
      <w:r>
        <w:t>24.2 Confidence Level</w:t>
      </w:r>
    </w:p>
    <w:p>
      <w:r>
        <w:rPr>
          <w:rFonts w:ascii="Figtree" w:hAnsi="Figtree"/>
          <w:b w:val="0"/>
          <w:i w:val="0"/>
          <w:sz w:val="22"/>
        </w:rPr>
        <w:t>SettleMint approaches this opportunity with high confidence based on:</w:t>
      </w:r>
    </w:p>
    <w:p>
      <w:pPr>
        <w:pStyle w:val="ListParagraph"/>
        <w:numPr>
          <w:ilvl w:val="0"/>
          <w:numId w:val="4"/>
        </w:numPr>
      </w:pPr>
      <w:r>
        <w:rPr>
          <w:rFonts w:ascii="Figtree" w:hAnsi="Figtree"/>
          <w:b w:val="0"/>
          <w:i w:val="0"/>
          <w:sz w:val="22"/>
        </w:rPr>
        <w:t>Direct reference fit with ADI-Finstreet</w:t>
      </w:r>
    </w:p>
    <w:p>
      <w:pPr>
        <w:pStyle w:val="ListParagraph"/>
        <w:numPr>
          <w:ilvl w:val="0"/>
          <w:numId w:val="4"/>
        </w:numPr>
      </w:pPr>
      <w:r>
        <w:rPr>
          <w:rFonts w:ascii="Figtree" w:hAnsi="Figtree"/>
          <w:b w:val="0"/>
          <w:i w:val="0"/>
          <w:sz w:val="22"/>
        </w:rPr>
        <w:t>Proven sovereign-scale delivery with Saudi RER</w:t>
      </w:r>
    </w:p>
    <w:p>
      <w:pPr>
        <w:pStyle w:val="ListParagraph"/>
        <w:numPr>
          <w:ilvl w:val="0"/>
          <w:numId w:val="4"/>
        </w:numPr>
      </w:pPr>
      <w:r>
        <w:rPr>
          <w:rFonts w:ascii="Figtree" w:hAnsi="Figtree"/>
          <w:b w:val="0"/>
          <w:i w:val="0"/>
          <w:sz w:val="22"/>
        </w:rPr>
        <w:t>Technical architecture that maps cleanly to ADGM requirements</w:t>
      </w:r>
    </w:p>
    <w:p>
      <w:pPr>
        <w:pStyle w:val="ListParagraph"/>
        <w:numPr>
          <w:ilvl w:val="0"/>
          <w:numId w:val="4"/>
        </w:numPr>
      </w:pPr>
      <w:r>
        <w:rPr>
          <w:rFonts w:ascii="Figtree" w:hAnsi="Figtree"/>
          <w:b w:val="0"/>
          <w:i w:val="0"/>
          <w:sz w:val="22"/>
        </w:rPr>
        <w:t>Regulatory alignment through ERC-3643 and modular compliance</w:t>
      </w:r>
    </w:p>
    <w:p>
      <w:pPr>
        <w:pStyle w:val="ListParagraph"/>
        <w:numPr>
          <w:ilvl w:val="0"/>
          <w:numId w:val="4"/>
        </w:numPr>
      </w:pPr>
      <w:r>
        <w:rPr>
          <w:rFonts w:ascii="Figtree" w:hAnsi="Figtree"/>
          <w:b w:val="0"/>
          <w:i w:val="0"/>
          <w:sz w:val="22"/>
        </w:rPr>
        <w:t>Security certifications that satisfy institutional procurement requirements</w:t>
      </w:r>
    </w:p>
    <w:p>
      <w:pPr>
        <w:pStyle w:val="ListParagraph"/>
        <w:numPr>
          <w:ilvl w:val="0"/>
          <w:numId w:val="4"/>
        </w:numPr>
      </w:pPr>
      <w:r>
        <w:rPr>
          <w:rFonts w:ascii="Figtree" w:hAnsi="Figtree"/>
          <w:b w:val="0"/>
          <w:i w:val="0"/>
          <w:sz w:val="22"/>
        </w:rPr>
        <w:t>Implementation methodology with proven delivery track record</w:t>
      </w:r>
    </w:p>
    <w:p>
      <w:pPr>
        <w:pStyle w:val="ListParagraph"/>
        <w:numPr>
          <w:ilvl w:val="0"/>
          <w:numId w:val="4"/>
        </w:numPr>
      </w:pPr>
      <w:r>
        <w:rPr>
          <w:rFonts w:ascii="Figtree" w:hAnsi="Figtree"/>
          <w:b w:val="0"/>
          <w:i w:val="0"/>
          <w:sz w:val="22"/>
        </w:rPr>
        <w:t>Support infrastructure that meets enterprise operational expectations</w:t>
      </w:r>
    </w:p>
    <w:p>
      <w:pPr>
        <w:pStyle w:val="H2"/>
        <w:numPr>
          <w:ilvl w:val="1"/>
          <w:numId w:val="1"/>
        </w:numPr>
      </w:pPr>
      <w:r>
        <w:t>24.3 Next Steps</w:t>
      </w:r>
    </w:p>
    <w:p>
      <w:r>
        <w:rPr>
          <w:rFonts w:ascii="Figtree" w:hAnsi="Figtree"/>
          <w:b w:val="0"/>
          <w:i w:val="0"/>
          <w:sz w:val="22"/>
        </w:rPr>
        <w:t>SettleMint welcomes the opportunity to:</w:t>
      </w:r>
    </w:p>
    <w:p>
      <w:pPr>
        <w:pStyle w:val="ListParagraph"/>
        <w:numPr>
          <w:ilvl w:val="0"/>
          <w:numId w:val="22"/>
        </w:numPr>
      </w:pPr>
      <w:r>
        <w:rPr>
          <w:rFonts w:ascii="Figtree" w:hAnsi="Figtree"/>
          <w:b w:val="0"/>
          <w:i w:val="0"/>
          <w:sz w:val="22"/>
        </w:rPr>
        <w:t>Demonstrate the platform in detail to technical evaluators</w:t>
      </w:r>
    </w:p>
    <w:p>
      <w:pPr>
        <w:pStyle w:val="ListParagraph"/>
        <w:numPr>
          <w:ilvl w:val="0"/>
          <w:numId w:val="22"/>
        </w:numPr>
      </w:pPr>
      <w:r>
        <w:rPr>
          <w:rFonts w:ascii="Figtree" w:hAnsi="Figtree"/>
          <w:b w:val="0"/>
          <w:i w:val="0"/>
          <w:sz w:val="22"/>
        </w:rPr>
        <w:t>Provide reference calls with comparable clients</w:t>
      </w:r>
    </w:p>
    <w:p>
      <w:pPr>
        <w:pStyle w:val="ListParagraph"/>
        <w:numPr>
          <w:ilvl w:val="0"/>
          <w:numId w:val="22"/>
        </w:numPr>
      </w:pPr>
      <w:r>
        <w:rPr>
          <w:rFonts w:ascii="Figtree" w:hAnsi="Figtree"/>
          <w:b w:val="0"/>
          <w:i w:val="0"/>
          <w:sz w:val="22"/>
        </w:rPr>
        <w:t>Discuss implementation approach in detail</w:t>
      </w:r>
    </w:p>
    <w:p>
      <w:pPr>
        <w:pStyle w:val="ListParagraph"/>
        <w:numPr>
          <w:ilvl w:val="0"/>
          <w:numId w:val="22"/>
        </w:numPr>
      </w:pPr>
      <w:r>
        <w:rPr>
          <w:rFonts w:ascii="Figtree" w:hAnsi="Figtree"/>
          <w:b w:val="0"/>
          <w:i w:val="0"/>
          <w:sz w:val="22"/>
        </w:rPr>
        <w:t>Address any clarification questions from the evaluation team</w:t>
      </w:r>
    </w:p>
    <w:p>
      <w:pPr>
        <w:pStyle w:val="ListParagraph"/>
        <w:numPr>
          <w:ilvl w:val="0"/>
          <w:numId w:val="22"/>
        </w:numPr>
      </w:pPr>
      <w:r>
        <w:rPr>
          <w:rFonts w:ascii="Figtree" w:hAnsi="Figtree"/>
          <w:b w:val="0"/>
          <w:i w:val="0"/>
          <w:sz w:val="22"/>
        </w:rPr>
        <w:t>Negotiate commercial terms that meet ADGM's procurement requirements</w:t>
      </w:r>
    </w:p>
    <w:p>
      <w:r>
        <w:rPr>
          <w:rFonts w:ascii="Figtree" w:hAnsi="Figtree"/>
          <w:b w:val="0"/>
          <w:i w:val="0"/>
          <w:sz w:val="22"/>
        </w:rPr>
        <w:t>The team looks forward to partnering with ADGM on this strategically important programme.</w:t>
      </w:r>
    </w:p>
    <w:p>
      <w:r>
        <w:br w:type="page"/>
      </w:r>
    </w:p>
    <w:p>
      <w:r>
        <w:rPr>
          <w:rFonts w:ascii="Figtree" w:hAnsi="Figtree"/>
          <w:b w:val="0"/>
          <w:i/>
          <w:sz w:val="22"/>
        </w:rPr>
        <w:t>End of Technical Proposal - Complete Submission</w:t>
      </w:r>
    </w:p>
    <w:p>
      <w:r>
        <w:rPr>
          <w:rFonts w:ascii="Figtree" w:hAnsi="Figtree"/>
          <w:b w:val="0"/>
          <w:i/>
          <w:sz w:val="22"/>
        </w:rPr>
        <w:t>Final Version: 1.1</w:t>
      </w:r>
    </w:p>
    <w:p>
      <w:r>
        <w:rPr>
          <w:rFonts w:ascii="Figtree" w:hAnsi="Figtree"/>
          <w:b w:val="0"/>
          <w:i/>
          <w:sz w:val="22"/>
        </w:rPr>
        <w:t>Total Document Statistics:</w:t>
      </w:r>
    </w:p>
    <w:p>
      <w:pPr>
        <w:pStyle w:val="ListParagraph"/>
        <w:numPr>
          <w:ilvl w:val="0"/>
          <w:numId w:val="4"/>
        </w:numPr>
      </w:pPr>
      <w:r>
        <w:rPr>
          <w:rFonts w:ascii="Figtree" w:hAnsi="Figtree"/>
          <w:b w:val="0"/>
          <w:i/>
          <w:sz w:val="22"/>
        </w:rPr>
        <w:t>Lines: ~3,000</w:t>
      </w:r>
    </w:p>
    <w:p>
      <w:pPr>
        <w:pStyle w:val="ListParagraph"/>
        <w:numPr>
          <w:ilvl w:val="0"/>
          <w:numId w:val="4"/>
        </w:numPr>
      </w:pPr>
      <w:r>
        <w:rPr>
          <w:rFonts w:ascii="Figtree" w:hAnsi="Figtree"/>
          <w:b w:val="0"/>
          <w:i/>
          <w:sz w:val="22"/>
        </w:rPr>
        <w:t>Words: ~19,000+</w:t>
      </w:r>
    </w:p>
    <w:p>
      <w:pPr>
        <w:pStyle w:val="ListParagraph"/>
        <w:numPr>
          <w:ilvl w:val="0"/>
          <w:numId w:val="4"/>
        </w:numPr>
      </w:pPr>
      <w:r>
        <w:rPr>
          <w:rFonts w:ascii="Figtree" w:hAnsi="Figtree"/>
          <w:b w:val="0"/>
          <w:i/>
          <w:sz w:val="22"/>
        </w:rPr>
        <w:t>Mermaid Diagrams: 18</w:t>
      </w:r>
    </w:p>
    <w:p>
      <w:pPr>
        <w:pStyle w:val="ListParagraph"/>
        <w:numPr>
          <w:ilvl w:val="0"/>
          <w:numId w:val="4"/>
        </w:numPr>
      </w:pPr>
      <w:r>
        <w:rPr>
          <w:rFonts w:ascii="Figtree" w:hAnsi="Figtree"/>
          <w:b w:val="0"/>
          <w:i/>
          <w:sz w:val="22"/>
        </w:rPr>
        <w:t>Sections: 24 major sections plus appendices</w:t>
      </w:r>
    </w:p>
    <w:p>
      <w:r>
        <w:rPr>
          <w:rFonts w:ascii="Figtree" w:hAnsi="Figtree"/>
          <w:b w:val="0"/>
          <w:i/>
          <w:sz w:val="22"/>
        </w:rPr>
        <w:t>Submitted: March 17, 2026</w:t>
      </w:r>
    </w:p>
    <w:p>
      <w:r>
        <w:rPr>
          <w:rFonts w:ascii="Figtree" w:hAnsi="Figtree"/>
          <w:b w:val="0"/>
          <w:i/>
          <w:sz w:val="22"/>
        </w:rPr>
        <w:t>Confidential - For ADGM Evaluation Purposes Only</w:t>
      </w:r>
    </w:p>
    <w:p>
      <w:r>
        <w:br w:type="page"/>
      </w:r>
    </w:p>
    <w:p>
      <w:pPr>
        <w:pStyle w:val="H1"/>
        <w:numPr>
          <w:ilvl w:val="0"/>
          <w:numId w:val="1"/>
        </w:numPr>
      </w:pPr>
      <w:r>
        <w:t>25. Final Appendix: Technical Specifications Summary</w:t>
      </w:r>
    </w:p>
    <w:p>
      <w:pPr>
        <w:pStyle w:val="H2"/>
        <w:numPr>
          <w:ilvl w:val="1"/>
          <w:numId w:val="1"/>
        </w:numPr>
      </w:pPr>
      <w:r>
        <w:t>25.1 Platform Capacity Specifications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005"/>
        <w:gridCol w:w="406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Specification</w:t>
            </w:r>
          </w:p>
        </w:tc>
      </w:tr>
      <w:tr>
        <w:trPr>
          <w:trHeight w:val="425" w:hRule="atLeast"/>
        </w:trPr>
        <w:tc>
          <w:tcPr>
            <w:tcW w:type="dxa" w:w="4873"/>
            <w:vAlign w:val="center"/>
          </w:tcPr>
          <w:p>
            <w:pPr>
              <w:spacing w:line="276" w:lineRule="auto" w:before="0" w:after="0"/>
            </w:pPr>
            <w:r/>
            <w:r>
              <w:rPr>
                <w:rFonts w:ascii="Figtree" w:hAnsi="Figtree"/>
                <w:b w:val="0"/>
                <w:i w:val="0"/>
                <w:sz w:val="20"/>
              </w:rPr>
              <w:t>Maximum concurrent tokens</w:t>
            </w:r>
          </w:p>
        </w:tc>
        <w:tc>
          <w:tcPr>
            <w:tcW w:type="dxa" w:w="4873"/>
            <w:vAlign w:val="center"/>
          </w:tcPr>
          <w:p>
            <w:pPr>
              <w:spacing w:line="276" w:lineRule="auto" w:before="0" w:after="0"/>
            </w:pPr>
            <w:r/>
            <w:r>
              <w:rPr>
                <w:rFonts w:ascii="Figtree" w:hAnsi="Figtree"/>
                <w:b w:val="0"/>
                <w:i w:val="0"/>
                <w:sz w:val="20"/>
              </w:rPr>
              <w:t>10,000+</w:t>
            </w:r>
          </w:p>
        </w:tc>
      </w:tr>
      <w:tr>
        <w:trPr>
          <w:trHeight w:val="425" w:hRule="atLeast"/>
        </w:trPr>
        <w:tc>
          <w:tcPr>
            <w:tcW w:type="dxa" w:w="4873"/>
            <w:vAlign w:val="center"/>
          </w:tcPr>
          <w:p>
            <w:pPr>
              <w:spacing w:line="276" w:lineRule="auto" w:before="0" w:after="0"/>
            </w:pPr>
            <w:r/>
            <w:r>
              <w:rPr>
                <w:rFonts w:ascii="Figtree" w:hAnsi="Figtree"/>
                <w:b w:val="0"/>
                <w:i w:val="0"/>
                <w:sz w:val="20"/>
              </w:rPr>
              <w:t>Maximum holders per token</w:t>
            </w:r>
          </w:p>
        </w:tc>
        <w:tc>
          <w:tcPr>
            <w:tcW w:type="dxa" w:w="4873"/>
            <w:vAlign w:val="center"/>
          </w:tcPr>
          <w:p>
            <w:pPr>
              <w:spacing w:line="276" w:lineRule="auto" w:before="0" w:after="0"/>
            </w:pPr>
            <w:r/>
            <w:r>
              <w:rPr>
                <w:rFonts w:ascii="Figtree" w:hAnsi="Figtree"/>
                <w:b w:val="0"/>
                <w:i w:val="0"/>
                <w:sz w:val="20"/>
              </w:rPr>
              <w:t>100,000+</w:t>
            </w:r>
          </w:p>
        </w:tc>
      </w:tr>
      <w:tr>
        <w:trPr>
          <w:trHeight w:val="425" w:hRule="atLeast"/>
        </w:trPr>
        <w:tc>
          <w:tcPr>
            <w:tcW w:type="dxa" w:w="4873"/>
            <w:vAlign w:val="center"/>
          </w:tcPr>
          <w:p>
            <w:pPr>
              <w:spacing w:line="276" w:lineRule="auto" w:before="0" w:after="0"/>
            </w:pPr>
            <w:r/>
            <w:r>
              <w:rPr>
                <w:rFonts w:ascii="Figtree" w:hAnsi="Figtree"/>
                <w:b w:val="0"/>
                <w:i w:val="0"/>
                <w:sz w:val="20"/>
              </w:rPr>
              <w:t>Maximum transfers per second</w:t>
            </w:r>
          </w:p>
        </w:tc>
        <w:tc>
          <w:tcPr>
            <w:tcW w:type="dxa" w:w="4873"/>
            <w:vAlign w:val="center"/>
          </w:tcPr>
          <w:p>
            <w:pPr>
              <w:spacing w:line="276" w:lineRule="auto" w:before="0" w:after="0"/>
            </w:pPr>
            <w:r/>
            <w:r>
              <w:rPr>
                <w:rFonts w:ascii="Figtree" w:hAnsi="Figtree"/>
                <w:b w:val="0"/>
                <w:i w:val="0"/>
                <w:sz w:val="20"/>
              </w:rPr>
              <w:t>1,000+ (network dependent)</w:t>
            </w:r>
          </w:p>
        </w:tc>
      </w:tr>
      <w:tr>
        <w:trPr>
          <w:trHeight w:val="425" w:hRule="atLeast"/>
        </w:trPr>
        <w:tc>
          <w:tcPr>
            <w:tcW w:type="dxa" w:w="4873"/>
            <w:vAlign w:val="center"/>
          </w:tcPr>
          <w:p>
            <w:pPr>
              <w:spacing w:line="276" w:lineRule="auto" w:before="0" w:after="0"/>
            </w:pPr>
            <w:r/>
            <w:r>
              <w:rPr>
                <w:rFonts w:ascii="Figtree" w:hAnsi="Figtree"/>
                <w:b w:val="0"/>
                <w:i w:val="0"/>
                <w:sz w:val="20"/>
              </w:rPr>
              <w:t>API response time (p95)</w:t>
            </w:r>
          </w:p>
        </w:tc>
        <w:tc>
          <w:tcPr>
            <w:tcW w:type="dxa" w:w="4873"/>
            <w:vAlign w:val="center"/>
          </w:tcPr>
          <w:p>
            <w:pPr>
              <w:spacing w:line="276" w:lineRule="auto" w:before="0" w:after="0"/>
            </w:pPr>
            <w:r/>
            <w:r>
              <w:rPr>
                <w:rFonts w:ascii="Figtree" w:hAnsi="Figtree"/>
                <w:b w:val="0"/>
                <w:i w:val="0"/>
                <w:sz w:val="20"/>
              </w:rPr>
              <w:t>&lt; 500ms</w:t>
            </w:r>
          </w:p>
        </w:tc>
      </w:tr>
      <w:tr>
        <w:trPr>
          <w:trHeight w:val="425" w:hRule="atLeast"/>
        </w:trPr>
        <w:tc>
          <w:tcPr>
            <w:tcW w:type="dxa" w:w="4873"/>
            <w:vAlign w:val="center"/>
          </w:tcPr>
          <w:p>
            <w:pPr>
              <w:spacing w:line="276" w:lineRule="auto" w:before="0" w:after="0"/>
            </w:pPr>
            <w:r/>
            <w:r>
              <w:rPr>
                <w:rFonts w:ascii="Figtree" w:hAnsi="Figtree"/>
                <w:b w:val="0"/>
                <w:i w:val="0"/>
                <w:sz w:val="20"/>
              </w:rPr>
              <w:t>Indexer latency</w:t>
            </w:r>
          </w:p>
        </w:tc>
        <w:tc>
          <w:tcPr>
            <w:tcW w:type="dxa" w:w="4873"/>
            <w:vAlign w:val="center"/>
          </w:tcPr>
          <w:p>
            <w:pPr>
              <w:spacing w:line="276" w:lineRule="auto" w:before="0" w:after="0"/>
            </w:pPr>
            <w:r/>
            <w:r>
              <w:rPr>
                <w:rFonts w:ascii="Figtree" w:hAnsi="Figtree"/>
                <w:b w:val="0"/>
                <w:i w:val="0"/>
                <w:sz w:val="20"/>
              </w:rPr>
              <w:t>&lt; 5 seconds</w:t>
            </w:r>
          </w:p>
        </w:tc>
      </w:tr>
      <w:tr>
        <w:trPr>
          <w:trHeight w:val="425" w:hRule="atLeast"/>
        </w:trPr>
        <w:tc>
          <w:tcPr>
            <w:tcW w:type="dxa" w:w="4873"/>
            <w:vAlign w:val="center"/>
          </w:tcPr>
          <w:p>
            <w:pPr>
              <w:spacing w:line="276" w:lineRule="auto" w:before="0" w:after="0"/>
            </w:pPr>
            <w:r/>
            <w:r>
              <w:rPr>
                <w:rFonts w:ascii="Figtree" w:hAnsi="Figtree"/>
                <w:b w:val="0"/>
                <w:i w:val="0"/>
                <w:sz w:val="20"/>
              </w:rPr>
              <w:t>Uptime SLA (Enterprise)</w:t>
            </w:r>
          </w:p>
        </w:tc>
        <w:tc>
          <w:tcPr>
            <w:tcW w:type="dxa" w:w="4873"/>
            <w:vAlign w:val="center"/>
          </w:tcPr>
          <w:p>
            <w:pPr>
              <w:spacing w:line="276" w:lineRule="auto" w:before="0" w:after="0"/>
            </w:pPr>
            <w:r/>
            <w:r>
              <w:rPr>
                <w:rFonts w:ascii="Figtree" w:hAnsi="Figtree"/>
                <w:b w:val="0"/>
                <w:i w:val="0"/>
                <w:sz w:val="20"/>
              </w:rPr>
              <w:t>99.99%</w:t>
            </w:r>
          </w:p>
        </w:tc>
      </w:tr>
      <w:tr>
        <w:trPr>
          <w:trHeight w:val="425" w:hRule="atLeast"/>
        </w:trPr>
        <w:tc>
          <w:tcPr>
            <w:tcW w:type="dxa" w:w="4873"/>
            <w:vAlign w:val="center"/>
          </w:tcPr>
          <w:p>
            <w:pPr>
              <w:spacing w:line="276" w:lineRule="auto" w:before="0" w:after="0"/>
            </w:pPr>
            <w:r/>
            <w:r>
              <w:rPr>
                <w:rFonts w:ascii="Figtree" w:hAnsi="Figtree"/>
                <w:b w:val="0"/>
                <w:i w:val="0"/>
                <w:sz w:val="20"/>
              </w:rPr>
              <w:t>Support response (P1 Enterprise)</w:t>
            </w:r>
          </w:p>
        </w:tc>
        <w:tc>
          <w:tcPr>
            <w:tcW w:type="dxa" w:w="4873"/>
            <w:vAlign w:val="center"/>
          </w:tcPr>
          <w:p>
            <w:pPr>
              <w:spacing w:line="276" w:lineRule="auto" w:before="0" w:after="0"/>
            </w:pPr>
            <w:r/>
            <w:r>
              <w:rPr>
                <w:rFonts w:ascii="Figtree" w:hAnsi="Figtree"/>
                <w:b w:val="0"/>
                <w:i w:val="0"/>
                <w:sz w:val="20"/>
              </w:rPr>
              <w:t>15 minutes</w:t>
            </w:r>
          </w:p>
        </w:tc>
      </w:tr>
    </w:tbl>
    <w:p>
      <w:pPr>
        <w:spacing w:before="0" w:after="0" w:line="120" w:lineRule="exact"/>
      </w:pPr>
    </w:p>
    <w:p>
      <w:pPr>
        <w:pStyle w:val="H2"/>
        <w:numPr>
          <w:ilvl w:val="1"/>
          <w:numId w:val="1"/>
        </w:numPr>
      </w:pPr>
      <w:r>
        <w:t>25.2 Infrastructure Requirements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62"/>
        <w:gridCol w:w="2777"/>
        <w:gridCol w:w="333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Minimum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Recommended</w:t>
            </w:r>
          </w:p>
        </w:tc>
      </w:tr>
      <w:tr>
        <w:trPr>
          <w:trHeight w:val="425" w:hRule="atLeast"/>
        </w:trPr>
        <w:tc>
          <w:tcPr>
            <w:tcW w:type="dxa" w:w="3249"/>
            <w:vAlign w:val="center"/>
          </w:tcPr>
          <w:p>
            <w:pPr>
              <w:spacing w:line="276" w:lineRule="auto" w:before="0" w:after="0"/>
            </w:pPr>
            <w:r/>
            <w:r>
              <w:rPr>
                <w:rFonts w:ascii="Figtree" w:hAnsi="Figtree"/>
                <w:b w:val="0"/>
                <w:i w:val="0"/>
                <w:sz w:val="20"/>
              </w:rPr>
              <w:t>Kubernetes nodes</w:t>
            </w:r>
          </w:p>
        </w:tc>
        <w:tc>
          <w:tcPr>
            <w:tcW w:type="dxa" w:w="3249"/>
            <w:vAlign w:val="center"/>
          </w:tcPr>
          <w:p>
            <w:pPr>
              <w:spacing w:line="276" w:lineRule="auto" w:before="0" w:after="0"/>
            </w:pPr>
            <w:r/>
            <w:r>
              <w:rPr>
                <w:rFonts w:ascii="Figtree" w:hAnsi="Figtree"/>
                <w:b w:val="0"/>
                <w:i w:val="0"/>
                <w:sz w:val="20"/>
              </w:rPr>
              <w:t>3</w:t>
            </w:r>
          </w:p>
        </w:tc>
        <w:tc>
          <w:tcPr>
            <w:tcW w:type="dxa" w:w="3249"/>
            <w:vAlign w:val="center"/>
          </w:tcPr>
          <w:p>
            <w:pPr>
              <w:spacing w:line="276" w:lineRule="auto" w:before="0" w:after="0"/>
            </w:pPr>
            <w:r/>
            <w:r>
              <w:rPr>
                <w:rFonts w:ascii="Figtree" w:hAnsi="Figtree"/>
                <w:b w:val="0"/>
                <w:i w:val="0"/>
                <w:sz w:val="20"/>
              </w:rPr>
              <w:t>6+</w:t>
            </w:r>
          </w:p>
        </w:tc>
      </w:tr>
      <w:tr>
        <w:trPr>
          <w:trHeight w:val="425" w:hRule="atLeast"/>
        </w:trPr>
        <w:tc>
          <w:tcPr>
            <w:tcW w:type="dxa" w:w="3249"/>
            <w:vAlign w:val="center"/>
          </w:tcPr>
          <w:p>
            <w:pPr>
              <w:spacing w:line="276" w:lineRule="auto" w:before="0" w:after="0"/>
            </w:pPr>
            <w:r/>
            <w:r>
              <w:rPr>
                <w:rFonts w:ascii="Figtree" w:hAnsi="Figtree"/>
                <w:b w:val="0"/>
                <w:i w:val="0"/>
                <w:sz w:val="20"/>
              </w:rPr>
              <w:t>CPU per node</w:t>
            </w:r>
          </w:p>
        </w:tc>
        <w:tc>
          <w:tcPr>
            <w:tcW w:type="dxa" w:w="3249"/>
            <w:vAlign w:val="center"/>
          </w:tcPr>
          <w:p>
            <w:pPr>
              <w:spacing w:line="276" w:lineRule="auto" w:before="0" w:after="0"/>
            </w:pPr>
            <w:r/>
            <w:r>
              <w:rPr>
                <w:rFonts w:ascii="Figtree" w:hAnsi="Figtree"/>
                <w:b w:val="0"/>
                <w:i w:val="0"/>
                <w:sz w:val="20"/>
              </w:rPr>
              <w:t>4 vCPU</w:t>
            </w:r>
          </w:p>
        </w:tc>
        <w:tc>
          <w:tcPr>
            <w:tcW w:type="dxa" w:w="3249"/>
            <w:vAlign w:val="center"/>
          </w:tcPr>
          <w:p>
            <w:pPr>
              <w:spacing w:line="276" w:lineRule="auto" w:before="0" w:after="0"/>
            </w:pPr>
            <w:r/>
            <w:r>
              <w:rPr>
                <w:rFonts w:ascii="Figtree" w:hAnsi="Figtree"/>
                <w:b w:val="0"/>
                <w:i w:val="0"/>
                <w:sz w:val="20"/>
              </w:rPr>
              <w:t>8 vCPU</w:t>
            </w:r>
          </w:p>
        </w:tc>
      </w:tr>
      <w:tr>
        <w:trPr>
          <w:trHeight w:val="425" w:hRule="atLeast"/>
        </w:trPr>
        <w:tc>
          <w:tcPr>
            <w:tcW w:type="dxa" w:w="3249"/>
            <w:vAlign w:val="center"/>
          </w:tcPr>
          <w:p>
            <w:pPr>
              <w:spacing w:line="276" w:lineRule="auto" w:before="0" w:after="0"/>
            </w:pPr>
            <w:r/>
            <w:r>
              <w:rPr>
                <w:rFonts w:ascii="Figtree" w:hAnsi="Figtree"/>
                <w:b w:val="0"/>
                <w:i w:val="0"/>
                <w:sz w:val="20"/>
              </w:rPr>
              <w:t>RAM per node</w:t>
            </w:r>
          </w:p>
        </w:tc>
        <w:tc>
          <w:tcPr>
            <w:tcW w:type="dxa" w:w="3249"/>
            <w:vAlign w:val="center"/>
          </w:tcPr>
          <w:p>
            <w:pPr>
              <w:spacing w:line="276" w:lineRule="auto" w:before="0" w:after="0"/>
            </w:pPr>
            <w:r/>
            <w:r>
              <w:rPr>
                <w:rFonts w:ascii="Figtree" w:hAnsi="Figtree"/>
                <w:b w:val="0"/>
                <w:i w:val="0"/>
                <w:sz w:val="20"/>
              </w:rPr>
              <w:t>16 GB</w:t>
            </w:r>
          </w:p>
        </w:tc>
        <w:tc>
          <w:tcPr>
            <w:tcW w:type="dxa" w:w="3249"/>
            <w:vAlign w:val="center"/>
          </w:tcPr>
          <w:p>
            <w:pPr>
              <w:spacing w:line="276" w:lineRule="auto" w:before="0" w:after="0"/>
            </w:pPr>
            <w:r/>
            <w:r>
              <w:rPr>
                <w:rFonts w:ascii="Figtree" w:hAnsi="Figtree"/>
                <w:b w:val="0"/>
                <w:i w:val="0"/>
                <w:sz w:val="20"/>
              </w:rPr>
              <w:t>32 GB</w:t>
            </w:r>
          </w:p>
        </w:tc>
      </w:tr>
      <w:tr>
        <w:trPr>
          <w:trHeight w:val="425" w:hRule="atLeast"/>
        </w:trPr>
        <w:tc>
          <w:tcPr>
            <w:tcW w:type="dxa" w:w="3249"/>
            <w:vAlign w:val="center"/>
          </w:tcPr>
          <w:p>
            <w:pPr>
              <w:spacing w:line="276" w:lineRule="auto" w:before="0" w:after="0"/>
            </w:pPr>
            <w:r/>
            <w:r>
              <w:rPr>
                <w:rFonts w:ascii="Figtree" w:hAnsi="Figtree"/>
                <w:b w:val="0"/>
                <w:i w:val="0"/>
                <w:sz w:val="20"/>
              </w:rPr>
              <w:t>Database</w:t>
            </w:r>
          </w:p>
        </w:tc>
        <w:tc>
          <w:tcPr>
            <w:tcW w:type="dxa" w:w="3249"/>
            <w:vAlign w:val="center"/>
          </w:tcPr>
          <w:p>
            <w:pPr>
              <w:spacing w:line="276" w:lineRule="auto" w:before="0" w:after="0"/>
            </w:pPr>
            <w:r/>
            <w:r>
              <w:rPr>
                <w:rFonts w:ascii="Figtree" w:hAnsi="Figtree"/>
                <w:b w:val="0"/>
                <w:i w:val="0"/>
                <w:sz w:val="20"/>
              </w:rPr>
              <w:t>PostgreSQL 17.x</w:t>
            </w:r>
          </w:p>
        </w:tc>
        <w:tc>
          <w:tcPr>
            <w:tcW w:type="dxa" w:w="3249"/>
            <w:vAlign w:val="center"/>
          </w:tcPr>
          <w:p>
            <w:pPr>
              <w:spacing w:line="276" w:lineRule="auto" w:before="0" w:after="0"/>
            </w:pPr>
            <w:r/>
            <w:r>
              <w:rPr>
                <w:rFonts w:ascii="Figtree" w:hAnsi="Figtree"/>
                <w:b w:val="0"/>
                <w:i w:val="0"/>
                <w:sz w:val="20"/>
              </w:rPr>
              <w:t>Multi-AZ RDS</w:t>
            </w:r>
          </w:p>
        </w:tc>
      </w:tr>
      <w:tr>
        <w:trPr>
          <w:trHeight w:val="425" w:hRule="atLeast"/>
        </w:trPr>
        <w:tc>
          <w:tcPr>
            <w:tcW w:type="dxa" w:w="3249"/>
            <w:vAlign w:val="center"/>
          </w:tcPr>
          <w:p>
            <w:pPr>
              <w:spacing w:line="276" w:lineRule="auto" w:before="0" w:after="0"/>
            </w:pPr>
            <w:r/>
            <w:r>
              <w:rPr>
                <w:rFonts w:ascii="Figtree" w:hAnsi="Figtree"/>
                <w:b w:val="0"/>
                <w:i w:val="0"/>
                <w:sz w:val="20"/>
              </w:rPr>
              <w:t>Cache</w:t>
            </w:r>
          </w:p>
        </w:tc>
        <w:tc>
          <w:tcPr>
            <w:tcW w:type="dxa" w:w="3249"/>
            <w:vAlign w:val="center"/>
          </w:tcPr>
          <w:p>
            <w:pPr>
              <w:spacing w:line="276" w:lineRule="auto" w:before="0" w:after="0"/>
            </w:pPr>
            <w:r/>
            <w:r>
              <w:rPr>
                <w:rFonts w:ascii="Figtree" w:hAnsi="Figtree"/>
                <w:b w:val="0"/>
                <w:i w:val="0"/>
                <w:sz w:val="20"/>
              </w:rPr>
              <w:t>Redis 8.x</w:t>
            </w:r>
          </w:p>
        </w:tc>
        <w:tc>
          <w:tcPr>
            <w:tcW w:type="dxa" w:w="3249"/>
            <w:vAlign w:val="center"/>
          </w:tcPr>
          <w:p>
            <w:pPr>
              <w:spacing w:line="276" w:lineRule="auto" w:before="0" w:after="0"/>
            </w:pPr>
            <w:r/>
            <w:r>
              <w:rPr>
                <w:rFonts w:ascii="Figtree" w:hAnsi="Figtree"/>
                <w:b w:val="0"/>
                <w:i w:val="0"/>
                <w:sz w:val="20"/>
              </w:rPr>
              <w:t>Multi-AZ cluster</w:t>
            </w:r>
          </w:p>
        </w:tc>
      </w:tr>
      <w:tr>
        <w:trPr>
          <w:trHeight w:val="425" w:hRule="atLeast"/>
        </w:trPr>
        <w:tc>
          <w:tcPr>
            <w:tcW w:type="dxa" w:w="3249"/>
            <w:vAlign w:val="center"/>
          </w:tcPr>
          <w:p>
            <w:pPr>
              <w:spacing w:line="276" w:lineRule="auto" w:before="0" w:after="0"/>
            </w:pPr>
            <w:r/>
            <w:r>
              <w:rPr>
                <w:rFonts w:ascii="Figtree" w:hAnsi="Figtree"/>
                <w:b w:val="0"/>
                <w:i w:val="0"/>
                <w:sz w:val="20"/>
              </w:rPr>
              <w:t>Object storage</w:t>
            </w:r>
          </w:p>
        </w:tc>
        <w:tc>
          <w:tcPr>
            <w:tcW w:type="dxa" w:w="3249"/>
            <w:vAlign w:val="center"/>
          </w:tcPr>
          <w:p>
            <w:pPr>
              <w:spacing w:line="276" w:lineRule="auto" w:before="0" w:after="0"/>
            </w:pPr>
            <w:r/>
            <w:r>
              <w:rPr>
                <w:rFonts w:ascii="Figtree" w:hAnsi="Figtree"/>
                <w:b w:val="0"/>
                <w:i w:val="0"/>
                <w:sz w:val="20"/>
              </w:rPr>
              <w:t>S3-compatible</w:t>
            </w:r>
          </w:p>
        </w:tc>
        <w:tc>
          <w:tcPr>
            <w:tcW w:type="dxa" w:w="3249"/>
            <w:vAlign w:val="center"/>
          </w:tcPr>
          <w:p>
            <w:pPr>
              <w:spacing w:line="276" w:lineRule="auto" w:before="0" w:after="0"/>
            </w:pPr>
            <w:r/>
            <w:r>
              <w:rPr>
                <w:rFonts w:ascii="Figtree" w:hAnsi="Figtree"/>
                <w:b w:val="0"/>
                <w:i w:val="0"/>
                <w:sz w:val="20"/>
              </w:rPr>
              <w:t>S3 with versioning</w:t>
            </w:r>
          </w:p>
        </w:tc>
      </w:tr>
    </w:tbl>
    <w:p>
      <w:pPr>
        <w:spacing w:before="0" w:after="0" w:line="120" w:lineRule="exact"/>
      </w:pPr>
    </w:p>
    <w:p>
      <w:pPr>
        <w:pStyle w:val="H2"/>
        <w:numPr>
          <w:ilvl w:val="1"/>
          <w:numId w:val="1"/>
        </w:numPr>
      </w:pPr>
      <w:r>
        <w:t>25.3 Network Support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60"/>
        <w:gridCol w:w="571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Network Type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Supported Networks</w:t>
            </w:r>
          </w:p>
        </w:tc>
      </w:tr>
      <w:tr>
        <w:trPr>
          <w:trHeight w:val="425" w:hRule="atLeast"/>
        </w:trPr>
        <w:tc>
          <w:tcPr>
            <w:tcW w:type="dxa" w:w="4873"/>
            <w:vAlign w:val="center"/>
          </w:tcPr>
          <w:p>
            <w:pPr>
              <w:spacing w:line="276" w:lineRule="auto" w:before="0" w:after="0"/>
            </w:pPr>
            <w:r/>
            <w:r>
              <w:rPr>
                <w:rFonts w:ascii="Figtree" w:hAnsi="Figtree"/>
                <w:b w:val="0"/>
                <w:i w:val="0"/>
                <w:sz w:val="20"/>
              </w:rPr>
              <w:t>Public L1</w:t>
            </w:r>
          </w:p>
        </w:tc>
        <w:tc>
          <w:tcPr>
            <w:tcW w:type="dxa" w:w="4873"/>
            <w:vAlign w:val="center"/>
          </w:tcPr>
          <w:p>
            <w:pPr>
              <w:spacing w:line="276" w:lineRule="auto" w:before="0" w:after="0"/>
            </w:pPr>
            <w:r/>
            <w:r>
              <w:rPr>
                <w:rFonts w:ascii="Figtree" w:hAnsi="Figtree"/>
                <w:b w:val="0"/>
                <w:i w:val="0"/>
                <w:sz w:val="20"/>
              </w:rPr>
              <w:t>Ethereum, Polygon, Avalanche, BSC</w:t>
            </w:r>
          </w:p>
        </w:tc>
      </w:tr>
      <w:tr>
        <w:trPr>
          <w:trHeight w:val="425" w:hRule="atLeast"/>
        </w:trPr>
        <w:tc>
          <w:tcPr>
            <w:tcW w:type="dxa" w:w="4873"/>
            <w:vAlign w:val="center"/>
          </w:tcPr>
          <w:p>
            <w:pPr>
              <w:spacing w:line="276" w:lineRule="auto" w:before="0" w:after="0"/>
            </w:pPr>
            <w:r/>
            <w:r>
              <w:rPr>
                <w:rFonts w:ascii="Figtree" w:hAnsi="Figtree"/>
                <w:b w:val="0"/>
                <w:i w:val="0"/>
                <w:sz w:val="20"/>
              </w:rPr>
              <w:t>L2 Rollups</w:t>
            </w:r>
          </w:p>
        </w:tc>
        <w:tc>
          <w:tcPr>
            <w:tcW w:type="dxa" w:w="4873"/>
            <w:vAlign w:val="center"/>
          </w:tcPr>
          <w:p>
            <w:pPr>
              <w:spacing w:line="276" w:lineRule="auto" w:before="0" w:after="0"/>
            </w:pPr>
            <w:r/>
            <w:r>
              <w:rPr>
                <w:rFonts w:ascii="Figtree" w:hAnsi="Figtree"/>
                <w:b w:val="0"/>
                <w:i w:val="0"/>
                <w:sz w:val="20"/>
              </w:rPr>
              <w:t>Arbitrum, Optimism, Base, zkSync</w:t>
            </w:r>
          </w:p>
        </w:tc>
      </w:tr>
      <w:tr>
        <w:trPr>
          <w:trHeight w:val="425" w:hRule="atLeast"/>
        </w:trPr>
        <w:tc>
          <w:tcPr>
            <w:tcW w:type="dxa" w:w="4873"/>
            <w:vAlign w:val="center"/>
          </w:tcPr>
          <w:p>
            <w:pPr>
              <w:spacing w:line="276" w:lineRule="auto" w:before="0" w:after="0"/>
            </w:pPr>
            <w:r/>
            <w:r>
              <w:rPr>
                <w:rFonts w:ascii="Figtree" w:hAnsi="Figtree"/>
                <w:b w:val="0"/>
                <w:i w:val="0"/>
                <w:sz w:val="20"/>
              </w:rPr>
              <w:t>Private/Consortium</w:t>
            </w:r>
          </w:p>
        </w:tc>
        <w:tc>
          <w:tcPr>
            <w:tcW w:type="dxa" w:w="4873"/>
            <w:vAlign w:val="center"/>
          </w:tcPr>
          <w:p>
            <w:pPr>
              <w:spacing w:line="276" w:lineRule="auto" w:before="0" w:after="0"/>
            </w:pPr>
            <w:r/>
            <w:r>
              <w:rPr>
                <w:rFonts w:ascii="Figtree" w:hAnsi="Figtree"/>
                <w:b w:val="0"/>
                <w:i w:val="0"/>
                <w:sz w:val="20"/>
              </w:rPr>
              <w:t>Hyperledger Besu, Geth</w:t>
            </w:r>
          </w:p>
        </w:tc>
      </w:tr>
    </w:tbl>
    <w:p>
      <w:pPr>
        <w:spacing w:before="0" w:after="0" w:line="120" w:lineRule="exact"/>
      </w:pPr>
    </w:p>
    <w:p>
      <w:pPr>
        <w:pStyle w:val="H2"/>
        <w:numPr>
          <w:ilvl w:val="1"/>
          <w:numId w:val="1"/>
        </w:numPr>
      </w:pPr>
      <w:r>
        <w:t>25.4 Supervisory Evidence Production and Audit Pack</w:t>
      </w:r>
    </w:p>
    <w:p>
      <w:r>
        <w:rPr>
          <w:rFonts w:ascii="Figtree" w:hAnsi="Figtree"/>
          <w:b w:val="0"/>
          <w:i w:val="0"/>
          <w:sz w:val="22"/>
        </w:rPr>
        <w:t>ADGM's procurement emphasis on evidence production is one of the reasons DALP fits this programme better than a narrow token issuance stack. In production operation, supervisory comfort depends less on whether a transfer can be executed and more on whether the institution can reconstruct who requested it, which policies were evaluated, what external data was consulted, who approved the action, what state transition occurred, and how exceptions were handled when events did not proceed as expected. DALP is designed to make that evidence retrievable without forcing operations teams into manual evidence assembly.</w:t>
      </w:r>
    </w:p>
    <w:p>
      <w:r>
        <w:rPr>
          <w:rFonts w:ascii="Figtree" w:hAnsi="Figtree"/>
          <w:b w:val="0"/>
          <w:i w:val="0"/>
          <w:sz w:val="22"/>
        </w:rPr>
        <w:t>For each governed workflow, the platform records the initiating actor, the invoked API or user action, the applicable role and permission context, the evaluated compliance modules, the resulting decision, and the asset state transition that followed. Where a transfer or lifecycle event depends on external systems such as sanctions screening, KYC refresh, payment confirmation, or custody instruction acknowledgement, DALP stores the outcome reference and the timestamped workflow context so that ADGM can demonstrate not only that a control existed, but that it actually executed in sequence. This distinction matters for internal audit, FSRA supervisory review, and board reporting because static policy documents do not prove operational control integrity.</w:t>
      </w:r>
    </w:p>
    <w:p>
      <w:r>
        <w:rPr>
          <w:rFonts w:ascii="Figtree" w:hAnsi="Figtree"/>
          <w:b w:val="0"/>
          <w:i w:val="0"/>
          <w:sz w:val="22"/>
        </w:rPr>
        <w:t>The evidence model also supports exception-driven supervision. If onboarding data is incomplete, if a participant breaches a configured concentration or country rule, if an approver rejects a workflow step, or if a downstream dependency fails, the exception is captured as a first-class operational event rather than disappearing into generic application logs. That design allows ADGM operations and supervisory teams to distinguish normal throughput from constrained or rejected activity, which is essential for demonstrating policy enforcement rather than merely transaction processing. Exception evidence can be exported for operational committees, internal audit sampling, remediation tracking, and regulator-facing follow-up packs.</w:t>
      </w:r>
    </w:p>
    <w:p>
      <w:r>
        <w:rPr>
          <w:rFonts w:ascii="Figtree" w:hAnsi="Figtree"/>
          <w:b w:val="0"/>
          <w:i w:val="0"/>
          <w:sz w:val="22"/>
        </w:rPr>
        <w:t>In practical terms, ADGM can produce four recurring evidence packages from the platform without bespoke report development. The first is a transaction and lifecycle evidence pack showing the chronology of issuance, approval, transfer, settlement, redemption, or other lifecycle events for a selected asset or participant cohort. The second is a control execution pack showing which compliance modules, entitlement checks, and maker-checker approvals were applied to a defined event set. The third is an operational resilience pack showing incidents, alerts, failover actions, recovery actions, and post-incident timelines. The fourth is a governance and promotion pack showing configuration changes, environment promotion records, release approvals, and rollback history across development, test, UAT, DR, and production environments.</w:t>
      </w:r>
    </w:p>
    <w:p>
      <w:r>
        <w:rPr>
          <w:rFonts w:ascii="Figtree" w:hAnsi="Figtree"/>
          <w:b w:val="0"/>
          <w:i w:val="0"/>
          <w:sz w:val="22"/>
        </w:rPr>
        <w:t>This evidence posture is especially relevant in the UAE context, where outsourcing oversight, cyber resilience, AML/CFT enforcement, and supervisory transparency all require regulated entities to show traceability across both internal and third-party control points. DALP does not replace ADGM's policy ownership or legal interpretation responsibilities, but it does provide the operational substrate through which those responsibilities can be evidenced repeatedly and consistently. That evidence capability also supports ADGM's board and committee cadence. Quarterly governance reviews rarely need raw log exports; they need structured proof that policy controls remain active, exceptions are handled inside tolerance, user entitlements are still appropriate, and environment changes followed approved pathways. DALP's event model and reporting layer provide the raw material for these management packs without creating a parallel manual-control spreadsheet process. In other words, the platform helps the institution avoid one of the most common failure modes in digital asset programmes: a technically capable system surrounded by weak manual reporting controls that cannot stand up to supervisory questioning.</w:t>
      </w:r>
    </w:p>
    <w:p>
      <w:pPr>
        <w:pStyle w:val="H2"/>
        <w:numPr>
          <w:ilvl w:val="1"/>
          <w:numId w:val="1"/>
        </w:numPr>
      </w:pPr>
      <w:r>
        <w:t>25.5 Operating Model Responsibilities Summary</w:t>
      </w:r>
    </w:p>
    <w:p>
      <w:r>
        <w:rPr>
          <w:rFonts w:ascii="Figtree" w:hAnsi="Figtree"/>
          <w:b w:val="0"/>
          <w:i w:val="0"/>
          <w:sz w:val="22"/>
        </w:rPr>
        <w:t>The target operating model for ADGM should keep policy ownership, supervisory judgement, and participant approval authority inside the regulated entity while using DALP to execute, enforce, and evidence those decisions consistently. SettleMint's role is to configure the platform, establish integration boundaries, validate controls, and provide operational guidance during implementation and hypercare. ADGM's role is to define policy thresholds, approve operating procedures, assign supervisory and operational roles, and govern any third-party dependencies such as identity verification, sanctions data, custody providers, or payment rail connections. Making this split explicit prevents the handoff ambiguity that often undermines regulated platform launches.</w:t>
      </w:r>
    </w:p>
    <w:p>
      <w:r>
        <w:rPr>
          <w:rFonts w:ascii="Figtree" w:hAnsi="Figtree"/>
          <w:b w:val="0"/>
          <w:i w:val="0"/>
          <w:sz w:val="22"/>
        </w:rPr>
        <w:t>During early phases, a joint design authority should ratify three categories of decisions: lifecycle configuration, control design, and production readiness criteria. Lifecycle configuration covers which asset or supervisory workflows are enabled first, which participant groups enter scope, and which exception cases require mandatory manual review. Control design covers role definitions, maker-checker boundaries, approval delegations, evidence retention policies, and escalation thresholds. Production readiness criteria cover cutover sequencing, rollback conditions, support coverage, incident ownership, and the minimum evidence packs that must be available before launch approval. DALP supports each category technically, but the governance decision rights remain visible and auditable rather than being absorbed into informal project decisions.</w:t>
      </w:r>
    </w:p>
    <w:p>
      <w:r>
        <w:rPr>
          <w:rFonts w:ascii="Figtree" w:hAnsi="Figtree"/>
          <w:b w:val="0"/>
          <w:i w:val="0"/>
          <w:sz w:val="22"/>
        </w:rPr>
        <w:t>For ADGM, that operating-model clarity is commercially and operationally important. It reduces the risk of scope drift during implementation, prevents hidden dependencies from surfacing late, and gives procurement, risk, and architecture teams a cleaner basis for supplier governance. It also makes phased expansion more realistic. Once the first production perimeter is live, ADGM can add new participant types, asset structures, or supervisory workflows using the same governance and promotion model rather than inventing a new control pattern each time. That reuse is one of the main reasons a lifecycle platform produces better long-term economics than a collection of discrete tokenization tools.</w:t>
      </w:r>
    </w:p>
    <w:p>
      <w:r>
        <w:br w:type="page"/>
      </w:r>
    </w:p>
    <w:p>
      <w:r>
        <w:rPr>
          <w:rFonts w:ascii="Figtree" w:hAnsi="Figtree"/>
          <w:b w:val="0"/>
          <w:i/>
          <w:sz w:val="22"/>
        </w:rPr>
        <w:t>End of Final Appendix</w:t>
      </w:r>
    </w:p>
    <w:p>
      <w:r>
        <w:rPr>
          <w:rFonts w:ascii="Figtree" w:hAnsi="Figtree"/>
          <w:b w:val="0"/>
          <w:i/>
          <w:sz w:val="22"/>
        </w:rPr>
        <w:t>Technical Proposal Complete</w:t>
      </w:r>
    </w:p>
    <w:p>
      <w:r>
        <w:rPr>
          <w:rFonts w:ascii="Figtree" w:hAnsi="Figtree"/>
          <w:b w:val="0"/>
          <w:i/>
          <w:sz w:val="22"/>
        </w:rPr>
        <w:t>Version: 1.1 - March 2026</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