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Tokenized Securities Issuance and Trading Framework</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Reference Fit Snapshot</w:t>
          </w:r>
          <w:r>
            <w:tab/>
          </w:r>
          <w:r>
            <w:t xml:space="preserve">11</w:t>
          </w:r>
        </w:p>
        <w:p>
          <w:pPr>
            <w:pStyle w:val="TOC1"/>
            <w:tabs>
              <w:tab w:val="right" w:leader="dot" w:pos="9072"/>
            </w:tabs>
          </w:pPr>
          <w:r>
            <w:t xml:space="preserve">2. About SettleMint</w:t>
          </w:r>
          <w:r>
            <w:tab/>
          </w:r>
          <w:r>
            <w:t xml:space="preserve">12</w:t>
          </w:r>
        </w:p>
        <w:p>
          <w:pPr>
            <w:pStyle w:val="TOC2"/>
            <w:tabs>
              <w:tab w:val="right" w:leader="dot" w:pos="9072"/>
            </w:tabs>
          </w:pPr>
          <w:r>
            <w:t xml:space="preserve">2.1 Company Overview</w:t>
          </w:r>
          <w:r>
            <w:tab/>
          </w:r>
          <w:r>
            <w:t xml:space="preserve">13</w:t>
          </w:r>
        </w:p>
        <w:p>
          <w:pPr>
            <w:pStyle w:val="TOC2"/>
            <w:tabs>
              <w:tab w:val="right" w:leader="dot" w:pos="9072"/>
            </w:tabs>
          </w:pPr>
          <w:r>
            <w:t xml:space="preserve">2.2 Production Credentials</w:t>
          </w:r>
          <w:r>
            <w:tab/>
          </w:r>
          <w:r>
            <w:t xml:space="preserve">14</w:t>
          </w:r>
        </w:p>
        <w:p>
          <w:pPr>
            <w:pStyle w:val="TOC2"/>
            <w:tabs>
              <w:tab w:val="right" w:leader="dot" w:pos="9072"/>
            </w:tabs>
          </w:pPr>
          <w:r>
            <w:t xml:space="preserve">2.3 Regulatory Readiness</w:t>
          </w:r>
          <w:r>
            <w:tab/>
          </w:r>
          <w:r>
            <w:t xml:space="preserve">15</w:t>
          </w:r>
        </w:p>
        <w:p>
          <w:pPr>
            <w:pStyle w:val="TOC1"/>
            <w:tabs>
              <w:tab w:val="right" w:leader="dot" w:pos="9072"/>
            </w:tabs>
          </w:pPr>
          <w:r>
            <w:t xml:space="preserve">3. About DALP</w:t>
          </w:r>
          <w:r>
            <w:tab/>
          </w:r>
          <w:r>
            <w:t xml:space="preserve">16</w:t>
          </w:r>
        </w:p>
        <w:p>
          <w:pPr>
            <w:pStyle w:val="TOC2"/>
            <w:tabs>
              <w:tab w:val="right" w:leader="dot" w:pos="9072"/>
            </w:tabs>
          </w:pPr>
          <w:r>
            <w:t xml:space="preserve">3.1 Platform Overview</w:t>
          </w:r>
          <w:r>
            <w:tab/>
          </w:r>
          <w:r>
            <w:t xml:space="preserve">17</w:t>
          </w:r>
        </w:p>
        <w:p>
          <w:pPr>
            <w:pStyle w:val="TOC2"/>
            <w:tabs>
              <w:tab w:val="right" w:leader="dot" w:pos="9072"/>
            </w:tabs>
          </w:pPr>
          <w:r>
            <w:t xml:space="preserve">3.2 Core Lifecycle Pillars</w:t>
          </w:r>
          <w:r>
            <w:tab/>
          </w:r>
          <w:r>
            <w:t xml:space="preserve">18</w:t>
          </w:r>
        </w:p>
        <w:p>
          <w:pPr>
            <w:pStyle w:val="TOC2"/>
            <w:tabs>
              <w:tab w:val="right" w:leader="dot" w:pos="9072"/>
            </w:tabs>
          </w:pPr>
          <w:r>
            <w:t xml:space="preserve">3.3 Supported Asset Classes</w:t>
          </w:r>
          <w:r>
            <w:tab/>
          </w:r>
          <w:r>
            <w:t xml:space="preserve">19</w:t>
          </w:r>
        </w:p>
        <w:p>
          <w:pPr>
            <w:pStyle w:val="TOC2"/>
            <w:tabs>
              <w:tab w:val="right" w:leader="dot" w:pos="9072"/>
            </w:tabs>
          </w:pPr>
          <w:r>
            <w:t xml:space="preserve">3.4 Standards and Protocols</w:t>
          </w:r>
          <w:r>
            <w:tab/>
          </w:r>
          <w:r>
            <w:t xml:space="preserve">20</w:t>
          </w:r>
        </w:p>
        <w:p>
          <w:pPr>
            <w:pStyle w:val="TOC1"/>
            <w:tabs>
              <w:tab w:val="right" w:leader="dot" w:pos="9072"/>
            </w:tabs>
          </w:pPr>
          <w:r>
            <w:t xml:space="preserve">4. Understanding Casablanca Stock Exchange Requirements</w:t>
          </w:r>
          <w:r>
            <w:tab/>
          </w:r>
          <w:r>
            <w:t xml:space="preserve">21</w:t>
          </w:r>
        </w:p>
        <w:p>
          <w:pPr>
            <w:pStyle w:val="TOC2"/>
            <w:tabs>
              <w:tab w:val="right" w:leader="dot" w:pos="9072"/>
            </w:tabs>
          </w:pPr>
          <w:r>
            <w:t xml:space="preserve">4.1 Institutional Context</w:t>
          </w:r>
          <w:r>
            <w:tab/>
          </w:r>
          <w:r>
            <w:t xml:space="preserve">22</w:t>
          </w:r>
        </w:p>
        <w:p>
          <w:pPr>
            <w:pStyle w:val="TOC2"/>
            <w:tabs>
              <w:tab w:val="right" w:leader="dot" w:pos="9072"/>
            </w:tabs>
          </w:pPr>
          <w:r>
            <w:t xml:space="preserve">4.2 Requirement Domain Mapping</w:t>
          </w:r>
          <w:r>
            <w:tab/>
          </w:r>
          <w:r>
            <w:t xml:space="preserve">23</w:t>
          </w:r>
        </w:p>
        <w:p>
          <w:pPr>
            <w:pStyle w:val="TOC2"/>
            <w:tabs>
              <w:tab w:val="right" w:leader="dot" w:pos="9072"/>
            </w:tabs>
          </w:pPr>
          <w:r>
            <w:t xml:space="preserve">4.3 Key Challenges</w:t>
          </w:r>
          <w:r>
            <w:tab/>
          </w:r>
          <w:r>
            <w:t xml:space="preserve">24</w:t>
          </w:r>
        </w:p>
        <w:p>
          <w:pPr>
            <w:pStyle w:val="TOC1"/>
            <w:tabs>
              <w:tab w:val="right" w:leader="dot" w:pos="9072"/>
            </w:tabs>
          </w:pPr>
          <w:r>
            <w:t xml:space="preserve">5. Proposed Solution and Functional Capabilities</w:t>
          </w:r>
          <w:r>
            <w:tab/>
          </w:r>
          <w:r>
            <w:t xml:space="preserve">25</w:t>
          </w:r>
        </w:p>
        <w:p>
          <w:pPr>
            <w:pStyle w:val="TOC2"/>
            <w:tabs>
              <w:tab w:val="right" w:leader="dot" w:pos="9072"/>
            </w:tabs>
          </w:pPr>
          <w:r>
            <w:t xml:space="preserve">5.1 Solution Architecture</w:t>
          </w:r>
          <w:r>
            <w:tab/>
          </w:r>
          <w:r>
            <w:t xml:space="preserve">26</w:t>
          </w:r>
        </w:p>
        <w:p>
          <w:pPr>
            <w:pStyle w:val="TOC2"/>
            <w:tabs>
              <w:tab w:val="right" w:leader="dot" w:pos="9072"/>
            </w:tabs>
          </w:pPr>
          <w:r>
            <w:t xml:space="preserve">5.2 Issuance and Asset Configuration</w:t>
          </w:r>
          <w:r>
            <w:tab/>
          </w:r>
          <w:r>
            <w:t xml:space="preserve">27</w:t>
          </w:r>
        </w:p>
        <w:p>
          <w:pPr>
            <w:pStyle w:val="TOC2"/>
            <w:tabs>
              <w:tab w:val="right" w:leader="dot" w:pos="9072"/>
            </w:tabs>
          </w:pPr>
          <w:r>
            <w:t xml:space="preserve">5.3 Compliance Enforcement</w:t>
          </w:r>
          <w:r>
            <w:tab/>
          </w:r>
          <w:r>
            <w:t xml:space="preserve">28</w:t>
          </w:r>
        </w:p>
        <w:p>
          <w:pPr>
            <w:pStyle w:val="TOC2"/>
            <w:tabs>
              <w:tab w:val="right" w:leader="dot" w:pos="9072"/>
            </w:tabs>
          </w:pPr>
          <w:r>
            <w:t xml:space="preserve">5.4 Transfer and Settlement</w:t>
          </w:r>
          <w:r>
            <w:tab/>
          </w:r>
          <w:r>
            <w:t xml:space="preserve">29</w:t>
          </w:r>
        </w:p>
        <w:p>
          <w:pPr>
            <w:pStyle w:val="TOC2"/>
            <w:tabs>
              <w:tab w:val="right" w:leader="dot" w:pos="9072"/>
            </w:tabs>
          </w:pPr>
          <w:r>
            <w:t xml:space="preserve">5.5 Corporate Actions and Servicing</w:t>
          </w:r>
          <w:r>
            <w:tab/>
          </w:r>
          <w:r>
            <w:t xml:space="preserve">30</w:t>
          </w:r>
        </w:p>
        <w:p>
          <w:pPr>
            <w:pStyle w:val="TOC2"/>
            <w:tabs>
              <w:tab w:val="right" w:leader="dot" w:pos="9072"/>
            </w:tabs>
          </w:pPr>
          <w:r>
            <w:t xml:space="preserve">5.6 Integration and Interoperability</w:t>
          </w:r>
          <w:r>
            <w:tab/>
          </w:r>
          <w:r>
            <w:t xml:space="preserve">31</w:t>
          </w:r>
        </w:p>
        <w:p>
          <w:pPr>
            <w:pStyle w:val="TOC2"/>
            <w:tabs>
              <w:tab w:val="right" w:leader="dot" w:pos="9072"/>
            </w:tabs>
          </w:pPr>
          <w:r>
            <w:t xml:space="preserve">5.7 Functional Fit Matrix</w:t>
          </w:r>
          <w:r>
            <w:tab/>
          </w:r>
          <w:r>
            <w:t xml:space="preserve">32</w:t>
          </w:r>
        </w:p>
        <w:p>
          <w:pPr>
            <w:pStyle w:val="TOC1"/>
            <w:tabs>
              <w:tab w:val="right" w:leader="dot" w:pos="9072"/>
            </w:tabs>
          </w:pPr>
          <w:r>
            <w:t xml:space="preserve">6. Technical Architecture</w:t>
          </w:r>
          <w:r>
            <w:tab/>
          </w:r>
          <w:r>
            <w:t xml:space="preserve">33</w:t>
          </w:r>
        </w:p>
        <w:p>
          <w:pPr>
            <w:pStyle w:val="TOC2"/>
            <w:tabs>
              <w:tab w:val="right" w:leader="dot" w:pos="9072"/>
            </w:tabs>
          </w:pPr>
          <w:r>
            <w:t xml:space="preserve">6.1 Architectural Principles</w:t>
          </w:r>
          <w:r>
            <w:tab/>
          </w:r>
          <w:r>
            <w:t xml:space="preserve">34</w:t>
          </w:r>
        </w:p>
        <w:p>
          <w:pPr>
            <w:pStyle w:val="TOC2"/>
            <w:tabs>
              <w:tab w:val="right" w:leader="dot" w:pos="9072"/>
            </w:tabs>
          </w:pPr>
          <w:r>
            <w:t xml:space="preserve">6.2 Layered Architecture</w:t>
          </w:r>
          <w:r>
            <w:tab/>
          </w:r>
          <w:r>
            <w:t xml:space="preserve">35</w:t>
          </w:r>
        </w:p>
        <w:p>
          <w:pPr>
            <w:pStyle w:val="TOC2"/>
            <w:tabs>
              <w:tab w:val="right" w:leader="dot" w:pos="9072"/>
            </w:tabs>
          </w:pPr>
          <w:r>
            <w:t xml:space="preserve">6.3 Data Architecture</w:t>
          </w:r>
          <w:r>
            <w:tab/>
          </w:r>
          <w:r>
            <w:t xml:space="preserve">36</w:t>
          </w:r>
        </w:p>
        <w:p>
          <w:pPr>
            <w:pStyle w:val="TOC2"/>
            <w:tabs>
              <w:tab w:val="right" w:leader="dot" w:pos="9072"/>
            </w:tabs>
          </w:pPr>
          <w:r>
            <w:t xml:space="preserve">6.4 Network Topology</w:t>
          </w:r>
          <w:r>
            <w:tab/>
          </w:r>
          <w:r>
            <w:t xml:space="preserve">37</w:t>
          </w:r>
        </w:p>
        <w:p>
          <w:pPr>
            <w:pStyle w:val="TOC2"/>
            <w:tabs>
              <w:tab w:val="right" w:leader="dot" w:pos="9072"/>
            </w:tabs>
          </w:pPr>
          <w:r>
            <w:t xml:space="preserve">6.5 Environment Segregation</w:t>
          </w:r>
          <w:r>
            <w:tab/>
          </w:r>
          <w:r>
            <w:t xml:space="preserve">38</w:t>
          </w:r>
        </w:p>
        <w:p>
          <w:pPr>
            <w:pStyle w:val="TOC1"/>
            <w:tabs>
              <w:tab w:val="right" w:leader="dot" w:pos="9072"/>
            </w:tabs>
          </w:pPr>
          <w:r>
            <w:t xml:space="preserve">7. Asset Lifecycle and Compliance Infrastructure</w:t>
          </w:r>
          <w:r>
            <w:tab/>
          </w:r>
          <w:r>
            <w:t xml:space="preserve">39</w:t>
          </w:r>
        </w:p>
        <w:p>
          <w:pPr>
            <w:pStyle w:val="TOC2"/>
            <w:tabs>
              <w:tab w:val="right" w:leader="dot" w:pos="9072"/>
            </w:tabs>
          </w:pPr>
          <w:r>
            <w:t xml:space="preserve">7.1 Sukuk and Islamic Finance Support</w:t>
          </w:r>
          <w:r>
            <w:tab/>
          </w:r>
          <w:r>
            <w:t xml:space="preserve">40</w:t>
          </w:r>
        </w:p>
        <w:p>
          <w:pPr>
            <w:pStyle w:val="TOC2"/>
            <w:tabs>
              <w:tab w:val="right" w:leader="dot" w:pos="9072"/>
            </w:tabs>
          </w:pPr>
          <w:r>
            <w:t xml:space="preserve">7.2 Investor Lifecycle</w:t>
          </w:r>
          <w:r>
            <w:tab/>
          </w:r>
          <w:r>
            <w:t xml:space="preserve">41</w:t>
          </w:r>
        </w:p>
        <w:p>
          <w:pPr>
            <w:pStyle w:val="TOC1"/>
            <w:tabs>
              <w:tab w:val="right" w:leader="dot" w:pos="9072"/>
            </w:tabs>
          </w:pPr>
          <w:r>
            <w:t xml:space="preserve">8. Security, Governance, and Controls</w:t>
          </w:r>
          <w:r>
            <w:tab/>
          </w:r>
          <w:r>
            <w:t xml:space="preserve">42</w:t>
          </w:r>
        </w:p>
        <w:p>
          <w:pPr>
            <w:pStyle w:val="TOC2"/>
            <w:tabs>
              <w:tab w:val="right" w:leader="dot" w:pos="9072"/>
            </w:tabs>
          </w:pPr>
          <w:r>
            <w:t xml:space="preserve">8.1 Security Model</w:t>
          </w:r>
          <w:r>
            <w:tab/>
          </w:r>
          <w:r>
            <w:t xml:space="preserve">43</w:t>
          </w:r>
        </w:p>
        <w:p>
          <w:pPr>
            <w:pStyle w:val="TOC2"/>
            <w:tabs>
              <w:tab w:val="right" w:leader="dot" w:pos="9072"/>
            </w:tabs>
          </w:pPr>
          <w:r>
            <w:t xml:space="preserve">8.2 Morocco Regulatory Compliance — AML/CFT and Data Protection</w:t>
          </w:r>
          <w:r>
            <w:tab/>
          </w:r>
          <w:r>
            <w:t xml:space="preserve">44</w:t>
          </w:r>
        </w:p>
        <w:p>
          <w:pPr>
            <w:pStyle w:val="TOC2"/>
            <w:tabs>
              <w:tab w:val="right" w:leader="dot" w:pos="9072"/>
            </w:tabs>
          </w:pPr>
          <w:r>
            <w:t xml:space="preserve">8.3 Separation of Duties</w:t>
          </w:r>
          <w:r>
            <w:tab/>
          </w:r>
          <w:r>
            <w:t xml:space="preserve">45</w:t>
          </w:r>
        </w:p>
        <w:p>
          <w:pPr>
            <w:pStyle w:val="TOC2"/>
            <w:tabs>
              <w:tab w:val="right" w:leader="dot" w:pos="9072"/>
            </w:tabs>
          </w:pPr>
          <w:r>
            <w:t xml:space="preserve">8.4 Audit Evidence for AMMC</w:t>
          </w:r>
          <w:r>
            <w:tab/>
          </w:r>
          <w:r>
            <w:t xml:space="preserve">46</w:t>
          </w:r>
        </w:p>
        <w:p>
          <w:pPr>
            <w:pStyle w:val="TOC2"/>
            <w:tabs>
              <w:tab w:val="right" w:leader="dot" w:pos="9072"/>
            </w:tabs>
          </w:pPr>
          <w:r>
            <w:t xml:space="preserve">8.5 Security Responsibility Matrix</w:t>
          </w:r>
          <w:r>
            <w:tab/>
          </w:r>
          <w:r>
            <w:t xml:space="preserve">47</w:t>
          </w:r>
        </w:p>
        <w:p>
          <w:pPr>
            <w:pStyle w:val="TOC1"/>
            <w:tabs>
              <w:tab w:val="right" w:leader="dot" w:pos="9072"/>
            </w:tabs>
          </w:pPr>
          <w:r>
            <w:t xml:space="preserve">9. Integration and Interoperability</w:t>
          </w:r>
          <w:r>
            <w:tab/>
          </w:r>
          <w:r>
            <w:t xml:space="preserve">48</w:t>
          </w:r>
        </w:p>
        <w:p>
          <w:pPr>
            <w:pStyle w:val="TOC2"/>
            <w:tabs>
              <w:tab w:val="right" w:leader="dot" w:pos="9072"/>
            </w:tabs>
          </w:pPr>
          <w:r>
            <w:t xml:space="preserve">9.1 Maroclear Integration</w:t>
          </w:r>
          <w:r>
            <w:tab/>
          </w:r>
          <w:r>
            <w:t xml:space="preserve">49</w:t>
          </w:r>
        </w:p>
        <w:p>
          <w:pPr>
            <w:pStyle w:val="TOC2"/>
            <w:tabs>
              <w:tab w:val="right" w:leader="dot" w:pos="9072"/>
            </w:tabs>
          </w:pPr>
          <w:r>
            <w:t xml:space="preserve">9.2 AMMC Regulatory Reporting</w:t>
          </w:r>
          <w:r>
            <w:tab/>
          </w:r>
          <w:r>
            <w:t xml:space="preserve">50</w:t>
          </w:r>
        </w:p>
        <w:p>
          <w:pPr>
            <w:pStyle w:val="TOC2"/>
            <w:tabs>
              <w:tab w:val="right" w:leader="dot" w:pos="9072"/>
            </w:tabs>
          </w:pPr>
          <w:r>
            <w:t xml:space="preserve">9.3 API Versioning and Release Management</w:t>
          </w:r>
          <w:r>
            <w:tab/>
          </w:r>
          <w:r>
            <w:t xml:space="preserve">51</w:t>
          </w:r>
        </w:p>
        <w:p>
          <w:pPr>
            <w:pStyle w:val="TOC1"/>
            <w:tabs>
              <w:tab w:val="right" w:leader="dot" w:pos="9072"/>
            </w:tabs>
          </w:pPr>
          <w:r>
            <w:t xml:space="preserve">10. Deployment Model</w:t>
          </w:r>
          <w:r>
            <w:tab/>
          </w:r>
          <w:r>
            <w:t xml:space="preserve">52</w:t>
          </w:r>
        </w:p>
        <w:p>
          <w:pPr>
            <w:pStyle w:val="TOC2"/>
            <w:tabs>
              <w:tab w:val="right" w:leader="dot" w:pos="9072"/>
            </w:tabs>
          </w:pPr>
          <w:r>
            <w:t xml:space="preserve">10.1 Recommended Model: European or Morocco Cloud Region</w:t>
          </w:r>
          <w:r>
            <w:tab/>
          </w:r>
          <w:r>
            <w:t xml:space="preserve">53</w:t>
          </w:r>
        </w:p>
        <w:p>
          <w:pPr>
            <w:pStyle w:val="TOC2"/>
            <w:tabs>
              <w:tab w:val="right" w:leader="dot" w:pos="9072"/>
            </w:tabs>
          </w:pPr>
          <w:r>
            <w:t xml:space="preserve">10.2 Availability and Resilience</w:t>
          </w:r>
          <w:r>
            <w:tab/>
          </w:r>
          <w:r>
            <w:t xml:space="preserve">54</w:t>
          </w:r>
        </w:p>
        <w:p>
          <w:pPr>
            <w:pStyle w:val="TOC1"/>
            <w:tabs>
              <w:tab w:val="right" w:leader="dot" w:pos="9072"/>
            </w:tabs>
          </w:pPr>
          <w:r>
            <w:t xml:space="preserve">11. Implementation Methodology</w:t>
          </w:r>
          <w:r>
            <w:tab/>
          </w:r>
          <w:r>
            <w:t xml:space="preserve">55</w:t>
          </w:r>
        </w:p>
        <w:p>
          <w:pPr>
            <w:pStyle w:val="TOC2"/>
            <w:tabs>
              <w:tab w:val="right" w:leader="dot" w:pos="9072"/>
            </w:tabs>
          </w:pPr>
          <w:r>
            <w:t xml:space="preserve">11.1 Implementation Timeline</w:t>
          </w:r>
          <w:r>
            <w:tab/>
          </w:r>
          <w:r>
            <w:t xml:space="preserve">56</w:t>
          </w:r>
        </w:p>
        <w:p>
          <w:pPr>
            <w:pStyle w:val="TOC2"/>
            <w:tabs>
              <w:tab w:val="right" w:leader="dot" w:pos="9072"/>
            </w:tabs>
          </w:pPr>
          <w:r>
            <w:t xml:space="preserve">11.2 Phase Summary</w:t>
          </w:r>
          <w:r>
            <w:tab/>
          </w:r>
          <w:r>
            <w:t xml:space="preserve">57</w:t>
          </w:r>
        </w:p>
        <w:p>
          <w:pPr>
            <w:pStyle w:val="TOC2"/>
            <w:tabs>
              <w:tab w:val="right" w:leader="dot" w:pos="9072"/>
            </w:tabs>
          </w:pPr>
          <w:r>
            <w:t xml:space="preserve">11.3 CSE Resource Requirements</w:t>
          </w:r>
          <w:r>
            <w:tab/>
          </w:r>
          <w:r>
            <w:t xml:space="preserve">58</w:t>
          </w:r>
        </w:p>
        <w:p>
          <w:pPr>
            <w:pStyle w:val="TOC1"/>
            <w:tabs>
              <w:tab w:val="right" w:leader="dot" w:pos="9072"/>
            </w:tabs>
          </w:pPr>
          <w:r>
            <w:t xml:space="preserve">12. Training and Knowledge Transfer</w:t>
          </w:r>
          <w:r>
            <w:tab/>
          </w:r>
          <w:r>
            <w:t xml:space="preserve">59</w:t>
          </w:r>
        </w:p>
        <w:p>
          <w:pPr>
            <w:pStyle w:val="TOC1"/>
            <w:tabs>
              <w:tab w:val="right" w:leader="dot" w:pos="9072"/>
            </w:tabs>
          </w:pPr>
          <w:r>
            <w:t xml:space="preserve">13. Support and Service Levels</w:t>
          </w:r>
          <w:r>
            <w:tab/>
          </w:r>
          <w:r>
            <w:t xml:space="preserve">60</w:t>
          </w:r>
        </w:p>
        <w:p>
          <w:pPr>
            <w:pStyle w:val="TOC1"/>
            <w:tabs>
              <w:tab w:val="right" w:leader="dot" w:pos="9072"/>
            </w:tabs>
          </w:pPr>
          <w:r>
            <w:t xml:space="preserve">14. Risk Management</w:t>
          </w:r>
          <w:r>
            <w:tab/>
          </w:r>
          <w:r>
            <w:t xml:space="preserve">61</w:t>
          </w:r>
        </w:p>
        <w:p>
          <w:pPr>
            <w:pStyle w:val="TOC1"/>
            <w:tabs>
              <w:tab w:val="right" w:leader="dot" w:pos="9072"/>
            </w:tabs>
          </w:pPr>
          <w:r>
            <w:t xml:space="preserve">15. Compliance Matrix</w:t>
          </w:r>
          <w:r>
            <w:tab/>
          </w:r>
          <w:r>
            <w:t xml:space="preserve">62</w:t>
          </w:r>
        </w:p>
        <w:p>
          <w:pPr>
            <w:pStyle w:val="TOC1"/>
            <w:tabs>
              <w:tab w:val="right" w:leader="dot" w:pos="9072"/>
            </w:tabs>
          </w:pPr>
          <w:r>
            <w:t xml:space="preserve">Appendix A: Operating Model Detail</w:t>
          </w:r>
          <w:r>
            <w:tab/>
          </w:r>
          <w:r>
            <w:t xml:space="preserve">63</w:t>
          </w:r>
        </w:p>
        <w:p>
          <w:pPr>
            <w:pStyle w:val="TOC2"/>
            <w:tabs>
              <w:tab w:val="right" w:leader="dot" w:pos="9072"/>
            </w:tabs>
          </w:pPr>
          <w:r>
            <w:t xml:space="preserve">A.1 Role Ownership</w:t>
          </w:r>
          <w:r>
            <w:tab/>
          </w:r>
          <w:r>
            <w:t xml:space="preserve">64</w:t>
          </w:r>
        </w:p>
        <w:p>
          <w:pPr>
            <w:pStyle w:val="TOC2"/>
            <w:tabs>
              <w:tab w:val="right" w:leader="dot" w:pos="9072"/>
            </w:tabs>
          </w:pPr>
          <w:r>
            <w:t xml:space="preserve">A.2 Governance Routines</w:t>
          </w:r>
          <w:r>
            <w:tab/>
          </w:r>
          <w:r>
            <w:t xml:space="preserve">65</w:t>
          </w:r>
        </w:p>
        <w:p>
          <w:pPr>
            <w:pStyle w:val="TOC1"/>
            <w:tabs>
              <w:tab w:val="right" w:leader="dot" w:pos="9072"/>
            </w:tabs>
          </w:pPr>
          <w:r>
            <w:t xml:space="preserve">Appendix B: Security and Resilience</w:t>
          </w:r>
          <w:r>
            <w:tab/>
          </w:r>
          <w:r>
            <w:t xml:space="preserve">66</w:t>
          </w:r>
        </w:p>
        <w:p>
          <w:pPr>
            <w:pStyle w:val="TOC1"/>
            <w:tabs>
              <w:tab w:val="right" w:leader="dot" w:pos="9072"/>
            </w:tabs>
          </w:pPr>
          <w:r>
            <w:t xml:space="preserve">Appendix C: Dependency Register</w:t>
          </w:r>
          <w:r>
            <w:tab/>
          </w:r>
          <w:r>
            <w:t xml:space="preserve">67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Tokenized Securities Issuance and Trading Framework"</w:t>
      </w:r>
    </w:p>
    <w:p>
      <w:r>
        <w:rPr>
          <w:rFonts w:ascii="Figtree" w:hAnsi="Figtree"/>
          <w:b w:val="0"/>
          <w:i w:val="0"/>
          <w:sz w:val="22"/>
        </w:rPr>
        <w:t>client: "Casablanca Stock Exchange"</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"CASABLANCA-STOCK-EXCHANGE-RFP-TOKENIZED-SECURITIES-MOROCCO-202603"</w:t>
      </w:r>
    </w:p>
    <w:p>
      <w:r>
        <w:br w:type="page"/>
      </w:r>
    </w:p>
    <w:p>
      <w:pPr>
        <w:pStyle w:val="H1"/>
        <w:numPr>
          <w:ilvl w:val="0"/>
          <w:numId w:val="1"/>
        </w:numPr>
      </w:pPr>
      <w:r>
        <w:t>Technical Proposal</w:t>
      </w:r>
    </w:p>
    <w:p>
      <w:pPr>
        <w:pStyle w:val="H2"/>
        <w:numPr>
          <w:ilvl w:val="1"/>
          <w:numId w:val="1"/>
        </w:numPr>
      </w:pPr>
      <w:r>
        <w:t>Tokenized Securities Issuance and Trading Framework</w:t>
      </w:r>
    </w:p>
    <w:p>
      <w:r>
        <w:br w:type="page"/>
      </w:r>
    </w:p>
    <w:p>
      <w:r>
        <w:rPr>
          <w:rFonts w:ascii="Figtree" w:hAnsi="Figtree"/>
          <w:b/>
          <w:i w:val="0"/>
          <w:sz w:val="22"/>
        </w:rPr>
        <w:t>Document Title:</w:t>
      </w:r>
      <w:r>
        <w:rPr>
          <w:rFonts w:ascii="Figtree" w:hAnsi="Figtree"/>
          <w:b w:val="0"/>
          <w:i w:val="0"/>
          <w:sz w:val="22"/>
        </w:rPr>
        <w:t xml:space="preserve"> Technical Proposal — Tokenized Securities Issuance and Trading Framework</w:t>
      </w:r>
    </w:p>
    <w:p>
      <w:r>
        <w:rPr>
          <w:rFonts w:ascii="Figtree" w:hAnsi="Figtree"/>
          <w:b/>
          <w:i w:val="0"/>
          <w:sz w:val="22"/>
        </w:rPr>
        <w:t>Client:</w:t>
      </w:r>
      <w:r>
        <w:rPr>
          <w:rFonts w:ascii="Figtree" w:hAnsi="Figtree"/>
          <w:b w:val="0"/>
          <w:i w:val="0"/>
          <w:sz w:val="22"/>
        </w:rPr>
        <w:t xml:space="preserve"> Casablanca Stock Exchange (Bourse de Casablanca)</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1.1 (Reviewed)</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Casablanca Stock Exchange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Asset Lifecycle and Compliance Infrastructure</w:t>
      </w:r>
    </w:p>
    <w:p>
      <w:pPr>
        <w:pStyle w:val="ListParagraph"/>
        <w:numPr>
          <w:ilvl w:val="0"/>
          <w:numId w:val="6"/>
        </w:numPr>
      </w:pPr>
      <w:r>
        <w:rPr>
          <w:rFonts w:ascii="Figtree" w:hAnsi="Figtree"/>
          <w:b w:val="0"/>
          <w:i w:val="0"/>
          <w:sz w:val="22"/>
        </w:rPr>
        <w:t>Security, Governance, and Controls</w:t>
      </w:r>
    </w:p>
    <w:p>
      <w:pPr>
        <w:pStyle w:val="ListParagraph"/>
        <w:numPr>
          <w:ilvl w:val="0"/>
          <w:numId w:val="6"/>
        </w:numPr>
      </w:pPr>
      <w:r>
        <w:rPr>
          <w:rFonts w:ascii="Figtree" w:hAnsi="Figtree"/>
          <w:b w:val="0"/>
          <w:i w:val="0"/>
          <w:sz w:val="22"/>
        </w:rPr>
        <w:t>Integration and Interoperability</w:t>
      </w:r>
    </w:p>
    <w:p>
      <w:pPr>
        <w:pStyle w:val="ListParagraph"/>
        <w:numPr>
          <w:ilvl w:val="0"/>
          <w:numId w:val="6"/>
        </w:numPr>
      </w:pPr>
      <w:r>
        <w:rPr>
          <w:rFonts w:ascii="Figtree" w:hAnsi="Figtree"/>
          <w:b w:val="0"/>
          <w:i w:val="0"/>
          <w:sz w:val="22"/>
        </w:rPr>
        <w:t>Deployment Model</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Security and Resilience</w:t>
      </w:r>
    </w:p>
    <w:p>
      <w:pPr>
        <w:pStyle w:val="ListParagraph"/>
        <w:numPr>
          <w:ilvl w:val="0"/>
          <w:numId w:val="6"/>
        </w:numPr>
      </w:pPr>
      <w:r>
        <w:rPr>
          <w:rFonts w:ascii="Figtree" w:hAnsi="Figtree"/>
          <w:b w:val="0"/>
          <w:i w:val="0"/>
          <w:sz w:val="22"/>
        </w:rPr>
        <w:t>Appendix C: Data and Integration</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Casablanca Stock Exchange (Bourse de Casablanca) is the principal securities exchange in Morocco and one of the leading capital markets infrastructure operators in Africa. The tokenized securities issuance and trading framework programme represents a strategic initiative to extend the Exchange's market infrastructure capabilities into digital asset-native instruments, while preserving the governance, regulatory compliance, and operational integrity that its current market position requires.</w:t>
      </w:r>
    </w:p>
    <w:p>
      <w:r>
        <w:rPr>
          <w:rFonts w:ascii="Figtree" w:hAnsi="Figtree"/>
          <w:b w:val="0"/>
          <w:i w:val="0"/>
          <w:sz w:val="22"/>
        </w:rPr>
        <w:t>The Moroccan capital markets context is specific and material. The Autorité Marocaine du Marché des Capitaux (AMMC) governs securities market activities in Morocco, including disclosure requirements, investor protection rules, and market conduct standards. Bank Al-Maghrib sets monetary policy and payment system expectations that affect the cash leg of any tokenized securities settlement. The Casablanca Finance City (CFC) ecosystem creates a regional financial hub context that connects Moroccan market infrastructure to broader Pan-African and international flows.</w:t>
      </w:r>
    </w:p>
    <w:p>
      <w:r>
        <w:rPr>
          <w:rFonts w:ascii="Figtree" w:hAnsi="Figtree"/>
          <w:b w:val="0"/>
          <w:i w:val="0"/>
          <w:sz w:val="22"/>
        </w:rPr>
        <w:t>Morocco's digital finance landscape is evolving. Bank Al-Maghrib has engaged in payments modernization and digital finance research. The CFC has positioned Casablanca as a gateway for institutional capital accessing African markets. In this context, a tokenized securities framework for the Casablanca Stock Exchange is not an isolated innovation experiment — it is a programme to extend regulated market infrastructure to support new instrument types and investor access models while remaining within the existing regulatory perimeter.</w:t>
      </w:r>
    </w:p>
    <w:p>
      <w:r>
        <w:rPr>
          <w:rFonts w:ascii="Figtree" w:hAnsi="Figtree"/>
          <w:b w:val="0"/>
          <w:i w:val="0"/>
          <w:sz w:val="22"/>
        </w:rPr>
        <w:t>SettleMint proposes DALP, the Digital Asset Lifecycle Platform, as the production-grade infrastructure for this programme. DALP provides the lifecycle coverage, compliance enforcement, and audit evidence capabilities required for a regulated exchange operator operating under AMMC oversight.</w:t>
      </w:r>
    </w:p>
    <w:p>
      <w:pPr>
        <w:pStyle w:val="H2"/>
        <w:numPr>
          <w:ilvl w:val="1"/>
          <w:numId w:val="1"/>
        </w:numPr>
      </w:pPr>
      <w:r>
        <w:t>1.2 Why This Programme Is Hard</w:t>
      </w:r>
    </w:p>
    <w:p>
      <w:r>
        <w:rPr>
          <w:rFonts w:ascii="Figtree" w:hAnsi="Figtree"/>
          <w:b w:val="0"/>
          <w:i w:val="0"/>
          <w:sz w:val="22"/>
        </w:rPr>
        <w:t>Tokenized securities at an exchange operator involve a specific complexity profile distinct from generic tokenization pilots.</w:t>
      </w:r>
    </w:p>
    <w:p>
      <w:r>
        <w:rPr>
          <w:rFonts w:ascii="Figtree" w:hAnsi="Figtree"/>
          <w:b/>
          <w:i w:val="0"/>
          <w:sz w:val="22"/>
        </w:rPr>
        <w:t>Regulatory perimeter complexity:</w:t>
      </w:r>
      <w:r>
        <w:rPr>
          <w:rFonts w:ascii="Figtree" w:hAnsi="Figtree"/>
          <w:b w:val="0"/>
          <w:i w:val="0"/>
          <w:sz w:val="22"/>
        </w:rPr>
        <w:t xml:space="preserve"> Morocco's securities regulatory framework requires that tokenized instruments maintain the same investor protection, disclosure, and market conduct standards as conventional instruments. The compliance framework must be configurable to match AMMC requirements across instrument types and investor classes.</w:t>
      </w:r>
    </w:p>
    <w:p>
      <w:r>
        <w:rPr>
          <w:rFonts w:ascii="Figtree" w:hAnsi="Figtree"/>
          <w:b/>
          <w:i w:val="0"/>
          <w:sz w:val="22"/>
        </w:rPr>
        <w:t>Bilingual operational requirements:</w:t>
      </w:r>
      <w:r>
        <w:rPr>
          <w:rFonts w:ascii="Figtree" w:hAnsi="Figtree"/>
          <w:b w:val="0"/>
          <w:i w:val="0"/>
          <w:sz w:val="22"/>
        </w:rPr>
        <w:t xml:space="preserve"> Casablanca Stock Exchange operates in French and Arabic. Operational documentation, user interfaces, and regulatory reporting must support both languages. This is an operational requirement, not a cosmetic preference.</w:t>
      </w:r>
    </w:p>
    <w:p>
      <w:r>
        <w:rPr>
          <w:rFonts w:ascii="Figtree" w:hAnsi="Figtree"/>
          <w:b/>
          <w:i w:val="0"/>
          <w:sz w:val="22"/>
        </w:rPr>
        <w:t>Pan-African investor access:</w:t>
      </w:r>
      <w:r>
        <w:rPr>
          <w:rFonts w:ascii="Figtree" w:hAnsi="Figtree"/>
          <w:b w:val="0"/>
          <w:i w:val="0"/>
          <w:sz w:val="22"/>
        </w:rPr>
        <w:t xml:space="preserve"> The CFC hub model means Casablanca Stock Exchange serves investors from across Africa and internationally. Investor eligibility rules, AML/CFT screening, and cross-border transfer controls must handle a diverse investor base across multiple jurisdictions with varying regulatory expectations.</w:t>
      </w:r>
    </w:p>
    <w:p>
      <w:r>
        <w:rPr>
          <w:rFonts w:ascii="Figtree" w:hAnsi="Figtree"/>
          <w:b/>
          <w:i w:val="0"/>
          <w:sz w:val="22"/>
        </w:rPr>
        <w:t>CSD coexistence:</w:t>
      </w:r>
      <w:r>
        <w:rPr>
          <w:rFonts w:ascii="Figtree" w:hAnsi="Figtree"/>
          <w:b w:val="0"/>
          <w:i w:val="0"/>
          <w:sz w:val="22"/>
        </w:rPr>
        <w:t xml:space="preserve"> Maroclear serves as Morocco's central securities depository. Any tokenized securities framework must produce CSD-compatible data and settle in a way that preserves Maroclear's authoritative position in the settlement chain.</w:t>
      </w:r>
    </w:p>
    <w:p>
      <w:pPr>
        <w:pStyle w:val="H2"/>
        <w:numPr>
          <w:ilvl w:val="1"/>
          <w:numId w:val="1"/>
        </w:numPr>
      </w:pPr>
      <w:r>
        <w:t>1.3 Proposed Response</w:t>
      </w:r>
    </w:p>
    <w:p>
      <w:r>
        <w:rPr>
          <w:rFonts w:ascii="Figtree" w:hAnsi="Figtree"/>
          <w:b w:val="0"/>
          <w:i w:val="0"/>
          <w:sz w:val="22"/>
        </w:rPr>
        <w:t>SettleMint proposes DALP deployed as the tokenized securities control plane for Casablanca Stock Exchange. The platform covers the complete lifecycle from issuer onboarding through instrument configuration, investor eligibility enforcement, primary issuance, secondary trading support, corporate actions, and regulatory evidence production.</w:t>
      </w:r>
    </w:p>
    <w:p>
      <w:r>
        <w:rPr>
          <w:rFonts w:ascii="Figtree" w:hAnsi="Figtree"/>
          <w:b w:val="0"/>
          <w:i w:val="0"/>
          <w:sz w:val="22"/>
        </w:rPr>
        <w:t>The recommended deployment model is private cloud within a Moroccan or European cloud region (OVHcloud Roubaix or Azure France Central) to satisfy Moroccan data sovereignty expectations. The blockchain network is Hyperledger Besu with IBFT 2.0 consensus.</w:t>
      </w:r>
    </w:p>
    <w:p>
      <w:r>
        <w:rPr>
          <w:rFonts w:ascii="Figtree" w:hAnsi="Figtree"/>
          <w:b w:val="0"/>
          <w:i w:val="0"/>
          <w:sz w:val="22"/>
        </w:rPr>
        <w:t>The phased delivery plan runs 18 weeks: Discovery (Weeks 1-2), Foundation (Weeks 3-5), Configuration (Weeks 6-9), Integration (Weeks 10-13), Go-Live (Weeks 14-16), Hypercare (Weeks 17-18).</w:t>
      </w:r>
    </w:p>
    <w:p>
      <w:pPr>
        <w:pStyle w:val="H2"/>
        <w:numPr>
          <w:ilvl w:val="1"/>
          <w:numId w:val="1"/>
        </w:numPr>
      </w:pPr>
      <w:r>
        <w:t>1.4 Why SettleMint</w:t>
      </w:r>
    </w:p>
    <w:p>
      <w:r>
        <w:rPr>
          <w:rFonts w:ascii="Figtree" w:hAnsi="Figtree"/>
          <w:b w:val="0"/>
          <w:i w:val="0"/>
          <w:sz w:val="22"/>
        </w:rPr>
        <w:t>SettleMint brings directly relevant credentials for Casablanca Stock Exchange's programme:</w:t>
      </w:r>
    </w:p>
    <w:p>
      <w:pPr>
        <w:pStyle w:val="ListParagraph"/>
        <w:numPr>
          <w:ilvl w:val="0"/>
          <w:numId w:val="4"/>
        </w:numPr>
      </w:pPr>
      <w:r>
        <w:rPr>
          <w:rFonts w:ascii="Figtree" w:hAnsi="Figtree"/>
          <w:b/>
          <w:i w:val="0"/>
          <w:sz w:val="22"/>
        </w:rPr>
        <w:t>Exchange operator experience:</w:t>
      </w:r>
      <w:r>
        <w:rPr>
          <w:rFonts w:ascii="Figtree" w:hAnsi="Figtree"/>
          <w:b w:val="0"/>
          <w:i w:val="0"/>
          <w:sz w:val="22"/>
        </w:rPr>
        <w:t xml:space="preserve"> DALP has been deployed for exchange-operator and listing-platform contexts in Europe, including Euronext, providing production evidence of the exchange infrastructure integration patterns Casablanca requires.</w:t>
      </w:r>
    </w:p>
    <w:p>
      <w:pPr>
        <w:pStyle w:val="ListParagraph"/>
        <w:numPr>
          <w:ilvl w:val="0"/>
          <w:numId w:val="4"/>
        </w:numPr>
      </w:pPr>
      <w:r>
        <w:rPr>
          <w:rFonts w:ascii="Figtree" w:hAnsi="Figtree"/>
          <w:b/>
          <w:i w:val="0"/>
          <w:sz w:val="22"/>
        </w:rPr>
        <w:t>African market experience:</w:t>
      </w:r>
      <w:r>
        <w:rPr>
          <w:rFonts w:ascii="Figtree" w:hAnsi="Figtree"/>
          <w:b w:val="0"/>
          <w:i w:val="0"/>
          <w:sz w:val="22"/>
        </w:rPr>
        <w:t xml:space="preserve"> SettleMint has delivered programmes across African financial institutions, including the Johannesburg Stock Exchange (JSE) context and Pan-African digital bond deployments.</w:t>
      </w:r>
    </w:p>
    <w:p>
      <w:pPr>
        <w:pStyle w:val="ListParagraph"/>
        <w:numPr>
          <w:ilvl w:val="0"/>
          <w:numId w:val="4"/>
        </w:numPr>
      </w:pPr>
      <w:r>
        <w:rPr>
          <w:rFonts w:ascii="Figtree" w:hAnsi="Figtree"/>
          <w:b/>
          <w:i w:val="0"/>
          <w:sz w:val="22"/>
        </w:rPr>
        <w:t>Islamic finance capability:</w:t>
      </w:r>
      <w:r>
        <w:rPr>
          <w:rFonts w:ascii="Figtree" w:hAnsi="Figtree"/>
          <w:b w:val="0"/>
          <w:i w:val="0"/>
          <w:sz w:val="22"/>
        </w:rPr>
        <w:t xml:space="preserve"> Where sukuk or Sharia-compliant instruments are in scope, DALP's compliance module framework supports the governance and documentation requirements applicable to Islamic financial instruments.</w:t>
      </w:r>
    </w:p>
    <w:p>
      <w:pPr>
        <w:pStyle w:val="ListParagraph"/>
        <w:numPr>
          <w:ilvl w:val="0"/>
          <w:numId w:val="4"/>
        </w:numPr>
      </w:pPr>
      <w:r>
        <w:rPr>
          <w:rFonts w:ascii="Figtree" w:hAnsi="Figtree"/>
          <w:b/>
          <w:i w:val="0"/>
          <w:sz w:val="22"/>
        </w:rPr>
        <w:t>Multi-jurisdictional compliance:</w:t>
      </w:r>
      <w:r>
        <w:rPr>
          <w:rFonts w:ascii="Figtree" w:hAnsi="Figtree"/>
          <w:b w:val="0"/>
          <w:i w:val="0"/>
          <w:sz w:val="22"/>
        </w:rPr>
        <w:t xml:space="preserve"> DALP's compliance engine supports configurable rules across multiple investor classes and jurisdictions — directly applicable to Casablanca's diverse investor base.</w:t>
      </w:r>
    </w:p>
    <w:p>
      <w:pPr>
        <w:pStyle w:val="H2"/>
        <w:numPr>
          <w:ilvl w:val="1"/>
          <w:numId w:val="1"/>
        </w:numPr>
      </w:pPr>
      <w:r>
        <w:t>1.5 Reference Fit Snapshot</w:t>
      </w:r>
    </w:p>
    <w:p>
      <w:pPr>
        <w:pStyle w:val="ListParagraph"/>
        <w:numPr>
          <w:ilvl w:val="0"/>
          <w:numId w:val="4"/>
        </w:numPr>
      </w:pPr>
      <w:r>
        <w:rPr>
          <w:rFonts w:ascii="Figtree" w:hAnsi="Figtree"/>
          <w:b/>
          <w:i w:val="0"/>
          <w:sz w:val="22"/>
        </w:rPr>
        <w:t>Euronext — Digital Securities Listing Platform (Europe):</w:t>
      </w:r>
      <w:r>
        <w:rPr>
          <w:rFonts w:ascii="Figtree" w:hAnsi="Figtree"/>
          <w:b w:val="0"/>
          <w:i w:val="0"/>
          <w:sz w:val="22"/>
        </w:rPr>
        <w:t xml:space="preserve"> Exchange operator context, investor eligibility enforcement, CSD integration, post-trade reconciliation. Directly applicable.</w:t>
      </w:r>
    </w:p>
    <w:p>
      <w:pPr>
        <w:pStyle w:val="ListParagraph"/>
        <w:numPr>
          <w:ilvl w:val="0"/>
          <w:numId w:val="4"/>
        </w:numPr>
      </w:pPr>
      <w:r>
        <w:rPr>
          <w:rFonts w:ascii="Figtree" w:hAnsi="Figtree"/>
          <w:b/>
          <w:i w:val="0"/>
          <w:sz w:val="22"/>
        </w:rPr>
        <w:t>JSE (Johannesburg Stock Exchange) context (Africa):</w:t>
      </w:r>
      <w:r>
        <w:rPr>
          <w:rFonts w:ascii="Figtree" w:hAnsi="Figtree"/>
          <w:b w:val="0"/>
          <w:i w:val="0"/>
          <w:sz w:val="22"/>
        </w:rPr>
        <w:t xml:space="preserve"> African exchange infrastructure, local regulatory alignment, domestic CSD interaction.</w:t>
      </w:r>
    </w:p>
    <w:p>
      <w:pPr>
        <w:pStyle w:val="ListParagraph"/>
        <w:numPr>
          <w:ilvl w:val="0"/>
          <w:numId w:val="4"/>
        </w:numPr>
      </w:pPr>
      <w:r>
        <w:rPr>
          <w:rFonts w:ascii="Figtree" w:hAnsi="Figtree"/>
          <w:b/>
          <w:i w:val="0"/>
          <w:sz w:val="22"/>
        </w:rPr>
        <w:t>Standard Chartered Bank — Multi-region (Africa/Asia):</w:t>
      </w:r>
      <w:r>
        <w:rPr>
          <w:rFonts w:ascii="Figtree" w:hAnsi="Figtree"/>
          <w:b w:val="0"/>
          <w:i w:val="0"/>
          <w:sz w:val="22"/>
        </w:rPr>
        <w:t xml:space="preserve"> Institutional investor onboarding, cross-border compliance, AML/CFT integration.</w:t>
      </w:r>
    </w:p>
    <w:p>
      <w:r>
        <w:br w:type="page"/>
      </w:r>
    </w:p>
    <w:p>
      <w:pPr>
        <w:pStyle w:val="H1"/>
        <w:numPr>
          <w:ilvl w:val="0"/>
          <w:numId w:val="1"/>
        </w:numPr>
      </w:pPr>
      <w:r>
        <w:t>2. About SettleMint</w:t>
      </w:r>
    </w:p>
    <w:p>
      <w:pPr>
        <w:pStyle w:val="H2"/>
        <w:numPr>
          <w:ilvl w:val="1"/>
          <w:numId w:val="1"/>
        </w:numPr>
      </w:pPr>
      <w:r>
        <w:t>2.1 Company Overview</w:t>
      </w:r>
    </w:p>
    <w:p>
      <w:r>
        <w:rPr>
          <w:rFonts w:ascii="Figtree" w:hAnsi="Figtree"/>
          <w:b w:val="0"/>
          <w:i w:val="0"/>
          <w:sz w:val="22"/>
        </w:rPr>
        <w:t>SettleMint NV is a Brussels-headquartered enterprise blockchain infrastructure company with regional presence in the UAE, India, Singapore, and Japan. The company builds DALP, a production-grade platform for regulated financial institutions and sovereign entities.</w:t>
      </w:r>
    </w:p>
    <w:p>
      <w:pPr>
        <w:pStyle w:val="H2"/>
        <w:numPr>
          <w:ilvl w:val="1"/>
          <w:numId w:val="1"/>
        </w:numPr>
      </w:pPr>
      <w:r>
        <w:t>2.2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38"/>
        <w:gridCol w:w="67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Years in operation</w:t>
            </w:r>
          </w:p>
        </w:tc>
        <w:tc>
          <w:tcPr>
            <w:tcW w:type="dxa" w:w="4873"/>
            <w:vAlign w:val="center"/>
          </w:tcPr>
          <w:p>
            <w:pPr>
              <w:spacing w:line="276" w:lineRule="auto" w:before="0" w:after="0"/>
            </w:pPr>
            <w:r/>
            <w:r>
              <w:rPr>
                <w:rFonts w:ascii="Figtree" w:hAnsi="Figtree"/>
                <w:b w:val="0"/>
                <w:i w:val="0"/>
                <w:sz w:val="20"/>
              </w:rPr>
              <w:t>10 (founded 2016)</w:t>
            </w:r>
          </w:p>
        </w:tc>
      </w:tr>
      <w:tr>
        <w:trPr>
          <w:trHeight w:val="425"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SOC 2 Type II</w:t>
            </w:r>
          </w:p>
        </w:tc>
      </w:tr>
      <w:tr>
        <w:trPr>
          <w:trHeight w:val="425" w:hRule="atLeast"/>
        </w:trPr>
        <w:tc>
          <w:tcPr>
            <w:tcW w:type="dxa" w:w="4873"/>
            <w:vAlign w:val="center"/>
          </w:tcPr>
          <w:p>
            <w:pPr>
              <w:spacing w:line="276" w:lineRule="auto" w:before="0" w:after="0"/>
            </w:pPr>
            <w:r/>
            <w:r>
              <w:rPr>
                <w:rFonts w:ascii="Figtree" w:hAnsi="Figtree"/>
                <w:b w:val="0"/>
                <w:i w:val="0"/>
                <w:sz w:val="20"/>
              </w:rPr>
              <w:t>Regulatory engagements</w:t>
            </w:r>
          </w:p>
        </w:tc>
        <w:tc>
          <w:tcPr>
            <w:tcW w:type="dxa" w:w="4873"/>
            <w:vAlign w:val="center"/>
          </w:tcPr>
          <w:p>
            <w:pPr>
              <w:spacing w:line="276" w:lineRule="auto" w:before="0" w:after="0"/>
            </w:pPr>
            <w:r/>
            <w:r>
              <w:rPr>
                <w:rFonts w:ascii="Figtree" w:hAnsi="Figtree"/>
                <w:b w:val="0"/>
                <w:i w:val="0"/>
                <w:sz w:val="20"/>
              </w:rPr>
              <w:t>AMMC-adjacent (through Pan-African engagements), ADGM, MAS, FCA, European securities regulators</w:t>
            </w:r>
          </w:p>
        </w:tc>
      </w:tr>
      <w:tr>
        <w:trPr>
          <w:trHeight w:val="425" w:hRule="atLeast"/>
        </w:trPr>
        <w:tc>
          <w:tcPr>
            <w:tcW w:type="dxa" w:w="4873"/>
            <w:vAlign w:val="center"/>
          </w:tcPr>
          <w:p>
            <w:pPr>
              <w:spacing w:line="276" w:lineRule="auto" w:before="0" w:after="0"/>
            </w:pPr>
            <w:r/>
            <w:r>
              <w:rPr>
                <w:rFonts w:ascii="Figtree" w:hAnsi="Figtree"/>
                <w:b w:val="0"/>
                <w:i w:val="0"/>
                <w:sz w:val="20"/>
              </w:rPr>
              <w:t>African market experience</w:t>
            </w:r>
          </w:p>
        </w:tc>
        <w:tc>
          <w:tcPr>
            <w:tcW w:type="dxa" w:w="4873"/>
            <w:vAlign w:val="center"/>
          </w:tcPr>
          <w:p>
            <w:pPr>
              <w:spacing w:line="276" w:lineRule="auto" w:before="0" w:after="0"/>
            </w:pPr>
            <w:r/>
            <w:r>
              <w:rPr>
                <w:rFonts w:ascii="Figtree" w:hAnsi="Figtree"/>
                <w:b w:val="0"/>
                <w:i w:val="0"/>
                <w:sz w:val="20"/>
              </w:rPr>
              <w:t>JSE, Pan-African banks, CIB Egypt, Standard Bank</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models</w:t>
            </w:r>
          </w:p>
        </w:tc>
        <w:tc>
          <w:tcPr>
            <w:tcW w:type="dxa" w:w="4873"/>
            <w:vAlign w:val="center"/>
          </w:tcPr>
          <w:p>
            <w:pPr>
              <w:spacing w:line="276" w:lineRule="auto" w:before="0" w:after="0"/>
            </w:pPr>
            <w:r/>
            <w:r>
              <w:rPr>
                <w:rFonts w:ascii="Figtree" w:hAnsi="Figtree"/>
                <w:b w:val="0"/>
                <w:i w:val="0"/>
                <w:sz w:val="20"/>
              </w:rPr>
              <w:t>Managed SaaS, Private Cloud, On-Premises, Hybrid</w:t>
            </w:r>
          </w:p>
        </w:tc>
      </w:tr>
    </w:tbl>
    <w:p>
      <w:pPr>
        <w:spacing w:before="0" w:after="0" w:line="120" w:lineRule="exact"/>
      </w:pPr>
    </w:p>
    <w:p>
      <w:pPr>
        <w:pStyle w:val="H2"/>
        <w:numPr>
          <w:ilvl w:val="1"/>
          <w:numId w:val="1"/>
        </w:numPr>
      </w:pPr>
      <w:r>
        <w:t>2.3 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4"/>
        <w:gridCol w:w="2329"/>
        <w:gridCol w:w="46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Casablanca</w:t>
            </w:r>
          </w:p>
        </w:tc>
      </w:tr>
      <w:tr>
        <w:trPr>
          <w:trHeight w:val="425" w:hRule="atLeast"/>
        </w:trPr>
        <w:tc>
          <w:tcPr>
            <w:tcW w:type="dxa" w:w="3249"/>
            <w:vAlign w:val="center"/>
          </w:tcPr>
          <w:p>
            <w:pPr>
              <w:spacing w:line="276" w:lineRule="auto" w:before="0" w:after="0"/>
            </w:pPr>
            <w:r/>
            <w:r>
              <w:rPr>
                <w:rFonts w:ascii="Figtree" w:hAnsi="Figtree"/>
                <w:b w:val="0"/>
                <w:i w:val="0"/>
                <w:sz w:val="20"/>
              </w:rPr>
              <w:t>AMMC market rules</w:t>
            </w:r>
          </w:p>
        </w:tc>
        <w:tc>
          <w:tcPr>
            <w:tcW w:type="dxa" w:w="3249"/>
            <w:vAlign w:val="center"/>
          </w:tcPr>
          <w:p>
            <w:pPr>
              <w:spacing w:line="276" w:lineRule="auto" w:before="0" w:after="0"/>
            </w:pPr>
            <w:r/>
            <w:r>
              <w:rPr>
                <w:rFonts w:ascii="Figtree" w:hAnsi="Figtree"/>
                <w:b w:val="0"/>
                <w:i w:val="0"/>
                <w:sz w:val="20"/>
              </w:rPr>
              <w:t>Morocco</w:t>
            </w:r>
          </w:p>
        </w:tc>
        <w:tc>
          <w:tcPr>
            <w:tcW w:type="dxa" w:w="3249"/>
            <w:vAlign w:val="center"/>
          </w:tcPr>
          <w:p>
            <w:pPr>
              <w:spacing w:line="276" w:lineRule="auto" w:before="0" w:after="0"/>
            </w:pPr>
            <w:r/>
            <w:r>
              <w:rPr>
                <w:rFonts w:ascii="Figtree" w:hAnsi="Figtree"/>
                <w:b w:val="0"/>
                <w:i w:val="0"/>
                <w:sz w:val="20"/>
              </w:rPr>
              <w:t>Primary securities regulation</w:t>
            </w:r>
          </w:p>
        </w:tc>
      </w:tr>
      <w:tr>
        <w:trPr>
          <w:trHeight w:val="425" w:hRule="atLeast"/>
        </w:trPr>
        <w:tc>
          <w:tcPr>
            <w:tcW w:type="dxa" w:w="3249"/>
            <w:vAlign w:val="center"/>
          </w:tcPr>
          <w:p>
            <w:pPr>
              <w:spacing w:line="276" w:lineRule="auto" w:before="0" w:after="0"/>
            </w:pPr>
            <w:r/>
            <w:r>
              <w:rPr>
                <w:rFonts w:ascii="Figtree" w:hAnsi="Figtree"/>
                <w:b w:val="0"/>
                <w:i w:val="0"/>
                <w:sz w:val="20"/>
              </w:rPr>
              <w:t>Bank Al-Maghrib</w:t>
            </w:r>
          </w:p>
        </w:tc>
        <w:tc>
          <w:tcPr>
            <w:tcW w:type="dxa" w:w="3249"/>
            <w:vAlign w:val="center"/>
          </w:tcPr>
          <w:p>
            <w:pPr>
              <w:spacing w:line="276" w:lineRule="auto" w:before="0" w:after="0"/>
            </w:pPr>
            <w:r/>
            <w:r>
              <w:rPr>
                <w:rFonts w:ascii="Figtree" w:hAnsi="Figtree"/>
                <w:b w:val="0"/>
                <w:i w:val="0"/>
                <w:sz w:val="20"/>
              </w:rPr>
              <w:t>Morocco</w:t>
            </w:r>
          </w:p>
        </w:tc>
        <w:tc>
          <w:tcPr>
            <w:tcW w:type="dxa" w:w="3249"/>
            <w:vAlign w:val="center"/>
          </w:tcPr>
          <w:p>
            <w:pPr>
              <w:spacing w:line="276" w:lineRule="auto" w:before="0" w:after="0"/>
            </w:pPr>
            <w:r/>
            <w:r>
              <w:rPr>
                <w:rFonts w:ascii="Figtree" w:hAnsi="Figtree"/>
                <w:b w:val="0"/>
                <w:i w:val="0"/>
                <w:sz w:val="20"/>
              </w:rPr>
              <w:t>Payment and settlement rules</w:t>
            </w:r>
          </w:p>
        </w:tc>
      </w:tr>
      <w:tr>
        <w:trPr>
          <w:trHeight w:val="425" w:hRule="atLeast"/>
        </w:trPr>
        <w:tc>
          <w:tcPr>
            <w:tcW w:type="dxa" w:w="3249"/>
            <w:vAlign w:val="center"/>
          </w:tcPr>
          <w:p>
            <w:pPr>
              <w:spacing w:line="276" w:lineRule="auto" w:before="0" w:after="0"/>
            </w:pPr>
            <w:r/>
            <w:r>
              <w:rPr>
                <w:rFonts w:ascii="Figtree" w:hAnsi="Figtree"/>
                <w:b w:val="0"/>
                <w:i w:val="0"/>
                <w:sz w:val="20"/>
              </w:rPr>
              <w:t>MiCA</w:t>
            </w:r>
          </w:p>
        </w:tc>
        <w:tc>
          <w:tcPr>
            <w:tcW w:type="dxa" w:w="3249"/>
            <w:vAlign w:val="center"/>
          </w:tcPr>
          <w:p>
            <w:pPr>
              <w:spacing w:line="276" w:lineRule="auto" w:before="0" w:after="0"/>
            </w:pPr>
            <w:r/>
            <w:r>
              <w:rPr>
                <w:rFonts w:ascii="Figtree" w:hAnsi="Figtree"/>
                <w:b w:val="0"/>
                <w:i w:val="0"/>
                <w:sz w:val="20"/>
              </w:rPr>
              <w:t>Europe</w:t>
            </w:r>
          </w:p>
        </w:tc>
        <w:tc>
          <w:tcPr>
            <w:tcW w:type="dxa" w:w="3249"/>
            <w:vAlign w:val="center"/>
          </w:tcPr>
          <w:p>
            <w:pPr>
              <w:spacing w:line="276" w:lineRule="auto" w:before="0" w:after="0"/>
            </w:pPr>
            <w:r/>
            <w:r>
              <w:rPr>
                <w:rFonts w:ascii="Figtree" w:hAnsi="Figtree"/>
                <w:b w:val="0"/>
                <w:i w:val="0"/>
                <w:sz w:val="20"/>
              </w:rPr>
              <w:t>Reference digital securities framework</w:t>
            </w:r>
          </w:p>
        </w:tc>
      </w:tr>
      <w:tr>
        <w:trPr>
          <w:trHeight w:val="425" w:hRule="atLeast"/>
        </w:trPr>
        <w:tc>
          <w:tcPr>
            <w:tcW w:type="dxa" w:w="3249"/>
            <w:vAlign w:val="center"/>
          </w:tcPr>
          <w:p>
            <w:pPr>
              <w:spacing w:line="276" w:lineRule="auto" w:before="0" w:after="0"/>
            </w:pPr>
            <w:r/>
            <w:r>
              <w:rPr>
                <w:rFonts w:ascii="Figtree" w:hAnsi="Figtree"/>
                <w:b w:val="0"/>
                <w:i w:val="0"/>
                <w:sz w:val="20"/>
              </w:rPr>
              <w:t>OHADA</w:t>
            </w:r>
          </w:p>
        </w:tc>
        <w:tc>
          <w:tcPr>
            <w:tcW w:type="dxa" w:w="3249"/>
            <w:vAlign w:val="center"/>
          </w:tcPr>
          <w:p>
            <w:pPr>
              <w:spacing w:line="276" w:lineRule="auto" w:before="0" w:after="0"/>
            </w:pPr>
            <w:r/>
            <w:r>
              <w:rPr>
                <w:rFonts w:ascii="Figtree" w:hAnsi="Figtree"/>
                <w:b w:val="0"/>
                <w:i w:val="0"/>
                <w:sz w:val="20"/>
              </w:rPr>
              <w:t>West/Central Africa</w:t>
            </w:r>
          </w:p>
        </w:tc>
        <w:tc>
          <w:tcPr>
            <w:tcW w:type="dxa" w:w="3249"/>
            <w:vAlign w:val="center"/>
          </w:tcPr>
          <w:p>
            <w:pPr>
              <w:spacing w:line="276" w:lineRule="auto" w:before="0" w:after="0"/>
            </w:pPr>
            <w:r/>
            <w:r>
              <w:rPr>
                <w:rFonts w:ascii="Figtree" w:hAnsi="Figtree"/>
                <w:b w:val="0"/>
                <w:i w:val="0"/>
                <w:sz w:val="20"/>
              </w:rPr>
              <w:t>Cross-border commercial law context</w:t>
            </w:r>
          </w:p>
        </w:tc>
      </w:tr>
      <w:tr>
        <w:trPr>
          <w:trHeight w:val="425" w:hRule="atLeast"/>
        </w:trPr>
        <w:tc>
          <w:tcPr>
            <w:tcW w:type="dxa" w:w="3249"/>
            <w:vAlign w:val="center"/>
          </w:tcPr>
          <w:p>
            <w:pPr>
              <w:spacing w:line="276" w:lineRule="auto" w:before="0" w:after="0"/>
            </w:pPr>
            <w:r/>
            <w:r>
              <w:rPr>
                <w:rFonts w:ascii="Figtree" w:hAnsi="Figtree"/>
                <w:b w:val="0"/>
                <w:i w:val="0"/>
                <w:sz w:val="20"/>
              </w:rPr>
              <w:t>MAS</w:t>
            </w:r>
          </w:p>
        </w:tc>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Asian institutional template</w:t>
            </w:r>
          </w:p>
        </w:tc>
      </w:tr>
    </w:tbl>
    <w:p>
      <w:pPr>
        <w:spacing w:before="0" w:after="0" w:line="120" w:lineRule="exact"/>
      </w:pPr>
    </w:p>
    <w:p>
      <w:r>
        <w:br w:type="page"/>
      </w:r>
    </w:p>
    <w:p>
      <w:pPr>
        <w:pStyle w:val="H1"/>
        <w:numPr>
          <w:ilvl w:val="0"/>
          <w:numId w:val="1"/>
        </w:numPr>
      </w:pPr>
      <w:r>
        <w:t>3. About DALP</w:t>
      </w:r>
    </w:p>
    <w:p>
      <w:pPr>
        <w:pStyle w:val="H2"/>
        <w:numPr>
          <w:ilvl w:val="1"/>
          <w:numId w:val="1"/>
        </w:numPr>
      </w:pPr>
      <w:r>
        <w:t>3.1 Platform Overview</w:t>
      </w:r>
    </w:p>
    <w:p>
      <w:r>
        <w:rPr>
          <w:rFonts w:ascii="Figtree" w:hAnsi="Figtree"/>
          <w:b w:val="0"/>
          <w:i w:val="0"/>
          <w:sz w:val="22"/>
        </w:rPr>
        <w:t>DALP is a four-layer enterprise platform providing lifecycle governance for digital securities:</w:t>
      </w:r>
    </w:p>
    <w:p>
      <w:pPr>
        <w:jc w:val="center"/>
      </w:pPr>
      <w:r>
        <w:drawing>
          <wp:inline xmlns:a="http://schemas.openxmlformats.org/drawingml/2006/main" xmlns:pic="http://schemas.openxmlformats.org/drawingml/2006/picture">
            <wp:extent cx="5486400" cy="1224643"/>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224643"/>
                    </a:xfrm>
                    <a:prstGeom prst="rect"/>
                  </pic:spPr>
                </pic:pic>
              </a:graphicData>
            </a:graphic>
          </wp:inline>
        </w:drawing>
      </w:r>
    </w:p>
    <w:p>
      <w:pPr>
        <w:pStyle w:val="H2"/>
        <w:numPr>
          <w:ilvl w:val="1"/>
          <w:numId w:val="1"/>
        </w:numPr>
      </w:pPr>
      <w:r>
        <w:t>3.2 Core Lifecycle Pillars</w:t>
      </w:r>
    </w:p>
    <w:p>
      <w:r>
        <w:rPr>
          <w:rFonts w:ascii="Figtree" w:hAnsi="Figtree"/>
          <w:b/>
          <w:i w:val="0"/>
          <w:sz w:val="22"/>
        </w:rPr>
        <w:t>Issuance:</w:t>
      </w:r>
      <w:r>
        <w:rPr>
          <w:rFonts w:ascii="Figtree" w:hAnsi="Figtree"/>
          <w:b w:val="0"/>
          <w:i w:val="0"/>
          <w:sz w:val="22"/>
        </w:rPr>
        <w:t xml:space="preserve"> Full instrument creation pipeline for bonds, equities, and sukuk-aligned instruments. Configuration covers maturity dates, coupon schedules, investor class restrictions, and disclosure document version control. All deployments require maker-checker governance authorization.</w:t>
      </w:r>
    </w:p>
    <w:p>
      <w:r>
        <w:rPr>
          <w:rFonts w:ascii="Figtree" w:hAnsi="Figtree"/>
          <w:b/>
          <w:i w:val="0"/>
          <w:sz w:val="22"/>
        </w:rPr>
        <w:t>Compliance:</w:t>
      </w:r>
      <w:r>
        <w:rPr>
          <w:rFonts w:ascii="Figtree" w:hAnsi="Figtree"/>
          <w:b w:val="0"/>
          <w:i w:val="0"/>
          <w:sz w:val="22"/>
        </w:rPr>
        <w:t xml:space="preserve"> Ex-ante, modular compliance engine based on ERC-3643. Country allow/block lists, investor count limits, identity verification (OnchainID), transfer approval workflows, and time-lock restrictions are configurable per instrument without contract redevelopment.</w:t>
      </w:r>
    </w:p>
    <w:p>
      <w:r>
        <w:rPr>
          <w:rFonts w:ascii="Figtree" w:hAnsi="Figtree"/>
          <w:b/>
          <w:i w:val="0"/>
          <w:sz w:val="22"/>
        </w:rPr>
        <w:t>Custody:</w:t>
      </w:r>
      <w:r>
        <w:rPr>
          <w:rFonts w:ascii="Figtree" w:hAnsi="Figtree"/>
          <w:b w:val="0"/>
          <w:i w:val="0"/>
          <w:sz w:val="22"/>
        </w:rPr>
        <w:t xml:space="preserve"> Key Guardian framework integrates with HSM, Fireblocks, DFNS, or Ledger Enterprise. Tier 3 option provides full client-controlled key custody.</w:t>
      </w:r>
    </w:p>
    <w:p>
      <w:r>
        <w:rPr>
          <w:rFonts w:ascii="Figtree" w:hAnsi="Figtree"/>
          <w:b/>
          <w:i w:val="0"/>
          <w:sz w:val="22"/>
        </w:rPr>
        <w:t>Settlement:</w:t>
      </w:r>
      <w:r>
        <w:rPr>
          <w:rFonts w:ascii="Figtree" w:hAnsi="Figtree"/>
          <w:b w:val="0"/>
          <w:i w:val="0"/>
          <w:sz w:val="22"/>
        </w:rPr>
        <w:t xml:space="preserve"> XvP Settlement addon provides atomic DvP settlement. ISO 20022 settlement instruction output for Maroclear/RTGS integration. Deterministic finality — no partial settlement.</w:t>
      </w:r>
    </w:p>
    <w:p>
      <w:r>
        <w:rPr>
          <w:rFonts w:ascii="Figtree" w:hAnsi="Figtree"/>
          <w:b/>
          <w:i w:val="0"/>
          <w:sz w:val="22"/>
        </w:rPr>
        <w:t>Servicing:</w:t>
      </w:r>
      <w:r>
        <w:rPr>
          <w:rFonts w:ascii="Figtree" w:hAnsi="Figtree"/>
          <w:b w:val="0"/>
          <w:i w:val="0"/>
          <w:sz w:val="22"/>
        </w:rPr>
        <w:t xml:space="preserve"> Yield addon for coupon/dividend distribution with record-date logic. Maturity redemption token feature for bond lifecycle management. Airdrop module for controlled distribution events.</w:t>
      </w:r>
    </w:p>
    <w:p>
      <w:pPr>
        <w:pStyle w:val="H2"/>
        <w:numPr>
          <w:ilvl w:val="1"/>
          <w:numId w:val="1"/>
        </w:numPr>
      </w:pPr>
      <w:r>
        <w:t>3.3 Supported Asset Classes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0"/>
        <w:gridCol w:w="2561"/>
        <w:gridCol w:w="490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Morocco Relevance</w:t>
            </w:r>
          </w:p>
        </w:tc>
      </w:tr>
      <w:tr>
        <w:trPr>
          <w:trHeight w:val="425" w:hRule="atLeast"/>
        </w:trPr>
        <w:tc>
          <w:tcPr>
            <w:tcW w:type="dxa" w:w="3249"/>
            <w:vAlign w:val="center"/>
          </w:tcPr>
          <w:p>
            <w:pPr>
              <w:spacing w:line="276" w:lineRule="auto" w:before="0" w:after="0"/>
            </w:pPr>
            <w:r/>
            <w:r>
              <w:rPr>
                <w:rFonts w:ascii="Figtree" w:hAnsi="Figtree"/>
                <w:b w:val="0"/>
                <w:i w:val="0"/>
                <w:sz w:val="20"/>
              </w:rPr>
              <w:t>Fixed Income</w:t>
            </w:r>
          </w:p>
        </w:tc>
        <w:tc>
          <w:tcPr>
            <w:tcW w:type="dxa" w:w="3249"/>
            <w:vAlign w:val="center"/>
          </w:tcPr>
          <w:p>
            <w:pPr>
              <w:spacing w:line="276" w:lineRule="auto" w:before="0" w:after="0"/>
            </w:pPr>
            <w:r/>
            <w:r>
              <w:rPr>
                <w:rFonts w:ascii="Figtree" w:hAnsi="Figtree"/>
                <w:b w:val="0"/>
                <w:i w:val="0"/>
                <w:sz w:val="20"/>
              </w:rPr>
              <w:t>Bond</w:t>
            </w:r>
          </w:p>
        </w:tc>
        <w:tc>
          <w:tcPr>
            <w:tcW w:type="dxa" w:w="3249"/>
            <w:vAlign w:val="center"/>
          </w:tcPr>
          <w:p>
            <w:pPr>
              <w:spacing w:line="276" w:lineRule="auto" w:before="0" w:after="0"/>
            </w:pPr>
            <w:r/>
            <w:r>
              <w:rPr>
                <w:rFonts w:ascii="Figtree" w:hAnsi="Figtree"/>
                <w:b w:val="0"/>
                <w:i w:val="0"/>
                <w:sz w:val="20"/>
              </w:rPr>
              <w:t>Corporate bonds, government bonds, green bonds</w:t>
            </w:r>
          </w:p>
        </w:tc>
      </w:tr>
      <w:tr>
        <w:trPr>
          <w:trHeight w:val="425" w:hRule="atLeast"/>
        </w:trPr>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Listed equity instruments</w:t>
            </w:r>
          </w:p>
        </w:tc>
      </w:tr>
      <w:tr>
        <w:trPr>
          <w:trHeight w:val="425" w:hRule="atLeast"/>
        </w:trPr>
        <w:tc>
          <w:tcPr>
            <w:tcW w:type="dxa" w:w="3249"/>
            <w:vAlign w:val="center"/>
          </w:tcPr>
          <w:p>
            <w:pPr>
              <w:spacing w:line="276" w:lineRule="auto" w:before="0" w:after="0"/>
            </w:pPr>
            <w:r/>
            <w:r>
              <w:rPr>
                <w:rFonts w:ascii="Figtree" w:hAnsi="Figtree"/>
                <w:b w:val="0"/>
                <w:i w:val="0"/>
                <w:sz w:val="20"/>
              </w:rPr>
              <w:t>Islamic Finance</w:t>
            </w:r>
          </w:p>
        </w:tc>
        <w:tc>
          <w:tcPr>
            <w:tcW w:type="dxa" w:w="3249"/>
            <w:vAlign w:val="center"/>
          </w:tcPr>
          <w:p>
            <w:pPr>
              <w:spacing w:line="276" w:lineRule="auto" w:before="0" w:after="0"/>
            </w:pPr>
            <w:r/>
            <w:r>
              <w:rPr>
                <w:rFonts w:ascii="Figtree" w:hAnsi="Figtree"/>
                <w:b w:val="0"/>
                <w:i w:val="0"/>
                <w:sz w:val="20"/>
              </w:rPr>
              <w:t>Configurable Bond/Equity</w:t>
            </w:r>
          </w:p>
        </w:tc>
        <w:tc>
          <w:tcPr>
            <w:tcW w:type="dxa" w:w="3249"/>
            <w:vAlign w:val="center"/>
          </w:tcPr>
          <w:p>
            <w:pPr>
              <w:spacing w:line="276" w:lineRule="auto" w:before="0" w:after="0"/>
            </w:pPr>
            <w:r/>
            <w:r>
              <w:rPr>
                <w:rFonts w:ascii="Figtree" w:hAnsi="Figtree"/>
                <w:b w:val="0"/>
                <w:i w:val="0"/>
                <w:sz w:val="20"/>
              </w:rPr>
              <w:t>Sukuk-aligned compliance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Investment fund units</w:t>
            </w:r>
          </w:p>
        </w:tc>
      </w:tr>
    </w:tbl>
    <w:p>
      <w:pPr>
        <w:spacing w:before="0" w:after="0" w:line="120" w:lineRule="exact"/>
      </w:pPr>
    </w:p>
    <w:p>
      <w:pPr>
        <w:pStyle w:val="H2"/>
        <w:numPr>
          <w:ilvl w:val="1"/>
          <w:numId w:val="1"/>
        </w:numPr>
      </w:pPr>
      <w:r>
        <w:t>3.4 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3"/>
        <w:gridCol w:w="55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Application</w:t>
            </w:r>
          </w:p>
        </w:tc>
      </w:tr>
      <w:tr>
        <w:trPr>
          <w:trHeight w:val="425" w:hRule="atLeast"/>
        </w:trPr>
        <w:tc>
          <w:tcPr>
            <w:tcW w:type="dxa" w:w="4873"/>
            <w:vAlign w:val="center"/>
          </w:tcPr>
          <w:p>
            <w:pPr>
              <w:spacing w:line="276" w:lineRule="auto" w:before="0" w:after="0"/>
            </w:pPr>
            <w:r/>
            <w:r>
              <w:rPr>
                <w:rFonts w:ascii="Figtree" w:hAnsi="Figtree"/>
                <w:b w:val="0"/>
                <w:i w:val="0"/>
                <w:sz w:val="20"/>
              </w:rPr>
              <w:t>ERC-3643 (SMART Protocol)</w:t>
            </w:r>
          </w:p>
        </w:tc>
        <w:tc>
          <w:tcPr>
            <w:tcW w:type="dxa" w:w="4873"/>
            <w:vAlign w:val="center"/>
          </w:tcPr>
          <w:p>
            <w:pPr>
              <w:spacing w:line="276" w:lineRule="auto" w:before="0" w:after="0"/>
            </w:pPr>
            <w:r/>
            <w:r>
              <w:rPr>
                <w:rFonts w:ascii="Figtree" w:hAnsi="Figtree"/>
                <w:b w:val="0"/>
                <w:i w:val="0"/>
                <w:sz w:val="20"/>
              </w:rPr>
              <w:t>Core security token standard</w:t>
            </w:r>
          </w:p>
        </w:tc>
      </w:tr>
      <w:tr>
        <w:trPr>
          <w:trHeight w:val="425" w:hRule="atLeast"/>
        </w:trPr>
        <w:tc>
          <w:tcPr>
            <w:tcW w:type="dxa" w:w="4873"/>
            <w:vAlign w:val="center"/>
          </w:tcPr>
          <w:p>
            <w:pPr>
              <w:spacing w:line="276" w:lineRule="auto" w:before="0" w:after="0"/>
            </w:pPr>
            <w:r/>
            <w:r>
              <w:rPr>
                <w:rFonts w:ascii="Figtree" w:hAnsi="Figtree"/>
                <w:b w:val="0"/>
                <w:i w:val="0"/>
                <w:sz w:val="20"/>
              </w:rPr>
              <w:t>ISO 20022</w:t>
            </w:r>
          </w:p>
        </w:tc>
        <w:tc>
          <w:tcPr>
            <w:tcW w:type="dxa" w:w="4873"/>
            <w:vAlign w:val="center"/>
          </w:tcPr>
          <w:p>
            <w:pPr>
              <w:spacing w:line="276" w:lineRule="auto" w:before="0" w:after="0"/>
            </w:pPr>
            <w:r/>
            <w:r>
              <w:rPr>
                <w:rFonts w:ascii="Figtree" w:hAnsi="Figtree"/>
                <w:b w:val="0"/>
                <w:i w:val="0"/>
                <w:sz w:val="20"/>
              </w:rPr>
              <w:t>Settlement instruction format for Maroclear</w:t>
            </w:r>
          </w:p>
        </w:tc>
      </w:tr>
      <w:tr>
        <w:trPr>
          <w:trHeight w:val="425" w:hRule="atLeast"/>
        </w:trPr>
        <w:tc>
          <w:tcPr>
            <w:tcW w:type="dxa" w:w="4873"/>
            <w:vAlign w:val="center"/>
          </w:tcPr>
          <w:p>
            <w:pPr>
              <w:spacing w:line="276" w:lineRule="auto" w:before="0" w:after="0"/>
            </w:pPr>
            <w:r/>
            <w:r>
              <w:rPr>
                <w:rFonts w:ascii="Figtree" w:hAnsi="Figtree"/>
                <w:b w:val="0"/>
                <w:i w:val="0"/>
                <w:sz w:val="20"/>
              </w:rPr>
              <w:t>OpenAPI 3.1</w:t>
            </w:r>
          </w:p>
        </w:tc>
        <w:tc>
          <w:tcPr>
            <w:tcW w:type="dxa" w:w="4873"/>
            <w:vAlign w:val="center"/>
          </w:tcPr>
          <w:p>
            <w:pPr>
              <w:spacing w:line="276" w:lineRule="auto" w:before="0" w:after="0"/>
            </w:pPr>
            <w:r/>
            <w:r>
              <w:rPr>
                <w:rFonts w:ascii="Figtree" w:hAnsi="Figtree"/>
                <w:b w:val="0"/>
                <w:i w:val="0"/>
                <w:sz w:val="20"/>
              </w:rPr>
              <w:t>API specification</w:t>
            </w:r>
          </w:p>
        </w:tc>
      </w:tr>
      <w:tr>
        <w:trPr>
          <w:trHeight w:val="425" w:hRule="atLeast"/>
        </w:trPr>
        <w:tc>
          <w:tcPr>
            <w:tcW w:type="dxa" w:w="4873"/>
            <w:vAlign w:val="center"/>
          </w:tcPr>
          <w:p>
            <w:pPr>
              <w:spacing w:line="276" w:lineRule="auto" w:before="0" w:after="0"/>
            </w:pPr>
            <w:r/>
            <w:r>
              <w:rPr>
                <w:rFonts w:ascii="Figtree" w:hAnsi="Figtree"/>
                <w:b w:val="0"/>
                <w:i w:val="0"/>
                <w:sz w:val="20"/>
              </w:rPr>
              <w:t>AAOIFI (configuration support)</w:t>
            </w:r>
          </w:p>
        </w:tc>
        <w:tc>
          <w:tcPr>
            <w:tcW w:type="dxa" w:w="4873"/>
            <w:vAlign w:val="center"/>
          </w:tcPr>
          <w:p>
            <w:pPr>
              <w:spacing w:line="276" w:lineRule="auto" w:before="0" w:after="0"/>
            </w:pPr>
            <w:r/>
            <w:r>
              <w:rPr>
                <w:rFonts w:ascii="Figtree" w:hAnsi="Figtree"/>
                <w:b w:val="0"/>
                <w:i w:val="0"/>
                <w:sz w:val="20"/>
              </w:rPr>
              <w:t>Islamic finance governance documentation support</w:t>
            </w:r>
          </w:p>
        </w:tc>
      </w:tr>
      <w:tr>
        <w:trPr>
          <w:trHeight w:val="425" w:hRule="atLeast"/>
        </w:trPr>
        <w:tc>
          <w:tcPr>
            <w:tcW w:type="dxa" w:w="4873"/>
            <w:vAlign w:val="center"/>
          </w:tcPr>
          <w:p>
            <w:pPr>
              <w:spacing w:line="276" w:lineRule="auto" w:before="0" w:after="0"/>
            </w:pPr>
            <w:r/>
            <w:r>
              <w:rPr>
                <w:rFonts w:ascii="Figtree" w:hAnsi="Figtree"/>
                <w:b w:val="0"/>
                <w:i w:val="0"/>
                <w:sz w:val="20"/>
              </w:rPr>
              <w:t>OAuth 2.0/OIDC</w:t>
            </w:r>
          </w:p>
        </w:tc>
        <w:tc>
          <w:tcPr>
            <w:tcW w:type="dxa" w:w="4873"/>
            <w:vAlign w:val="center"/>
          </w:tcPr>
          <w:p>
            <w:pPr>
              <w:spacing w:line="276" w:lineRule="auto" w:before="0" w:after="0"/>
            </w:pPr>
            <w:r/>
            <w:r>
              <w:rPr>
                <w:rFonts w:ascii="Figtree" w:hAnsi="Figtree"/>
                <w:b w:val="0"/>
                <w:i w:val="0"/>
                <w:sz w:val="20"/>
              </w:rPr>
              <w:t>Enterprise IAM integration</w:t>
            </w:r>
          </w:p>
        </w:tc>
      </w:tr>
      <w:tr>
        <w:trPr>
          <w:trHeight w:val="425" w:hRule="atLeast"/>
        </w:trPr>
        <w:tc>
          <w:tcPr>
            <w:tcW w:type="dxa" w:w="4873"/>
            <w:vAlign w:val="center"/>
          </w:tcPr>
          <w:p>
            <w:pPr>
              <w:spacing w:line="276" w:lineRule="auto" w:before="0" w:after="0"/>
            </w:pPr>
            <w:r/>
            <w:r>
              <w:rPr>
                <w:rFonts w:ascii="Figtree" w:hAnsi="Figtree"/>
                <w:b w:val="0"/>
                <w:i w:val="0"/>
                <w:sz w:val="20"/>
              </w:rPr>
              <w:t>TLS 1.3 + AES-256</w:t>
            </w:r>
          </w:p>
        </w:tc>
        <w:tc>
          <w:tcPr>
            <w:tcW w:type="dxa" w:w="4873"/>
            <w:vAlign w:val="center"/>
          </w:tcPr>
          <w:p>
            <w:pPr>
              <w:spacing w:line="276" w:lineRule="auto" w:before="0" w:after="0"/>
            </w:pPr>
            <w:r/>
            <w:r>
              <w:rPr>
                <w:rFonts w:ascii="Figtree" w:hAnsi="Figtree"/>
                <w:b w:val="0"/>
                <w:i w:val="0"/>
                <w:sz w:val="20"/>
              </w:rPr>
              <w:t>Transport and at-rest encryption</w:t>
            </w:r>
          </w:p>
        </w:tc>
      </w:tr>
    </w:tbl>
    <w:p>
      <w:pPr>
        <w:spacing w:before="0" w:after="0" w:line="120" w:lineRule="exact"/>
      </w:pPr>
    </w:p>
    <w:p>
      <w:r>
        <w:br w:type="page"/>
      </w:r>
    </w:p>
    <w:p>
      <w:pPr>
        <w:pStyle w:val="H1"/>
        <w:numPr>
          <w:ilvl w:val="0"/>
          <w:numId w:val="1"/>
        </w:numPr>
      </w:pPr>
      <w:r>
        <w:t>4. Understanding Casablanca Stock Exchange Requirements</w:t>
      </w:r>
    </w:p>
    <w:p>
      <w:pPr>
        <w:pStyle w:val="H2"/>
        <w:numPr>
          <w:ilvl w:val="1"/>
          <w:numId w:val="1"/>
        </w:numPr>
      </w:pPr>
      <w:r>
        <w:t>4.1 Institutional Context</w:t>
      </w:r>
    </w:p>
    <w:p>
      <w:r>
        <w:rPr>
          <w:rFonts w:ascii="Figtree" w:hAnsi="Figtree"/>
          <w:b w:val="0"/>
          <w:i w:val="0"/>
          <w:sz w:val="22"/>
        </w:rPr>
        <w:t>Casablanca Stock Exchange operates under AMMC oversight as the primary regulated market operator in Morocco. The tokenized securities programme must:</w:t>
      </w:r>
    </w:p>
    <w:p>
      <w:pPr>
        <w:pStyle w:val="ListParagraph"/>
        <w:numPr>
          <w:ilvl w:val="0"/>
          <w:numId w:val="7"/>
        </w:numPr>
      </w:pPr>
      <w:r>
        <w:rPr>
          <w:rFonts w:ascii="Figtree" w:hAnsi="Figtree"/>
          <w:b w:val="0"/>
          <w:i w:val="0"/>
          <w:sz w:val="22"/>
        </w:rPr>
        <w:t>Maintain AMMC-required investor protection and disclosure standards</w:t>
      </w:r>
    </w:p>
    <w:p>
      <w:pPr>
        <w:pStyle w:val="ListParagraph"/>
        <w:numPr>
          <w:ilvl w:val="0"/>
          <w:numId w:val="7"/>
        </w:numPr>
      </w:pPr>
      <w:r>
        <w:rPr>
          <w:rFonts w:ascii="Figtree" w:hAnsi="Figtree"/>
          <w:b w:val="0"/>
          <w:i w:val="0"/>
          <w:sz w:val="22"/>
        </w:rPr>
        <w:t>Integrate with Maroclear as the authoritative CSD for settlement and registration</w:t>
      </w:r>
    </w:p>
    <w:p>
      <w:pPr>
        <w:pStyle w:val="ListParagraph"/>
        <w:numPr>
          <w:ilvl w:val="0"/>
          <w:numId w:val="7"/>
        </w:numPr>
      </w:pPr>
      <w:r>
        <w:rPr>
          <w:rFonts w:ascii="Figtree" w:hAnsi="Figtree"/>
          <w:b w:val="0"/>
          <w:i w:val="0"/>
          <w:sz w:val="22"/>
        </w:rPr>
        <w:t>Support French and Arabic language operations</w:t>
      </w:r>
    </w:p>
    <w:p>
      <w:pPr>
        <w:pStyle w:val="ListParagraph"/>
        <w:numPr>
          <w:ilvl w:val="0"/>
          <w:numId w:val="7"/>
        </w:numPr>
      </w:pPr>
      <w:r>
        <w:rPr>
          <w:rFonts w:ascii="Figtree" w:hAnsi="Figtree"/>
          <w:b w:val="0"/>
          <w:i w:val="0"/>
          <w:sz w:val="22"/>
        </w:rPr>
        <w:t>Handle a diverse investor base including Pan-African institutional investors</w:t>
      </w:r>
    </w:p>
    <w:p>
      <w:pPr>
        <w:pStyle w:val="ListParagraph"/>
        <w:numPr>
          <w:ilvl w:val="0"/>
          <w:numId w:val="7"/>
        </w:numPr>
      </w:pPr>
      <w:r>
        <w:rPr>
          <w:rFonts w:ascii="Figtree" w:hAnsi="Figtree"/>
          <w:b w:val="0"/>
          <w:i w:val="0"/>
          <w:sz w:val="22"/>
        </w:rPr>
        <w:t>Produce evidence for AMMC supervisory review on demand</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0"/>
        <w:gridCol w:w="4448"/>
        <w:gridCol w:w="24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CSE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Product/Asset Scope</w:t>
            </w:r>
          </w:p>
        </w:tc>
        <w:tc>
          <w:tcPr>
            <w:tcW w:type="dxa" w:w="3249"/>
            <w:vAlign w:val="center"/>
          </w:tcPr>
          <w:p>
            <w:pPr>
              <w:spacing w:line="276" w:lineRule="auto" w:before="0" w:after="0"/>
            </w:pPr>
            <w:r/>
            <w:r>
              <w:rPr>
                <w:rFonts w:ascii="Figtree" w:hAnsi="Figtree"/>
                <w:b w:val="0"/>
                <w:i w:val="0"/>
                <w:sz w:val="20"/>
              </w:rPr>
              <w:t>Bonds, equities, sukuk-aligned</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Identity/Onboarding</w:t>
            </w:r>
          </w:p>
        </w:tc>
        <w:tc>
          <w:tcPr>
            <w:tcW w:type="dxa" w:w="3249"/>
            <w:vAlign w:val="center"/>
          </w:tcPr>
          <w:p>
            <w:pPr>
              <w:spacing w:line="276" w:lineRule="auto" w:before="0" w:after="0"/>
            </w:pPr>
            <w:r/>
            <w:r>
              <w:rPr>
                <w:rFonts w:ascii="Figtree" w:hAnsi="Figtree"/>
                <w:b w:val="0"/>
                <w:i w:val="0"/>
                <w:sz w:val="20"/>
              </w:rPr>
              <w:t>Issuer onboarding, investor KYC, multi-jurisdiction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Compliance/Control</w:t>
            </w:r>
          </w:p>
        </w:tc>
        <w:tc>
          <w:tcPr>
            <w:tcW w:type="dxa" w:w="3249"/>
            <w:vAlign w:val="center"/>
          </w:tcPr>
          <w:p>
            <w:pPr>
              <w:spacing w:line="276" w:lineRule="auto" w:before="0" w:after="0"/>
            </w:pPr>
            <w:r/>
            <w:r>
              <w:rPr>
                <w:rFonts w:ascii="Figtree" w:hAnsi="Figtree"/>
                <w:b w:val="0"/>
                <w:i w:val="0"/>
                <w:sz w:val="20"/>
              </w:rPr>
              <w:t>AMMC-aligned transfer restrictions, investor limits</w:t>
            </w:r>
          </w:p>
        </w:tc>
        <w:tc>
          <w:tcPr>
            <w:tcW w:type="dxa" w:w="3249"/>
            <w:vAlign w:val="center"/>
          </w:tcPr>
          <w:p>
            <w:pPr>
              <w:spacing w:line="276" w:lineRule="auto" w:before="0" w:after="0"/>
            </w:pPr>
            <w:r/>
            <w:r>
              <w:rPr>
                <w:rFonts w:ascii="Figtree" w:hAnsi="Figtree"/>
                <w:b w:val="0"/>
                <w:i w:val="0"/>
                <w:sz w:val="20"/>
              </w:rPr>
              <w:t>Full (configurable)</w:t>
            </w:r>
          </w:p>
        </w:tc>
      </w:tr>
      <w:tr>
        <w:trPr>
          <w:trHeight w:val="425" w:hRule="atLeast"/>
        </w:trPr>
        <w:tc>
          <w:tcPr>
            <w:tcW w:type="dxa" w:w="3249"/>
            <w:vAlign w:val="center"/>
          </w:tcPr>
          <w:p>
            <w:pPr>
              <w:spacing w:line="276" w:lineRule="auto" w:before="0" w:after="0"/>
            </w:pPr>
            <w:r/>
            <w:r>
              <w:rPr>
                <w:rFonts w:ascii="Figtree" w:hAnsi="Figtree"/>
                <w:b w:val="0"/>
                <w:i w:val="0"/>
                <w:sz w:val="20"/>
              </w:rPr>
              <w:t>Settlement/Cash Leg</w:t>
            </w:r>
          </w:p>
        </w:tc>
        <w:tc>
          <w:tcPr>
            <w:tcW w:type="dxa" w:w="3249"/>
            <w:vAlign w:val="center"/>
          </w:tcPr>
          <w:p>
            <w:pPr>
              <w:spacing w:line="276" w:lineRule="auto" w:before="0" w:after="0"/>
            </w:pPr>
            <w:r/>
            <w:r>
              <w:rPr>
                <w:rFonts w:ascii="Figtree" w:hAnsi="Figtree"/>
                <w:b w:val="0"/>
                <w:i w:val="0"/>
                <w:sz w:val="20"/>
              </w:rPr>
              <w:t>Maroclear DvP, MAD/multi-currency</w:t>
            </w:r>
          </w:p>
        </w:tc>
        <w:tc>
          <w:tcPr>
            <w:tcW w:type="dxa" w:w="3249"/>
            <w:vAlign w:val="center"/>
          </w:tcPr>
          <w:p>
            <w:pPr>
              <w:spacing w:line="276" w:lineRule="auto" w:before="0" w:after="0"/>
            </w:pPr>
            <w:r/>
            <w:r>
              <w:rPr>
                <w:rFonts w:ascii="Figtree" w:hAnsi="Figtree"/>
                <w:b w:val="0"/>
                <w:i w:val="0"/>
                <w:sz w:val="20"/>
              </w:rPr>
              <w:t>Full — ISO 20022 output</w:t>
            </w:r>
          </w:p>
        </w:tc>
      </w:tr>
      <w:tr>
        <w:trPr>
          <w:trHeight w:val="425" w:hRule="atLeast"/>
        </w:trPr>
        <w:tc>
          <w:tcPr>
            <w:tcW w:type="dxa" w:w="3249"/>
            <w:vAlign w:val="center"/>
          </w:tcPr>
          <w:p>
            <w:pPr>
              <w:spacing w:line="276" w:lineRule="auto" w:before="0" w:after="0"/>
            </w:pPr>
            <w:r/>
            <w:r>
              <w:rPr>
                <w:rFonts w:ascii="Figtree" w:hAnsi="Figtree"/>
                <w:b w:val="0"/>
                <w:i w:val="0"/>
                <w:sz w:val="20"/>
              </w:rPr>
              <w:t>Integration/Reporting</w:t>
            </w:r>
          </w:p>
        </w:tc>
        <w:tc>
          <w:tcPr>
            <w:tcW w:type="dxa" w:w="3249"/>
            <w:vAlign w:val="center"/>
          </w:tcPr>
          <w:p>
            <w:pPr>
              <w:spacing w:line="276" w:lineRule="auto" w:before="0" w:after="0"/>
            </w:pPr>
            <w:r/>
            <w:r>
              <w:rPr>
                <w:rFonts w:ascii="Figtree" w:hAnsi="Figtree"/>
                <w:b w:val="0"/>
                <w:i w:val="0"/>
                <w:sz w:val="20"/>
              </w:rPr>
              <w:t>AMMC reporting, Maroclear, broker connectivity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Infrastructure/Operations</w:t>
            </w:r>
          </w:p>
        </w:tc>
        <w:tc>
          <w:tcPr>
            <w:tcW w:type="dxa" w:w="3249"/>
            <w:vAlign w:val="center"/>
          </w:tcPr>
          <w:p>
            <w:pPr>
              <w:spacing w:line="276" w:lineRule="auto" w:before="0" w:after="0"/>
            </w:pPr>
            <w:r/>
            <w:r>
              <w:rPr>
                <w:rFonts w:ascii="Figtree" w:hAnsi="Figtree"/>
                <w:b w:val="0"/>
                <w:i w:val="0"/>
                <w:sz w:val="20"/>
              </w:rPr>
              <w:t>Data sovereignty, French/Arabic ops</w:t>
            </w:r>
          </w:p>
        </w:tc>
        <w:tc>
          <w:tcPr>
            <w:tcW w:type="dxa" w:w="3249"/>
            <w:vAlign w:val="center"/>
          </w:tcPr>
          <w:p>
            <w:pPr>
              <w:spacing w:line="276" w:lineRule="auto" w:before="0" w:after="0"/>
            </w:pPr>
            <w:r/>
            <w:r>
              <w:rPr>
                <w:rFonts w:ascii="Figtree" w:hAnsi="Figtree"/>
                <w:b w:val="0"/>
                <w:i w:val="0"/>
                <w:sz w:val="20"/>
              </w:rPr>
              <w:t>Full — European cloud region</w:t>
            </w:r>
          </w:p>
        </w:tc>
      </w:tr>
    </w:tbl>
    <w:p>
      <w:pPr>
        <w:spacing w:before="0" w:after="0" w:line="120" w:lineRule="exact"/>
      </w:pPr>
    </w:p>
    <w:p>
      <w:pPr>
        <w:pStyle w:val="H2"/>
        <w:numPr>
          <w:ilvl w:val="1"/>
          <w:numId w:val="1"/>
        </w:numPr>
      </w:pPr>
      <w:r>
        <w:t>4.3 Key Challenges</w:t>
      </w:r>
    </w:p>
    <w:p>
      <w:r>
        <w:rPr>
          <w:rFonts w:ascii="Figtree" w:hAnsi="Figtree"/>
          <w:b/>
          <w:i w:val="0"/>
          <w:sz w:val="22"/>
        </w:rPr>
        <w:t>Challenge 1: AMMC regulatory mapping</w:t>
      </w:r>
    </w:p>
    <w:p>
      <w:r>
        <w:rPr>
          <w:rFonts w:ascii="Figtree" w:hAnsi="Figtree"/>
          <w:b w:val="0"/>
          <w:i w:val="0"/>
          <w:sz w:val="22"/>
        </w:rPr>
        <w:t>AMMC market rules require disclosure discipline, investor classification, and market conduct controls. DALP's compliance module framework maps to these requirements through configurable eligibility rules and audit evidence production.</w:t>
      </w:r>
    </w:p>
    <w:p>
      <w:r>
        <w:rPr>
          <w:rFonts w:ascii="Figtree" w:hAnsi="Figtree"/>
          <w:b/>
          <w:i w:val="0"/>
          <w:sz w:val="22"/>
        </w:rPr>
        <w:t>Challenge 2: Maroclear integration</w:t>
      </w:r>
    </w:p>
    <w:p>
      <w:r>
        <w:rPr>
          <w:rFonts w:ascii="Figtree" w:hAnsi="Figtree"/>
          <w:b w:val="0"/>
          <w:i w:val="0"/>
          <w:sz w:val="22"/>
        </w:rPr>
        <w:t>Maroclear's CSD position as settlement authority requires that tokenized instrument positions reconcile against Maroclear records. DALP's ISO 20022 output and reconciliation dashboard support this requirement.</w:t>
      </w:r>
    </w:p>
    <w:p>
      <w:r>
        <w:rPr>
          <w:rFonts w:ascii="Figtree" w:hAnsi="Figtree"/>
          <w:b/>
          <w:i w:val="0"/>
          <w:sz w:val="22"/>
        </w:rPr>
        <w:t>Challenge 3: Pan-African investor base</w:t>
      </w:r>
    </w:p>
    <w:p>
      <w:r>
        <w:rPr>
          <w:rFonts w:ascii="Figtree" w:hAnsi="Figtree"/>
          <w:b w:val="0"/>
          <w:i w:val="0"/>
          <w:sz w:val="22"/>
        </w:rPr>
        <w:t>Investors from across Africa may have varying KYC documentation standards and AML risk profiles. DALP's configurable country allow/block list and identity claim framework supports jurisdiction-specific eligibility rules per instrument.</w:t>
      </w:r>
    </w:p>
    <w:p>
      <w:r>
        <w:rPr>
          <w:rFonts w:ascii="Figtree" w:hAnsi="Figtree"/>
          <w:b/>
          <w:i w:val="0"/>
          <w:sz w:val="22"/>
        </w:rPr>
        <w:t>Challenge 4: Bilingual operations</w:t>
      </w:r>
    </w:p>
    <w:p>
      <w:r>
        <w:rPr>
          <w:rFonts w:ascii="Figtree" w:hAnsi="Figtree"/>
          <w:b w:val="0"/>
          <w:i w:val="0"/>
          <w:sz w:val="22"/>
        </w:rPr>
        <w:t>DALP's operational documentation and support materials are available in French. Arabic localization of the operations UI is available as a configuration option.</w:t>
      </w:r>
    </w:p>
    <w:p>
      <w:r>
        <w:rPr>
          <w:rFonts w:ascii="Figtree" w:hAnsi="Figtree"/>
          <w:b/>
          <w:i w:val="0"/>
          <w:sz w:val="22"/>
        </w:rPr>
        <w:t>Challenge 5: Islamic finance instrument support</w:t>
      </w:r>
    </w:p>
    <w:p>
      <w:r>
        <w:rPr>
          <w:rFonts w:ascii="Figtree" w:hAnsi="Figtree"/>
          <w:b w:val="0"/>
          <w:i w:val="0"/>
          <w:sz w:val="22"/>
        </w:rPr>
        <w:t>Where sukuk-aligned instruments require specific governance documentation and AAOIFI compliance evidence, DALP's document management capability and governance workflow framework support the required approval lineage and documentation chain.</w:t>
      </w:r>
    </w:p>
    <w:p>
      <w:r>
        <w:br w:type="page"/>
      </w:r>
    </w:p>
    <w:p>
      <w:pPr>
        <w:pStyle w:val="H1"/>
        <w:numPr>
          <w:ilvl w:val="0"/>
          <w:numId w:val="1"/>
        </w:numPr>
      </w:pPr>
      <w:r>
        <w:t>5. Proposed Solution and Functional Capabilities</w:t>
      </w:r>
    </w:p>
    <w:p>
      <w:pPr>
        <w:pStyle w:val="H2"/>
        <w:numPr>
          <w:ilvl w:val="1"/>
          <w:numId w:val="1"/>
        </w:numPr>
      </w:pPr>
      <w:r>
        <w:t>5.1 Solution Architecture</w:t>
      </w:r>
    </w:p>
    <w:p>
      <w:pPr>
        <w:jc w:val="center"/>
      </w:pPr>
      <w:r>
        <w:drawing>
          <wp:inline xmlns:a="http://schemas.openxmlformats.org/drawingml/2006/main" xmlns:pic="http://schemas.openxmlformats.org/drawingml/2006/picture">
            <wp:extent cx="5486400" cy="3701921"/>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701921"/>
                    </a:xfrm>
                    <a:prstGeom prst="rect"/>
                  </pic:spPr>
                </pic:pic>
              </a:graphicData>
            </a:graphic>
          </wp:inline>
        </w:drawing>
      </w:r>
    </w:p>
    <w:p>
      <w:pPr>
        <w:pStyle w:val="H2"/>
        <w:numPr>
          <w:ilvl w:val="1"/>
          <w:numId w:val="1"/>
        </w:numPr>
      </w:pPr>
      <w:r>
        <w:t>5.2 Issuance and Asset Configuration</w:t>
      </w:r>
    </w:p>
    <w:p>
      <w:pPr>
        <w:jc w:val="center"/>
      </w:pPr>
      <w:r>
        <w:drawing>
          <wp:inline xmlns:a="http://schemas.openxmlformats.org/drawingml/2006/main" xmlns:pic="http://schemas.openxmlformats.org/drawingml/2006/picture">
            <wp:extent cx="3003503" cy="822959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3003503" cy="8229598"/>
                    </a:xfrm>
                    <a:prstGeom prst="rect"/>
                  </pic:spPr>
                </pic:pic>
              </a:graphicData>
            </a:graphic>
          </wp:inline>
        </w:drawing>
      </w:r>
    </w:p>
    <w:p>
      <w:r>
        <w:rPr>
          <w:rFonts w:ascii="Figtree" w:hAnsi="Figtree"/>
          <w:b/>
          <w:i w:val="0"/>
          <w:sz w:val="22"/>
        </w:rPr>
        <w:t>Instrument configuration for CSE:</w:t>
      </w:r>
    </w:p>
    <w:p>
      <w:pPr>
        <w:pStyle w:val="ListParagraph"/>
        <w:numPr>
          <w:ilvl w:val="0"/>
          <w:numId w:val="4"/>
        </w:numPr>
      </w:pPr>
      <w:r>
        <w:rPr>
          <w:rFonts w:ascii="Figtree" w:hAnsi="Figtree"/>
          <w:b w:val="0"/>
          <w:i w:val="0"/>
          <w:sz w:val="22"/>
        </w:rPr>
        <w:t>Bond parameters: ISIN/CSE identifier, maturity date, coupon rate and schedule, nominal value, denomination currency (MAD, EUR, USD), total supply cap</w:t>
      </w:r>
    </w:p>
    <w:p>
      <w:pPr>
        <w:pStyle w:val="ListParagraph"/>
        <w:numPr>
          <w:ilvl w:val="0"/>
          <w:numId w:val="4"/>
        </w:numPr>
      </w:pPr>
      <w:r>
        <w:rPr>
          <w:rFonts w:ascii="Figtree" w:hAnsi="Figtree"/>
          <w:b w:val="0"/>
          <w:i w:val="0"/>
          <w:sz w:val="22"/>
        </w:rPr>
        <w:t>Equity parameters: ISIN, share class, voting rights configuration, transfer restrictions by investor class</w:t>
      </w:r>
    </w:p>
    <w:p>
      <w:pPr>
        <w:pStyle w:val="ListParagraph"/>
        <w:numPr>
          <w:ilvl w:val="0"/>
          <w:numId w:val="4"/>
        </w:numPr>
      </w:pPr>
      <w:r>
        <w:rPr>
          <w:rFonts w:ascii="Figtree" w:hAnsi="Figtree"/>
          <w:b w:val="0"/>
          <w:i w:val="0"/>
          <w:sz w:val="22"/>
        </w:rPr>
        <w:t>Investor class restrictions: Professional investors (institutional), qualified retail, retail with disclosure requirements, GCC/Pan-African investor eligibility</w:t>
      </w:r>
    </w:p>
    <w:p>
      <w:pPr>
        <w:pStyle w:val="ListParagraph"/>
        <w:numPr>
          <w:ilvl w:val="0"/>
          <w:numId w:val="4"/>
        </w:numPr>
      </w:pPr>
      <w:r>
        <w:rPr>
          <w:rFonts w:ascii="Figtree" w:hAnsi="Figtree"/>
          <w:b w:val="0"/>
          <w:i w:val="0"/>
          <w:sz w:val="22"/>
        </w:rPr>
        <w:t>Sukuk configuration: AAOIFI-referenced governance documentation, profit distribution (not interest) distribution model using yield addon, underlying asset reference documentation</w:t>
      </w:r>
    </w:p>
    <w:p>
      <w:pPr>
        <w:pStyle w:val="H2"/>
        <w:numPr>
          <w:ilvl w:val="1"/>
          <w:numId w:val="1"/>
        </w:numPr>
      </w:pPr>
      <w:r>
        <w:t>5.3 Compliance Enforcement</w:t>
      </w:r>
    </w:p>
    <w:p>
      <w:pPr>
        <w:jc w:val="center"/>
      </w:pPr>
      <w:r>
        <w:drawing>
          <wp:inline xmlns:a="http://schemas.openxmlformats.org/drawingml/2006/main" xmlns:pic="http://schemas.openxmlformats.org/drawingml/2006/picture">
            <wp:extent cx="5486400" cy="51085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10851"/>
                    </a:xfrm>
                    <a:prstGeom prst="rect"/>
                  </pic:spPr>
                </pic:pic>
              </a:graphicData>
            </a:graphic>
          </wp:inline>
        </w:drawing>
      </w:r>
    </w:p>
    <w:p>
      <w:r>
        <w:rPr>
          <w:rFonts w:ascii="Figtree" w:hAnsi="Figtree"/>
          <w:b w:val="0"/>
          <w:i w:val="0"/>
          <w:sz w:val="22"/>
        </w:rPr>
        <w:t>Compliance module configuration aligned to AMMC market rules:</w:t>
      </w:r>
    </w:p>
    <w:p>
      <w:pPr>
        <w:pStyle w:val="ListParagraph"/>
        <w:numPr>
          <w:ilvl w:val="0"/>
          <w:numId w:val="4"/>
        </w:numPr>
      </w:pPr>
      <w:r>
        <w:rPr>
          <w:rFonts w:ascii="Figtree" w:hAnsi="Figtree"/>
          <w:b/>
          <w:i w:val="0"/>
          <w:sz w:val="22"/>
        </w:rPr>
        <w:t>Investor classification:</w:t>
      </w:r>
      <w:r>
        <w:rPr>
          <w:rFonts w:ascii="Figtree" w:hAnsi="Figtree"/>
          <w:b w:val="0"/>
          <w:i w:val="0"/>
          <w:sz w:val="22"/>
        </w:rPr>
        <w:t xml:space="preserve"> Enforces AMMC investor category (professional, qualified, retail) per instrument type</w:t>
      </w:r>
    </w:p>
    <w:p>
      <w:pPr>
        <w:pStyle w:val="ListParagraph"/>
        <w:numPr>
          <w:ilvl w:val="0"/>
          <w:numId w:val="4"/>
        </w:numPr>
      </w:pPr>
      <w:r>
        <w:rPr>
          <w:rFonts w:ascii="Figtree" w:hAnsi="Figtree"/>
          <w:b/>
          <w:i w:val="0"/>
          <w:sz w:val="22"/>
        </w:rPr>
        <w:t>Disclosure enforcement:</w:t>
      </w:r>
      <w:r>
        <w:rPr>
          <w:rFonts w:ascii="Figtree" w:hAnsi="Figtree"/>
          <w:b w:val="0"/>
          <w:i w:val="0"/>
          <w:sz w:val="22"/>
        </w:rPr>
        <w:t xml:space="preserve"> Transfer to new investors triggers disclosure document delivery confirmation requirement where applicable</w:t>
      </w:r>
    </w:p>
    <w:p>
      <w:pPr>
        <w:pStyle w:val="ListParagraph"/>
        <w:numPr>
          <w:ilvl w:val="0"/>
          <w:numId w:val="4"/>
        </w:numPr>
      </w:pPr>
      <w:r>
        <w:rPr>
          <w:rFonts w:ascii="Figtree" w:hAnsi="Figtree"/>
          <w:b/>
          <w:i w:val="0"/>
          <w:sz w:val="22"/>
        </w:rPr>
        <w:t>Geographic restrictions:</w:t>
      </w:r>
      <w:r>
        <w:rPr>
          <w:rFonts w:ascii="Figtree" w:hAnsi="Figtree"/>
          <w:b w:val="0"/>
          <w:i w:val="0"/>
          <w:sz w:val="22"/>
        </w:rPr>
        <w:t xml:space="preserve"> Country allow/block list enforces cross-border investment restrictions relevant to Morocco's bilateral investment treaty network</w:t>
      </w:r>
    </w:p>
    <w:p>
      <w:pPr>
        <w:pStyle w:val="ListParagraph"/>
        <w:numPr>
          <w:ilvl w:val="0"/>
          <w:numId w:val="4"/>
        </w:numPr>
      </w:pPr>
      <w:r>
        <w:rPr>
          <w:rFonts w:ascii="Figtree" w:hAnsi="Figtree"/>
          <w:b/>
          <w:i w:val="0"/>
          <w:sz w:val="22"/>
        </w:rPr>
        <w:t>Market conduct:</w:t>
      </w:r>
      <w:r>
        <w:rPr>
          <w:rFonts w:ascii="Figtree" w:hAnsi="Figtree"/>
          <w:b w:val="0"/>
          <w:i w:val="0"/>
          <w:sz w:val="22"/>
        </w:rPr>
        <w:t xml:space="preserve"> Insider trading controls through transfer approval workflow (compliance officer sign-off required for flagged transfers)</w:t>
      </w:r>
    </w:p>
    <w:p>
      <w:pPr>
        <w:pStyle w:val="H2"/>
        <w:numPr>
          <w:ilvl w:val="1"/>
          <w:numId w:val="1"/>
        </w:numPr>
      </w:pPr>
      <w:r>
        <w:t>5.4 Transfer and Settlement</w:t>
      </w:r>
    </w:p>
    <w:p>
      <w:pPr>
        <w:jc w:val="center"/>
      </w:pPr>
      <w:r>
        <w:drawing>
          <wp:inline xmlns:a="http://schemas.openxmlformats.org/drawingml/2006/main" xmlns:pic="http://schemas.openxmlformats.org/drawingml/2006/picture">
            <wp:extent cx="5486400" cy="323305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233057"/>
                    </a:xfrm>
                    <a:prstGeom prst="rect"/>
                  </pic:spPr>
                </pic:pic>
              </a:graphicData>
            </a:graphic>
          </wp:inline>
        </w:drawing>
      </w:r>
    </w:p>
    <w:p>
      <w:pPr>
        <w:pStyle w:val="H2"/>
        <w:numPr>
          <w:ilvl w:val="1"/>
          <w:numId w:val="1"/>
        </w:numPr>
      </w:pPr>
      <w:r>
        <w:t>5.5 Corporate Actions and Servicing</w:t>
      </w:r>
    </w:p>
    <w:p>
      <w:r>
        <w:rPr>
          <w:rFonts w:ascii="Figtree" w:hAnsi="Figtree"/>
          <w:b/>
          <w:i w:val="0"/>
          <w:sz w:val="22"/>
        </w:rPr>
        <w:t>Coupon/profit distribution:</w:t>
      </w:r>
      <w:r>
        <w:rPr>
          <w:rFonts w:ascii="Figtree" w:hAnsi="Figtree"/>
          <w:b w:val="0"/>
          <w:i w:val="0"/>
          <w:sz w:val="22"/>
        </w:rPr>
        <w:t xml:space="preserve"> Yield addon calculates entitlements based on record-date snapshot. For sukuk-aligned instruments, the distribution model uses profit-sharing terminology rather than interest to support AAOIFI documentation requirements. Multi-currency distribution is supported (MAD and foreign currency equivalents).</w:t>
      </w:r>
    </w:p>
    <w:p>
      <w:r>
        <w:rPr>
          <w:rFonts w:ascii="Figtree" w:hAnsi="Figtree"/>
          <w:b/>
          <w:i w:val="0"/>
          <w:sz w:val="22"/>
        </w:rPr>
        <w:t>Maturity/redemption:</w:t>
      </w:r>
      <w:r>
        <w:rPr>
          <w:rFonts w:ascii="Figtree" w:hAnsi="Figtree"/>
          <w:b w:val="0"/>
          <w:i w:val="0"/>
          <w:sz w:val="22"/>
        </w:rPr>
        <w:t xml:space="preserve"> Maturity redemption feature manages end-of-life processing. Investor notification, token burn, and cash settlement instruction generation are automated with maker-checker authorization before execution.</w:t>
      </w:r>
    </w:p>
    <w:p>
      <w:r>
        <w:rPr>
          <w:rFonts w:ascii="Figtree" w:hAnsi="Figtree"/>
          <w:b/>
          <w:i w:val="0"/>
          <w:sz w:val="22"/>
        </w:rPr>
        <w:t>Governance events:</w:t>
      </w:r>
      <w:r>
        <w:rPr>
          <w:rFonts w:ascii="Figtree" w:hAnsi="Figtree"/>
          <w:b w:val="0"/>
          <w:i w:val="0"/>
          <w:sz w:val="22"/>
        </w:rPr>
        <w:t xml:space="preserve"> Voting power token feature supports bondholder meetings and shareholder votes with on-chain result recording.</w:t>
      </w:r>
    </w:p>
    <w:p>
      <w:pPr>
        <w:pStyle w:val="H2"/>
        <w:numPr>
          <w:ilvl w:val="1"/>
          <w:numId w:val="1"/>
        </w:numPr>
      </w:pPr>
      <w:r>
        <w:t>5.6 Integration and Interoperability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19"/>
        <w:gridCol w:w="2093"/>
        <w:gridCol w:w="505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Maroclear</w:t>
            </w:r>
          </w:p>
        </w:tc>
        <w:tc>
          <w:tcPr>
            <w:tcW w:type="dxa" w:w="3249"/>
            <w:vAlign w:val="center"/>
          </w:tcPr>
          <w:p>
            <w:pPr>
              <w:spacing w:line="276" w:lineRule="auto" w:before="0" w:after="0"/>
            </w:pPr>
            <w:r/>
            <w:r>
              <w:rPr>
                <w:rFonts w:ascii="Figtree" w:hAnsi="Figtree"/>
                <w:b w:val="0"/>
                <w:i w:val="0"/>
                <w:sz w:val="20"/>
              </w:rPr>
              <w:t>ISO 20022 REST</w:t>
            </w:r>
          </w:p>
        </w:tc>
        <w:tc>
          <w:tcPr>
            <w:tcW w:type="dxa" w:w="3249"/>
            <w:vAlign w:val="center"/>
          </w:tcPr>
          <w:p>
            <w:pPr>
              <w:spacing w:line="276" w:lineRule="auto" w:before="0" w:after="0"/>
            </w:pPr>
            <w:r/>
            <w:r>
              <w:rPr>
                <w:rFonts w:ascii="Figtree" w:hAnsi="Figtree"/>
                <w:b w:val="0"/>
                <w:i w:val="0"/>
                <w:sz w:val="20"/>
              </w:rPr>
              <w:t>Settlement instruction delivery and confirmation</w:t>
            </w:r>
          </w:p>
        </w:tc>
      </w:tr>
      <w:tr>
        <w:trPr>
          <w:trHeight w:val="425" w:hRule="atLeast"/>
        </w:trPr>
        <w:tc>
          <w:tcPr>
            <w:tcW w:type="dxa" w:w="3249"/>
            <w:vAlign w:val="center"/>
          </w:tcPr>
          <w:p>
            <w:pPr>
              <w:spacing w:line="276" w:lineRule="auto" w:before="0" w:after="0"/>
            </w:pPr>
            <w:r/>
            <w:r>
              <w:rPr>
                <w:rFonts w:ascii="Figtree" w:hAnsi="Figtree"/>
                <w:b w:val="0"/>
                <w:i w:val="0"/>
                <w:sz w:val="20"/>
              </w:rPr>
              <w:t>AMMC reporting</w:t>
            </w:r>
          </w:p>
        </w:tc>
        <w:tc>
          <w:tcPr>
            <w:tcW w:type="dxa" w:w="3249"/>
            <w:vAlign w:val="center"/>
          </w:tcPr>
          <w:p>
            <w:pPr>
              <w:spacing w:line="276" w:lineRule="auto" w:before="0" w:after="0"/>
            </w:pPr>
            <w:r/>
            <w:r>
              <w:rPr>
                <w:rFonts w:ascii="Figtree" w:hAnsi="Figtree"/>
                <w:b w:val="0"/>
                <w:i w:val="0"/>
                <w:sz w:val="20"/>
              </w:rPr>
              <w:t>Structured batch extract</w:t>
            </w:r>
          </w:p>
        </w:tc>
        <w:tc>
          <w:tcPr>
            <w:tcW w:type="dxa" w:w="3249"/>
            <w:vAlign w:val="center"/>
          </w:tcPr>
          <w:p>
            <w:pPr>
              <w:spacing w:line="276" w:lineRule="auto" w:before="0" w:after="0"/>
            </w:pPr>
            <w:r/>
            <w:r>
              <w:rPr>
                <w:rFonts w:ascii="Figtree" w:hAnsi="Figtree"/>
                <w:b w:val="0"/>
                <w:i w:val="0"/>
                <w:sz w:val="20"/>
              </w:rPr>
              <w:t>Regulatory reporting and surveillance data</w:t>
            </w:r>
          </w:p>
        </w:tc>
      </w:tr>
      <w:tr>
        <w:trPr>
          <w:trHeight w:val="425" w:hRule="atLeast"/>
        </w:trPr>
        <w:tc>
          <w:tcPr>
            <w:tcW w:type="dxa" w:w="3249"/>
            <w:vAlign w:val="center"/>
          </w:tcPr>
          <w:p>
            <w:pPr>
              <w:spacing w:line="276" w:lineRule="auto" w:before="0" w:after="0"/>
            </w:pPr>
            <w:r/>
            <w:r>
              <w:rPr>
                <w:rFonts w:ascii="Figtree" w:hAnsi="Figtree"/>
                <w:b w:val="0"/>
                <w:i w:val="0"/>
                <w:sz w:val="20"/>
              </w:rPr>
              <w:t>AML/KYC</w:t>
            </w:r>
          </w:p>
        </w:tc>
        <w:tc>
          <w:tcPr>
            <w:tcW w:type="dxa" w:w="3249"/>
            <w:vAlign w:val="center"/>
          </w:tcPr>
          <w:p>
            <w:pPr>
              <w:spacing w:line="276" w:lineRule="auto" w:before="0" w:after="0"/>
            </w:pPr>
            <w:r/>
            <w:r>
              <w:rPr>
                <w:rFonts w:ascii="Figtree" w:hAnsi="Figtree"/>
                <w:b w:val="0"/>
                <w:i w:val="0"/>
                <w:sz w:val="20"/>
              </w:rPr>
              <w:t>REST API</w:t>
            </w:r>
          </w:p>
        </w:tc>
        <w:tc>
          <w:tcPr>
            <w:tcW w:type="dxa" w:w="3249"/>
            <w:vAlign w:val="center"/>
          </w:tcPr>
          <w:p>
            <w:pPr>
              <w:spacing w:line="276" w:lineRule="auto" w:before="0" w:after="0"/>
            </w:pPr>
            <w:r/>
            <w:r>
              <w:rPr>
                <w:rFonts w:ascii="Figtree" w:hAnsi="Figtree"/>
                <w:b w:val="0"/>
                <w:i w:val="0"/>
                <w:sz w:val="20"/>
              </w:rPr>
              <w:t>Investor screening (Accuity, Refinitiv, or local provider)</w:t>
            </w:r>
          </w:p>
        </w:tc>
      </w:tr>
      <w:tr>
        <w:trPr>
          <w:trHeight w:val="425" w:hRule="atLeast"/>
        </w:trPr>
        <w:tc>
          <w:tcPr>
            <w:tcW w:type="dxa" w:w="3249"/>
            <w:vAlign w:val="center"/>
          </w:tcPr>
          <w:p>
            <w:pPr>
              <w:spacing w:line="276" w:lineRule="auto" w:before="0" w:after="0"/>
            </w:pPr>
            <w:r/>
            <w:r>
              <w:rPr>
                <w:rFonts w:ascii="Figtree" w:hAnsi="Figtree"/>
                <w:b w:val="0"/>
                <w:i w:val="0"/>
                <w:sz w:val="20"/>
              </w:rPr>
              <w:t>Broker gateway</w:t>
            </w:r>
          </w:p>
        </w:tc>
        <w:tc>
          <w:tcPr>
            <w:tcW w:type="dxa" w:w="3249"/>
            <w:vAlign w:val="center"/>
          </w:tcPr>
          <w:p>
            <w:pPr>
              <w:spacing w:line="276" w:lineRule="auto" w:before="0" w:after="0"/>
            </w:pPr>
            <w:r/>
            <w:r>
              <w:rPr>
                <w:rFonts w:ascii="Figtree" w:hAnsi="Figtree"/>
                <w:b w:val="0"/>
                <w:i w:val="0"/>
                <w:sz w:val="20"/>
              </w:rPr>
              <w:t>OpenAPI 3.1</w:t>
            </w:r>
          </w:p>
        </w:tc>
        <w:tc>
          <w:tcPr>
            <w:tcW w:type="dxa" w:w="3249"/>
            <w:vAlign w:val="center"/>
          </w:tcPr>
          <w:p>
            <w:pPr>
              <w:spacing w:line="276" w:lineRule="auto" w:before="0" w:after="0"/>
            </w:pPr>
            <w:r/>
            <w:r>
              <w:rPr>
                <w:rFonts w:ascii="Figtree" w:hAnsi="Figtree"/>
                <w:b w:val="0"/>
                <w:i w:val="0"/>
                <w:sz w:val="20"/>
              </w:rPr>
              <w:t>Order instruction submission</w:t>
            </w:r>
          </w:p>
        </w:tc>
      </w:tr>
      <w:tr>
        <w:trPr>
          <w:trHeight w:val="425" w:hRule="atLeast"/>
        </w:trPr>
        <w:tc>
          <w:tcPr>
            <w:tcW w:type="dxa" w:w="3249"/>
            <w:vAlign w:val="center"/>
          </w:tcPr>
          <w:p>
            <w:pPr>
              <w:spacing w:line="276" w:lineRule="auto" w:before="0" w:after="0"/>
            </w:pPr>
            <w:r/>
            <w:r>
              <w:rPr>
                <w:rFonts w:ascii="Figtree" w:hAnsi="Figtree"/>
                <w:b w:val="0"/>
                <w:i w:val="0"/>
                <w:sz w:val="20"/>
              </w:rPr>
              <w:t>IAM (Active Directory)</w:t>
            </w:r>
          </w:p>
        </w:tc>
        <w:tc>
          <w:tcPr>
            <w:tcW w:type="dxa" w:w="3249"/>
            <w:vAlign w:val="center"/>
          </w:tcPr>
          <w:p>
            <w:pPr>
              <w:spacing w:line="276" w:lineRule="auto" w:before="0" w:after="0"/>
            </w:pPr>
            <w:r/>
            <w:r>
              <w:rPr>
                <w:rFonts w:ascii="Figtree" w:hAnsi="Figtree"/>
                <w:b w:val="0"/>
                <w:i w:val="0"/>
                <w:sz w:val="20"/>
              </w:rPr>
              <w:t>SAML 2.0/OIDC</w:t>
            </w:r>
          </w:p>
        </w:tc>
        <w:tc>
          <w:tcPr>
            <w:tcW w:type="dxa" w:w="3249"/>
            <w:vAlign w:val="center"/>
          </w:tcPr>
          <w:p>
            <w:pPr>
              <w:spacing w:line="276" w:lineRule="auto" w:before="0" w:after="0"/>
            </w:pPr>
            <w:r/>
            <w:r>
              <w:rPr>
                <w:rFonts w:ascii="Figtree" w:hAnsi="Figtree"/>
                <w:b w:val="0"/>
                <w:i w:val="0"/>
                <w:sz w:val="20"/>
              </w:rPr>
              <w:t>Operator 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Reporting/BI</w:t>
            </w:r>
          </w:p>
        </w:tc>
        <w:tc>
          <w:tcPr>
            <w:tcW w:type="dxa" w:w="3249"/>
            <w:vAlign w:val="center"/>
          </w:tcPr>
          <w:p>
            <w:pPr>
              <w:spacing w:line="276" w:lineRule="auto" w:before="0" w:after="0"/>
            </w:pPr>
            <w:r/>
            <w:r>
              <w:rPr>
                <w:rFonts w:ascii="Figtree" w:hAnsi="Figtree"/>
                <w:b w:val="0"/>
                <w:i w:val="0"/>
                <w:sz w:val="20"/>
              </w:rPr>
              <w:t>CSV/JSON batch</w:t>
            </w:r>
          </w:p>
        </w:tc>
        <w:tc>
          <w:tcPr>
            <w:tcW w:type="dxa" w:w="3249"/>
            <w:vAlign w:val="center"/>
          </w:tcPr>
          <w:p>
            <w:pPr>
              <w:spacing w:line="276" w:lineRule="auto" w:before="0" w:after="0"/>
            </w:pPr>
            <w:r/>
            <w:r>
              <w:rPr>
                <w:rFonts w:ascii="Figtree" w:hAnsi="Figtree"/>
                <w:b w:val="0"/>
                <w:i w:val="0"/>
                <w:sz w:val="20"/>
              </w:rPr>
              <w:t>Management and regulatory reporting</w:t>
            </w:r>
          </w:p>
        </w:tc>
      </w:tr>
    </w:tbl>
    <w:p>
      <w:pPr>
        <w:spacing w:before="0" w:after="0" w:line="120" w:lineRule="exact"/>
      </w:pPr>
    </w:p>
    <w:p>
      <w:pPr>
        <w:pStyle w:val="H2"/>
        <w:numPr>
          <w:ilvl w:val="1"/>
          <w:numId w:val="1"/>
        </w:numPr>
      </w:pPr>
      <w:r>
        <w:t>5.7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3628"/>
        <w:gridCol w:w="725"/>
        <w:gridCol w:w="39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4-environment model</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eventing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webhooks</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26-role model, on-chain audit</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Compliance module framework</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disclosure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Appendix C</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recovery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99.9% SLA, RTO &lt; 4h</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18-week plan</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Seven evidence categories</w:t>
            </w:r>
          </w:p>
        </w:tc>
      </w:tr>
      <w:tr>
        <w:trPr>
          <w:trHeight w:val="425" w:hRule="atLeast"/>
        </w:trPr>
        <w:tc>
          <w:tcPr>
            <w:tcW w:type="dxa" w:w="2436"/>
            <w:vAlign w:val="center"/>
          </w:tcPr>
          <w:p>
            <w:pPr>
              <w:spacing w:line="276" w:lineRule="auto" w:before="0" w:after="0"/>
            </w:pPr>
            <w:r/>
            <w:r>
              <w:rPr>
                <w:rFonts w:ascii="Figtree" w:hAnsi="Figtree"/>
                <w:b w:val="0"/>
                <w:i w:val="0"/>
                <w:sz w:val="20"/>
              </w:rPr>
              <w:t>REQ-16</w:t>
            </w:r>
          </w:p>
        </w:tc>
        <w:tc>
          <w:tcPr>
            <w:tcW w:type="dxa" w:w="2436"/>
            <w:vAlign w:val="center"/>
          </w:tcPr>
          <w:p>
            <w:pPr>
              <w:spacing w:line="276" w:lineRule="auto" w:before="0" w:after="0"/>
            </w:pPr>
            <w:r/>
            <w:r>
              <w:rPr>
                <w:rFonts w:ascii="Figtree" w:hAnsi="Figtree"/>
                <w:b w:val="0"/>
                <w:i w:val="0"/>
                <w:sz w:val="20"/>
              </w:rPr>
              <w:t>Issuance, registry, settlement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Bond/equity/sukuk, OnchainID, XvP</w:t>
            </w:r>
          </w:p>
        </w:tc>
      </w:tr>
      <w:tr>
        <w:trPr>
          <w:trHeight w:val="425" w:hRule="atLeast"/>
        </w:trPr>
        <w:tc>
          <w:tcPr>
            <w:tcW w:type="dxa" w:w="2436"/>
            <w:vAlign w:val="center"/>
          </w:tcPr>
          <w:p>
            <w:pPr>
              <w:spacing w:line="276" w:lineRule="auto" w:before="0" w:after="0"/>
            </w:pPr>
            <w:r/>
            <w:r>
              <w:rPr>
                <w:rFonts w:ascii="Figtree" w:hAnsi="Figtree"/>
                <w:b w:val="0"/>
                <w:i w:val="0"/>
                <w:sz w:val="20"/>
              </w:rPr>
              <w:t>REQ-17</w:t>
            </w:r>
          </w:p>
        </w:tc>
        <w:tc>
          <w:tcPr>
            <w:tcW w:type="dxa" w:w="2436"/>
            <w:vAlign w:val="center"/>
          </w:tcPr>
          <w:p>
            <w:pPr>
              <w:spacing w:line="276" w:lineRule="auto" w:before="0" w:after="0"/>
            </w:pPr>
            <w:r/>
            <w:r>
              <w:rPr>
                <w:rFonts w:ascii="Figtree" w:hAnsi="Figtree"/>
                <w:b w:val="0"/>
                <w:i w:val="0"/>
                <w:sz w:val="20"/>
              </w:rPr>
              <w:t>Market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ISO 20022, webhook event stream</w:t>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Architectural Principles</w:t>
      </w:r>
    </w:p>
    <w:p>
      <w:r>
        <w:rPr>
          <w:rFonts w:ascii="Figtree" w:hAnsi="Figtree"/>
          <w:b w:val="0"/>
          <w:i w:val="0"/>
          <w:sz w:val="22"/>
        </w:rPr>
        <w:t>Same five principles as for ADX: lifecycle-first, durable execution, defense-in-depth, separation of concerns, provider abstraction. For Casablanca, an additional principle applies:</w:t>
      </w:r>
    </w:p>
    <w:p>
      <w:r>
        <w:rPr>
          <w:rFonts w:ascii="Figtree" w:hAnsi="Figtree"/>
          <w:b/>
          <w:i w:val="0"/>
          <w:sz w:val="22"/>
        </w:rPr>
        <w:t>Regulatory configurability:</w:t>
      </w:r>
      <w:r>
        <w:rPr>
          <w:rFonts w:ascii="Figtree" w:hAnsi="Figtree"/>
          <w:b w:val="0"/>
          <w:i w:val="0"/>
          <w:sz w:val="22"/>
        </w:rPr>
        <w:t xml:space="preserve"> The platform must be configurable to match AMMC requirements without code changes. All compliance rules, investor classes, transfer restrictions, and governance thresholds are operator-configurable parameters.</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156054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560545"/>
                    </a:xfrm>
                    <a:prstGeom prst="rect"/>
                  </pic:spPr>
                </pic:pic>
              </a:graphicData>
            </a:graphic>
          </wp:inline>
        </w:drawing>
      </w:r>
    </w:p>
    <w:p>
      <w:pPr>
        <w:pStyle w:val="H2"/>
        <w:numPr>
          <w:ilvl w:val="1"/>
          <w:numId w:val="1"/>
        </w:numPr>
      </w:pPr>
      <w:r>
        <w:t>6.3 Data Architecture</w:t>
      </w:r>
    </w:p>
    <w:p>
      <w:pPr>
        <w:jc w:val="center"/>
      </w:pPr>
      <w:r>
        <w:drawing>
          <wp:inline xmlns:a="http://schemas.openxmlformats.org/drawingml/2006/main" xmlns:pic="http://schemas.openxmlformats.org/drawingml/2006/picture">
            <wp:extent cx="5486400" cy="3121090"/>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121090"/>
                    </a:xfrm>
                    <a:prstGeom prst="rect"/>
                  </pic:spPr>
                </pic:pic>
              </a:graphicData>
            </a:graphic>
          </wp:inline>
        </w:drawing>
      </w:r>
    </w:p>
    <w:p>
      <w:pPr>
        <w:pStyle w:val="H2"/>
        <w:numPr>
          <w:ilvl w:val="1"/>
          <w:numId w:val="1"/>
        </w:numPr>
      </w:pPr>
      <w:r>
        <w:t>6.4 Network Topology</w:t>
      </w:r>
    </w:p>
    <w:p>
      <w:pPr>
        <w:jc w:val="center"/>
      </w:pPr>
      <w:r>
        <w:drawing>
          <wp:inline xmlns:a="http://schemas.openxmlformats.org/drawingml/2006/main" xmlns:pic="http://schemas.openxmlformats.org/drawingml/2006/picture">
            <wp:extent cx="5486400" cy="426803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4268031"/>
                    </a:xfrm>
                    <a:prstGeom prst="rect"/>
                  </pic:spPr>
                </pic:pic>
              </a:graphicData>
            </a:graphic>
          </wp:inline>
        </w:drawing>
      </w:r>
    </w:p>
    <w:p>
      <w:r>
        <w:rPr>
          <w:rFonts w:ascii="Figtree" w:hAnsi="Figtree"/>
          <w:b/>
          <w:i w:val="0"/>
          <w:sz w:val="22"/>
        </w:rPr>
        <w:t>Performance benchmark:</w:t>
      </w:r>
      <w:r>
        <w:rPr>
          <w:rFonts w:ascii="Figtree" w:hAnsi="Figtree"/>
          <w:b w:val="0"/>
          <w:i w:val="0"/>
          <w:sz w:val="22"/>
        </w:rPr>
        <w:t xml:space="preserve"> Under 200 concurrent settlement-grade transactions on 4-validator Besu network: median latency 2.1s, P99 4.8s. Suitable for Casablanca Stock Exchange's expected transaction profile.</w:t>
      </w:r>
    </w:p>
    <w:p>
      <w:pPr>
        <w:pStyle w:val="H2"/>
        <w:numPr>
          <w:ilvl w:val="1"/>
          <w:numId w:val="1"/>
        </w:numPr>
      </w:pPr>
      <w:r>
        <w:t>6.5 Environment Segregation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8"/>
        <w:gridCol w:w="5667"/>
        <w:gridCol w:w="21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Data</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Platform configuration, instrument template development</w:t>
            </w:r>
          </w:p>
        </w:tc>
        <w:tc>
          <w:tcPr>
            <w:tcW w:type="dxa" w:w="3249"/>
            <w:vAlign w:val="center"/>
          </w:tcPr>
          <w:p>
            <w:pPr>
              <w:spacing w:line="276" w:lineRule="auto" w:before="0" w:after="0"/>
            </w:pPr>
            <w:r/>
            <w:r>
              <w:rPr>
                <w:rFonts w:ascii="Figtree" w:hAnsi="Figtree"/>
                <w:b w:val="0"/>
                <w:i w:val="0"/>
                <w:sz w:val="20"/>
              </w:rPr>
              <w:t>Synthetic only</w:t>
            </w:r>
          </w:p>
        </w:tc>
      </w:tr>
      <w:tr>
        <w:trPr>
          <w:trHeight w:val="425" w:hRule="atLeast"/>
        </w:trPr>
        <w:tc>
          <w:tcPr>
            <w:tcW w:type="dxa" w:w="3249"/>
            <w:vAlign w:val="center"/>
          </w:tcPr>
          <w:p>
            <w:pPr>
              <w:spacing w:line="276" w:lineRule="auto" w:before="0" w:after="0"/>
            </w:pPr>
            <w:r/>
            <w:r>
              <w:rPr>
                <w:rFonts w:ascii="Figtree" w:hAnsi="Figtree"/>
                <w:b w:val="0"/>
                <w:i w:val="0"/>
                <w:sz w:val="20"/>
              </w:rPr>
              <w:t>Test</w:t>
            </w:r>
          </w:p>
        </w:tc>
        <w:tc>
          <w:tcPr>
            <w:tcW w:type="dxa" w:w="3249"/>
            <w:vAlign w:val="center"/>
          </w:tcPr>
          <w:p>
            <w:pPr>
              <w:spacing w:line="276" w:lineRule="auto" w:before="0" w:after="0"/>
            </w:pPr>
            <w:r/>
            <w:r>
              <w:rPr>
                <w:rFonts w:ascii="Figtree" w:hAnsi="Figtree"/>
                <w:b w:val="0"/>
                <w:i w:val="0"/>
                <w:sz w:val="20"/>
              </w:rPr>
              <w:t>Integration testing with Maroclear test environment</w:t>
            </w:r>
          </w:p>
        </w:tc>
        <w:tc>
          <w:tcPr>
            <w:tcW w:type="dxa" w:w="3249"/>
            <w:vAlign w:val="center"/>
          </w:tcPr>
          <w:p>
            <w:pPr>
              <w:spacing w:line="276" w:lineRule="auto" w:before="0" w:after="0"/>
            </w:pPr>
            <w:r/>
            <w:r>
              <w:rPr>
                <w:rFonts w:ascii="Figtree" w:hAnsi="Figtree"/>
                <w:b w:val="0"/>
                <w:i w:val="0"/>
                <w:sz w:val="20"/>
              </w:rPr>
              <w:t>Synthetic only</w:t>
            </w:r>
          </w:p>
        </w:tc>
      </w:tr>
      <w:tr>
        <w:trPr>
          <w:trHeight w:val="425" w:hRule="atLeast"/>
        </w:trPr>
        <w:tc>
          <w:tcPr>
            <w:tcW w:type="dxa" w:w="3249"/>
            <w:vAlign w:val="center"/>
          </w:tcPr>
          <w:p>
            <w:pPr>
              <w:spacing w:line="276" w:lineRule="auto" w:before="0" w:after="0"/>
            </w:pPr>
            <w:r/>
            <w:r>
              <w:rPr>
                <w:rFonts w:ascii="Figtree" w:hAnsi="Figtree"/>
                <w:b w:val="0"/>
                <w:i w:val="0"/>
                <w:sz w:val="20"/>
              </w:rPr>
              <w:t>UAT</w:t>
            </w:r>
          </w:p>
        </w:tc>
        <w:tc>
          <w:tcPr>
            <w:tcW w:type="dxa" w:w="3249"/>
            <w:vAlign w:val="center"/>
          </w:tcPr>
          <w:p>
            <w:pPr>
              <w:spacing w:line="276" w:lineRule="auto" w:before="0" w:after="0"/>
            </w:pPr>
            <w:r/>
            <w:r>
              <w:rPr>
                <w:rFonts w:ascii="Figtree" w:hAnsi="Figtree"/>
                <w:b w:val="0"/>
                <w:i w:val="0"/>
                <w:sz w:val="20"/>
              </w:rPr>
              <w:t>User acceptance testing in French/Arabic</w:t>
            </w:r>
          </w:p>
        </w:tc>
        <w:tc>
          <w:tcPr>
            <w:tcW w:type="dxa" w:w="3249"/>
            <w:vAlign w:val="center"/>
          </w:tcPr>
          <w:p>
            <w:pPr>
              <w:spacing w:line="276" w:lineRule="auto" w:before="0" w:after="0"/>
            </w:pPr>
            <w:r/>
            <w:r>
              <w:rPr>
                <w:rFonts w:ascii="Figtree" w:hAnsi="Figtree"/>
                <w:b w:val="0"/>
                <w:i w:val="0"/>
                <w:sz w:val="20"/>
              </w:rPr>
              <w:t>Anonymized test data</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Live operations</w:t>
            </w:r>
          </w:p>
        </w:tc>
        <w:tc>
          <w:tcPr>
            <w:tcW w:type="dxa" w:w="3249"/>
            <w:vAlign w:val="center"/>
          </w:tcPr>
          <w:p>
            <w:pPr>
              <w:spacing w:line="276" w:lineRule="auto" w:before="0" w:after="0"/>
            </w:pPr>
            <w:r/>
            <w:r>
              <w:rPr>
                <w:rFonts w:ascii="Figtree" w:hAnsi="Figtree"/>
                <w:b w:val="0"/>
                <w:i w:val="0"/>
                <w:sz w:val="20"/>
              </w:rPr>
              <w:t>Real data</w:t>
            </w:r>
          </w:p>
        </w:tc>
      </w:tr>
    </w:tbl>
    <w:p>
      <w:pPr>
        <w:spacing w:before="0" w:after="0" w:line="120" w:lineRule="exact"/>
      </w:pPr>
    </w:p>
    <w:p>
      <w:r>
        <w:br w:type="page"/>
      </w:r>
    </w:p>
    <w:p>
      <w:pPr>
        <w:pStyle w:val="H1"/>
        <w:numPr>
          <w:ilvl w:val="0"/>
          <w:numId w:val="1"/>
        </w:numPr>
      </w:pPr>
      <w:r>
        <w:t>7. Asset Lifecycle and Compliance Infrastructure</w:t>
      </w:r>
    </w:p>
    <w:p>
      <w:pPr>
        <w:pStyle w:val="H2"/>
        <w:numPr>
          <w:ilvl w:val="1"/>
          <w:numId w:val="1"/>
        </w:numPr>
      </w:pPr>
      <w:r>
        <w:t>7.1 Sukuk and Islamic Finance Support</w:t>
      </w:r>
    </w:p>
    <w:p>
      <w:pPr>
        <w:jc w:val="center"/>
      </w:pPr>
      <w:r>
        <w:drawing>
          <wp:inline xmlns:a="http://schemas.openxmlformats.org/drawingml/2006/main" xmlns:pic="http://schemas.openxmlformats.org/drawingml/2006/picture">
            <wp:extent cx="2411220" cy="8229599"/>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2411220" cy="8229599"/>
                    </a:xfrm>
                    <a:prstGeom prst="rect"/>
                  </pic:spPr>
                </pic:pic>
              </a:graphicData>
            </a:graphic>
          </wp:inline>
        </w:drawing>
      </w:r>
    </w:p>
    <w:p>
      <w:r>
        <w:rPr>
          <w:rFonts w:ascii="Figtree" w:hAnsi="Figtree"/>
          <w:b w:val="0"/>
          <w:i w:val="0"/>
          <w:sz w:val="22"/>
        </w:rPr>
        <w:t>For sukuk-aligned instruments:</w:t>
      </w:r>
    </w:p>
    <w:p>
      <w:pPr>
        <w:pStyle w:val="ListParagraph"/>
        <w:numPr>
          <w:ilvl w:val="0"/>
          <w:numId w:val="4"/>
        </w:numPr>
      </w:pPr>
      <w:r>
        <w:rPr>
          <w:rFonts w:ascii="Figtree" w:hAnsi="Figtree"/>
          <w:b w:val="0"/>
          <w:i w:val="0"/>
          <w:sz w:val="22"/>
        </w:rPr>
        <w:t>Distribution model uses DALP's Yield addon configured with profit-sharing terminology</w:t>
      </w:r>
    </w:p>
    <w:p>
      <w:pPr>
        <w:pStyle w:val="ListParagraph"/>
        <w:numPr>
          <w:ilvl w:val="0"/>
          <w:numId w:val="4"/>
        </w:numPr>
      </w:pPr>
      <w:r>
        <w:rPr>
          <w:rFonts w:ascii="Figtree" w:hAnsi="Figtree"/>
          <w:b w:val="0"/>
          <w:i w:val="0"/>
          <w:sz w:val="22"/>
        </w:rPr>
        <w:t>Underlying asset documentation is version-controlled in the document store with cryptographic hash verification</w:t>
      </w:r>
    </w:p>
    <w:p>
      <w:pPr>
        <w:pStyle w:val="ListParagraph"/>
        <w:numPr>
          <w:ilvl w:val="0"/>
          <w:numId w:val="4"/>
        </w:numPr>
      </w:pPr>
      <w:r>
        <w:rPr>
          <w:rFonts w:ascii="Figtree" w:hAnsi="Figtree"/>
          <w:b w:val="0"/>
          <w:i w:val="0"/>
          <w:sz w:val="22"/>
        </w:rPr>
        <w:t>Sharia board approval lineage is captured in the governance workflow with mandatory attachment of board resolution document</w:t>
      </w:r>
    </w:p>
    <w:p>
      <w:pPr>
        <w:pStyle w:val="ListParagraph"/>
        <w:numPr>
          <w:ilvl w:val="0"/>
          <w:numId w:val="4"/>
        </w:numPr>
      </w:pPr>
      <w:r>
        <w:rPr>
          <w:rFonts w:ascii="Figtree" w:hAnsi="Figtree"/>
          <w:b w:val="0"/>
          <w:i w:val="0"/>
          <w:sz w:val="22"/>
        </w:rPr>
        <w:t>AAOIFI standard references can be embedded in instrument metadata for regulatory reporting</w:t>
      </w:r>
    </w:p>
    <w:p>
      <w:pPr>
        <w:pStyle w:val="H2"/>
        <w:numPr>
          <w:ilvl w:val="1"/>
          <w:numId w:val="1"/>
        </w:numPr>
      </w:pPr>
      <w:r>
        <w:t>7.2 Investor Lifecycle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16"/>
        <w:gridCol w:w="3124"/>
        <w:gridCol w:w="38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Condition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Transfer Eligible</w:t>
            </w:r>
          </w:p>
        </w:tc>
      </w:tr>
      <w:tr>
        <w:trPr>
          <w:trHeight w:val="425" w:hRule="atLeast"/>
        </w:trPr>
        <w:tc>
          <w:tcPr>
            <w:tcW w:type="dxa" w:w="3249"/>
            <w:vAlign w:val="center"/>
          </w:tcPr>
          <w:p>
            <w:pPr>
              <w:spacing w:line="276" w:lineRule="auto" w:before="0" w:after="0"/>
            </w:pPr>
            <w:r/>
            <w:r>
              <w:rPr>
                <w:rFonts w:ascii="Figtree" w:hAnsi="Figtree"/>
                <w:b w:val="0"/>
                <w:i w:val="0"/>
                <w:sz w:val="20"/>
              </w:rPr>
              <w:t>Pending</w:t>
            </w:r>
          </w:p>
        </w:tc>
        <w:tc>
          <w:tcPr>
            <w:tcW w:type="dxa" w:w="3249"/>
            <w:vAlign w:val="center"/>
          </w:tcPr>
          <w:p>
            <w:pPr>
              <w:spacing w:line="276" w:lineRule="auto" w:before="0" w:after="0"/>
            </w:pPr>
            <w:r/>
            <w:r>
              <w:rPr>
                <w:rFonts w:ascii="Figtree" w:hAnsi="Figtree"/>
                <w:b w:val="0"/>
                <w:i w:val="0"/>
                <w:sz w:val="20"/>
              </w:rPr>
              <w:t>KYC under review</w:t>
            </w:r>
          </w:p>
        </w:tc>
        <w:tc>
          <w:tcPr>
            <w:tcW w:type="dxa" w:w="3249"/>
            <w:vAlign w:val="center"/>
          </w:tcPr>
          <w:p>
            <w:pPr>
              <w:spacing w:line="276" w:lineRule="auto" w:before="0" w:after="0"/>
            </w:pPr>
            <w:r/>
            <w:r>
              <w:rPr>
                <w:rFonts w:ascii="Figtree" w:hAnsi="Figtree"/>
                <w:b w:val="0"/>
                <w:i w:val="0"/>
                <w:sz w:val="20"/>
              </w:rPr>
              <w:t>No</w:t>
            </w:r>
          </w:p>
        </w:tc>
      </w:tr>
      <w:tr>
        <w:trPr>
          <w:trHeight w:val="425" w:hRule="atLeast"/>
        </w:trPr>
        <w:tc>
          <w:tcPr>
            <w:tcW w:type="dxa" w:w="3249"/>
            <w:vAlign w:val="center"/>
          </w:tcPr>
          <w:p>
            <w:pPr>
              <w:spacing w:line="276" w:lineRule="auto" w:before="0" w:after="0"/>
            </w:pPr>
            <w:r/>
            <w:r>
              <w:rPr>
                <w:rFonts w:ascii="Figtree" w:hAnsi="Figtree"/>
                <w:b w:val="0"/>
                <w:i w:val="0"/>
                <w:sz w:val="20"/>
              </w:rPr>
              <w:t>Active — Professional</w:t>
            </w:r>
          </w:p>
        </w:tc>
        <w:tc>
          <w:tcPr>
            <w:tcW w:type="dxa" w:w="3249"/>
            <w:vAlign w:val="center"/>
          </w:tcPr>
          <w:p>
            <w:pPr>
              <w:spacing w:line="276" w:lineRule="auto" w:before="0" w:after="0"/>
            </w:pPr>
            <w:r/>
            <w:r>
              <w:rPr>
                <w:rFonts w:ascii="Figtree" w:hAnsi="Figtree"/>
                <w:b w:val="0"/>
                <w:i w:val="0"/>
                <w:sz w:val="20"/>
              </w:rPr>
              <w:t>Verified institutional investor</w:t>
            </w:r>
          </w:p>
        </w:tc>
        <w:tc>
          <w:tcPr>
            <w:tcW w:type="dxa" w:w="3249"/>
            <w:vAlign w:val="center"/>
          </w:tcPr>
          <w:p>
            <w:pPr>
              <w:spacing w:line="276" w:lineRule="auto" w:before="0" w:after="0"/>
            </w:pPr>
            <w:r/>
            <w:r>
              <w:rPr>
                <w:rFonts w:ascii="Figtree" w:hAnsi="Figtree"/>
                <w:b w:val="0"/>
                <w:i w:val="0"/>
                <w:sz w:val="20"/>
              </w:rPr>
              <w:t>Yes — all instruments</w:t>
            </w:r>
          </w:p>
        </w:tc>
      </w:tr>
      <w:tr>
        <w:trPr>
          <w:trHeight w:val="425" w:hRule="atLeast"/>
        </w:trPr>
        <w:tc>
          <w:tcPr>
            <w:tcW w:type="dxa" w:w="3249"/>
            <w:vAlign w:val="center"/>
          </w:tcPr>
          <w:p>
            <w:pPr>
              <w:spacing w:line="276" w:lineRule="auto" w:before="0" w:after="0"/>
            </w:pPr>
            <w:r/>
            <w:r>
              <w:rPr>
                <w:rFonts w:ascii="Figtree" w:hAnsi="Figtree"/>
                <w:b w:val="0"/>
                <w:i w:val="0"/>
                <w:sz w:val="20"/>
              </w:rPr>
              <w:t>Active — Qualified</w:t>
            </w:r>
          </w:p>
        </w:tc>
        <w:tc>
          <w:tcPr>
            <w:tcW w:type="dxa" w:w="3249"/>
            <w:vAlign w:val="center"/>
          </w:tcPr>
          <w:p>
            <w:pPr>
              <w:spacing w:line="276" w:lineRule="auto" w:before="0" w:after="0"/>
            </w:pPr>
            <w:r/>
            <w:r>
              <w:rPr>
                <w:rFonts w:ascii="Figtree" w:hAnsi="Figtree"/>
                <w:b w:val="0"/>
                <w:i w:val="0"/>
                <w:sz w:val="20"/>
              </w:rPr>
              <w:t>Verified qualified retail</w:t>
            </w:r>
          </w:p>
        </w:tc>
        <w:tc>
          <w:tcPr>
            <w:tcW w:type="dxa" w:w="3249"/>
            <w:vAlign w:val="center"/>
          </w:tcPr>
          <w:p>
            <w:pPr>
              <w:spacing w:line="276" w:lineRule="auto" w:before="0" w:after="0"/>
            </w:pPr>
            <w:r/>
            <w:r>
              <w:rPr>
                <w:rFonts w:ascii="Figtree" w:hAnsi="Figtree"/>
                <w:b w:val="0"/>
                <w:i w:val="0"/>
                <w:sz w:val="20"/>
              </w:rPr>
              <w:t>Yes — per eligibility config</w:t>
            </w:r>
          </w:p>
        </w:tc>
      </w:tr>
      <w:tr>
        <w:trPr>
          <w:trHeight w:val="425" w:hRule="atLeast"/>
        </w:trPr>
        <w:tc>
          <w:tcPr>
            <w:tcW w:type="dxa" w:w="3249"/>
            <w:vAlign w:val="center"/>
          </w:tcPr>
          <w:p>
            <w:pPr>
              <w:spacing w:line="276" w:lineRule="auto" w:before="0" w:after="0"/>
            </w:pPr>
            <w:r/>
            <w:r>
              <w:rPr>
                <w:rFonts w:ascii="Figtree" w:hAnsi="Figtree"/>
                <w:b w:val="0"/>
                <w:i w:val="0"/>
                <w:sz w:val="20"/>
              </w:rPr>
              <w:t>Active — Retail</w:t>
            </w:r>
          </w:p>
        </w:tc>
        <w:tc>
          <w:tcPr>
            <w:tcW w:type="dxa" w:w="3249"/>
            <w:vAlign w:val="center"/>
          </w:tcPr>
          <w:p>
            <w:pPr>
              <w:spacing w:line="276" w:lineRule="auto" w:before="0" w:after="0"/>
            </w:pPr>
            <w:r/>
            <w:r>
              <w:rPr>
                <w:rFonts w:ascii="Figtree" w:hAnsi="Figtree"/>
                <w:b w:val="0"/>
                <w:i w:val="0"/>
                <w:sz w:val="20"/>
              </w:rPr>
              <w:t>Verified retail with disclosure</w:t>
            </w:r>
          </w:p>
        </w:tc>
        <w:tc>
          <w:tcPr>
            <w:tcW w:type="dxa" w:w="3249"/>
            <w:vAlign w:val="center"/>
          </w:tcPr>
          <w:p>
            <w:pPr>
              <w:spacing w:line="276" w:lineRule="auto" w:before="0" w:after="0"/>
            </w:pPr>
            <w:r/>
            <w:r>
              <w:rPr>
                <w:rFonts w:ascii="Figtree" w:hAnsi="Figtree"/>
                <w:b w:val="0"/>
                <w:i w:val="0"/>
                <w:sz w:val="20"/>
              </w:rPr>
              <w:t>Yes — retail-eligible instruments only</w:t>
            </w:r>
          </w:p>
        </w:tc>
      </w:tr>
      <w:tr>
        <w:trPr>
          <w:trHeight w:val="425" w:hRule="atLeast"/>
        </w:trPr>
        <w:tc>
          <w:tcPr>
            <w:tcW w:type="dxa" w:w="3249"/>
            <w:vAlign w:val="center"/>
          </w:tcPr>
          <w:p>
            <w:pPr>
              <w:spacing w:line="276" w:lineRule="auto" w:before="0" w:after="0"/>
            </w:pPr>
            <w:r/>
            <w:r>
              <w:rPr>
                <w:rFonts w:ascii="Figtree" w:hAnsi="Figtree"/>
                <w:b w:val="0"/>
                <w:i w:val="0"/>
                <w:sz w:val="20"/>
              </w:rPr>
              <w:t>Active — Pan-African</w:t>
            </w:r>
          </w:p>
        </w:tc>
        <w:tc>
          <w:tcPr>
            <w:tcW w:type="dxa" w:w="3249"/>
            <w:vAlign w:val="center"/>
          </w:tcPr>
          <w:p>
            <w:pPr>
              <w:spacing w:line="276" w:lineRule="auto" w:before="0" w:after="0"/>
            </w:pPr>
            <w:r/>
            <w:r>
              <w:rPr>
                <w:rFonts w:ascii="Figtree" w:hAnsi="Figtree"/>
                <w:b w:val="0"/>
                <w:i w:val="0"/>
                <w:sz w:val="20"/>
              </w:rPr>
              <w:t>Cross-border verified investor</w:t>
            </w:r>
          </w:p>
        </w:tc>
        <w:tc>
          <w:tcPr>
            <w:tcW w:type="dxa" w:w="3249"/>
            <w:vAlign w:val="center"/>
          </w:tcPr>
          <w:p>
            <w:pPr>
              <w:spacing w:line="276" w:lineRule="auto" w:before="0" w:after="0"/>
            </w:pPr>
            <w:r/>
            <w:r>
              <w:rPr>
                <w:rFonts w:ascii="Figtree" w:hAnsi="Figtree"/>
                <w:b w:val="0"/>
                <w:i w:val="0"/>
                <w:sz w:val="20"/>
              </w:rPr>
              <w:t>Yes — per corridor config</w:t>
            </w:r>
          </w:p>
        </w:tc>
      </w:tr>
      <w:tr>
        <w:trPr>
          <w:trHeight w:val="425" w:hRule="atLeast"/>
        </w:trPr>
        <w:tc>
          <w:tcPr>
            <w:tcW w:type="dxa" w:w="3249"/>
            <w:vAlign w:val="center"/>
          </w:tcPr>
          <w:p>
            <w:pPr>
              <w:spacing w:line="276" w:lineRule="auto" w:before="0" w:after="0"/>
            </w:pPr>
            <w:r/>
            <w:r>
              <w:rPr>
                <w:rFonts w:ascii="Figtree" w:hAnsi="Figtree"/>
                <w:b w:val="0"/>
                <w:i w:val="0"/>
                <w:sz w:val="20"/>
              </w:rPr>
              <w:t>Restricted</w:t>
            </w:r>
          </w:p>
        </w:tc>
        <w:tc>
          <w:tcPr>
            <w:tcW w:type="dxa" w:w="3249"/>
            <w:vAlign w:val="center"/>
          </w:tcPr>
          <w:p>
            <w:pPr>
              <w:spacing w:line="276" w:lineRule="auto" w:before="0" w:after="0"/>
            </w:pPr>
            <w:r/>
            <w:r>
              <w:rPr>
                <w:rFonts w:ascii="Figtree" w:hAnsi="Figtree"/>
                <w:b w:val="0"/>
                <w:i w:val="0"/>
                <w:sz w:val="20"/>
              </w:rPr>
              <w:t>Compliance hold</w:t>
            </w:r>
          </w:p>
        </w:tc>
        <w:tc>
          <w:tcPr>
            <w:tcW w:type="dxa" w:w="3249"/>
            <w:vAlign w:val="center"/>
          </w:tcPr>
          <w:p>
            <w:pPr>
              <w:spacing w:line="276" w:lineRule="auto" w:before="0" w:after="0"/>
            </w:pPr>
            <w:r/>
            <w:r>
              <w:rPr>
                <w:rFonts w:ascii="Figtree" w:hAnsi="Figtree"/>
                <w:b w:val="0"/>
                <w:i w:val="0"/>
                <w:sz w:val="20"/>
              </w:rPr>
              <w:t>No</w:t>
            </w:r>
          </w:p>
        </w:tc>
      </w:tr>
      <w:tr>
        <w:trPr>
          <w:trHeight w:val="425" w:hRule="atLeast"/>
        </w:trPr>
        <w:tc>
          <w:tcPr>
            <w:tcW w:type="dxa" w:w="3249"/>
            <w:vAlign w:val="center"/>
          </w:tcPr>
          <w:p>
            <w:pPr>
              <w:spacing w:line="276" w:lineRule="auto" w:before="0" w:after="0"/>
            </w:pPr>
            <w:r/>
            <w:r>
              <w:rPr>
                <w:rFonts w:ascii="Figtree" w:hAnsi="Figtree"/>
                <w:b w:val="0"/>
                <w:i w:val="0"/>
                <w:sz w:val="20"/>
              </w:rPr>
              <w:t>Offboarded</w:t>
            </w:r>
          </w:p>
        </w:tc>
        <w:tc>
          <w:tcPr>
            <w:tcW w:type="dxa" w:w="3249"/>
            <w:vAlign w:val="center"/>
          </w:tcPr>
          <w:p>
            <w:pPr>
              <w:spacing w:line="276" w:lineRule="auto" w:before="0" w:after="0"/>
            </w:pPr>
            <w:r/>
            <w:r>
              <w:rPr>
                <w:rFonts w:ascii="Figtree" w:hAnsi="Figtree"/>
                <w:b w:val="0"/>
                <w:i w:val="0"/>
                <w:sz w:val="20"/>
              </w:rPr>
              <w:t>Relationship terminated</w:t>
            </w:r>
          </w:p>
        </w:tc>
        <w:tc>
          <w:tcPr>
            <w:tcW w:type="dxa" w:w="3249"/>
            <w:vAlign w:val="center"/>
          </w:tcPr>
          <w:p>
            <w:pPr>
              <w:spacing w:line="276" w:lineRule="auto" w:before="0" w:after="0"/>
            </w:pPr>
            <w:r/>
            <w:r>
              <w:rPr>
                <w:rFonts w:ascii="Figtree" w:hAnsi="Figtree"/>
                <w:b w:val="0"/>
                <w:i w:val="0"/>
                <w:sz w:val="20"/>
              </w:rPr>
              <w:t>No</w:t>
            </w:r>
          </w:p>
        </w:tc>
      </w:tr>
    </w:tbl>
    <w:p>
      <w:pPr>
        <w:spacing w:before="0" w:after="0" w:line="120" w:lineRule="exact"/>
      </w:pPr>
    </w:p>
    <w:p>
      <w:r>
        <w:br w:type="page"/>
      </w:r>
    </w:p>
    <w:p>
      <w:pPr>
        <w:pStyle w:val="H1"/>
        <w:numPr>
          <w:ilvl w:val="0"/>
          <w:numId w:val="1"/>
        </w:numPr>
      </w:pPr>
      <w:r>
        <w:t>8. Security, Governance, and Controls</w:t>
      </w:r>
    </w:p>
    <w:p>
      <w:pPr>
        <w:pStyle w:val="H2"/>
        <w:numPr>
          <w:ilvl w:val="1"/>
          <w:numId w:val="1"/>
        </w:numPr>
      </w:pPr>
      <w:r>
        <w:t>8.1 Security Model</w:t>
      </w:r>
    </w:p>
    <w:p>
      <w:pPr>
        <w:jc w:val="center"/>
      </w:pPr>
      <w:r>
        <w:drawing>
          <wp:inline xmlns:a="http://schemas.openxmlformats.org/drawingml/2006/main" xmlns:pic="http://schemas.openxmlformats.org/drawingml/2006/picture">
            <wp:extent cx="5486400" cy="154654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546549"/>
                    </a:xfrm>
                    <a:prstGeom prst="rect"/>
                  </pic:spPr>
                </pic:pic>
              </a:graphicData>
            </a:graphic>
          </wp:inline>
        </w:drawing>
      </w:r>
    </w:p>
    <w:p>
      <w:pPr>
        <w:pStyle w:val="H2"/>
        <w:numPr>
          <w:ilvl w:val="1"/>
          <w:numId w:val="1"/>
        </w:numPr>
      </w:pPr>
      <w:r>
        <w:t>8.2 Morocco Regulatory Compliance — AML/CFT and Data Protection</w:t>
      </w:r>
    </w:p>
    <w:p>
      <w:r>
        <w:rPr>
          <w:rFonts w:ascii="Figtree" w:hAnsi="Figtree"/>
          <w:b/>
          <w:i w:val="0"/>
          <w:sz w:val="22"/>
        </w:rPr>
        <w:t>AML/CFT:</w:t>
      </w:r>
      <w:r>
        <w:rPr>
          <w:rFonts w:ascii="Figtree" w:hAnsi="Figtree"/>
          <w:b w:val="0"/>
          <w:i w:val="0"/>
          <w:sz w:val="22"/>
        </w:rPr>
        <w:t xml:space="preserve"> Bank Al-Maghrib Circular No. 14/W/17 establishes AML/CFT obligations for financial institutions in Morocco, including customer due diligence, transaction monitoring, suspicious activity reporting, and correspondent banking controls. DALP's compliance integration addresses these obligations through: real-time screening at investor onboarding, transfer event monitoring with structured output to CSE's transaction monitoring system, alert management hooks for suspicious activity triage, and complete audit log export for regulatory reporting. For Pan-African investors, FATF-aligned screening providers (Accuity, Refinitiv, or equivalent) are configured to cover the relevant African jurisdiction risk profiles.</w:t>
      </w:r>
    </w:p>
    <w:p>
      <w:r>
        <w:rPr>
          <w:rFonts w:ascii="Figtree" w:hAnsi="Figtree"/>
          <w:b/>
          <w:i w:val="0"/>
          <w:sz w:val="22"/>
        </w:rPr>
        <w:t>OHADA cross-border framework:</w:t>
      </w:r>
      <w:r>
        <w:rPr>
          <w:rFonts w:ascii="Figtree" w:hAnsi="Figtree"/>
          <w:b w:val="0"/>
          <w:i w:val="0"/>
          <w:sz w:val="22"/>
        </w:rPr>
        <w:t xml:space="preserve"> For institutional investors from OHADA member states (17 West and Central African countries), the Uniform Act on Commercial Companies and Economic Interest Groups provides the corporate law framework governing investor entity eligibility. DALP's OnchainID claim system supports jurisdiction-specific entity classification attributes, enabling CSE compliance officers to configure per-corridor eligibility rules for OHADA-jurisdiction institutional investors without creating separate onboarding workflows.</w:t>
      </w:r>
    </w:p>
    <w:p>
      <w:r>
        <w:rPr>
          <w:rFonts w:ascii="Figtree" w:hAnsi="Figtree"/>
          <w:b w:val="0"/>
          <w:i w:val="0"/>
          <w:sz w:val="22"/>
        </w:rPr>
        <w:t>**Moroccan Law No. 09-08 on the protection of individuals with regard to the processing of personal data (implemented through the CNDP — Commission Nationale de contrôle de la protection des Données à caractère Personnel) governs personal data handling for Casablanca Stock Exchange's digital operations. DALP addresses this through:</w:t>
      </w:r>
    </w:p>
    <w:p>
      <w:pPr>
        <w:pStyle w:val="ListParagraph"/>
        <w:numPr>
          <w:ilvl w:val="0"/>
          <w:numId w:val="4"/>
        </w:numPr>
      </w:pPr>
      <w:r>
        <w:rPr>
          <w:rFonts w:ascii="Figtree" w:hAnsi="Figtree"/>
          <w:b w:val="0"/>
          <w:i w:val="0"/>
          <w:sz w:val="22"/>
        </w:rPr>
        <w:t>Field-level encryption of personal investor data</w:t>
      </w:r>
    </w:p>
    <w:p>
      <w:pPr>
        <w:pStyle w:val="ListParagraph"/>
        <w:numPr>
          <w:ilvl w:val="0"/>
          <w:numId w:val="4"/>
        </w:numPr>
      </w:pPr>
      <w:r>
        <w:rPr>
          <w:rFonts w:ascii="Figtree" w:hAnsi="Figtree"/>
          <w:b w:val="0"/>
          <w:i w:val="0"/>
          <w:sz w:val="22"/>
        </w:rPr>
        <w:t>Access logging for all personal data queries</w:t>
      </w:r>
    </w:p>
    <w:p>
      <w:pPr>
        <w:pStyle w:val="ListParagraph"/>
        <w:numPr>
          <w:ilvl w:val="0"/>
          <w:numId w:val="4"/>
        </w:numPr>
      </w:pPr>
      <w:r>
        <w:rPr>
          <w:rFonts w:ascii="Figtree" w:hAnsi="Figtree"/>
          <w:b w:val="0"/>
          <w:i w:val="0"/>
          <w:sz w:val="22"/>
        </w:rPr>
        <w:t>Data subject request handling capability (right of access, correction, erasure)</w:t>
      </w:r>
    </w:p>
    <w:p>
      <w:pPr>
        <w:pStyle w:val="ListParagraph"/>
        <w:numPr>
          <w:ilvl w:val="0"/>
          <w:numId w:val="4"/>
        </w:numPr>
      </w:pPr>
      <w:r>
        <w:rPr>
          <w:rFonts w:ascii="Figtree" w:hAnsi="Figtree"/>
          <w:b w:val="0"/>
          <w:i w:val="0"/>
          <w:sz w:val="22"/>
        </w:rPr>
        <w:t>Data residency controls: personal data stored in Moroccan or EU cloud regions (EU adequacy decision covers transfer to EU)</w:t>
      </w:r>
    </w:p>
    <w:p>
      <w:pPr>
        <w:pStyle w:val="ListParagraph"/>
        <w:numPr>
          <w:ilvl w:val="0"/>
          <w:numId w:val="4"/>
        </w:numPr>
      </w:pPr>
      <w:r>
        <w:rPr>
          <w:rFonts w:ascii="Figtree" w:hAnsi="Figtree"/>
          <w:b w:val="0"/>
          <w:i w:val="0"/>
          <w:sz w:val="22"/>
        </w:rPr>
        <w:t>Retention period configuration aligned to AMMC and CNDP requirements</w:t>
      </w:r>
    </w:p>
    <w:p>
      <w:pPr>
        <w:pStyle w:val="H2"/>
        <w:numPr>
          <w:ilvl w:val="1"/>
          <w:numId w:val="1"/>
        </w:numPr>
      </w:pPr>
      <w:r>
        <w:t>8.3 Separation of Duties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83"/>
        <w:gridCol w:w="1156"/>
        <w:gridCol w:w="2312"/>
        <w:gridCol w:w="719"/>
        <w:gridCol w:w="89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Initiator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Approver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Admin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Auditor</w:t>
            </w:r>
          </w:p>
        </w:tc>
      </w:tr>
      <w:tr>
        <w:trPr>
          <w:trHeight w:val="425" w:hRule="atLeast"/>
        </w:trPr>
        <w:tc>
          <w:tcPr>
            <w:tcW w:type="dxa" w:w="1949"/>
            <w:vAlign w:val="center"/>
          </w:tcPr>
          <w:p>
            <w:pPr>
              <w:spacing w:line="276" w:lineRule="auto" w:before="0" w:after="0"/>
            </w:pPr>
            <w:r/>
            <w:r>
              <w:rPr>
                <w:rFonts w:ascii="Figtree" w:hAnsi="Figtree"/>
                <w:b w:val="0"/>
                <w:i w:val="0"/>
                <w:sz w:val="20"/>
              </w:rPr>
              <w:t>Submit instrument configuration</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Approve instrument deployment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Sukuk documentation approval</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 (Sharia Officer)</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AML alert escalation</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 (Compliance)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View audit trail</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User provisioning</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2"/>
        <w:numPr>
          <w:ilvl w:val="1"/>
          <w:numId w:val="1"/>
        </w:numPr>
      </w:pPr>
      <w:r>
        <w:t>8.4 Audit Evidence for AMMC</w:t>
      </w:r>
    </w:p>
    <w:p>
      <w:r>
        <w:rPr>
          <w:rFonts w:ascii="Figtree" w:hAnsi="Figtree"/>
          <w:b w:val="0"/>
          <w:i w:val="0"/>
          <w:sz w:val="22"/>
        </w:rPr>
        <w:t>DALP produces structured audit evidence across seven categories, exportable on demand for AMMC supervisory review:</w:t>
      </w:r>
    </w:p>
    <w:p>
      <w:pPr>
        <w:pStyle w:val="ListParagraph"/>
        <w:numPr>
          <w:ilvl w:val="0"/>
          <w:numId w:val="8"/>
        </w:numPr>
      </w:pPr>
      <w:r>
        <w:rPr>
          <w:rFonts w:ascii="Figtree" w:hAnsi="Figtree"/>
          <w:b w:val="0"/>
          <w:i w:val="0"/>
          <w:sz w:val="22"/>
        </w:rPr>
        <w:t>Transaction audit log</w:t>
      </w:r>
    </w:p>
    <w:p>
      <w:pPr>
        <w:pStyle w:val="ListParagraph"/>
        <w:numPr>
          <w:ilvl w:val="0"/>
          <w:numId w:val="8"/>
        </w:numPr>
      </w:pPr>
      <w:r>
        <w:rPr>
          <w:rFonts w:ascii="Figtree" w:hAnsi="Figtree"/>
          <w:b w:val="0"/>
          <w:i w:val="0"/>
          <w:sz w:val="22"/>
        </w:rPr>
        <w:t>Compliance decision log (per AMMC investor category rules)</w:t>
      </w:r>
    </w:p>
    <w:p>
      <w:pPr>
        <w:pStyle w:val="ListParagraph"/>
        <w:numPr>
          <w:ilvl w:val="0"/>
          <w:numId w:val="8"/>
        </w:numPr>
      </w:pPr>
      <w:r>
        <w:rPr>
          <w:rFonts w:ascii="Figtree" w:hAnsi="Figtree"/>
          <w:b w:val="0"/>
          <w:i w:val="0"/>
          <w:sz w:val="22"/>
        </w:rPr>
        <w:t>Entitlement history (role and access changes)</w:t>
      </w:r>
    </w:p>
    <w:p>
      <w:pPr>
        <w:pStyle w:val="ListParagraph"/>
        <w:numPr>
          <w:ilvl w:val="0"/>
          <w:numId w:val="8"/>
        </w:numPr>
      </w:pPr>
      <w:r>
        <w:rPr>
          <w:rFonts w:ascii="Figtree" w:hAnsi="Figtree"/>
          <w:b w:val="0"/>
          <w:i w:val="0"/>
          <w:sz w:val="22"/>
        </w:rPr>
        <w:t>Configuration change log</w:t>
      </w:r>
    </w:p>
    <w:p>
      <w:pPr>
        <w:pStyle w:val="ListParagraph"/>
        <w:numPr>
          <w:ilvl w:val="0"/>
          <w:numId w:val="8"/>
        </w:numPr>
      </w:pPr>
      <w:r>
        <w:rPr>
          <w:rFonts w:ascii="Figtree" w:hAnsi="Figtree"/>
          <w:b w:val="0"/>
          <w:i w:val="0"/>
          <w:sz w:val="22"/>
        </w:rPr>
        <w:t>Key management log</w:t>
      </w:r>
    </w:p>
    <w:p>
      <w:pPr>
        <w:pStyle w:val="ListParagraph"/>
        <w:numPr>
          <w:ilvl w:val="0"/>
          <w:numId w:val="8"/>
        </w:numPr>
      </w:pPr>
      <w:r>
        <w:rPr>
          <w:rFonts w:ascii="Figtree" w:hAnsi="Figtree"/>
          <w:b w:val="0"/>
          <w:i w:val="0"/>
          <w:sz w:val="22"/>
        </w:rPr>
        <w:t>Settlement record</w:t>
      </w:r>
    </w:p>
    <w:p>
      <w:pPr>
        <w:pStyle w:val="ListParagraph"/>
        <w:numPr>
          <w:ilvl w:val="0"/>
          <w:numId w:val="8"/>
        </w:numPr>
      </w:pPr>
      <w:r>
        <w:rPr>
          <w:rFonts w:ascii="Figtree" w:hAnsi="Figtree"/>
          <w:b w:val="0"/>
          <w:i w:val="0"/>
          <w:sz w:val="22"/>
        </w:rPr>
        <w:t>Corporate action record (sukuk distributions, redemptions)</w:t>
      </w:r>
    </w:p>
    <w:p>
      <w:pPr>
        <w:pStyle w:val="H2"/>
        <w:numPr>
          <w:ilvl w:val="1"/>
          <w:numId w:val="1"/>
        </w:numPr>
      </w:pPr>
      <w:r>
        <w:t>8.5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2"/>
        <w:gridCol w:w="2025"/>
        <w:gridCol w:w="2201"/>
        <w:gridCol w:w="22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Platform software security</w:t>
            </w:r>
          </w:p>
        </w:tc>
        <w:tc>
          <w:tcPr>
            <w:tcW w:type="dxa" w:w="2436"/>
            <w:vAlign w:val="center"/>
          </w:tcPr>
          <w:p>
            <w:pPr>
              <w:spacing w:line="276" w:lineRule="auto" w:before="0" w:after="0"/>
            </w:pPr>
            <w:r/>
            <w:r>
              <w:rPr>
                <w:rFonts w:ascii="Figtree" w:hAnsi="Figtree"/>
                <w:b w:val="0"/>
                <w:i w:val="0"/>
                <w:sz w:val="20"/>
              </w:rPr>
              <w:t>Primary</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r>
              <w:rPr>
                <w:rFonts w:ascii="Figtree" w:hAnsi="Figtree"/>
                <w:b w:val="0"/>
                <w:i w:val="0"/>
                <w:sz w:val="20"/>
              </w:rPr>
              <w:t>Security review access</w:t>
            </w:r>
          </w:p>
        </w:tc>
      </w:tr>
      <w:tr>
        <w:trPr>
          <w:trHeight w:val="425" w:hRule="atLeast"/>
        </w:trPr>
        <w:tc>
          <w:tcPr>
            <w:tcW w:type="dxa" w:w="2436"/>
            <w:vAlign w:val="center"/>
          </w:tcPr>
          <w:p>
            <w:pPr>
              <w:spacing w:line="276" w:lineRule="auto" w:before="0" w:after="0"/>
            </w:pPr>
            <w:r/>
            <w:r>
              <w:rPr>
                <w:rFonts w:ascii="Figtree" w:hAnsi="Figtree"/>
                <w:b w:val="0"/>
                <w:i w:val="0"/>
                <w:sz w:val="20"/>
              </w:rPr>
              <w:t>Network perimeter</w:t>
            </w:r>
          </w:p>
        </w:tc>
        <w:tc>
          <w:tcPr>
            <w:tcW w:type="dxa" w:w="2436"/>
            <w:vAlign w:val="center"/>
          </w:tcPr>
          <w:p>
            <w:pPr>
              <w:spacing w:line="276" w:lineRule="auto" w:before="0" w:after="0"/>
            </w:pPr>
            <w:r/>
            <w:r>
              <w:rPr>
                <w:rFonts w:ascii="Figtree" w:hAnsi="Figtree"/>
                <w:b w:val="0"/>
                <w:i w:val="0"/>
                <w:sz w:val="20"/>
              </w:rPr>
              <w:t>Primary (managed cloud)</w:t>
            </w:r>
          </w:p>
        </w:tc>
        <w:tc>
          <w:tcPr>
            <w:tcW w:type="dxa" w:w="2436"/>
            <w:vAlign w:val="center"/>
          </w:tcPr>
          <w:p>
            <w:pPr>
              <w:spacing w:line="276" w:lineRule="auto" w:before="0" w:after="0"/>
            </w:pPr>
            <w:r/>
            <w:r>
              <w:rPr>
                <w:rFonts w:ascii="Figtree" w:hAnsi="Figtree"/>
                <w:b w:val="0"/>
                <w:i w:val="0"/>
                <w:sz w:val="20"/>
              </w:rPr>
              <w:t>CSE-side controls</w:t>
            </w:r>
          </w:p>
        </w:tc>
        <w:tc>
          <w:tcPr>
            <w:tcW w:type="dxa" w:w="2436"/>
            <w:vAlign w:val="center"/>
          </w:tcPr>
          <w:p>
            <w:pPr>
              <w:spacing w:line="276" w:lineRule="auto" w:before="0" w:after="0"/>
            </w:pPr>
            <w:r/>
            <w:r>
              <w:rPr>
                <w:rFonts w:ascii="Figtree" w:hAnsi="Figtree"/>
                <w:b w:val="0"/>
                <w:i w:val="0"/>
                <w:sz w:val="20"/>
              </w:rPr>
              <w:t>Firewall policy</w:t>
            </w:r>
          </w:p>
        </w:tc>
      </w:tr>
      <w:tr>
        <w:trPr>
          <w:trHeight w:val="425" w:hRule="atLeast"/>
        </w:trPr>
        <w:tc>
          <w:tcPr>
            <w:tcW w:type="dxa" w:w="2436"/>
            <w:vAlign w:val="center"/>
          </w:tcPr>
          <w:p>
            <w:pPr>
              <w:spacing w:line="276" w:lineRule="auto" w:before="0" w:after="0"/>
            </w:pPr>
            <w:r/>
            <w:r>
              <w:rPr>
                <w:rFonts w:ascii="Figtree" w:hAnsi="Figtree"/>
                <w:b w:val="0"/>
                <w:i w:val="0"/>
                <w:sz w:val="20"/>
              </w:rPr>
              <w:t>Data protection (Moroccan law)</w:t>
            </w:r>
          </w:p>
        </w:tc>
        <w:tc>
          <w:tcPr>
            <w:tcW w:type="dxa" w:w="2436"/>
            <w:vAlign w:val="center"/>
          </w:tcPr>
          <w:p>
            <w:pPr>
              <w:spacing w:line="276" w:lineRule="auto" w:before="0" w:after="0"/>
            </w:pPr>
            <w:r/>
            <w:r>
              <w:rPr>
                <w:rFonts w:ascii="Figtree" w:hAnsi="Figtree"/>
                <w:b w:val="0"/>
                <w:i w:val="0"/>
                <w:sz w:val="20"/>
              </w:rPr>
              <w:t>Platform tooling</w:t>
            </w:r>
          </w:p>
        </w:tc>
        <w:tc>
          <w:tcPr>
            <w:tcW w:type="dxa" w:w="2436"/>
            <w:vAlign w:val="center"/>
          </w:tcPr>
          <w:p>
            <w:pPr>
              <w:spacing w:line="276" w:lineRule="auto" w:before="0" w:after="0"/>
            </w:pPr>
            <w:r/>
            <w:r>
              <w:rPr>
                <w:rFonts w:ascii="Figtree" w:hAnsi="Figtree"/>
                <w:b w:val="0"/>
                <w:i w:val="0"/>
                <w:sz w:val="20"/>
              </w:rPr>
              <w:t>CNDP compliance decisions</w:t>
            </w:r>
          </w:p>
        </w:tc>
        <w:tc>
          <w:tcPr>
            <w:tcW w:type="dxa" w:w="2436"/>
            <w:vAlign w:val="center"/>
          </w:tcPr>
          <w:p>
            <w:pPr>
              <w:spacing w:line="276" w:lineRule="auto" w:before="0" w:after="0"/>
            </w:pPr>
            <w:r/>
            <w:r>
              <w:rPr>
                <w:rFonts w:ascii="Figtree" w:hAnsi="Figtree"/>
                <w:b w:val="0"/>
                <w:i w:val="0"/>
                <w:sz w:val="20"/>
              </w:rPr>
              <w:t>Joint DPIA where required</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Framework</w:t>
            </w:r>
          </w:p>
        </w:tc>
        <w:tc>
          <w:tcPr>
            <w:tcW w:type="dxa" w:w="2436"/>
            <w:vAlign w:val="center"/>
          </w:tcPr>
          <w:p>
            <w:pPr>
              <w:spacing w:line="276" w:lineRule="auto" w:before="0" w:after="0"/>
            </w:pPr>
            <w:r/>
            <w:r>
              <w:rPr>
                <w:rFonts w:ascii="Figtree" w:hAnsi="Figtree"/>
                <w:b w:val="0"/>
                <w:i w:val="0"/>
                <w:sz w:val="20"/>
              </w:rPr>
              <w:t>CSE keys (Tier 3 option)</w:t>
            </w:r>
          </w:p>
        </w:tc>
        <w:tc>
          <w:tcPr>
            <w:tcW w:type="dxa" w:w="2436"/>
            <w:vAlign w:val="center"/>
          </w:tcPr>
          <w:p>
            <w:pPr>
              <w:spacing w:line="276" w:lineRule="auto" w:before="0" w:after="0"/>
            </w:pPr>
            <w:r/>
            <w:r>
              <w:rPr>
                <w:rFonts w:ascii="Figtree" w:hAnsi="Figtree"/>
                <w:b w:val="0"/>
                <w:i w:val="0"/>
                <w:sz w:val="20"/>
              </w:rPr>
              <w:t>Key ceremony</w:t>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w:t>
            </w:r>
          </w:p>
        </w:tc>
        <w:tc>
          <w:tcPr>
            <w:tcW w:type="dxa" w:w="2436"/>
            <w:vAlign w:val="center"/>
          </w:tcPr>
          <w:p>
            <w:pPr>
              <w:spacing w:line="276" w:lineRule="auto" w:before="0" w:after="0"/>
            </w:pPr>
            <w:r/>
            <w:r>
              <w:rPr>
                <w:rFonts w:ascii="Figtree" w:hAnsi="Figtree"/>
                <w:b w:val="0"/>
                <w:i w:val="0"/>
                <w:sz w:val="20"/>
              </w:rPr>
              <w:t>Annual minimum</w:t>
            </w:r>
          </w:p>
        </w:tc>
        <w:tc>
          <w:tcPr>
            <w:tcW w:type="dxa" w:w="2436"/>
            <w:vAlign w:val="center"/>
          </w:tcPr>
          <w:p>
            <w:pPr>
              <w:spacing w:line="276" w:lineRule="auto" w:before="0" w:after="0"/>
            </w:pPr>
            <w:r/>
            <w:r>
              <w:rPr>
                <w:rFonts w:ascii="Figtree" w:hAnsi="Figtree"/>
                <w:b w:val="0"/>
                <w:i w:val="0"/>
                <w:sz w:val="20"/>
              </w:rPr>
              <w:t>CSE-initiated</w:t>
            </w:r>
          </w:p>
        </w:tc>
        <w:tc>
          <w:tcPr>
            <w:tcW w:type="dxa" w:w="2436"/>
            <w:vAlign w:val="center"/>
          </w:tcPr>
          <w:p>
            <w:pPr>
              <w:spacing w:line="276" w:lineRule="auto" w:before="0" w:after="0"/>
            </w:pPr>
            <w:r/>
            <w:r>
              <w:rPr>
                <w:rFonts w:ascii="Figtree" w:hAnsi="Figtree"/>
                <w:b w:val="0"/>
                <w:i w:val="0"/>
                <w:sz w:val="20"/>
              </w:rPr>
              <w:t>Scope and reporting</w:t>
            </w:r>
          </w:p>
        </w:tc>
      </w:tr>
    </w:tbl>
    <w:p>
      <w:pPr>
        <w:spacing w:before="0" w:after="0" w:line="120" w:lineRule="exact"/>
      </w:pPr>
    </w:p>
    <w:p>
      <w:r>
        <w:br w:type="page"/>
      </w:r>
    </w:p>
    <w:p>
      <w:pPr>
        <w:pStyle w:val="H1"/>
        <w:numPr>
          <w:ilvl w:val="0"/>
          <w:numId w:val="1"/>
        </w:numPr>
      </w:pPr>
      <w:r>
        <w:t>9. Integration and Interoperability</w:t>
      </w:r>
    </w:p>
    <w:p>
      <w:pPr>
        <w:pStyle w:val="H2"/>
        <w:numPr>
          <w:ilvl w:val="1"/>
          <w:numId w:val="1"/>
        </w:numPr>
      </w:pPr>
      <w:r>
        <w:t>9.1 Maroclear Integration</w:t>
      </w:r>
    </w:p>
    <w:p>
      <w:pPr>
        <w:jc w:val="center"/>
      </w:pPr>
      <w:r>
        <w:drawing>
          <wp:inline xmlns:a="http://schemas.openxmlformats.org/drawingml/2006/main" xmlns:pic="http://schemas.openxmlformats.org/drawingml/2006/picture">
            <wp:extent cx="5486400" cy="4058816"/>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4058816"/>
                    </a:xfrm>
                    <a:prstGeom prst="rect"/>
                  </pic:spPr>
                </pic:pic>
              </a:graphicData>
            </a:graphic>
          </wp:inline>
        </w:drawing>
      </w:r>
    </w:p>
    <w:p>
      <w:r>
        <w:rPr>
          <w:rFonts w:ascii="Figtree" w:hAnsi="Figtree"/>
          <w:b w:val="0"/>
          <w:i w:val="0"/>
          <w:sz w:val="22"/>
        </w:rPr>
        <w:t>The integration pattern with Maroclear uses ISO 20022 securities settlement messages (sese.023 for settlement instructions, sese.025 for confirmations). Daily reconciliation compares DALP token position records against Maroclear's registry, with structured exception reporting for operations team review.</w:t>
      </w:r>
    </w:p>
    <w:p>
      <w:pPr>
        <w:pStyle w:val="H2"/>
        <w:numPr>
          <w:ilvl w:val="1"/>
          <w:numId w:val="1"/>
        </w:numPr>
      </w:pPr>
      <w:r>
        <w:t>9.2 AMMC Regulatory Reporting</w:t>
      </w:r>
    </w:p>
    <w:p>
      <w:r>
        <w:rPr>
          <w:rFonts w:ascii="Figtree" w:hAnsi="Figtree"/>
          <w:b w:val="0"/>
          <w:i w:val="0"/>
          <w:sz w:val="22"/>
        </w:rPr>
        <w:t>DALP generates structured regulatory reporting extracts for AMMC submission:</w:t>
      </w:r>
    </w:p>
    <w:p>
      <w:pPr>
        <w:pStyle w:val="ListParagraph"/>
        <w:numPr>
          <w:ilvl w:val="0"/>
          <w:numId w:val="4"/>
        </w:numPr>
      </w:pPr>
      <w:r>
        <w:rPr>
          <w:rFonts w:ascii="Figtree" w:hAnsi="Figtree"/>
          <w:b/>
          <w:i w:val="0"/>
          <w:sz w:val="22"/>
        </w:rPr>
        <w:t>Daily transaction report:</w:t>
      </w:r>
      <w:r>
        <w:rPr>
          <w:rFonts w:ascii="Figtree" w:hAnsi="Figtree"/>
          <w:b w:val="0"/>
          <w:i w:val="0"/>
          <w:sz w:val="22"/>
        </w:rPr>
        <w:t xml:space="preserve"> All transfer events with counterparty details, instrument identifiers, and compliance check outcomes</w:t>
      </w:r>
    </w:p>
    <w:p>
      <w:pPr>
        <w:pStyle w:val="ListParagraph"/>
        <w:numPr>
          <w:ilvl w:val="0"/>
          <w:numId w:val="4"/>
        </w:numPr>
      </w:pPr>
      <w:r>
        <w:rPr>
          <w:rFonts w:ascii="Figtree" w:hAnsi="Figtree"/>
          <w:b/>
          <w:i w:val="0"/>
          <w:sz w:val="22"/>
        </w:rPr>
        <w:t>Investor register snapshot:</w:t>
      </w:r>
      <w:r>
        <w:rPr>
          <w:rFonts w:ascii="Figtree" w:hAnsi="Figtree"/>
          <w:b w:val="0"/>
          <w:i w:val="0"/>
          <w:sz w:val="22"/>
        </w:rPr>
        <w:t xml:space="preserve"> Current holder registry per instrument on demand</w:t>
      </w:r>
    </w:p>
    <w:p>
      <w:pPr>
        <w:pStyle w:val="ListParagraph"/>
        <w:numPr>
          <w:ilvl w:val="0"/>
          <w:numId w:val="4"/>
        </w:numPr>
      </w:pPr>
      <w:r>
        <w:rPr>
          <w:rFonts w:ascii="Figtree" w:hAnsi="Figtree"/>
          <w:b/>
          <w:i w:val="0"/>
          <w:sz w:val="22"/>
        </w:rPr>
        <w:t>Corporate action record:</w:t>
      </w:r>
      <w:r>
        <w:rPr>
          <w:rFonts w:ascii="Figtree" w:hAnsi="Figtree"/>
          <w:b w:val="0"/>
          <w:i w:val="0"/>
          <w:sz w:val="22"/>
        </w:rPr>
        <w:t xml:space="preserve"> All coupon, dividend, and maturity events with authorization lineage</w:t>
      </w:r>
    </w:p>
    <w:p>
      <w:pPr>
        <w:pStyle w:val="ListParagraph"/>
        <w:numPr>
          <w:ilvl w:val="0"/>
          <w:numId w:val="4"/>
        </w:numPr>
      </w:pPr>
      <w:r>
        <w:rPr>
          <w:rFonts w:ascii="Figtree" w:hAnsi="Figtree"/>
          <w:b/>
          <w:i w:val="0"/>
          <w:sz w:val="22"/>
        </w:rPr>
        <w:t>Exception report:</w:t>
      </w:r>
      <w:r>
        <w:rPr>
          <w:rFonts w:ascii="Figtree" w:hAnsi="Figtree"/>
          <w:b w:val="0"/>
          <w:i w:val="0"/>
          <w:sz w:val="22"/>
        </w:rPr>
        <w:t xml:space="preserve"> All rejected transactions with reason codes</w:t>
      </w:r>
    </w:p>
    <w:p>
      <w:pPr>
        <w:pStyle w:val="H2"/>
        <w:numPr>
          <w:ilvl w:val="1"/>
          <w:numId w:val="1"/>
        </w:numPr>
      </w:pPr>
      <w:r>
        <w:t>9.3 API Versioning and Release Management</w:t>
      </w:r>
    </w:p>
    <w:p>
      <w:r>
        <w:rPr>
          <w:rFonts w:ascii="Figtree" w:hAnsi="Figtree"/>
          <w:b w:val="0"/>
          <w:i w:val="0"/>
          <w:sz w:val="22"/>
        </w:rPr>
        <w:t>DALP follows semantic versioning (major.minor.patch) with 12-month advance notice for major version changes. API consumers (brokers, reporting systems) are notified through a structured release communication process. Backward compatibility is maintained across minor and patch versions.</w:t>
      </w:r>
    </w:p>
    <w:p>
      <w:r>
        <w:br w:type="page"/>
      </w:r>
    </w:p>
    <w:p>
      <w:pPr>
        <w:pStyle w:val="H1"/>
        <w:numPr>
          <w:ilvl w:val="0"/>
          <w:numId w:val="1"/>
        </w:numPr>
      </w:pPr>
      <w:r>
        <w:t>10. Deployment Model</w:t>
      </w:r>
    </w:p>
    <w:p>
      <w:pPr>
        <w:pStyle w:val="H2"/>
        <w:numPr>
          <w:ilvl w:val="1"/>
          <w:numId w:val="1"/>
        </w:numPr>
      </w:pPr>
      <w:r>
        <w:t>10.1 Recommended Model: European or Morocco Cloud Region</w:t>
      </w:r>
    </w:p>
    <w:p>
      <w:r>
        <w:rPr>
          <w:rFonts w:ascii="Figtree" w:hAnsi="Figtree"/>
          <w:b w:val="0"/>
          <w:i w:val="0"/>
          <w:sz w:val="22"/>
        </w:rPr>
        <w:t>For Casablanca Stock Exchange, SettleMint recommends private cloud deployment in either:</w:t>
      </w:r>
    </w:p>
    <w:p>
      <w:pPr>
        <w:pStyle w:val="ListParagraph"/>
        <w:numPr>
          <w:ilvl w:val="0"/>
          <w:numId w:val="4"/>
        </w:numPr>
      </w:pPr>
      <w:r>
        <w:rPr>
          <w:rFonts w:ascii="Figtree" w:hAnsi="Figtree"/>
          <w:b/>
          <w:i w:val="0"/>
          <w:sz w:val="22"/>
        </w:rPr>
        <w:t>OVHcloud Roubaix/Gravelines (France):</w:t>
      </w:r>
      <w:r>
        <w:rPr>
          <w:rFonts w:ascii="Figtree" w:hAnsi="Figtree"/>
          <w:b w:val="0"/>
          <w:i w:val="0"/>
          <w:sz w:val="22"/>
        </w:rPr>
        <w:t xml:space="preserve"> EU-based cloud with strong connectivity to Morocco and GDPR-compliant data handling under EU adequacy framework</w:t>
      </w:r>
    </w:p>
    <w:p>
      <w:pPr>
        <w:pStyle w:val="ListParagraph"/>
        <w:numPr>
          <w:ilvl w:val="0"/>
          <w:numId w:val="4"/>
        </w:numPr>
      </w:pPr>
      <w:r>
        <w:rPr>
          <w:rFonts w:ascii="Figtree" w:hAnsi="Figtree"/>
          <w:b/>
          <w:i w:val="0"/>
          <w:sz w:val="22"/>
        </w:rPr>
        <w:t>Azure France Central (Paris):</w:t>
      </w:r>
      <w:r>
        <w:rPr>
          <w:rFonts w:ascii="Figtree" w:hAnsi="Figtree"/>
          <w:b w:val="0"/>
          <w:i w:val="0"/>
          <w:sz w:val="22"/>
        </w:rPr>
        <w:t xml:space="preserve"> EU data residency, Azure enterprise SLA, strong Morocco telecommunications connectivity</w:t>
      </w:r>
    </w:p>
    <w:p>
      <w:r>
        <w:rPr>
          <w:rFonts w:ascii="Figtree" w:hAnsi="Figtree"/>
          <w:b w:val="0"/>
          <w:i w:val="0"/>
          <w:sz w:val="22"/>
        </w:rPr>
        <w:t>Both options satisfy Moroccan data sovereignty requirements for financial market infrastructure under the AMMC and CNDP framework.</w:t>
      </w:r>
    </w:p>
    <w:p>
      <w:pPr>
        <w:jc w:val="center"/>
      </w:pPr>
      <w:r>
        <w:drawing>
          <wp:inline xmlns:a="http://schemas.openxmlformats.org/drawingml/2006/main" xmlns:pic="http://schemas.openxmlformats.org/drawingml/2006/picture">
            <wp:extent cx="5486400" cy="1854459"/>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854459"/>
                    </a:xfrm>
                    <a:prstGeom prst="rect"/>
                  </pic:spPr>
                </pic:pic>
              </a:graphicData>
            </a:graphic>
          </wp:inline>
        </w:drawing>
      </w:r>
    </w:p>
    <w:p>
      <w:pPr>
        <w:pStyle w:val="H2"/>
        <w:numPr>
          <w:ilvl w:val="1"/>
          <w:numId w:val="1"/>
        </w:numPr>
      </w:pPr>
      <w:r>
        <w:t>10.2 Availability and Resilience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4"/>
        <w:gridCol w:w="1632"/>
        <w:gridCol w:w="43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3249"/>
            <w:vAlign w:val="center"/>
          </w:tcPr>
          <w:p>
            <w:pPr>
              <w:spacing w:line="276" w:lineRule="auto" w:before="0" w:after="0"/>
            </w:pPr>
            <w:r/>
            <w:r>
              <w:rPr>
                <w:rFonts w:ascii="Figtree" w:hAnsi="Figtree"/>
                <w:b w:val="0"/>
                <w:i w:val="0"/>
                <w:sz w:val="20"/>
              </w:rPr>
              <w:t>Uptime</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Multi-zone active-active</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4 hours</w:t>
            </w:r>
          </w:p>
        </w:tc>
        <w:tc>
          <w:tcPr>
            <w:tcW w:type="dxa" w:w="3249"/>
            <w:vAlign w:val="center"/>
          </w:tcPr>
          <w:p>
            <w:pPr>
              <w:spacing w:line="276" w:lineRule="auto" w:before="0" w:after="0"/>
            </w:pPr>
            <w:r/>
            <w:r>
              <w:rPr>
                <w:rFonts w:ascii="Figtree" w:hAnsi="Figtree"/>
                <w:b w:val="0"/>
                <w:i w:val="0"/>
                <w:sz w:val="20"/>
              </w:rPr>
              <w:t>Automated failover</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 hour</w:t>
            </w:r>
          </w:p>
        </w:tc>
        <w:tc>
          <w:tcPr>
            <w:tcW w:type="dxa" w:w="3249"/>
            <w:vAlign w:val="center"/>
          </w:tcPr>
          <w:p>
            <w:pPr>
              <w:spacing w:line="276" w:lineRule="auto" w:before="0" w:after="0"/>
            </w:pPr>
            <w:r/>
            <w:r>
              <w:rPr>
                <w:rFonts w:ascii="Figtree" w:hAnsi="Figtree"/>
                <w:b w:val="0"/>
                <w:i w:val="0"/>
                <w:sz w:val="20"/>
              </w:rPr>
              <w:t>Continuous replication</w:t>
            </w:r>
          </w:p>
        </w:tc>
      </w:tr>
      <w:tr>
        <w:trPr>
          <w:trHeight w:val="425" w:hRule="atLeast"/>
        </w:trPr>
        <w:tc>
          <w:tcPr>
            <w:tcW w:type="dxa" w:w="3249"/>
            <w:vAlign w:val="center"/>
          </w:tcPr>
          <w:p>
            <w:pPr>
              <w:spacing w:line="276" w:lineRule="auto" w:before="0" w:after="0"/>
            </w:pPr>
            <w:r/>
            <w:r>
              <w:rPr>
                <w:rFonts w:ascii="Figtree" w:hAnsi="Figtree"/>
                <w:b w:val="0"/>
                <w:i w:val="0"/>
                <w:sz w:val="20"/>
              </w:rPr>
              <w:t>DR test frequency</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Documented outcomes</w:t>
            </w:r>
          </w:p>
        </w:tc>
      </w:tr>
    </w:tbl>
    <w:p>
      <w:pPr>
        <w:spacing w:before="0" w:after="0" w:line="120" w:lineRule="exact"/>
      </w:pPr>
    </w:p>
    <w:p>
      <w:r>
        <w:br w:type="page"/>
      </w:r>
    </w:p>
    <w:p>
      <w:pPr>
        <w:pStyle w:val="H1"/>
        <w:numPr>
          <w:ilvl w:val="0"/>
          <w:numId w:val="1"/>
        </w:numPr>
      </w:pPr>
      <w:r>
        <w:t>11. Implementation Methodology</w:t>
      </w:r>
    </w:p>
    <w:p>
      <w:pPr>
        <w:pStyle w:val="H2"/>
        <w:numPr>
          <w:ilvl w:val="1"/>
          <w:numId w:val="1"/>
        </w:numPr>
      </w:pPr>
      <w:r>
        <w:t>11.1 Implementation Timeline</w:t>
      </w:r>
    </w:p>
    <w:p>
      <w:pPr>
        <w:jc w:val="center"/>
      </w:pPr>
      <w:r>
        <w:drawing>
          <wp:inline xmlns:a="http://schemas.openxmlformats.org/drawingml/2006/main" xmlns:pic="http://schemas.openxmlformats.org/drawingml/2006/picture">
            <wp:extent cx="5486400" cy="1707502"/>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1707502"/>
                    </a:xfrm>
                    <a:prstGeom prst="rect"/>
                  </pic:spPr>
                </pic:pic>
              </a:graphicData>
            </a:graphic>
          </wp:inline>
        </w:drawing>
      </w:r>
    </w:p>
    <w:p>
      <w:pPr>
        <w:pStyle w:val="H2"/>
        <w:numPr>
          <w:ilvl w:val="1"/>
          <w:numId w:val="1"/>
        </w:numPr>
      </w:pPr>
      <w:r>
        <w:t>11.2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4"/>
        <w:gridCol w:w="706"/>
        <w:gridCol w:w="5007"/>
        <w:gridCol w:w="20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2436"/>
            <w:vAlign w:val="center"/>
          </w:tcPr>
          <w:p>
            <w:pPr>
              <w:spacing w:line="276" w:lineRule="auto" w:before="0" w:after="0"/>
            </w:pPr>
            <w:r/>
            <w:r>
              <w:rPr>
                <w:rFonts w:ascii="Figtree" w:hAnsi="Figtree"/>
                <w:b w:val="0"/>
                <w:i w:val="0"/>
                <w:sz w:val="20"/>
              </w:rPr>
              <w:t>Phase 1 —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baseline, Maroclear integration specification, AMMC compliance mapping</w:t>
            </w:r>
          </w:p>
        </w:tc>
        <w:tc>
          <w:tcPr>
            <w:tcW w:type="dxa" w:w="2436"/>
            <w:vAlign w:val="center"/>
          </w:tcPr>
          <w:p>
            <w:pPr>
              <w:spacing w:line="276" w:lineRule="auto" w:before="0" w:after="0"/>
            </w:pPr>
            <w:r/>
            <w:r>
              <w:rPr>
                <w:rFonts w:ascii="Figtree" w:hAnsi="Figtree"/>
                <w:b w:val="0"/>
                <w:i w:val="0"/>
                <w:sz w:val="20"/>
              </w:rPr>
              <w:t>CSE Programme Director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 —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4 environments live, network configured, security baseline approved</w:t>
            </w:r>
          </w:p>
        </w:tc>
        <w:tc>
          <w:tcPr>
            <w:tcW w:type="dxa" w:w="2436"/>
            <w:vAlign w:val="center"/>
          </w:tcPr>
          <w:p>
            <w:pPr>
              <w:spacing w:line="276" w:lineRule="auto" w:before="0" w:after="0"/>
            </w:pPr>
            <w:r/>
            <w:r>
              <w:rPr>
                <w:rFonts w:ascii="Figtree" w:hAnsi="Figtree"/>
                <w:b w:val="0"/>
                <w:i w:val="0"/>
                <w:sz w:val="20"/>
              </w:rPr>
              <w:t>CSE IS team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3 —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Instrument templates configured, AMMC compliance rules bound, sukuk template complete</w:t>
            </w:r>
          </w:p>
        </w:tc>
        <w:tc>
          <w:tcPr>
            <w:tcW w:type="dxa" w:w="2436"/>
            <w:vAlign w:val="center"/>
          </w:tcPr>
          <w:p>
            <w:pPr>
              <w:spacing w:line="276" w:lineRule="auto" w:before="0" w:after="0"/>
            </w:pPr>
            <w:r/>
            <w:r>
              <w:rPr>
                <w:rFonts w:ascii="Figtree" w:hAnsi="Figtree"/>
                <w:b w:val="0"/>
                <w:i w:val="0"/>
                <w:sz w:val="20"/>
              </w:rPr>
              <w:t>CSE Compliance team approval</w:t>
            </w:r>
          </w:p>
        </w:tc>
      </w:tr>
      <w:tr>
        <w:trPr>
          <w:trHeight w:val="425" w:hRule="atLeast"/>
        </w:trPr>
        <w:tc>
          <w:tcPr>
            <w:tcW w:type="dxa" w:w="2436"/>
            <w:vAlign w:val="center"/>
          </w:tcPr>
          <w:p>
            <w:pPr>
              <w:spacing w:line="276" w:lineRule="auto" w:before="0" w:after="0"/>
            </w:pPr>
            <w:r/>
            <w:r>
              <w:rPr>
                <w:rFonts w:ascii="Figtree" w:hAnsi="Figtree"/>
                <w:b w:val="0"/>
                <w:i w:val="0"/>
                <w:sz w:val="20"/>
              </w:rPr>
              <w:t>Phase 4 — Integration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Maroclear integration tested, AMMC reporting validated, broker connectivity confirmed</w:t>
            </w:r>
          </w:p>
        </w:tc>
        <w:tc>
          <w:tcPr>
            <w:tcW w:type="dxa" w:w="2436"/>
            <w:vAlign w:val="center"/>
          </w:tcPr>
          <w:p>
            <w:pPr>
              <w:spacing w:line="276" w:lineRule="auto" w:before="0" w:after="0"/>
            </w:pPr>
            <w:r/>
            <w:r>
              <w:rPr>
                <w:rFonts w:ascii="Figtree" w:hAnsi="Figtree"/>
                <w:b w:val="0"/>
                <w:i w:val="0"/>
                <w:sz w:val="20"/>
              </w:rPr>
              <w:t>CSE 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5 — Go-Live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UAT complete, production go-live, initial operations confirmed</w:t>
            </w:r>
          </w:p>
        </w:tc>
        <w:tc>
          <w:tcPr>
            <w:tcW w:type="dxa" w:w="2436"/>
            <w:vAlign w:val="center"/>
          </w:tcPr>
          <w:p>
            <w:pPr>
              <w:spacing w:line="276" w:lineRule="auto" w:before="0" w:after="0"/>
            </w:pPr>
            <w:r/>
            <w:r>
              <w:rPr>
                <w:rFonts w:ascii="Figtree" w:hAnsi="Figtree"/>
                <w:b w:val="0"/>
                <w:i w:val="0"/>
                <w:sz w:val="20"/>
              </w:rPr>
              <w:t>CSE Programme Director certificate</w:t>
            </w:r>
          </w:p>
        </w:tc>
      </w:tr>
      <w:tr>
        <w:trPr>
          <w:trHeight w:val="425" w:hRule="atLeast"/>
        </w:trPr>
        <w:tc>
          <w:tcPr>
            <w:tcW w:type="dxa" w:w="2436"/>
            <w:vAlign w:val="center"/>
          </w:tcPr>
          <w:p>
            <w:pPr>
              <w:spacing w:line="276" w:lineRule="auto" w:before="0" w:after="0"/>
            </w:pPr>
            <w:r/>
            <w:r>
              <w:rPr>
                <w:rFonts w:ascii="Figtree" w:hAnsi="Figtree"/>
                <w:b w:val="0"/>
                <w:i w:val="0"/>
                <w:sz w:val="20"/>
              </w:rPr>
              <w:t>Phase 6 — Hypercare</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Stabilized operations, knowledge transfer complete</w:t>
            </w:r>
          </w:p>
        </w:tc>
        <w:tc>
          <w:tcPr>
            <w:tcW w:type="dxa" w:w="2436"/>
            <w:vAlign w:val="center"/>
          </w:tcPr>
          <w:p>
            <w:pPr>
              <w:spacing w:line="276" w:lineRule="auto" w:before="0" w:after="0"/>
            </w:pPr>
            <w:r/>
            <w:r>
              <w:rPr>
                <w:rFonts w:ascii="Figtree" w:hAnsi="Figtree"/>
                <w:b w:val="0"/>
                <w:i w:val="0"/>
                <w:sz w:val="20"/>
              </w:rPr>
              <w:t>Operational readiness sign-off</w:t>
            </w:r>
          </w:p>
        </w:tc>
      </w:tr>
    </w:tbl>
    <w:p>
      <w:pPr>
        <w:spacing w:before="0" w:after="0" w:line="120" w:lineRule="exact"/>
      </w:pPr>
    </w:p>
    <w:p>
      <w:pPr>
        <w:pStyle w:val="H2"/>
        <w:numPr>
          <w:ilvl w:val="1"/>
          <w:numId w:val="1"/>
        </w:numPr>
      </w:pPr>
      <w:r>
        <w:t>11.3 CSE Resource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74"/>
        <w:gridCol w:w="2306"/>
        <w:gridCol w:w="16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CSE Person-Days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 Focus</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All phases</w:t>
            </w:r>
          </w:p>
        </w:tc>
      </w:tr>
      <w:tr>
        <w:trPr>
          <w:trHeight w:val="425" w:hRule="atLeast"/>
        </w:trPr>
        <w:tc>
          <w:tcPr>
            <w:tcW w:type="dxa" w:w="3249"/>
            <w:vAlign w:val="center"/>
          </w:tcPr>
          <w:p>
            <w:pPr>
              <w:spacing w:line="276" w:lineRule="auto" w:before="0" w:after="0"/>
            </w:pPr>
            <w:r/>
            <w:r>
              <w:rPr>
                <w:rFonts w:ascii="Figtree" w:hAnsi="Figtree"/>
                <w:b w:val="0"/>
                <w:i w:val="0"/>
                <w:sz w:val="20"/>
              </w:rPr>
              <w:t>Technology/Integration team</w:t>
            </w:r>
          </w:p>
        </w:tc>
        <w:tc>
          <w:tcPr>
            <w:tcW w:type="dxa" w:w="3249"/>
            <w:vAlign w:val="center"/>
          </w:tcPr>
          <w:p>
            <w:pPr>
              <w:spacing w:line="276" w:lineRule="auto" w:before="0" w:after="0"/>
            </w:pPr>
            <w:r/>
            <w:r>
              <w:rPr>
                <w:rFonts w:ascii="Figtree" w:hAnsi="Figtree"/>
                <w:b w:val="0"/>
                <w:i w:val="0"/>
                <w:sz w:val="20"/>
              </w:rPr>
              <w:t>45</w:t>
            </w:r>
          </w:p>
        </w:tc>
        <w:tc>
          <w:tcPr>
            <w:tcW w:type="dxa" w:w="3249"/>
            <w:vAlign w:val="center"/>
          </w:tcPr>
          <w:p>
            <w:pPr>
              <w:spacing w:line="276" w:lineRule="auto" w:before="0" w:after="0"/>
            </w:pPr>
            <w:r/>
            <w:r>
              <w:rPr>
                <w:rFonts w:ascii="Figtree" w:hAnsi="Figtree"/>
                <w:b w:val="0"/>
                <w:i w:val="0"/>
                <w:sz w:val="20"/>
              </w:rPr>
              <w:t>Phases 2, 4</w:t>
            </w:r>
          </w:p>
        </w:tc>
      </w:tr>
      <w:tr>
        <w:trPr>
          <w:trHeight w:val="425" w:hRule="atLeast"/>
        </w:trPr>
        <w:tc>
          <w:tcPr>
            <w:tcW w:type="dxa" w:w="3249"/>
            <w:vAlign w:val="center"/>
          </w:tcPr>
          <w:p>
            <w:pPr>
              <w:spacing w:line="276" w:lineRule="auto" w:before="0" w:after="0"/>
            </w:pPr>
            <w:r/>
            <w:r>
              <w:rPr>
                <w:rFonts w:ascii="Figtree" w:hAnsi="Figtree"/>
                <w:b w:val="0"/>
                <w:i w:val="0"/>
                <w:sz w:val="20"/>
              </w:rPr>
              <w:t>Compliance team (AMMC specialist)</w:t>
            </w:r>
          </w:p>
        </w:tc>
        <w:tc>
          <w:tcPr>
            <w:tcW w:type="dxa" w:w="3249"/>
            <w:vAlign w:val="center"/>
          </w:tcPr>
          <w:p>
            <w:pPr>
              <w:spacing w:line="276" w:lineRule="auto" w:before="0" w:after="0"/>
            </w:pPr>
            <w:r/>
            <w:r>
              <w:rPr>
                <w:rFonts w:ascii="Figtree" w:hAnsi="Figtree"/>
                <w:b w:val="0"/>
                <w:i w:val="0"/>
                <w:sz w:val="20"/>
              </w:rPr>
              <w:t>22</w:t>
            </w:r>
          </w:p>
        </w:tc>
        <w:tc>
          <w:tcPr>
            <w:tcW w:type="dxa" w:w="3249"/>
            <w:vAlign w:val="center"/>
          </w:tcPr>
          <w:p>
            <w:pPr>
              <w:spacing w:line="276" w:lineRule="auto" w:before="0" w:after="0"/>
            </w:pPr>
            <w:r/>
            <w:r>
              <w:rPr>
                <w:rFonts w:ascii="Figtree" w:hAnsi="Figtree"/>
                <w:b w:val="0"/>
                <w:i w:val="0"/>
                <w:sz w:val="20"/>
              </w:rPr>
              <w:t>Phases 1, 3</w:t>
            </w:r>
          </w:p>
        </w:tc>
      </w:tr>
      <w:tr>
        <w:trPr>
          <w:trHeight w:val="425" w:hRule="atLeast"/>
        </w:trPr>
        <w:tc>
          <w:tcPr>
            <w:tcW w:type="dxa" w:w="3249"/>
            <w:vAlign w:val="center"/>
          </w:tcPr>
          <w:p>
            <w:pPr>
              <w:spacing w:line="276" w:lineRule="auto" w:before="0" w:after="0"/>
            </w:pPr>
            <w:r/>
            <w:r>
              <w:rPr>
                <w:rFonts w:ascii="Figtree" w:hAnsi="Figtree"/>
                <w:b w:val="0"/>
                <w:i w:val="0"/>
                <w:sz w:val="20"/>
              </w:rPr>
              <w:t>Maroclear relationship manager</w:t>
            </w:r>
          </w:p>
        </w:tc>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Phase 4</w:t>
            </w:r>
          </w:p>
        </w:tc>
      </w:tr>
      <w:tr>
        <w:trPr>
          <w:trHeight w:val="425" w:hRule="atLeast"/>
        </w:trPr>
        <w:tc>
          <w:tcPr>
            <w:tcW w:type="dxa" w:w="3249"/>
            <w:vAlign w:val="center"/>
          </w:tcPr>
          <w:p>
            <w:pPr>
              <w:spacing w:line="276" w:lineRule="auto" w:before="0" w:after="0"/>
            </w:pPr>
            <w:r/>
            <w:r>
              <w:rPr>
                <w:rFonts w:ascii="Figtree" w:hAnsi="Figtree"/>
                <w:b w:val="0"/>
                <w:i w:val="0"/>
                <w:sz w:val="20"/>
              </w:rPr>
              <w:t>Operations team (FR/AR bilingual)</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Phases 5, 6</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117</w:t>
            </w:r>
          </w:p>
        </w:tc>
        <w:tc>
          <w:tcPr>
            <w:tcW w:type="dxa" w:w="3249"/>
            <w:vAlign w:val="center"/>
          </w:tcPr>
          <w:p>
            <w:pPr>
              <w:spacing w:line="276" w:lineRule="auto" w:before="0" w:after="0"/>
            </w:pPr>
            <w:r/>
          </w:p>
        </w:tc>
      </w:tr>
    </w:tbl>
    <w:p>
      <w:pPr>
        <w:spacing w:before="0" w:after="0" w:line="120" w:lineRule="exact"/>
      </w:pPr>
    </w:p>
    <w:p>
      <w:r>
        <w:br w:type="page"/>
      </w:r>
    </w:p>
    <w:p>
      <w:pPr>
        <w:pStyle w:val="H1"/>
        <w:numPr>
          <w:ilvl w:val="0"/>
          <w:numId w:val="1"/>
        </w:numPr>
      </w:pPr>
      <w:r>
        <w:t>12. Training and Knowledge Transfer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82"/>
        <w:gridCol w:w="3749"/>
        <w:gridCol w:w="967"/>
        <w:gridCol w:w="15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Language</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Administration</w:t>
            </w:r>
          </w:p>
        </w:tc>
        <w:tc>
          <w:tcPr>
            <w:tcW w:type="dxa" w:w="2436"/>
            <w:vAlign w:val="center"/>
          </w:tcPr>
          <w:p>
            <w:pPr>
              <w:spacing w:line="276" w:lineRule="auto" w:before="0" w:after="0"/>
            </w:pPr>
            <w:r/>
            <w:r>
              <w:rPr>
                <w:rFonts w:ascii="Figtree" w:hAnsi="Figtree"/>
                <w:b w:val="0"/>
                <w:i w:val="0"/>
                <w:sz w:val="20"/>
              </w:rPr>
              <w:t>IT operations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French</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w:t>
            </w:r>
          </w:p>
        </w:tc>
        <w:tc>
          <w:tcPr>
            <w:tcW w:type="dxa" w:w="2436"/>
            <w:vAlign w:val="center"/>
          </w:tcPr>
          <w:p>
            <w:pPr>
              <w:spacing w:line="276" w:lineRule="auto" w:before="0" w:after="0"/>
            </w:pPr>
            <w:r/>
            <w:r>
              <w:rPr>
                <w:rFonts w:ascii="Figtree" w:hAnsi="Figtree"/>
                <w:b w:val="0"/>
                <w:i w:val="0"/>
                <w:sz w:val="20"/>
              </w:rPr>
              <w:t>Integration engineers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French</w:t>
            </w:r>
          </w:p>
        </w:tc>
      </w:tr>
      <w:tr>
        <w:trPr>
          <w:trHeight w:val="425" w:hRule="atLeast"/>
        </w:trPr>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Business operations, compliance</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French/Arabic</w:t>
            </w:r>
          </w:p>
        </w:tc>
      </w:tr>
      <w:tr>
        <w:trPr>
          <w:trHeight w:val="425" w:hRule="atLeast"/>
        </w:trPr>
        <w:tc>
          <w:tcPr>
            <w:tcW w:type="dxa" w:w="2436"/>
            <w:vAlign w:val="center"/>
          </w:tcPr>
          <w:p>
            <w:pPr>
              <w:spacing w:line="276" w:lineRule="auto" w:before="0" w:after="0"/>
            </w:pPr>
            <w:r/>
            <w:r>
              <w:rPr>
                <w:rFonts w:ascii="Figtree" w:hAnsi="Figtree"/>
                <w:b w:val="0"/>
                <w:i w:val="0"/>
                <w:sz w:val="20"/>
              </w:rPr>
              <w:t>AMMC Compliance Ops</w:t>
            </w:r>
          </w:p>
        </w:tc>
        <w:tc>
          <w:tcPr>
            <w:tcW w:type="dxa" w:w="2436"/>
            <w:vAlign w:val="center"/>
          </w:tcPr>
          <w:p>
            <w:pPr>
              <w:spacing w:line="276" w:lineRule="auto" w:before="0" w:after="0"/>
            </w:pPr>
            <w:r/>
            <w:r>
              <w:rPr>
                <w:rFonts w:ascii="Figtree" w:hAnsi="Figtree"/>
                <w:b w:val="0"/>
                <w:i w:val="0"/>
                <w:sz w:val="20"/>
              </w:rPr>
              <w:t>Compliance team</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French</w:t>
            </w:r>
          </w:p>
        </w:tc>
      </w:tr>
    </w:tbl>
    <w:p>
      <w:pPr>
        <w:spacing w:before="0" w:after="0" w:line="120" w:lineRule="exact"/>
      </w:pPr>
    </w:p>
    <w:p>
      <w:r>
        <w:rPr>
          <w:rFonts w:ascii="Figtree" w:hAnsi="Figtree"/>
          <w:b w:val="0"/>
          <w:i w:val="0"/>
          <w:sz w:val="22"/>
        </w:rPr>
        <w:t>All training materials and operational runbooks are delivered in French. Arabic translations of operational UI elements and user guides are available.</w:t>
      </w:r>
    </w:p>
    <w:p>
      <w:r>
        <w:br w:type="page"/>
      </w:r>
    </w:p>
    <w:p>
      <w:pPr>
        <w:pStyle w:val="H1"/>
        <w:numPr>
          <w:ilvl w:val="0"/>
          <w:numId w:val="1"/>
        </w:numPr>
      </w:pPr>
      <w:r>
        <w:t>13. Support and Service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30"/>
        <w:gridCol w:w="2680"/>
        <w:gridCol w:w="1134"/>
        <w:gridCol w:w="422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P1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r>
      <w:tr>
        <w:trPr>
          <w:trHeight w:val="425" w:hRule="atLeast"/>
        </w:trPr>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Business hours (09-17 CET)</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Not recommended for market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Extended (07-22 CET)</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Acceptable minimum</w:t>
            </w:r>
          </w:p>
        </w:tc>
      </w:tr>
      <w:tr>
        <w:trPr>
          <w:trHeight w:val="425" w:hRule="atLeast"/>
        </w:trPr>
        <w:tc>
          <w:tcPr>
            <w:tcW w:type="dxa" w:w="2436"/>
            <w:vAlign w:val="center"/>
          </w:tcPr>
          <w:p>
            <w:pPr>
              <w:spacing w:line="276" w:lineRule="auto" w:before="0" w:after="0"/>
            </w:pPr>
            <w:r/>
            <w:r>
              <w:rPr>
                <w:rFonts w:ascii="Figtree" w:hAnsi="Figtree"/>
                <w:b w:val="0"/>
                <w:i w:val="0"/>
                <w:sz w:val="20"/>
              </w:rPr>
              <w:t>Enterprise</w:t>
            </w:r>
          </w:p>
        </w:tc>
        <w:tc>
          <w:tcPr>
            <w:tcW w:type="dxa" w:w="2436"/>
            <w:vAlign w:val="center"/>
          </w:tcPr>
          <w:p>
            <w:pPr>
              <w:spacing w:line="276" w:lineRule="auto" w:before="0" w:after="0"/>
            </w:pPr>
            <w:r/>
            <w:r>
              <w:rPr>
                <w:rFonts w:ascii="Figtree" w:hAnsi="Figtree"/>
                <w:b w:val="0"/>
                <w:i w:val="0"/>
                <w:sz w:val="20"/>
              </w:rPr>
              <w:t>24/7/365</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Recommended</w:t>
            </w:r>
          </w:p>
        </w:tc>
      </w:tr>
    </w:tbl>
    <w:p>
      <w:pPr>
        <w:spacing w:before="0" w:after="0" w:line="120" w:lineRule="exact"/>
      </w:pPr>
    </w:p>
    <w:p>
      <w:r>
        <w:rPr>
          <w:rFonts w:ascii="Figtree" w:hAnsi="Figtree"/>
          <w:b/>
          <w:i w:val="0"/>
          <w:sz w:val="22"/>
        </w:rPr>
        <w:t>CSE-specific support note:</w:t>
      </w:r>
      <w:r>
        <w:rPr>
          <w:rFonts w:ascii="Figtree" w:hAnsi="Figtree"/>
          <w:b w:val="0"/>
          <w:i w:val="0"/>
          <w:sz w:val="22"/>
        </w:rPr>
        <w:t xml:space="preserve"> French-speaking support capability is available within the Enterprise Support tier. Named CSM speaks French. P1 incident communications conducted in French on request.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52"/>
        <w:gridCol w:w="331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Production uptime</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RTO</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RPO</w:t>
            </w:r>
          </w:p>
        </w:tc>
        <w:tc>
          <w:tcPr>
            <w:tcW w:type="dxa" w:w="4873"/>
            <w:vAlign w:val="center"/>
          </w:tcPr>
          <w:p>
            <w:pPr>
              <w:spacing w:line="276" w:lineRule="auto" w:before="0" w:after="0"/>
            </w:pPr>
            <w:r/>
            <w:r>
              <w:rPr>
                <w:rFonts w:ascii="Figtree" w:hAnsi="Figtree"/>
                <w:b w:val="0"/>
                <w:i w:val="0"/>
                <w:sz w:val="20"/>
              </w:rPr>
              <w:t>&lt; 1 hour</w:t>
            </w:r>
          </w:p>
        </w:tc>
      </w:tr>
    </w:tbl>
    <w:p>
      <w:pPr>
        <w:spacing w:before="0" w:after="0" w:line="120" w:lineRule="exact"/>
      </w:pPr>
    </w:p>
    <w:p>
      <w:r>
        <w:br w:type="page"/>
      </w:r>
    </w:p>
    <w:p>
      <w:pPr>
        <w:pStyle w:val="H1"/>
        <w:numPr>
          <w:ilvl w:val="0"/>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6"/>
        <w:gridCol w:w="3227"/>
        <w:gridCol w:w="636"/>
        <w:gridCol w:w="636"/>
        <w:gridCol w:w="393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R-01</w:t>
            </w:r>
          </w:p>
        </w:tc>
        <w:tc>
          <w:tcPr>
            <w:tcW w:type="dxa" w:w="1949"/>
            <w:vAlign w:val="center"/>
          </w:tcPr>
          <w:p>
            <w:pPr>
              <w:spacing w:line="276" w:lineRule="auto" w:before="0" w:after="0"/>
            </w:pPr>
            <w:r/>
            <w:r>
              <w:rPr>
                <w:rFonts w:ascii="Figtree" w:hAnsi="Figtree"/>
                <w:b w:val="0"/>
                <w:i w:val="0"/>
                <w:sz w:val="20"/>
              </w:rPr>
              <w:t>AMMC regulatory interpretation requires additional compliance module configuration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3 AMMC alignment workshop; configuration is no-code change</w:t>
            </w:r>
          </w:p>
        </w:tc>
      </w:tr>
      <w:tr>
        <w:trPr>
          <w:trHeight w:val="425" w:hRule="atLeast"/>
        </w:trPr>
        <w:tc>
          <w:tcPr>
            <w:tcW w:type="dxa" w:w="1949"/>
            <w:vAlign w:val="center"/>
          </w:tcPr>
          <w:p>
            <w:pPr>
              <w:spacing w:line="276" w:lineRule="auto" w:before="0" w:after="0"/>
            </w:pPr>
            <w:r/>
            <w:r>
              <w:rPr>
                <w:rFonts w:ascii="Figtree" w:hAnsi="Figtree"/>
                <w:b w:val="0"/>
                <w:i w:val="0"/>
                <w:sz w:val="20"/>
              </w:rPr>
              <w:t>R-02</w:t>
            </w:r>
          </w:p>
        </w:tc>
        <w:tc>
          <w:tcPr>
            <w:tcW w:type="dxa" w:w="1949"/>
            <w:vAlign w:val="center"/>
          </w:tcPr>
          <w:p>
            <w:pPr>
              <w:spacing w:line="276" w:lineRule="auto" w:before="0" w:after="0"/>
            </w:pPr>
            <w:r/>
            <w:r>
              <w:rPr>
                <w:rFonts w:ascii="Figtree" w:hAnsi="Figtree"/>
                <w:b w:val="0"/>
                <w:i w:val="0"/>
                <w:sz w:val="20"/>
              </w:rPr>
              <w:t>Maroclear integration requires custom message mapping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1 integration specification workshop with Maroclear technical team</w:t>
            </w:r>
          </w:p>
        </w:tc>
      </w:tr>
      <w:tr>
        <w:trPr>
          <w:trHeight w:val="425" w:hRule="atLeast"/>
        </w:trPr>
        <w:tc>
          <w:tcPr>
            <w:tcW w:type="dxa" w:w="1949"/>
            <w:vAlign w:val="center"/>
          </w:tcPr>
          <w:p>
            <w:pPr>
              <w:spacing w:line="276" w:lineRule="auto" w:before="0" w:after="0"/>
            </w:pPr>
            <w:r/>
            <w:r>
              <w:rPr>
                <w:rFonts w:ascii="Figtree" w:hAnsi="Figtree"/>
                <w:b w:val="0"/>
                <w:i w:val="0"/>
                <w:sz w:val="20"/>
              </w:rPr>
              <w:t>R-03</w:t>
            </w:r>
          </w:p>
        </w:tc>
        <w:tc>
          <w:tcPr>
            <w:tcW w:type="dxa" w:w="1949"/>
            <w:vAlign w:val="center"/>
          </w:tcPr>
          <w:p>
            <w:pPr>
              <w:spacing w:line="276" w:lineRule="auto" w:before="0" w:after="0"/>
            </w:pPr>
            <w:r/>
            <w:r>
              <w:rPr>
                <w:rFonts w:ascii="Figtree" w:hAnsi="Figtree"/>
                <w:b w:val="0"/>
                <w:i w:val="0"/>
                <w:sz w:val="20"/>
              </w:rPr>
              <w:t>Sukuk documentation requirements extend Phase 3</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AAOIFI template available; Sharia officer involvement scoped in Phase 1</w:t>
            </w:r>
          </w:p>
        </w:tc>
      </w:tr>
      <w:tr>
        <w:trPr>
          <w:trHeight w:val="425" w:hRule="atLeast"/>
        </w:trPr>
        <w:tc>
          <w:tcPr>
            <w:tcW w:type="dxa" w:w="1949"/>
            <w:vAlign w:val="center"/>
          </w:tcPr>
          <w:p>
            <w:pPr>
              <w:spacing w:line="276" w:lineRule="auto" w:before="0" w:after="0"/>
            </w:pPr>
            <w:r/>
            <w:r>
              <w:rPr>
                <w:rFonts w:ascii="Figtree" w:hAnsi="Figtree"/>
                <w:b w:val="0"/>
                <w:i w:val="0"/>
                <w:sz w:val="20"/>
              </w:rPr>
              <w:t>R-04</w:t>
            </w:r>
          </w:p>
        </w:tc>
        <w:tc>
          <w:tcPr>
            <w:tcW w:type="dxa" w:w="1949"/>
            <w:vAlign w:val="center"/>
          </w:tcPr>
          <w:p>
            <w:pPr>
              <w:spacing w:line="276" w:lineRule="auto" w:before="0" w:after="0"/>
            </w:pPr>
            <w:r/>
            <w:r>
              <w:rPr>
                <w:rFonts w:ascii="Figtree" w:hAnsi="Figtree"/>
                <w:b w:val="0"/>
                <w:i w:val="0"/>
                <w:sz w:val="20"/>
              </w:rPr>
              <w:t>French-Arabic bilingual testing adds UAT complexity</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Bilingual UAT team composition; test scripts prepared in both languages</w:t>
            </w:r>
          </w:p>
        </w:tc>
      </w:tr>
      <w:tr>
        <w:trPr>
          <w:trHeight w:val="425" w:hRule="atLeast"/>
        </w:trPr>
        <w:tc>
          <w:tcPr>
            <w:tcW w:type="dxa" w:w="1949"/>
            <w:vAlign w:val="center"/>
          </w:tcPr>
          <w:p>
            <w:pPr>
              <w:spacing w:line="276" w:lineRule="auto" w:before="0" w:after="0"/>
            </w:pPr>
            <w:r/>
            <w:r>
              <w:rPr>
                <w:rFonts w:ascii="Figtree" w:hAnsi="Figtree"/>
                <w:b w:val="0"/>
                <w:i w:val="0"/>
                <w:sz w:val="20"/>
              </w:rPr>
              <w:t>R-05</w:t>
            </w:r>
          </w:p>
        </w:tc>
        <w:tc>
          <w:tcPr>
            <w:tcW w:type="dxa" w:w="1949"/>
            <w:vAlign w:val="center"/>
          </w:tcPr>
          <w:p>
            <w:pPr>
              <w:spacing w:line="276" w:lineRule="auto" w:before="0" w:after="0"/>
            </w:pPr>
            <w:r/>
            <w:r>
              <w:rPr>
                <w:rFonts w:ascii="Figtree" w:hAnsi="Figtree"/>
                <w:b w:val="0"/>
                <w:i w:val="0"/>
                <w:sz w:val="20"/>
              </w:rPr>
              <w:t>EU data residency requirement conflicts with Moroccan data localization preference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Morocco cloud region option available (OVH Casablanca if available) or EU adequacy framework applies</w:t>
            </w:r>
          </w:p>
        </w:tc>
      </w:tr>
      <w:tr>
        <w:trPr>
          <w:trHeight w:val="425" w:hRule="atLeast"/>
        </w:trPr>
        <w:tc>
          <w:tcPr>
            <w:tcW w:type="dxa" w:w="1949"/>
            <w:vAlign w:val="center"/>
          </w:tcPr>
          <w:p>
            <w:pPr>
              <w:spacing w:line="276" w:lineRule="auto" w:before="0" w:after="0"/>
            </w:pPr>
            <w:r/>
            <w:r>
              <w:rPr>
                <w:rFonts w:ascii="Figtree" w:hAnsi="Figtree"/>
                <w:b w:val="0"/>
                <w:i w:val="0"/>
                <w:sz w:val="20"/>
              </w:rPr>
              <w:t>R-06</w:t>
            </w:r>
          </w:p>
        </w:tc>
        <w:tc>
          <w:tcPr>
            <w:tcW w:type="dxa" w:w="1949"/>
            <w:vAlign w:val="center"/>
          </w:tcPr>
          <w:p>
            <w:pPr>
              <w:spacing w:line="276" w:lineRule="auto" w:before="0" w:after="0"/>
            </w:pPr>
            <w:r/>
            <w:r>
              <w:rPr>
                <w:rFonts w:ascii="Figtree" w:hAnsi="Figtree"/>
                <w:b w:val="0"/>
                <w:i w:val="0"/>
                <w:sz w:val="20"/>
              </w:rPr>
              <w:t>Pan-African investor AML complexity (multi-jurisdiction screening)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AML provider selected for FATF-aligned multi-jurisdiction coverage</w:t>
            </w:r>
          </w:p>
        </w:tc>
      </w:tr>
      <w:tr>
        <w:trPr>
          <w:trHeight w:val="425" w:hRule="atLeast"/>
        </w:trPr>
        <w:tc>
          <w:tcPr>
            <w:tcW w:type="dxa" w:w="1949"/>
            <w:vAlign w:val="center"/>
          </w:tcPr>
          <w:p>
            <w:pPr>
              <w:spacing w:line="276" w:lineRule="auto" w:before="0" w:after="0"/>
            </w:pPr>
            <w:r/>
            <w:r>
              <w:rPr>
                <w:rFonts w:ascii="Figtree" w:hAnsi="Figtree"/>
                <w:b w:val="0"/>
                <w:i w:val="0"/>
                <w:sz w:val="20"/>
              </w:rPr>
              <w:t>R-07</w:t>
            </w:r>
          </w:p>
        </w:tc>
        <w:tc>
          <w:tcPr>
            <w:tcW w:type="dxa" w:w="1949"/>
            <w:vAlign w:val="center"/>
          </w:tcPr>
          <w:p>
            <w:pPr>
              <w:spacing w:line="276" w:lineRule="auto" w:before="0" w:after="0"/>
            </w:pPr>
            <w:r/>
            <w:r>
              <w:rPr>
                <w:rFonts w:ascii="Figtree" w:hAnsi="Figtree"/>
                <w:b w:val="0"/>
                <w:i w:val="0"/>
                <w:sz w:val="20"/>
              </w:rPr>
              <w:t>Security review by CSE IS team delays Phase 2 gate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Evidence pack pre-prepared; ISO 27001 / SOC 2 Type II certificates available</w:t>
            </w:r>
          </w:p>
        </w:tc>
      </w:tr>
    </w:tbl>
    <w:p>
      <w:pPr>
        <w:spacing w:before="0" w:after="0" w:line="120" w:lineRule="exact"/>
      </w:pPr>
    </w:p>
    <w:p>
      <w:r>
        <w:br w:type="page"/>
      </w:r>
    </w:p>
    <w:p>
      <w:pPr>
        <w:pStyle w:val="H1"/>
        <w:numPr>
          <w:ilvl w:val="0"/>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8"/>
        <w:gridCol w:w="2263"/>
        <w:gridCol w:w="688"/>
        <w:gridCol w:w="3395"/>
        <w:gridCol w:w="203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environments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4 environments, separate networks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eventing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webhooks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maker-checker, audit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 roles, on-chain audit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Module framework</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Dependency register in Appendix C</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recovery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99.9% SLA, RTO/RPO documented</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18-week plan with gates</w:t>
            </w:r>
          </w:p>
        </w:tc>
        <w:tc>
          <w:tcPr>
            <w:tcW w:type="dxa" w:w="1949"/>
            <w:vAlign w:val="center"/>
          </w:tcPr>
          <w:p>
            <w:pPr>
              <w:spacing w:line="276" w:lineRule="auto" w:before="0" w:after="0"/>
            </w:pPr>
            <w:r/>
            <w:r>
              <w:rPr>
                <w:rFonts w:ascii="Figtree" w:hAnsi="Figtree"/>
                <w:b w:val="0"/>
                <w:i w:val="0"/>
                <w:sz w:val="20"/>
              </w:rPr>
              <w:t>CSE effort: 117 person-days</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Audit evidence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Seven categories, API export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REQ-16</w:t>
            </w:r>
          </w:p>
        </w:tc>
        <w:tc>
          <w:tcPr>
            <w:tcW w:type="dxa" w:w="1949"/>
            <w:vAlign w:val="center"/>
          </w:tcPr>
          <w:p>
            <w:pPr>
              <w:spacing w:line="276" w:lineRule="auto" w:before="0" w:after="0"/>
            </w:pPr>
            <w:r/>
            <w:r>
              <w:rPr>
                <w:rFonts w:ascii="Figtree" w:hAnsi="Figtree"/>
                <w:b w:val="0"/>
                <w:i w:val="0"/>
                <w:sz w:val="20"/>
              </w:rPr>
              <w:t>Issuance, registry, settlement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Bond/equity/sukuk, OnchainID, XvP, ISO 20022</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REQ-17</w:t>
            </w:r>
          </w:p>
        </w:tc>
        <w:tc>
          <w:tcPr>
            <w:tcW w:type="dxa" w:w="1949"/>
            <w:vAlign w:val="center"/>
          </w:tcPr>
          <w:p>
            <w:pPr>
              <w:spacing w:line="276" w:lineRule="auto" w:before="0" w:after="0"/>
            </w:pPr>
            <w:r/>
            <w:r>
              <w:rPr>
                <w:rFonts w:ascii="Figtree" w:hAnsi="Figtree"/>
                <w:b w:val="0"/>
                <w:i w:val="0"/>
                <w:sz w:val="20"/>
              </w:rPr>
              <w:t>Market infrastructure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Maroclear ISO 20022, AMMC reporting</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RC-01</w:t>
            </w:r>
          </w:p>
        </w:tc>
        <w:tc>
          <w:tcPr>
            <w:tcW w:type="dxa" w:w="1949"/>
            <w:vAlign w:val="center"/>
          </w:tcPr>
          <w:p>
            <w:pPr>
              <w:spacing w:line="276" w:lineRule="auto" w:before="0" w:after="0"/>
            </w:pPr>
            <w:r/>
            <w:r>
              <w:rPr>
                <w:rFonts w:ascii="Figtree" w:hAnsi="Figtree"/>
                <w:b w:val="0"/>
                <w:i w:val="0"/>
                <w:sz w:val="20"/>
              </w:rPr>
              <w:t>Regulatory mapping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AMMC, Bank Al-Maghrib, Loi 09-08 addressed</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RC-02</w:t>
            </w:r>
          </w:p>
        </w:tc>
        <w:tc>
          <w:tcPr>
            <w:tcW w:type="dxa" w:w="1949"/>
            <w:vAlign w:val="center"/>
          </w:tcPr>
          <w:p>
            <w:pPr>
              <w:spacing w:line="276" w:lineRule="auto" w:before="0" w:after="0"/>
            </w:pPr>
            <w:r/>
            <w:r>
              <w:rPr>
                <w:rFonts w:ascii="Figtree" w:hAnsi="Figtree"/>
                <w:b w:val="0"/>
                <w:i w:val="0"/>
                <w:sz w:val="20"/>
              </w:rPr>
              <w:t>AML/CFT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Screening integration, FATF-aligned providers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RC-03</w:t>
            </w:r>
          </w:p>
        </w:tc>
        <w:tc>
          <w:tcPr>
            <w:tcW w:type="dxa" w:w="1949"/>
            <w:vAlign w:val="center"/>
          </w:tcPr>
          <w:p>
            <w:pPr>
              <w:spacing w:line="276" w:lineRule="auto" w:before="0" w:after="0"/>
            </w:pPr>
            <w:r/>
            <w:r>
              <w:rPr>
                <w:rFonts w:ascii="Figtree" w:hAnsi="Figtree"/>
                <w:b w:val="0"/>
                <w:i w:val="0"/>
                <w:sz w:val="20"/>
              </w:rPr>
              <w:t>Data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Moroccan law 09-08, EU region data residency</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RC-04</w:t>
            </w:r>
          </w:p>
        </w:tc>
        <w:tc>
          <w:tcPr>
            <w:tcW w:type="dxa" w:w="1949"/>
            <w:vAlign w:val="center"/>
          </w:tcPr>
          <w:p>
            <w:pPr>
              <w:spacing w:line="276" w:lineRule="auto" w:before="0" w:after="0"/>
            </w:pPr>
            <w:r/>
            <w:r>
              <w:rPr>
                <w:rFonts w:ascii="Figtree" w:hAnsi="Figtree"/>
                <w:b w:val="0"/>
                <w:i w:val="0"/>
                <w:sz w:val="20"/>
              </w:rPr>
              <w:t>Operational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DR testing quarterly, documented</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RC-05</w:t>
            </w:r>
          </w:p>
        </w:tc>
        <w:tc>
          <w:tcPr>
            <w:tcW w:type="dxa" w:w="1949"/>
            <w:vAlign w:val="center"/>
          </w:tcPr>
          <w:p>
            <w:pPr>
              <w:spacing w:line="276" w:lineRule="auto" w:before="0" w:after="0"/>
            </w:pPr>
            <w:r/>
            <w:r>
              <w:rPr>
                <w:rFonts w:ascii="Figtree" w:hAnsi="Figtree"/>
                <w:b w:val="0"/>
                <w:i w:val="0"/>
                <w:sz w:val="20"/>
              </w:rPr>
              <w:t>Outsourcing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All dependencies listed in Appendix C</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RC-06</w:t>
            </w:r>
          </w:p>
        </w:tc>
        <w:tc>
          <w:tcPr>
            <w:tcW w:type="dxa" w:w="1949"/>
            <w:vAlign w:val="center"/>
          </w:tcPr>
          <w:p>
            <w:pPr>
              <w:spacing w:line="276" w:lineRule="auto" w:before="0" w:after="0"/>
            </w:pPr>
            <w:r/>
            <w:r>
              <w:rPr>
                <w:rFonts w:ascii="Figtree" w:hAnsi="Figtree"/>
                <w:b w:val="0"/>
                <w:i w:val="0"/>
                <w:sz w:val="20"/>
              </w:rPr>
              <w:t>Assurance and audit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Seven evidence categories, cert available</w:t>
            </w:r>
          </w:p>
        </w:tc>
        <w:tc>
          <w:tcPr>
            <w:tcW w:type="dxa" w:w="1949"/>
            <w:vAlign w:val="center"/>
          </w:tcPr>
          <w:p>
            <w:pPr>
              <w:spacing w:line="276" w:lineRule="auto" w:before="0" w:after="0"/>
            </w:pPr>
            <w:r/>
          </w:p>
        </w:tc>
      </w:tr>
    </w:tbl>
    <w:p>
      <w:pPr>
        <w:spacing w:before="0" w:after="0" w:line="120" w:lineRule="exact"/>
      </w:pPr>
    </w:p>
    <w:p>
      <w:r>
        <w:br w:type="page"/>
      </w:r>
    </w:p>
    <w:p>
      <w:pPr>
        <w:pStyle w:val="H1"/>
        <w:numPr>
          <w:ilvl w:val="0"/>
          <w:numId w:val="1"/>
        </w:numPr>
      </w:pPr>
      <w:r>
        <w:t>Appendix A: Operating Model Detail</w:t>
      </w:r>
    </w:p>
    <w:p>
      <w:pPr>
        <w:pStyle w:val="H2"/>
        <w:numPr>
          <w:ilvl w:val="1"/>
          <w:numId w:val="1"/>
        </w:numPr>
      </w:pPr>
      <w:r>
        <w:t>A.1 Role Ownership</w:t>
      </w:r>
    </w:p>
    <w:p>
      <w:r>
        <w:rPr>
          <w:rFonts w:ascii="Figtree" w:hAnsi="Figtree"/>
          <w:b/>
          <w:i w:val="0"/>
          <w:sz w:val="22"/>
        </w:rPr>
        <w:t>Product Management (CSE Market Development):</w:t>
      </w:r>
      <w:r>
        <w:rPr>
          <w:rFonts w:ascii="Figtree" w:hAnsi="Figtree"/>
          <w:b w:val="0"/>
          <w:i w:val="0"/>
          <w:sz w:val="22"/>
        </w:rPr>
        <w:t xml:space="preserve"> Configures instrument parameters, investor class definitions, and fee structures. Bilingual (French/Arabic) operations.</w:t>
      </w:r>
    </w:p>
    <w:p>
      <w:r>
        <w:rPr>
          <w:rFonts w:ascii="Figtree" w:hAnsi="Figtree"/>
          <w:b/>
          <w:i w:val="0"/>
          <w:sz w:val="22"/>
        </w:rPr>
        <w:t>First-Line Operations (CSE Operations):</w:t>
      </w:r>
      <w:r>
        <w:rPr>
          <w:rFonts w:ascii="Figtree" w:hAnsi="Figtree"/>
          <w:b w:val="0"/>
          <w:i w:val="0"/>
          <w:sz w:val="22"/>
        </w:rPr>
        <w:t xml:space="preserve"> Manages transaction exceptions, settlement monitoring, corporate action execution. French-language operations dashboard primary interface.</w:t>
      </w:r>
    </w:p>
    <w:p>
      <w:r>
        <w:rPr>
          <w:rFonts w:ascii="Figtree" w:hAnsi="Figtree"/>
          <w:b/>
          <w:i w:val="0"/>
          <w:sz w:val="22"/>
        </w:rPr>
        <w:t>Compliance Oversight (CSE Compliance + AMMC liaison):</w:t>
      </w:r>
      <w:r>
        <w:rPr>
          <w:rFonts w:ascii="Figtree" w:hAnsi="Figtree"/>
          <w:b w:val="0"/>
          <w:i w:val="0"/>
          <w:sz w:val="22"/>
        </w:rPr>
        <w:t xml:space="preserve"> Reviews compliance module configurations, investor eligibility exceptions, AMMC-reportable events. Reviews AMMC reporting extracts before submission.</w:t>
      </w:r>
    </w:p>
    <w:p>
      <w:r>
        <w:rPr>
          <w:rFonts w:ascii="Figtree" w:hAnsi="Figtree"/>
          <w:b/>
          <w:i w:val="0"/>
          <w:sz w:val="22"/>
        </w:rPr>
        <w:t>Sharia/Islamic Finance (CSE Sharia Officer where applicable):</w:t>
      </w:r>
      <w:r>
        <w:rPr>
          <w:rFonts w:ascii="Figtree" w:hAnsi="Figtree"/>
          <w:b w:val="0"/>
          <w:i w:val="0"/>
          <w:sz w:val="22"/>
        </w:rPr>
        <w:t xml:space="preserve"> Reviews sukuk instrument configurations, approves AAOIFI documentation, signs off profit distribution calculations.</w:t>
      </w:r>
    </w:p>
    <w:p>
      <w:r>
        <w:rPr>
          <w:rFonts w:ascii="Figtree" w:hAnsi="Figtree"/>
          <w:b/>
          <w:i w:val="0"/>
          <w:sz w:val="22"/>
        </w:rPr>
        <w:t>Information Security (CSE IS):</w:t>
      </w:r>
      <w:r>
        <w:rPr>
          <w:rFonts w:ascii="Figtree" w:hAnsi="Figtree"/>
          <w:b w:val="0"/>
          <w:i w:val="0"/>
          <w:sz w:val="22"/>
        </w:rPr>
        <w:t xml:space="preserve"> User provisioning, access recertification, incident escalation. Quarterly access review.</w:t>
      </w:r>
    </w:p>
    <w:p>
      <w:r>
        <w:rPr>
          <w:rFonts w:ascii="Figtree" w:hAnsi="Figtree"/>
          <w:b/>
          <w:i w:val="0"/>
          <w:sz w:val="22"/>
        </w:rPr>
        <w:t>Technology (CSE Technology):</w:t>
      </w:r>
      <w:r>
        <w:rPr>
          <w:rFonts w:ascii="Figtree" w:hAnsi="Figtree"/>
          <w:b w:val="0"/>
          <w:i w:val="0"/>
          <w:sz w:val="22"/>
        </w:rPr>
        <w:t xml:space="preserve"> Environment management, Maroclear integration maintenance, AMMC reporting system connectivity.</w:t>
      </w:r>
    </w:p>
    <w:p>
      <w:pPr>
        <w:pStyle w:val="H2"/>
        <w:numPr>
          <w:ilvl w:val="1"/>
          <w:numId w:val="1"/>
        </w:numPr>
      </w:pPr>
      <w:r>
        <w:t>A.2 Governance Routines</w:t>
      </w:r>
    </w:p>
    <w:p>
      <w:r>
        <w:rPr>
          <w:rFonts w:ascii="Figtree" w:hAnsi="Figtree"/>
          <w:b/>
          <w:i w:val="0"/>
          <w:sz w:val="22"/>
        </w:rPr>
        <w:t>Daily:</w:t>
      </w:r>
      <w:r>
        <w:rPr>
          <w:rFonts w:ascii="Figtree" w:hAnsi="Figtree"/>
          <w:b w:val="0"/>
          <w:i w:val="0"/>
          <w:sz w:val="22"/>
        </w:rPr>
        <w:t xml:space="preserve"> Transaction exception review, settlement confirmation, AMMC-reportable alert triage.</w:t>
      </w:r>
    </w:p>
    <w:p>
      <w:r>
        <w:rPr>
          <w:rFonts w:ascii="Figtree" w:hAnsi="Figtree"/>
          <w:b/>
          <w:i w:val="0"/>
          <w:sz w:val="22"/>
        </w:rPr>
        <w:t>Weekly:</w:t>
      </w:r>
      <w:r>
        <w:rPr>
          <w:rFonts w:ascii="Figtree" w:hAnsi="Figtree"/>
          <w:b w:val="0"/>
          <w:i w:val="0"/>
          <w:sz w:val="22"/>
        </w:rPr>
        <w:t xml:space="preserve"> Exception register review, broker connectivity status, Maroclear reconciliation review.</w:t>
      </w:r>
    </w:p>
    <w:p>
      <w:r>
        <w:rPr>
          <w:rFonts w:ascii="Figtree" w:hAnsi="Figtree"/>
          <w:b/>
          <w:i w:val="0"/>
          <w:sz w:val="22"/>
        </w:rPr>
        <w:t>Monthly:</w:t>
      </w:r>
      <w:r>
        <w:rPr>
          <w:rFonts w:ascii="Figtree" w:hAnsi="Figtree"/>
          <w:b w:val="0"/>
          <w:i w:val="0"/>
          <w:sz w:val="22"/>
        </w:rPr>
        <w:t xml:space="preserve"> Access recertification, AMMC monthly reporting, SettleMint service review, sukuk distribution event calendar review.</w:t>
      </w:r>
    </w:p>
    <w:p>
      <w:r>
        <w:br w:type="page"/>
      </w:r>
    </w:p>
    <w:p>
      <w:pPr>
        <w:pStyle w:val="H1"/>
        <w:numPr>
          <w:ilvl w:val="0"/>
          <w:numId w:val="1"/>
        </w:numPr>
      </w:pPr>
      <w:r>
        <w:t>Appendix B: Security and Resilience</w:t>
      </w:r>
    </w:p>
    <w:p>
      <w:r>
        <w:rPr>
          <w:rFonts w:ascii="Figtree" w:hAnsi="Figtree"/>
          <w:b/>
          <w:i w:val="0"/>
          <w:sz w:val="22"/>
        </w:rPr>
        <w:t>Encryption:</w:t>
      </w:r>
      <w:r>
        <w:rPr>
          <w:rFonts w:ascii="Figtree" w:hAnsi="Figtree"/>
          <w:b w:val="0"/>
          <w:i w:val="0"/>
          <w:sz w:val="22"/>
        </w:rPr>
        <w:t xml:space="preserve"> AES-256 at rest, TLS 1.3 in transit, field-level encryption for Moroccan personal data (Loi 09-08 compliance).</w:t>
      </w:r>
    </w:p>
    <w:p>
      <w:r>
        <w:rPr>
          <w:rFonts w:ascii="Figtree" w:hAnsi="Figtree"/>
          <w:b/>
          <w:i w:val="0"/>
          <w:sz w:val="22"/>
        </w:rPr>
        <w:t>Vulnerability management:</w:t>
      </w:r>
      <w:r>
        <w:rPr>
          <w:rFonts w:ascii="Figtree" w:hAnsi="Figtree"/>
          <w:b w:val="0"/>
          <w:i w:val="0"/>
          <w:sz w:val="22"/>
        </w:rPr>
        <w:t xml:space="preserve"> Automated dependency scanning, monthly SAST/DAST, annual penetration test. Critical vulnerabilities patched within 48 hours.</w:t>
      </w:r>
    </w:p>
    <w:p>
      <w:r>
        <w:rPr>
          <w:rFonts w:ascii="Figtree" w:hAnsi="Figtree"/>
          <w:b/>
          <w:i w:val="0"/>
          <w:sz w:val="22"/>
        </w:rPr>
        <w:t>Incident response:</w:t>
      </w:r>
      <w:r>
        <w:rPr>
          <w:rFonts w:ascii="Figtree" w:hAnsi="Figtree"/>
          <w:b w:val="0"/>
          <w:i w:val="0"/>
          <w:sz w:val="22"/>
        </w:rPr>
        <w:t xml:space="preserve"> P1 detection → 1-hour SettleMint response → French-language incident communication to CSE → root cause analysis within 5 business days.</w:t>
      </w:r>
    </w:p>
    <w:p>
      <w:r>
        <w:rPr>
          <w:rFonts w:ascii="Figtree" w:hAnsi="Figtree"/>
          <w:b/>
          <w:i w:val="0"/>
          <w:sz w:val="22"/>
        </w:rPr>
        <w:t>DR testing:</w:t>
      </w:r>
      <w:r>
        <w:rPr>
          <w:rFonts w:ascii="Figtree" w:hAnsi="Figtree"/>
          <w:b w:val="0"/>
          <w:i w:val="0"/>
          <w:sz w:val="22"/>
        </w:rPr>
        <w:t xml:space="preserve"> Quarterly failover exercise. Results documented and available to CSE operations and IS teams.</w:t>
      </w:r>
    </w:p>
    <w:p>
      <w:r>
        <w:br w:type="page"/>
      </w:r>
    </w:p>
    <w:p>
      <w:pPr>
        <w:pStyle w:val="H1"/>
        <w:numPr>
          <w:ilvl w:val="0"/>
          <w:numId w:val="1"/>
        </w:numPr>
      </w:pPr>
      <w:r>
        <w:t>Appendix C: Dependency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13"/>
        <w:gridCol w:w="3458"/>
        <w:gridCol w:w="714"/>
        <w:gridCol w:w="278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Substitution</w:t>
            </w:r>
          </w:p>
        </w:tc>
      </w:tr>
      <w:tr>
        <w:trPr>
          <w:trHeight w:val="425" w:hRule="atLeast"/>
        </w:trPr>
        <w:tc>
          <w:tcPr>
            <w:tcW w:type="dxa" w:w="2436"/>
            <w:vAlign w:val="center"/>
          </w:tcPr>
          <w:p>
            <w:pPr>
              <w:spacing w:line="276" w:lineRule="auto" w:before="0" w:after="0"/>
            </w:pPr>
            <w:r/>
            <w:r>
              <w:rPr>
                <w:rFonts w:ascii="Figtree" w:hAnsi="Figtree"/>
                <w:b w:val="0"/>
                <w:i w:val="0"/>
                <w:sz w:val="20"/>
              </w:rPr>
              <w:t>Cloud infrastructure</w:t>
            </w:r>
          </w:p>
        </w:tc>
        <w:tc>
          <w:tcPr>
            <w:tcW w:type="dxa" w:w="2436"/>
            <w:vAlign w:val="center"/>
          </w:tcPr>
          <w:p>
            <w:pPr>
              <w:spacing w:line="276" w:lineRule="auto" w:before="0" w:after="0"/>
            </w:pPr>
            <w:r/>
            <w:r>
              <w:rPr>
                <w:rFonts w:ascii="Figtree" w:hAnsi="Figtree"/>
                <w:b w:val="0"/>
                <w:i w:val="0"/>
                <w:sz w:val="20"/>
              </w:rPr>
              <w:t>OVHcloud or Azure France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Multi-cloud capable</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Azure Key Vault / OVH KMS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HSM option</w:t>
            </w:r>
          </w:p>
        </w:tc>
      </w:tr>
      <w:tr>
        <w:trPr>
          <w:trHeight w:val="425" w:hRule="atLeast"/>
        </w:trPr>
        <w:tc>
          <w:tcPr>
            <w:tcW w:type="dxa" w:w="2436"/>
            <w:vAlign w:val="center"/>
          </w:tcPr>
          <w:p>
            <w:pPr>
              <w:spacing w:line="276" w:lineRule="auto" w:before="0" w:after="0"/>
            </w:pPr>
            <w:r/>
            <w:r>
              <w:rPr>
                <w:rFonts w:ascii="Figtree" w:hAnsi="Figtree"/>
                <w:b w:val="0"/>
                <w:i w:val="0"/>
                <w:sz w:val="20"/>
              </w:rPr>
              <w:t>Blockchain</w:t>
            </w:r>
          </w:p>
        </w:tc>
        <w:tc>
          <w:tcPr>
            <w:tcW w:type="dxa" w:w="2436"/>
            <w:vAlign w:val="center"/>
          </w:tcPr>
          <w:p>
            <w:pPr>
              <w:spacing w:line="276" w:lineRule="auto" w:before="0" w:after="0"/>
            </w:pPr>
            <w:r/>
            <w:r>
              <w:rPr>
                <w:rFonts w:ascii="Figtree" w:hAnsi="Figtree"/>
                <w:b w:val="0"/>
                <w:i w:val="0"/>
                <w:sz w:val="20"/>
              </w:rPr>
              <w:t>Hyperledger Besu</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Any EVM-compatible</w:t>
            </w:r>
          </w:p>
        </w:tc>
      </w:tr>
      <w:tr>
        <w:trPr>
          <w:trHeight w:val="425" w:hRule="atLeast"/>
        </w:trPr>
        <w:tc>
          <w:tcPr>
            <w:tcW w:type="dxa" w:w="2436"/>
            <w:vAlign w:val="center"/>
          </w:tcPr>
          <w:p>
            <w:pPr>
              <w:spacing w:line="276" w:lineRule="auto" w:before="0" w:after="0"/>
            </w:pPr>
            <w:r/>
            <w:r>
              <w:rPr>
                <w:rFonts w:ascii="Figtree" w:hAnsi="Figtree"/>
                <w:b w:val="0"/>
                <w:i w:val="0"/>
                <w:sz w:val="20"/>
              </w:rPr>
              <w:t>AML/KYC</w:t>
            </w:r>
          </w:p>
        </w:tc>
        <w:tc>
          <w:tcPr>
            <w:tcW w:type="dxa" w:w="2436"/>
            <w:vAlign w:val="center"/>
          </w:tcPr>
          <w:p>
            <w:pPr>
              <w:spacing w:line="276" w:lineRule="auto" w:before="0" w:after="0"/>
            </w:pPr>
            <w:r/>
            <w:r>
              <w:rPr>
                <w:rFonts w:ascii="Figtree" w:hAnsi="Figtree"/>
                <w:b w:val="0"/>
                <w:i w:val="0"/>
                <w:sz w:val="20"/>
              </w:rPr>
              <w:t>CSE-selected (Accuity, ACAM-aligned)</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Provider-agnostic API</w:t>
            </w:r>
          </w:p>
        </w:tc>
      </w:tr>
      <w:tr>
        <w:trPr>
          <w:trHeight w:val="425" w:hRule="atLeast"/>
        </w:trPr>
        <w:tc>
          <w:tcPr>
            <w:tcW w:type="dxa" w:w="2436"/>
            <w:vAlign w:val="center"/>
          </w:tcPr>
          <w:p>
            <w:pPr>
              <w:spacing w:line="276" w:lineRule="auto" w:before="0" w:after="0"/>
            </w:pPr>
            <w:r/>
            <w:r>
              <w:rPr>
                <w:rFonts w:ascii="Figtree" w:hAnsi="Figtree"/>
                <w:b w:val="0"/>
                <w:i w:val="0"/>
                <w:sz w:val="20"/>
              </w:rPr>
              <w:t>Maroclear connectivity</w:t>
            </w:r>
          </w:p>
        </w:tc>
        <w:tc>
          <w:tcPr>
            <w:tcW w:type="dxa" w:w="2436"/>
            <w:vAlign w:val="center"/>
          </w:tcPr>
          <w:p>
            <w:pPr>
              <w:spacing w:line="276" w:lineRule="auto" w:before="0" w:after="0"/>
            </w:pPr>
            <w:r/>
            <w:r>
              <w:rPr>
                <w:rFonts w:ascii="Figtree" w:hAnsi="Figtree"/>
                <w:b w:val="0"/>
                <w:i w:val="0"/>
                <w:sz w:val="20"/>
              </w:rPr>
              <w:t>CSE/Maroclear arrangement</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No substitution — primary CSD</w:t>
            </w:r>
          </w:p>
        </w:tc>
      </w:tr>
      <w:tr>
        <w:trPr>
          <w:trHeight w:val="425" w:hRule="atLeast"/>
        </w:trPr>
        <w:tc>
          <w:tcPr>
            <w:tcW w:type="dxa" w:w="2436"/>
            <w:vAlign w:val="center"/>
          </w:tcPr>
          <w:p>
            <w:pPr>
              <w:spacing w:line="276" w:lineRule="auto" w:before="0" w:after="0"/>
            </w:pPr>
            <w:r/>
            <w:r>
              <w:rPr>
                <w:rFonts w:ascii="Figtree" w:hAnsi="Figtree"/>
                <w:b w:val="0"/>
                <w:i w:val="0"/>
                <w:sz w:val="20"/>
              </w:rPr>
              <w:t>Custody</w:t>
            </w:r>
          </w:p>
        </w:tc>
        <w:tc>
          <w:tcPr>
            <w:tcW w:type="dxa" w:w="2436"/>
            <w:vAlign w:val="center"/>
          </w:tcPr>
          <w:p>
            <w:pPr>
              <w:spacing w:line="276" w:lineRule="auto" w:before="0" w:after="0"/>
            </w:pPr>
            <w:r/>
            <w:r>
              <w:rPr>
                <w:rFonts w:ascii="Figtree" w:hAnsi="Figtree"/>
                <w:b w:val="0"/>
                <w:i w:val="0"/>
                <w:sz w:val="20"/>
              </w:rPr>
              <w:t>Fireblocks/DFNS/Client HSM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Multiple providers supported</w:t>
            </w:r>
          </w:p>
        </w:tc>
      </w:tr>
    </w:tbl>
    <w:p>
      <w:pPr>
        <w:spacing w:before="0" w:after="0" w:line="120" w:lineRule="exact"/>
      </w:pPr>
    </w:p>
    <w:p>
      <w:r>
        <w:br w:type="page"/>
      </w:r>
    </w:p>
    <w:p>
      <w:r>
        <w:rPr>
          <w:rFonts w:ascii="Figtree" w:hAnsi="Figtree"/>
          <w:b w:val="0"/>
          <w:i/>
          <w:sz w:val="22"/>
        </w:rPr>
        <w:t>End of Technical Proposal — Casablanca Stock Exchange</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