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DIFC Digital Asset Regulatory Sandbox Platform</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Context and Strategic Drivers</w:t>
          </w:r>
          <w:r>
            <w:tab/>
          </w:r>
          <w:r>
            <w:t xml:space="preserve">6</w:t>
          </w:r>
        </w:p>
        <w:p>
          <w:pPr>
            <w:pStyle w:val="TOC2"/>
            <w:tabs>
              <w:tab w:val="right" w:leader="dot" w:pos="9072"/>
            </w:tabs>
          </w:pPr>
          <w:r>
            <w:t xml:space="preserve">1.2 Why This Programme Is Hard</w:t>
          </w:r>
          <w:r>
            <w:tab/>
          </w:r>
          <w:r>
            <w:t xml:space="preserve">7</w:t>
          </w:r>
        </w:p>
        <w:p>
          <w:pPr>
            <w:pStyle w:val="TOC2"/>
            <w:tabs>
              <w:tab w:val="right" w:leader="dot" w:pos="9072"/>
            </w:tabs>
          </w:pPr>
          <w:r>
            <w:t xml:space="preserve">1.3 Proposed Response</w:t>
          </w:r>
          <w:r>
            <w:tab/>
          </w:r>
          <w:r>
            <w:t xml:space="preserve">8</w:t>
          </w:r>
        </w:p>
        <w:p>
          <w:pPr>
            <w:pStyle w:val="TOC2"/>
            <w:tabs>
              <w:tab w:val="right" w:leader="dot" w:pos="9072"/>
            </w:tabs>
          </w:pPr>
          <w:r>
            <w:t xml:space="preserve">1.4 Why SettleMint</w:t>
          </w:r>
          <w:r>
            <w:tab/>
          </w:r>
          <w:r>
            <w:t xml:space="preserve">9</w:t>
          </w:r>
        </w:p>
        <w:p>
          <w:pPr>
            <w:pStyle w:val="TOC2"/>
            <w:tabs>
              <w:tab w:val="right" w:leader="dot" w:pos="9072"/>
            </w:tabs>
          </w:pPr>
          <w:r>
            <w:t xml:space="preserve">1.5 Why DALP</w:t>
          </w:r>
          <w:r>
            <w:tab/>
          </w:r>
          <w:r>
            <w:t xml:space="preserve">10</w:t>
          </w:r>
        </w:p>
        <w:p>
          <w:pPr>
            <w:pStyle w:val="TOC2"/>
            <w:tabs>
              <w:tab w:val="right" w:leader="dot" w:pos="9072"/>
            </w:tabs>
          </w:pPr>
          <w:r>
            <w:t xml:space="preserve">1.6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History and Market Position</w:t>
          </w:r>
          <w:r>
            <w:tab/>
          </w:r>
          <w:r>
            <w:t xml:space="preserve">14</w:t>
          </w:r>
        </w:p>
        <w:p>
          <w:pPr>
            <w:pStyle w:val="TOC2"/>
            <w:tabs>
              <w:tab w:val="right" w:leader="dot" w:pos="9072"/>
            </w:tabs>
          </w:pPr>
          <w:r>
            <w:t xml:space="preserve">2.3 Production Credentials</w:t>
          </w:r>
          <w:r>
            <w:tab/>
          </w:r>
          <w:r>
            <w:t xml:space="preserve">15</w:t>
          </w:r>
        </w:p>
        <w:p>
          <w:pPr>
            <w:pStyle w:val="TOC2"/>
            <w:tabs>
              <w:tab w:val="right" w:leader="dot" w:pos="9072"/>
            </w:tabs>
          </w:pPr>
          <w:r>
            <w:t xml:space="preserve">2.4 Regulatory Readiness</w:t>
          </w:r>
          <w:r>
            <w:tab/>
          </w:r>
          <w:r>
            <w:t xml:space="preserve">16</w:t>
          </w:r>
        </w:p>
        <w:p>
          <w:pPr>
            <w:pStyle w:val="TOC2"/>
            <w:tabs>
              <w:tab w:val="right" w:leader="dot" w:pos="9072"/>
            </w:tabs>
          </w:pPr>
          <w:r>
            <w:t xml:space="preserve">2.5 Team and Delivery Capability</w:t>
          </w:r>
          <w:r>
            <w:tab/>
          </w:r>
          <w:r>
            <w:t xml:space="preserve">17</w:t>
          </w:r>
        </w:p>
        <w:p>
          <w:pPr>
            <w:pStyle w:val="TOC2"/>
            <w:tabs>
              <w:tab w:val="right" w:leader="dot" w:pos="9072"/>
            </w:tabs>
          </w:pPr>
          <w:r>
            <w:t xml:space="preserve">2.6 Ecosystem and Partnerships</w:t>
          </w:r>
          <w:r>
            <w:tab/>
          </w:r>
          <w:r>
            <w:t xml:space="preserve">18</w:t>
          </w:r>
        </w:p>
        <w:p>
          <w:pPr>
            <w:pStyle w:val="TOC2"/>
            <w:tabs>
              <w:tab w:val="right" w:leader="dot" w:pos="9072"/>
            </w:tabs>
          </w:pPr>
          <w:r>
            <w:t xml:space="preserve">2.7 Why Relevant to This Bid</w:t>
          </w:r>
          <w:r>
            <w:tab/>
          </w:r>
          <w:r>
            <w:t xml:space="preserve">19</w:t>
          </w:r>
        </w:p>
        <w:p>
          <w:pPr>
            <w:pStyle w:val="TOC1"/>
            <w:tabs>
              <w:tab w:val="right" w:leader="dot" w:pos="9072"/>
            </w:tabs>
          </w:pPr>
          <w:r>
            <w:t xml:space="preserve">3. About DALP</w:t>
          </w:r>
          <w:r>
            <w:tab/>
          </w:r>
          <w:r>
            <w:t xml:space="preserve">20</w:t>
          </w:r>
        </w:p>
        <w:p>
          <w:pPr>
            <w:pStyle w:val="TOC2"/>
            <w:tabs>
              <w:tab w:val="right" w:leader="dot" w:pos="9072"/>
            </w:tabs>
          </w:pPr>
          <w:r>
            <w:t xml:space="preserve">3.1 Platform Overview</w:t>
          </w:r>
          <w:r>
            <w:tab/>
          </w:r>
          <w:r>
            <w:t xml:space="preserve">21</w:t>
          </w:r>
        </w:p>
        <w:p>
          <w:pPr>
            <w:pStyle w:val="TOC2"/>
            <w:tabs>
              <w:tab w:val="right" w:leader="dot" w:pos="9072"/>
            </w:tabs>
          </w:pPr>
          <w:r>
            <w:t xml:space="preserve">3.2 Core Lifecycle Pillars</w:t>
          </w:r>
          <w:r>
            <w:tab/>
          </w:r>
          <w:r>
            <w:t xml:space="preserve">22</w:t>
          </w:r>
        </w:p>
        <w:p>
          <w:pPr>
            <w:pStyle w:val="TOC3"/>
            <w:tabs>
              <w:tab w:val="right" w:leader="dot" w:pos="9072"/>
            </w:tabs>
          </w:pPr>
          <w:r>
            <w:t xml:space="preserve">Issuance</w:t>
          </w:r>
          <w:r>
            <w:tab/>
          </w:r>
          <w:r>
            <w:t xml:space="preserve">23</w:t>
          </w:r>
        </w:p>
        <w:p>
          <w:pPr>
            <w:pStyle w:val="TOC3"/>
            <w:tabs>
              <w:tab w:val="right" w:leader="dot" w:pos="9072"/>
            </w:tabs>
          </w:pPr>
          <w:r>
            <w:t xml:space="preserve">Compliance</w:t>
          </w:r>
          <w:r>
            <w:tab/>
          </w:r>
          <w:r>
            <w:t xml:space="preserve">24</w:t>
          </w:r>
        </w:p>
        <w:p>
          <w:pPr>
            <w:pStyle w:val="TOC3"/>
            <w:tabs>
              <w:tab w:val="right" w:leader="dot" w:pos="9072"/>
            </w:tabs>
          </w:pPr>
          <w:r>
            <w:t xml:space="preserve">Custody</w:t>
          </w:r>
          <w:r>
            <w:tab/>
          </w:r>
          <w:r>
            <w:t xml:space="preserve">25</w:t>
          </w:r>
        </w:p>
        <w:p>
          <w:pPr>
            <w:pStyle w:val="TOC3"/>
            <w:tabs>
              <w:tab w:val="right" w:leader="dot" w:pos="9072"/>
            </w:tabs>
          </w:pPr>
          <w:r>
            <w:t xml:space="preserve">Settlement</w:t>
          </w:r>
          <w:r>
            <w:tab/>
          </w:r>
          <w:r>
            <w:t xml:space="preserve">26</w:t>
          </w:r>
        </w:p>
        <w:p>
          <w:pPr>
            <w:pStyle w:val="TOC3"/>
            <w:tabs>
              <w:tab w:val="right" w:leader="dot" w:pos="9072"/>
            </w:tabs>
          </w:pPr>
          <w:r>
            <w:t xml:space="preserve">Servicing</w:t>
          </w:r>
          <w:r>
            <w:tab/>
          </w:r>
          <w:r>
            <w:t xml:space="preserve">27</w:t>
          </w:r>
        </w:p>
        <w:p>
          <w:pPr>
            <w:pStyle w:val="TOC2"/>
            <w:tabs>
              <w:tab w:val="right" w:leader="dot" w:pos="9072"/>
            </w:tabs>
          </w:pPr>
          <w:r>
            <w:t xml:space="preserve">3.3 Platform Foundations</w:t>
          </w:r>
          <w:r>
            <w:tab/>
          </w:r>
          <w:r>
            <w:t xml:space="preserve">28</w:t>
          </w:r>
        </w:p>
        <w:p>
          <w:pPr>
            <w:pStyle w:val="TOC3"/>
            <w:tabs>
              <w:tab w:val="right" w:leader="dot" w:pos="9072"/>
            </w:tabs>
          </w:pPr>
          <w:r>
            <w:t xml:space="preserve">Identity and Access</w:t>
          </w:r>
          <w:r>
            <w:tab/>
          </w:r>
          <w:r>
            <w:t xml:space="preserve">29</w:t>
          </w:r>
        </w:p>
        <w:p>
          <w:pPr>
            <w:pStyle w:val="TOC3"/>
            <w:tabs>
              <w:tab w:val="right" w:leader="dot" w:pos="9072"/>
            </w:tabs>
          </w:pPr>
          <w:r>
            <w:t xml:space="preserve">Integration and Interoperability</w:t>
          </w:r>
          <w:r>
            <w:tab/>
          </w:r>
          <w:r>
            <w:t xml:space="preserve">30</w:t>
          </w:r>
        </w:p>
        <w:p>
          <w:pPr>
            <w:pStyle w:val="TOC3"/>
            <w:tabs>
              <w:tab w:val="right" w:leader="dot" w:pos="9072"/>
            </w:tabs>
          </w:pPr>
          <w:r>
            <w:t xml:space="preserve">Observability and Operations</w:t>
          </w:r>
          <w:r>
            <w:tab/>
          </w:r>
          <w:r>
            <w:t xml:space="preserve">31</w:t>
          </w:r>
        </w:p>
        <w:p>
          <w:pPr>
            <w:pStyle w:val="TOC2"/>
            <w:tabs>
              <w:tab w:val="right" w:leader="dot" w:pos="9072"/>
            </w:tabs>
          </w:pPr>
          <w:r>
            <w:t xml:space="preserve">3.4 Supported Asset Classes</w:t>
          </w:r>
          <w:r>
            <w:tab/>
          </w:r>
          <w:r>
            <w:t xml:space="preserve">32</w:t>
          </w:r>
        </w:p>
        <w:p>
          <w:pPr>
            <w:pStyle w:val="TOC2"/>
            <w:tabs>
              <w:tab w:val="right" w:leader="dot" w:pos="9072"/>
            </w:tabs>
          </w:pPr>
          <w:r>
            <w:t xml:space="preserve">3.5 Standards and Protocols</w:t>
          </w:r>
          <w:r>
            <w:tab/>
          </w:r>
          <w:r>
            <w:t xml:space="preserve">33</w:t>
          </w:r>
        </w:p>
        <w:p>
          <w:pPr>
            <w:pStyle w:val="TOC2"/>
            <w:tabs>
              <w:tab w:val="right" w:leader="dot" w:pos="9072"/>
            </w:tabs>
          </w:pPr>
          <w:r>
            <w:t xml:space="preserve">3.6 Key Differentiators</w:t>
          </w:r>
          <w:r>
            <w:tab/>
          </w:r>
          <w:r>
            <w:t xml:space="preserve">34</w:t>
          </w:r>
        </w:p>
        <w:p>
          <w:pPr>
            <w:pStyle w:val="TOC1"/>
            <w:tabs>
              <w:tab w:val="right" w:leader="dot" w:pos="9072"/>
            </w:tabs>
          </w:pPr>
          <w:r>
            <w:t xml:space="preserve">4. Customer References</w:t>
          </w:r>
          <w:r>
            <w:tab/>
          </w:r>
          <w:r>
            <w:t xml:space="preserve">35</w:t>
          </w:r>
        </w:p>
        <w:p>
          <w:pPr>
            <w:pStyle w:val="TOC2"/>
            <w:tabs>
              <w:tab w:val="right" w:leader="dot" w:pos="9072"/>
            </w:tabs>
          </w:pPr>
          <w:r>
            <w:t xml:space="preserve">4.1 Summary Table</w:t>
          </w:r>
          <w:r>
            <w:tab/>
          </w:r>
          <w:r>
            <w:t xml:space="preserve">36</w:t>
          </w:r>
        </w:p>
        <w:p>
          <w:pPr>
            <w:pStyle w:val="TOC2"/>
            <w:tabs>
              <w:tab w:val="right" w:leader="dot" w:pos="9072"/>
            </w:tabs>
          </w:pPr>
          <w:r>
            <w:t xml:space="preserve">4.2 Saudi Arabia Real Estate Registry</w:t>
          </w:r>
          <w:r>
            <w:tab/>
          </w:r>
          <w:r>
            <w:t xml:space="preserve">37</w:t>
          </w:r>
        </w:p>
        <w:p>
          <w:pPr>
            <w:pStyle w:val="TOC2"/>
            <w:tabs>
              <w:tab w:val="right" w:leader="dot" w:pos="9072"/>
            </w:tabs>
          </w:pPr>
          <w:r>
            <w:t xml:space="preserve">4.3 Standard Chartered Bank Digital Virtual Exchange</w:t>
          </w:r>
          <w:r>
            <w:tab/>
          </w:r>
          <w:r>
            <w:t xml:space="preserve">38</w:t>
          </w:r>
        </w:p>
        <w:p>
          <w:pPr>
            <w:pStyle w:val="TOC2"/>
            <w:tabs>
              <w:tab w:val="right" w:leader="dot" w:pos="9072"/>
            </w:tabs>
          </w:pPr>
          <w:r>
            <w:t xml:space="preserve">4.4 Commerzbank Hybrid ETP Issuance</w:t>
          </w:r>
          <w:r>
            <w:tab/>
          </w:r>
          <w:r>
            <w:t xml:space="preserve">39</w:t>
          </w:r>
        </w:p>
        <w:p>
          <w:pPr>
            <w:pStyle w:val="TOC1"/>
            <w:tabs>
              <w:tab w:val="right" w:leader="dot" w:pos="9072"/>
            </w:tabs>
          </w:pPr>
          <w:r>
            <w:t xml:space="preserve">5. Understanding of Requirements</w:t>
          </w:r>
          <w:r>
            <w:tab/>
          </w:r>
          <w:r>
            <w:t xml:space="preserve">40</w:t>
          </w:r>
        </w:p>
        <w:p>
          <w:pPr>
            <w:pStyle w:val="TOC2"/>
            <w:tabs>
              <w:tab w:val="right" w:leader="dot" w:pos="9072"/>
            </w:tabs>
          </w:pPr>
          <w:r>
            <w:t xml:space="preserve">5.1 Client Context</w:t>
          </w:r>
          <w:r>
            <w:tab/>
          </w:r>
          <w:r>
            <w:t xml:space="preserve">41</w:t>
          </w:r>
        </w:p>
        <w:p>
          <w:pPr>
            <w:pStyle w:val="TOC2"/>
            <w:tabs>
              <w:tab w:val="right" w:leader="dot" w:pos="9072"/>
            </w:tabs>
          </w:pPr>
          <w:r>
            <w:t xml:space="preserve">5.2 Requirement Domains</w:t>
          </w:r>
          <w:r>
            <w:tab/>
          </w:r>
          <w:r>
            <w:t xml:space="preserve">42</w:t>
          </w:r>
        </w:p>
        <w:p>
          <w:pPr>
            <w:pStyle w:val="TOC2"/>
            <w:tabs>
              <w:tab w:val="right" w:leader="dot" w:pos="9072"/>
            </w:tabs>
          </w:pPr>
          <w:r>
            <w:t xml:space="preserve">5.3 Key Challenges</w:t>
          </w:r>
          <w:r>
            <w:tab/>
          </w:r>
          <w:r>
            <w:t xml:space="preserve">43</w:t>
          </w:r>
        </w:p>
        <w:p>
          <w:pPr>
            <w:pStyle w:val="TOC3"/>
            <w:tabs>
              <w:tab w:val="right" w:leader="dot" w:pos="9072"/>
            </w:tabs>
          </w:pPr>
          <w:r>
            <w:t xml:space="preserve">Challenge 1: Regulatory Evolvability</w:t>
          </w:r>
          <w:r>
            <w:tab/>
          </w:r>
          <w:r>
            <w:t xml:space="preserve">44</w:t>
          </w:r>
        </w:p>
        <w:p>
          <w:pPr>
            <w:pStyle w:val="TOC3"/>
            <w:tabs>
              <w:tab w:val="right" w:leader="dot" w:pos="9072"/>
            </w:tabs>
          </w:pPr>
          <w:r>
            <w:t xml:space="preserve">Challenge 2: Multi-Participant Governance</w:t>
          </w:r>
          <w:r>
            <w:tab/>
          </w:r>
          <w:r>
            <w:t xml:space="preserve">45</w:t>
          </w:r>
        </w:p>
        <w:p>
          <w:pPr>
            <w:pStyle w:val="TOC3"/>
            <w:tabs>
              <w:tab w:val="right" w:leader="dot" w:pos="9072"/>
            </w:tabs>
          </w:pPr>
          <w:r>
            <w:t xml:space="preserve">Challenge 3: Sandbox-to-Production Transition</w:t>
          </w:r>
          <w:r>
            <w:tab/>
          </w:r>
          <w:r>
            <w:t xml:space="preserve">46</w:t>
          </w:r>
        </w:p>
        <w:p>
          <w:pPr>
            <w:pStyle w:val="TOC3"/>
            <w:tabs>
              <w:tab w:val="right" w:leader="dot" w:pos="9072"/>
            </w:tabs>
          </w:pPr>
          <w:r>
            <w:t xml:space="preserve">Challenge 4: Integration with DIFC Ecosystem</w:t>
          </w:r>
          <w:r>
            <w:tab/>
          </w:r>
          <w:r>
            <w:t xml:space="preserve">47</w:t>
          </w:r>
        </w:p>
        <w:p>
          <w:pPr>
            <w:pStyle w:val="TOC3"/>
            <w:tabs>
              <w:tab w:val="right" w:leader="dot" w:pos="9072"/>
            </w:tabs>
          </w:pPr>
          <w:r>
            <w:t xml:space="preserve">Challenge 5: Operational Complexity</w:t>
          </w:r>
          <w:r>
            <w:tab/>
          </w:r>
          <w:r>
            <w:t xml:space="preserve">48</w:t>
          </w:r>
        </w:p>
        <w:p>
          <w:pPr>
            <w:pStyle w:val="TOC1"/>
            <w:tabs>
              <w:tab w:val="right" w:leader="dot" w:pos="9072"/>
            </w:tabs>
          </w:pPr>
          <w:r>
            <w:t xml:space="preserve">6. Proposed Solution and Functional Capabilities</w:t>
          </w:r>
          <w:r>
            <w:tab/>
          </w:r>
          <w:r>
            <w:t xml:space="preserve">49</w:t>
          </w:r>
        </w:p>
        <w:p>
          <w:pPr>
            <w:pStyle w:val="TOC2"/>
            <w:tabs>
              <w:tab w:val="right" w:leader="dot" w:pos="9072"/>
            </w:tabs>
          </w:pPr>
          <w:r>
            <w:t xml:space="preserve">6.1 Solution Overview</w:t>
          </w:r>
          <w:r>
            <w:tab/>
          </w:r>
          <w:r>
            <w:t xml:space="preserve">50</w:t>
          </w:r>
        </w:p>
        <w:p>
          <w:pPr>
            <w:pStyle w:val="TOC2"/>
            <w:tabs>
              <w:tab w:val="right" w:leader="dot" w:pos="9072"/>
            </w:tabs>
          </w:pPr>
          <w:r>
            <w:t xml:space="preserve">6.2 Issuance and Asset Configuration</w:t>
          </w:r>
          <w:r>
            <w:tab/>
          </w:r>
          <w:r>
            <w:t xml:space="preserve">51</w:t>
          </w:r>
        </w:p>
        <w:p>
          <w:pPr>
            <w:pStyle w:val="TOC2"/>
            <w:tabs>
              <w:tab w:val="right" w:leader="dot" w:pos="9072"/>
            </w:tabs>
          </w:pPr>
          <w:r>
            <w:t xml:space="preserve">6.3 Identity and Eligibility</w:t>
          </w:r>
          <w:r>
            <w:tab/>
          </w:r>
          <w:r>
            <w:t xml:space="preserve">52</w:t>
          </w:r>
        </w:p>
        <w:p>
          <w:pPr>
            <w:pStyle w:val="TOC2"/>
            <w:tabs>
              <w:tab w:val="right" w:leader="dot" w:pos="9072"/>
            </w:tabs>
          </w:pPr>
          <w:r>
            <w:t xml:space="preserve">6.4 Compliance Configuration</w:t>
          </w:r>
          <w:r>
            <w:tab/>
          </w:r>
          <w:r>
            <w:t xml:space="preserve">53</w:t>
          </w:r>
        </w:p>
        <w:p>
          <w:pPr>
            <w:pStyle w:val="TOC2"/>
            <w:tabs>
              <w:tab w:val="right" w:leader="dot" w:pos="9072"/>
            </w:tabs>
          </w:pPr>
          <w:r>
            <w:t xml:space="preserve">6.5 Settlement Capabilities</w:t>
          </w:r>
          <w:r>
            <w:tab/>
          </w:r>
          <w:r>
            <w:t xml:space="preserve">54</w:t>
          </w:r>
        </w:p>
        <w:p>
          <w:pPr>
            <w:pStyle w:val="TOC3"/>
            <w:tabs>
              <w:tab w:val="right" w:leader="dot" w:pos="9072"/>
            </w:tabs>
          </w:pPr>
          <w:r>
            <w:t xml:space="preserve">DvP (Delivery-versus-Payment)</w:t>
          </w:r>
          <w:r>
            <w:tab/>
          </w:r>
          <w:r>
            <w:t xml:space="preserve">55</w:t>
          </w:r>
        </w:p>
        <w:p>
          <w:pPr>
            <w:pStyle w:val="TOC3"/>
            <w:tabs>
              <w:tab w:val="right" w:leader="dot" w:pos="9072"/>
            </w:tabs>
          </w:pPr>
          <w:r>
            <w:t xml:space="preserve">XvP (Exchange versus Payment)</w:t>
          </w:r>
          <w:r>
            <w:tab/>
          </w:r>
          <w:r>
            <w:t xml:space="preserve">56</w:t>
          </w:r>
        </w:p>
        <w:p>
          <w:pPr>
            <w:pStyle w:val="TOC3"/>
            <w:tabs>
              <w:tab w:val="right" w:leader="dot" w:pos="9072"/>
            </w:tabs>
          </w:pPr>
          <w:r>
            <w:t xml:space="preserve">Cross-Chain Settlement</w:t>
          </w:r>
          <w:r>
            <w:tab/>
          </w:r>
          <w:r>
            <w:t xml:space="preserve">57</w:t>
          </w:r>
        </w:p>
        <w:p>
          <w:pPr>
            <w:pStyle w:val="TOC2"/>
            <w:tabs>
              <w:tab w:val="right" w:leader="dot" w:pos="9072"/>
            </w:tabs>
          </w:pPr>
          <w:r>
            <w:t xml:space="preserve">6.6 Participant Onboarding Flow</w:t>
          </w:r>
          <w:r>
            <w:tab/>
          </w:r>
          <w:r>
            <w:t xml:space="preserve">58</w:t>
          </w:r>
        </w:p>
        <w:p>
          <w:pPr>
            <w:pStyle w:val="TOC2"/>
            <w:tabs>
              <w:tab w:val="right" w:leader="dot" w:pos="9072"/>
            </w:tabs>
          </w:pPr>
          <w:r>
            <w:t xml:space="preserve">6.7 Role-Based Access Control</w:t>
          </w:r>
          <w:r>
            <w:tab/>
          </w:r>
          <w:r>
            <w:t xml:space="preserve">59</w:t>
          </w:r>
        </w:p>
        <w:p>
          <w:pPr>
            <w:pStyle w:val="TOC1"/>
            <w:tabs>
              <w:tab w:val="right" w:leader="dot" w:pos="9072"/>
            </w:tabs>
          </w:pPr>
          <w:r>
            <w:t xml:space="preserve">7. Technical Architecture</w:t>
          </w:r>
          <w:r>
            <w:tab/>
          </w:r>
          <w:r>
            <w:t xml:space="preserve">60</w:t>
          </w:r>
        </w:p>
        <w:p>
          <w:pPr>
            <w:pStyle w:val="TOC2"/>
            <w:tabs>
              <w:tab w:val="right" w:leader="dot" w:pos="9072"/>
            </w:tabs>
          </w:pPr>
          <w:r>
            <w:t xml:space="preserve">7.1 Architecture Overview</w:t>
          </w:r>
          <w:r>
            <w:tab/>
          </w:r>
          <w:r>
            <w:t xml:space="preserve">61</w:t>
          </w:r>
        </w:p>
        <w:p>
          <w:pPr>
            <w:pStyle w:val="TOC3"/>
            <w:tabs>
              <w:tab w:val="right" w:leader="dot" w:pos="9072"/>
            </w:tabs>
          </w:pPr>
          <w:r>
            <w:t xml:space="preserve">Application Layer</w:t>
          </w:r>
          <w:r>
            <w:tab/>
          </w:r>
          <w:r>
            <w:t xml:space="preserve">62</w:t>
          </w:r>
        </w:p>
        <w:p>
          <w:pPr>
            <w:pStyle w:val="TOC3"/>
            <w:tabs>
              <w:tab w:val="right" w:leader="dot" w:pos="9072"/>
            </w:tabs>
          </w:pPr>
          <w:r>
            <w:t xml:space="preserve">API Layer</w:t>
          </w:r>
          <w:r>
            <w:tab/>
          </w:r>
          <w:r>
            <w:t xml:space="preserve">63</w:t>
          </w:r>
        </w:p>
        <w:p>
          <w:pPr>
            <w:pStyle w:val="TOC3"/>
            <w:tabs>
              <w:tab w:val="right" w:leader="dot" w:pos="9072"/>
            </w:tabs>
          </w:pPr>
          <w:r>
            <w:t xml:space="preserve">Middleware Layer</w:t>
          </w:r>
          <w:r>
            <w:tab/>
          </w:r>
          <w:r>
            <w:t xml:space="preserve">64</w:t>
          </w:r>
        </w:p>
        <w:p>
          <w:pPr>
            <w:pStyle w:val="TOC3"/>
            <w:tabs>
              <w:tab w:val="right" w:leader="dot" w:pos="9072"/>
            </w:tabs>
          </w:pPr>
          <w:r>
            <w:t xml:space="preserve">Smart Contract Layer</w:t>
          </w:r>
          <w:r>
            <w:tab/>
          </w:r>
          <w:r>
            <w:t xml:space="preserve">65</w:t>
          </w:r>
        </w:p>
        <w:p>
          <w:pPr>
            <w:pStyle w:val="TOC2"/>
            <w:tabs>
              <w:tab w:val="right" w:leader="dot" w:pos="9072"/>
            </w:tabs>
          </w:pPr>
          <w:r>
            <w:t xml:space="preserve">7.2 EVM-Native Design</w:t>
          </w:r>
          <w:r>
            <w:tab/>
          </w:r>
          <w:r>
            <w:t xml:space="preserve">66</w:t>
          </w:r>
        </w:p>
        <w:p>
          <w:pPr>
            <w:pStyle w:val="TOC2"/>
            <w:tabs>
              <w:tab w:val="right" w:leader="dot" w:pos="9072"/>
            </w:tabs>
          </w:pPr>
          <w:r>
            <w:t xml:space="preserve">7.3 Infrastructure Components</w:t>
          </w:r>
          <w:r>
            <w:tab/>
          </w:r>
          <w:r>
            <w:t xml:space="preserve">67</w:t>
          </w:r>
        </w:p>
        <w:p>
          <w:pPr>
            <w:pStyle w:val="TOC2"/>
            <w:tabs>
              <w:tab w:val="right" w:leader="dot" w:pos="9072"/>
            </w:tabs>
          </w:pPr>
          <w:r>
            <w:t xml:space="preserve">7.4 Data Flow Architecture</w:t>
          </w:r>
          <w:r>
            <w:tab/>
          </w:r>
          <w:r>
            <w:t xml:space="preserve">68</w:t>
          </w:r>
        </w:p>
        <w:p>
          <w:pPr>
            <w:pStyle w:val="TOC2"/>
            <w:tabs>
              <w:tab w:val="right" w:leader="dot" w:pos="9072"/>
            </w:tabs>
          </w:pPr>
          <w:r>
            <w:t xml:space="preserve">7.5 API Architecture</w:t>
          </w:r>
          <w:r>
            <w:tab/>
          </w:r>
          <w:r>
            <w:t xml:space="preserve">69</w:t>
          </w:r>
        </w:p>
        <w:p>
          <w:pPr>
            <w:pStyle w:val="TOC2"/>
            <w:tabs>
              <w:tab w:val="right" w:leader="dot" w:pos="9072"/>
            </w:tabs>
          </w:pPr>
          <w:r>
            <w:t xml:space="preserve">7.6 Integration Points</w:t>
          </w:r>
          <w:r>
            <w:tab/>
          </w:r>
          <w:r>
            <w:t xml:space="preserve">70</w:t>
          </w:r>
        </w:p>
        <w:p>
          <w:pPr>
            <w:pStyle w:val="TOC1"/>
            <w:tabs>
              <w:tab w:val="right" w:leader="dot" w:pos="9072"/>
            </w:tabs>
          </w:pPr>
          <w:r>
            <w:t xml:space="preserve">8. Security</w:t>
          </w:r>
          <w:r>
            <w:tab/>
          </w:r>
          <w:r>
            <w:t xml:space="preserve">71</w:t>
          </w:r>
        </w:p>
        <w:p>
          <w:pPr>
            <w:pStyle w:val="TOC2"/>
            <w:tabs>
              <w:tab w:val="right" w:leader="dot" w:pos="9072"/>
            </w:tabs>
          </w:pPr>
          <w:r>
            <w:t xml:space="preserve">8.1 Security Architecture</w:t>
          </w:r>
          <w:r>
            <w:tab/>
          </w:r>
          <w:r>
            <w:t xml:space="preserve">72</w:t>
          </w:r>
        </w:p>
        <w:p>
          <w:pPr>
            <w:pStyle w:val="TOC3"/>
            <w:tabs>
              <w:tab w:val="right" w:leader="dot" w:pos="9072"/>
            </w:tabs>
          </w:pPr>
          <w:r>
            <w:t xml:space="preserve">Layer 1: Authentication</w:t>
          </w:r>
          <w:r>
            <w:tab/>
          </w:r>
          <w:r>
            <w:t xml:space="preserve">73</w:t>
          </w:r>
        </w:p>
        <w:p>
          <w:pPr>
            <w:pStyle w:val="TOC3"/>
            <w:tabs>
              <w:tab w:val="right" w:leader="dot" w:pos="9072"/>
            </w:tabs>
          </w:pPr>
          <w:r>
            <w:t xml:space="preserve">Layer 2: Authorization</w:t>
          </w:r>
          <w:r>
            <w:tab/>
          </w:r>
          <w:r>
            <w:t xml:space="preserve">74</w:t>
          </w:r>
        </w:p>
        <w:p>
          <w:pPr>
            <w:pStyle w:val="TOC3"/>
            <w:tabs>
              <w:tab w:val="right" w:leader="dot" w:pos="9072"/>
            </w:tabs>
          </w:pPr>
          <w:r>
            <w:t xml:space="preserve">Layer 3: Wallet Verification</w:t>
          </w:r>
          <w:r>
            <w:tab/>
          </w:r>
          <w:r>
            <w:t xml:space="preserve">75</w:t>
          </w:r>
        </w:p>
        <w:p>
          <w:pPr>
            <w:pStyle w:val="TOC3"/>
            <w:tabs>
              <w:tab w:val="right" w:leader="dot" w:pos="9072"/>
            </w:tabs>
          </w:pPr>
          <w:r>
            <w:t xml:space="preserve">Layer 4: Compliance Enforcement</w:t>
          </w:r>
          <w:r>
            <w:tab/>
          </w:r>
          <w:r>
            <w:t xml:space="preserve">76</w:t>
          </w:r>
        </w:p>
        <w:p>
          <w:pPr>
            <w:pStyle w:val="TOC3"/>
            <w:tabs>
              <w:tab w:val="right" w:leader="dot" w:pos="9072"/>
            </w:tabs>
          </w:pPr>
          <w:r>
            <w:t xml:space="preserve">Layer 5: Custody Policy</w:t>
          </w:r>
          <w:r>
            <w:tab/>
          </w:r>
          <w:r>
            <w:t xml:space="preserve">77</w:t>
          </w:r>
        </w:p>
        <w:p>
          <w:pPr>
            <w:pStyle w:val="TOC2"/>
            <w:tabs>
              <w:tab w:val="right" w:leader="dot" w:pos="9072"/>
            </w:tabs>
          </w:pPr>
          <w:r>
            <w:t xml:space="preserve">8.2 Certifications and Audits</w:t>
          </w:r>
          <w:r>
            <w:tab/>
          </w:r>
          <w:r>
            <w:t xml:space="preserve">78</w:t>
          </w:r>
        </w:p>
        <w:p>
          <w:pPr>
            <w:pStyle w:val="TOC2"/>
            <w:tabs>
              <w:tab w:val="right" w:leader="dot" w:pos="9072"/>
            </w:tabs>
          </w:pPr>
          <w:r>
            <w:t xml:space="preserve">8.3 Data Security</w:t>
          </w:r>
          <w:r>
            <w:tab/>
          </w:r>
          <w:r>
            <w:t xml:space="preserve">79</w:t>
          </w:r>
        </w:p>
        <w:p>
          <w:pPr>
            <w:pStyle w:val="TOC2"/>
            <w:tabs>
              <w:tab w:val="right" w:leader="dot" w:pos="9072"/>
            </w:tabs>
          </w:pPr>
          <w:r>
            <w:t xml:space="preserve">8.4 Access Control Matrix</w:t>
          </w:r>
          <w:r>
            <w:tab/>
          </w:r>
          <w:r>
            <w:t xml:space="preserve">80</w:t>
          </w:r>
        </w:p>
        <w:p>
          <w:pPr>
            <w:pStyle w:val="TOC2"/>
            <w:tabs>
              <w:tab w:val="right" w:leader="dot" w:pos="9072"/>
            </w:tabs>
          </w:pPr>
          <w:r>
            <w:t xml:space="preserve">8.5 Monitoring and Incident Response</w:t>
          </w:r>
          <w:r>
            <w:tab/>
          </w:r>
          <w:r>
            <w:t xml:space="preserve">81</w:t>
          </w:r>
        </w:p>
        <w:p>
          <w:pPr>
            <w:pStyle w:val="TOC1"/>
            <w:tabs>
              <w:tab w:val="right" w:leader="dot" w:pos="9072"/>
            </w:tabs>
          </w:pPr>
          <w:r>
            <w:t xml:space="preserve">9. Project Implementation and Delivery</w:t>
          </w:r>
          <w:r>
            <w:tab/>
          </w:r>
          <w:r>
            <w:t xml:space="preserve">82</w:t>
          </w:r>
        </w:p>
        <w:p>
          <w:pPr>
            <w:pStyle w:val="TOC2"/>
            <w:tabs>
              <w:tab w:val="right" w:leader="dot" w:pos="9072"/>
            </w:tabs>
          </w:pPr>
          <w:r>
            <w:t xml:space="preserve">9.1 Delivery Methodology</w:t>
          </w:r>
          <w:r>
            <w:tab/>
          </w:r>
          <w:r>
            <w:t xml:space="preserve">83</w:t>
          </w:r>
        </w:p>
        <w:p>
          <w:pPr>
            <w:pStyle w:val="TOC3"/>
            <w:tabs>
              <w:tab w:val="right" w:leader="dot" w:pos="9072"/>
            </w:tabs>
          </w:pPr>
          <w:r>
            <w:t xml:space="preserve">Phase 1: Discovery and Requirements (Weeks 1-2)</w:t>
          </w:r>
          <w:r>
            <w:tab/>
          </w:r>
          <w:r>
            <w:t xml:space="preserve">84</w:t>
          </w:r>
        </w:p>
        <w:p>
          <w:pPr>
            <w:pStyle w:val="TOC3"/>
            <w:tabs>
              <w:tab w:val="right" w:leader="dot" w:pos="9072"/>
            </w:tabs>
          </w:pPr>
          <w:r>
            <w:t xml:space="preserve">Phase 2: Foundation and Setup (Weeks 3-5)</w:t>
          </w:r>
          <w:r>
            <w:tab/>
          </w:r>
          <w:r>
            <w:t xml:space="preserve">85</w:t>
          </w:r>
        </w:p>
        <w:p>
          <w:pPr>
            <w:pStyle w:val="TOC3"/>
            <w:tabs>
              <w:tab w:val="right" w:leader="dot" w:pos="9072"/>
            </w:tabs>
          </w:pPr>
          <w:r>
            <w:t xml:space="preserve">Phase 3: Configuration and Compliance (Weeks 6-9)</w:t>
          </w:r>
          <w:r>
            <w:tab/>
          </w:r>
          <w:r>
            <w:t xml:space="preserve">86</w:t>
          </w:r>
        </w:p>
        <w:p>
          <w:pPr>
            <w:pStyle w:val="TOC3"/>
            <w:tabs>
              <w:tab w:val="right" w:leader="dot" w:pos="9072"/>
            </w:tabs>
          </w:pPr>
          <w:r>
            <w:t xml:space="preserve">Phase 4: Integration and Testing (Weeks 10-13)</w:t>
          </w:r>
          <w:r>
            <w:tab/>
          </w:r>
          <w:r>
            <w:t xml:space="preserve">87</w:t>
          </w:r>
        </w:p>
        <w:p>
          <w:pPr>
            <w:pStyle w:val="TOC3"/>
            <w:tabs>
              <w:tab w:val="right" w:leader="dot" w:pos="9072"/>
            </w:tabs>
          </w:pPr>
          <w:r>
            <w:t xml:space="preserve">Phase 5: Go-Live and Hypercare (Weeks 14-19)</w:t>
          </w:r>
          <w:r>
            <w:tab/>
          </w:r>
          <w:r>
            <w:t xml:space="preserve">88</w:t>
          </w:r>
        </w:p>
        <w:p>
          <w:pPr>
            <w:pStyle w:val="TOC2"/>
            <w:tabs>
              <w:tab w:val="right" w:leader="dot" w:pos="9072"/>
            </w:tabs>
          </w:pPr>
          <w:r>
            <w:t xml:space="preserve">9.2 Governance and Escalation</w:t>
          </w:r>
          <w:r>
            <w:tab/>
          </w:r>
          <w:r>
            <w:t xml:space="preserve">89</w:t>
          </w:r>
        </w:p>
        <w:p>
          <w:pPr>
            <w:pStyle w:val="TOC2"/>
            <w:tabs>
              <w:tab w:val="right" w:leader="dot" w:pos="9072"/>
            </w:tabs>
          </w:pPr>
          <w:r>
            <w:t xml:space="preserve">9.3 RACI Matrix</w:t>
          </w:r>
          <w:r>
            <w:tab/>
          </w:r>
          <w:r>
            <w:t xml:space="preserve">90</w:t>
          </w:r>
        </w:p>
        <w:p>
          <w:pPr>
            <w:pStyle w:val="TOC1"/>
            <w:tabs>
              <w:tab w:val="right" w:leader="dot" w:pos="9072"/>
            </w:tabs>
          </w:pPr>
          <w:r>
            <w:t xml:space="preserve">10. Deployment</w:t>
          </w:r>
          <w:r>
            <w:tab/>
          </w:r>
          <w:r>
            <w:t xml:space="preserve">91</w:t>
          </w:r>
        </w:p>
        <w:p>
          <w:pPr>
            <w:pStyle w:val="TOC2"/>
            <w:tabs>
              <w:tab w:val="right" w:leader="dot" w:pos="9072"/>
            </w:tabs>
          </w:pPr>
          <w:r>
            <w:t xml:space="preserve">10.1 Deployment Options</w:t>
          </w:r>
          <w:r>
            <w:tab/>
          </w:r>
          <w:r>
            <w:t xml:space="preserve">92</w:t>
          </w:r>
        </w:p>
        <w:p>
          <w:pPr>
            <w:pStyle w:val="TOC2"/>
            <w:tabs>
              <w:tab w:val="right" w:leader="dot" w:pos="9072"/>
            </w:tabs>
          </w:pPr>
          <w:r>
            <w:t xml:space="preserve">10.2 DIFC-Specific Deployment</w:t>
          </w:r>
          <w:r>
            <w:tab/>
          </w:r>
          <w:r>
            <w:t xml:space="preserve">93</w:t>
          </w:r>
        </w:p>
        <w:p>
          <w:pPr>
            <w:pStyle w:val="TOC1"/>
            <w:tabs>
              <w:tab w:val="right" w:leader="dot" w:pos="9072"/>
            </w:tabs>
          </w:pPr>
          <w:r>
            <w:t xml:space="preserve">11. Training and Knowledge Transfer</w:t>
          </w:r>
          <w:r>
            <w:tab/>
          </w:r>
          <w:r>
            <w:t xml:space="preserve">94</w:t>
          </w:r>
        </w:p>
        <w:p>
          <w:pPr>
            <w:pStyle w:val="TOC2"/>
            <w:tabs>
              <w:tab w:val="right" w:leader="dot" w:pos="9072"/>
            </w:tabs>
          </w:pPr>
          <w:r>
            <w:t xml:space="preserve">11.1 Training Approach</w:t>
          </w:r>
          <w:r>
            <w:tab/>
          </w:r>
          <w:r>
            <w:t xml:space="preserve">95</w:t>
          </w:r>
        </w:p>
        <w:p>
          <w:pPr>
            <w:pStyle w:val="TOC2"/>
            <w:tabs>
              <w:tab w:val="right" w:leader="dot" w:pos="9072"/>
            </w:tabs>
          </w:pPr>
          <w:r>
            <w:t xml:space="preserve">11.2 Knowledge Transfer Deliverables</w:t>
          </w:r>
          <w:r>
            <w:tab/>
          </w:r>
          <w:r>
            <w:t xml:space="preserve">96</w:t>
          </w:r>
        </w:p>
        <w:p>
          <w:pPr>
            <w:pStyle w:val="TOC1"/>
            <w:tabs>
              <w:tab w:val="right" w:leader="dot" w:pos="9072"/>
            </w:tabs>
          </w:pPr>
          <w:r>
            <w:t xml:space="preserve">12. Support and SLA</w:t>
          </w:r>
          <w:r>
            <w:tab/>
          </w:r>
          <w:r>
            <w:t xml:space="preserve">97</w:t>
          </w:r>
        </w:p>
        <w:p>
          <w:pPr>
            <w:pStyle w:val="TOC2"/>
            <w:tabs>
              <w:tab w:val="right" w:leader="dot" w:pos="9072"/>
            </w:tabs>
          </w:pPr>
          <w:r>
            <w:t xml:space="preserve">12.1 Support Tiers</w:t>
          </w:r>
          <w:r>
            <w:tab/>
          </w:r>
          <w:r>
            <w:t xml:space="preserve">98</w:t>
          </w:r>
        </w:p>
        <w:p>
          <w:pPr>
            <w:pStyle w:val="TOC2"/>
            <w:tabs>
              <w:tab w:val="right" w:leader="dot" w:pos="9072"/>
            </w:tabs>
          </w:pPr>
          <w:r>
            <w:t xml:space="preserve">12.2 Severity Definitions</w:t>
          </w:r>
          <w:r>
            <w:tab/>
          </w:r>
          <w:r>
            <w:t xml:space="preserve">99</w:t>
          </w:r>
        </w:p>
        <w:p>
          <w:pPr>
            <w:pStyle w:val="TOC2"/>
            <w:tabs>
              <w:tab w:val="right" w:leader="dot" w:pos="9072"/>
            </w:tabs>
          </w:pPr>
          <w:r>
            <w:t xml:space="preserve">12.3 Maintenance Windows</w:t>
          </w:r>
          <w:r>
            <w:tab/>
          </w:r>
          <w:r>
            <w:t xml:space="preserve">100</w:t>
          </w:r>
        </w:p>
        <w:p>
          <w:pPr>
            <w:pStyle w:val="TOC1"/>
            <w:tabs>
              <w:tab w:val="right" w:leader="dot" w:pos="9072"/>
            </w:tabs>
          </w:pPr>
          <w:r>
            <w:t xml:space="preserve">13. Risk Management</w:t>
          </w:r>
          <w:r>
            <w:tab/>
          </w:r>
          <w:r>
            <w:t xml:space="preserve">101</w:t>
          </w:r>
        </w:p>
        <w:p>
          <w:pPr>
            <w:pStyle w:val="TOC2"/>
            <w:tabs>
              <w:tab w:val="right" w:leader="dot" w:pos="9072"/>
            </w:tabs>
          </w:pPr>
          <w:r>
            <w:t xml:space="preserve">13.1 Identified Risks</w:t>
          </w:r>
          <w:r>
            <w:tab/>
          </w:r>
          <w:r>
            <w:t xml:space="preserve">102</w:t>
          </w:r>
        </w:p>
        <w:p>
          <w:pPr>
            <w:pStyle w:val="TOC2"/>
            <w:tabs>
              <w:tab w:val="right" w:leader="dot" w:pos="9072"/>
            </w:tabs>
          </w:pPr>
          <w:r>
            <w:t xml:space="preserve">13.2 Risk Register</w:t>
          </w:r>
          <w:r>
            <w:tab/>
          </w:r>
          <w:r>
            <w:t xml:space="preserve">103</w:t>
          </w:r>
        </w:p>
        <w:p>
          <w:pPr>
            <w:pStyle w:val="TOC1"/>
            <w:tabs>
              <w:tab w:val="right" w:leader="dot" w:pos="9072"/>
            </w:tabs>
          </w:pPr>
          <w:r>
            <w:t xml:space="preserve">14. Compliance Matrix</w:t>
          </w:r>
          <w:r>
            <w:tab/>
          </w:r>
          <w:r>
            <w:t xml:space="preserve">104</w:t>
          </w:r>
        </w:p>
        <w:p>
          <w:pPr>
            <w:pStyle w:val="TOC2"/>
            <w:tabs>
              <w:tab w:val="right" w:leader="dot" w:pos="9072"/>
            </w:tabs>
          </w:pPr>
          <w:r>
            <w:t xml:space="preserve">14.1 RFP Requirements Coverage</w:t>
          </w:r>
          <w:r>
            <w:tab/>
          </w:r>
          <w:r>
            <w:t xml:space="preserve">105</w:t>
          </w:r>
        </w:p>
        <w:p>
          <w:pPr>
            <w:pStyle w:val="TOC1"/>
            <w:tabs>
              <w:tab w:val="right" w:leader="dot" w:pos="9072"/>
            </w:tabs>
          </w:pPr>
          <w:r>
            <w:t xml:space="preserve">15. Writer's Checklist</w:t>
          </w:r>
          <w:r>
            <w:tab/>
          </w:r>
          <w:r>
            <w:t xml:space="preserve">106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DIFC Digital Asset Regulatory Sandbox Platform</w:t>
      </w:r>
    </w:p>
    <w:p>
      <w:r>
        <w:rPr>
          <w:rFonts w:ascii="Figtree" w:hAnsi="Figtree"/>
          <w:b/>
          <w:i w:val="0"/>
          <w:sz w:val="22"/>
        </w:rPr>
        <w:t>Document Title:</w:t>
      </w:r>
      <w:r>
        <w:rPr>
          <w:rFonts w:ascii="Figtree" w:hAnsi="Figtree"/>
          <w:b w:val="0"/>
          <w:i w:val="0"/>
          <w:sz w:val="22"/>
        </w:rPr>
        <w:t xml:space="preserve"> Technical Proposal for DIFC Digital Asset Regulatory Sandbox Platform</w:t>
      </w:r>
    </w:p>
    <w:p>
      <w:r>
        <w:rPr>
          <w:rFonts w:ascii="Figtree" w:hAnsi="Figtree"/>
          <w:b/>
          <w:i w:val="0"/>
          <w:sz w:val="22"/>
        </w:rPr>
        <w:t>Client:</w:t>
      </w:r>
      <w:r>
        <w:rPr>
          <w:rFonts w:ascii="Figtree" w:hAnsi="Figtree"/>
          <w:b w:val="0"/>
          <w:i w:val="0"/>
          <w:sz w:val="22"/>
        </w:rPr>
        <w:t xml:space="preserve"> DIFC (Dubai International Financial Centre)</w:t>
      </w:r>
    </w:p>
    <w:p>
      <w:r>
        <w:rPr>
          <w:rFonts w:ascii="Figtree" w:hAnsi="Figtree"/>
          <w:b/>
          <w:i w:val="0"/>
          <w:sz w:val="22"/>
        </w:rPr>
        <w:t>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Confidential</w:t>
      </w:r>
    </w:p>
    <w:p>
      <w:r>
        <w:br w:type="page"/>
      </w:r>
    </w:p>
    <w:p>
      <w:r>
        <w:rPr>
          <w:rFonts w:ascii="Figtree" w:hAnsi="Figtree"/>
          <w:b w:val="0"/>
          <w:i/>
          <w:sz w:val="22"/>
        </w:rPr>
        <w:t>This document contains confidential and proprietary information of SettleMint NV. Unauthorized disclosure, reproduction, or distribution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Writer's Checklist</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Dubai International Financial Centre (DIFC) is pursuing the establishment of a Digital Asset Regulatory Sandbox Platform to enable financial institutions, fintech companies, and innovative enterprises to test and deploy digital asset products and services within a controlled regulatory environment. This initiative represents a strategic commitment to position Dubai as a global hub for digital asset innovation, aligning with the UAE's vision for a diversified, technology-driven economy.</w:t>
      </w:r>
    </w:p>
    <w:p>
      <w:r>
        <w:rPr>
          <w:rFonts w:ascii="Figtree" w:hAnsi="Figtree"/>
          <w:b w:val="0"/>
          <w:i w:val="0"/>
          <w:sz w:val="22"/>
        </w:rPr>
        <w:t>The programme objectives centre on three pillars: enabling regulatory innovation through a controlled testing environment, ensuring robust compliance with DIFC's regulatory framework and international standards, and accelerating market development by providing infrastructure that supports the full digital asset lifecycle from issuance through settlement and servicing.</w:t>
      </w:r>
    </w:p>
    <w:p>
      <w:r>
        <w:rPr>
          <w:rFonts w:ascii="Figtree" w:hAnsi="Figtree"/>
          <w:b w:val="0"/>
          <w:i w:val="0"/>
          <w:sz w:val="22"/>
        </w:rPr>
        <w:t>The regulatory drivers are clear. The Dubai Virtual Assets Regulatory Authority (VARA) has established a comprehensive framework for virtual asset service providers, and DIFC's own regulatory architecture continues to evolve to accommodate tokenized securities, stablecoins, and innovative financial products. The operational drivers include the need for modernized settlement infrastructure, reduced friction in cross-border transactions, and the ability to offer fractional ownership of high-value assets to a broader investor base.</w:t>
      </w:r>
    </w:p>
    <w:p>
      <w:pPr>
        <w:pStyle w:val="H2"/>
        <w:numPr>
          <w:ilvl w:val="1"/>
          <w:numId w:val="1"/>
        </w:numPr>
      </w:pPr>
      <w:r>
        <w:t>1.2 Why This Programme Is Hard</w:t>
      </w:r>
    </w:p>
    <w:p>
      <w:r>
        <w:rPr>
          <w:rFonts w:ascii="Figtree" w:hAnsi="Figtree"/>
          <w:b w:val="0"/>
          <w:i w:val="0"/>
          <w:sz w:val="22"/>
        </w:rPr>
        <w:t>Building a regulatory sandbox platform for digital assets presents challenges that extend well beyond conventional technology implementation. The lifecycle complexity alone is substantial: a sandbox must support not merely token issuance but the complete asset lifecycle including compliance enforcement, transfer restrictions, corporate actions, yield distribution, and eventual retirement or redemption. Each of these lifecycle phases carries regulatory implications that must be captured, enforced, and auditable.</w:t>
      </w:r>
    </w:p>
    <w:p>
      <w:r>
        <w:rPr>
          <w:rFonts w:ascii="Figtree" w:hAnsi="Figtree"/>
          <w:b w:val="0"/>
          <w:i w:val="0"/>
          <w:sz w:val="22"/>
        </w:rPr>
        <w:t>The governance and compliance burden is equally demanding. A sandbox platform must accommodate multiple participants with different regulatory statuses, varying jurisdictional authorizations, and distinct compliance requirements. The platform must enforce know-your-customer (KYC) and anti-money laundering (AML) controls while preserving the privacy that institutional participants expect. It must maintain comprehensive audit trails that satisfy not only internal governance but also regulatory examination.</w:t>
      </w:r>
    </w:p>
    <w:p>
      <w:r>
        <w:rPr>
          <w:rFonts w:ascii="Figtree" w:hAnsi="Figtree"/>
          <w:b w:val="0"/>
          <w:i w:val="0"/>
          <w:sz w:val="22"/>
        </w:rPr>
        <w:t>The operationalization gap between pilot and production represents perhaps the most critical challenge. Many digital asset initiatives succeed in controlled pilot environments only to encounter significant friction when transitioning to production operations. The platform must therefore be designed for production-grade reliability from the outset, with the resilience, observability, and operational tooling that institutional environments demand.</w:t>
      </w:r>
    </w:p>
    <w:p>
      <w:r>
        <w:rPr>
          <w:rFonts w:ascii="Figtree" w:hAnsi="Figtree"/>
          <w:b w:val="0"/>
          <w:i w:val="0"/>
          <w:sz w:val="22"/>
        </w:rPr>
        <w:t>The integration burden across custody, payments, identity, and reporting systems cannot be underestimated. A sandbox platform must connect with existing financial infrastructure including banking channels, custodian systems, identity verification providers, and regulatory reporting interfaces. Each integration point introduces complexity and potential points of failure that must be managed.</w:t>
      </w:r>
    </w:p>
    <w:p>
      <w:pPr>
        <w:pStyle w:val="H2"/>
        <w:numPr>
          <w:ilvl w:val="1"/>
          <w:numId w:val="1"/>
        </w:numPr>
      </w:pPr>
      <w:r>
        <w:t>1.3 Proposed Response</w:t>
      </w:r>
    </w:p>
    <w:p>
      <w:r>
        <w:rPr>
          <w:rFonts w:ascii="Figtree" w:hAnsi="Figtree"/>
          <w:b w:val="0"/>
          <w:i w:val="0"/>
          <w:sz w:val="22"/>
        </w:rPr>
        <w:t>SettleMint proposes the deployment of DALP (Digital Asset Lifecycle Platform) as the foundational infrastructure for the DIFC Digital Asset Regulatory Sandbox. The proposed deployment model is a dedicated private cloud environment deployed within the UAE, ensuring data residency within DIFC jurisdiction while providing the isolation required for sandbox operations.</w:t>
      </w:r>
    </w:p>
    <w:p>
      <w:r>
        <w:rPr>
          <w:rFonts w:ascii="Figtree" w:hAnsi="Figtree"/>
          <w:b w:val="0"/>
          <w:i w:val="0"/>
          <w:sz w:val="22"/>
        </w:rPr>
        <w:t>The target asset scope encompasses the full spectrum of digital assets relevant to a regulatory sandbox: tokenized securities (bonds, equities, funds), stablecoins and tokenized deposits, real estate and precious metals fractionalization, and utility tokens for ecosystem services. This broad scope enables the sandbox to support diverse innovation use cases while maintaining a unified control plane.</w:t>
      </w:r>
    </w:p>
    <w:p>
      <w:r>
        <w:rPr>
          <w:rFonts w:ascii="Figtree" w:hAnsi="Figtree"/>
          <w:b w:val="0"/>
          <w:i w:val="0"/>
          <w:sz w:val="22"/>
        </w:rPr>
        <w:t>The compliance approach leverages DALP's pre-built regulatory template library, which includes frameworks aligned with MiCA (EU), MAS (Singapore), FCA (UK), and SEC regulations. For DIFC-specific requirements, the platform's configurable compliance engine enables rapid adaptation to local regulatory rules without custom development.</w:t>
      </w:r>
    </w:p>
    <w:p>
      <w:r>
        <w:rPr>
          <w:rFonts w:ascii="Figtree" w:hAnsi="Figtree"/>
          <w:b w:val="0"/>
          <w:i w:val="0"/>
          <w:sz w:val="22"/>
        </w:rPr>
        <w:t>The custody model supports both platform-managed custody for sandbox participants and bring-your-own-custodian integration for institutions that prefer to retain their existing custodial arrangements. This flexibility accommodates the diverse participant types expected in a regulatory sandbox.</w:t>
      </w:r>
    </w:p>
    <w:p>
      <w:r>
        <w:rPr>
          <w:rFonts w:ascii="Figtree" w:hAnsi="Figtree"/>
          <w:b w:val="0"/>
          <w:i w:val="0"/>
          <w:sz w:val="22"/>
        </w:rPr>
        <w:t>The integration perimeter includes API connectivity to existing DIFC systems, connection to UAE payment rails, integration with identity verification providers, and interfaces for regulatory reporting. The phased delivery model ensures that foundational capabilities are established first, with advanced features and integrations following in subsequent phases.</w:t>
      </w:r>
    </w:p>
    <w:p>
      <w:pPr>
        <w:pStyle w:val="H2"/>
        <w:numPr>
          <w:ilvl w:val="1"/>
          <w:numId w:val="1"/>
        </w:numPr>
      </w:pPr>
      <w:r>
        <w:t>1.4 Why SettleMint</w:t>
      </w:r>
    </w:p>
    <w:p>
      <w:r>
        <w:rPr>
          <w:rFonts w:ascii="Figtree" w:hAnsi="Figtree"/>
          <w:b w:val="0"/>
          <w:i w:val="0"/>
          <w:sz w:val="22"/>
        </w:rPr>
        <w:t>SettleMint brings a combination of production credentials, regulatory experience, and technical depth that is directly relevant to the DIFC Digital Asset Sandbox programme.</w:t>
      </w:r>
    </w:p>
    <w:p>
      <w:r>
        <w:rPr>
          <w:rFonts w:ascii="Figtree" w:hAnsi="Figtree"/>
          <w:b w:val="0"/>
          <w:i w:val="0"/>
          <w:sz w:val="22"/>
        </w:rPr>
        <w:t>Our market tenure spans nearly a decade, with foundational experience in enterprise blockchain infrastructure dating to 2016. This longevity matters because the digital asset landscape has cycled through multiple hype cycles and market corrections; SettleMint has survived and grown by delivering production-grade solutions rather than innovation theatre.</w:t>
      </w:r>
    </w:p>
    <w:p>
      <w:r>
        <w:rPr>
          <w:rFonts w:ascii="Figtree" w:hAnsi="Figtree"/>
          <w:b w:val="0"/>
          <w:i w:val="0"/>
          <w:sz w:val="22"/>
        </w:rPr>
        <w:t>Our production record includes live deployments with tier-1 and tier-2 banks across Europe, the Middle East, and Asia-Pacific. Of particular relevance to DIFC, we have active sovereign and national-scale programmes in the Gulf region, including the Saudi Arabia Real Estate Registry—a country-scale blockchain for property registration and fractionalization that went live in January 2026.</w:t>
      </w:r>
    </w:p>
    <w:p>
      <w:r>
        <w:rPr>
          <w:rFonts w:ascii="Figtree" w:hAnsi="Figtree"/>
          <w:b w:val="0"/>
          <w:i w:val="0"/>
          <w:sz w:val="22"/>
        </w:rPr>
        <w:t>Our regulated delivery experience encompasses engagements with entities operating under strict regulatory oversight, including central banks, sovereign wealth funds, and listed financial institutions. We understand the governance expectations, audit requirements, and compliance obligations that regulated environments demand.</w:t>
      </w:r>
    </w:p>
    <w:p>
      <w:pPr>
        <w:pStyle w:val="H2"/>
        <w:numPr>
          <w:ilvl w:val="1"/>
          <w:numId w:val="1"/>
        </w:numPr>
      </w:pPr>
      <w:r>
        <w:t>1.5 Why DALP</w:t>
      </w:r>
    </w:p>
    <w:p>
      <w:r>
        <w:rPr>
          <w:rFonts w:ascii="Figtree" w:hAnsi="Figtree"/>
          <w:b w:val="0"/>
          <w:i w:val="0"/>
          <w:sz w:val="22"/>
        </w:rPr>
        <w:t>DALP is positioned as the digital asset lifecycle platform, not merely a token issuance tool. This distinction is critical for a regulatory sandbox, where the operational demands extend well beyond creating tokens.</w:t>
      </w:r>
    </w:p>
    <w:p>
      <w:r>
        <w:rPr>
          <w:rFonts w:ascii="Figtree" w:hAnsi="Figtree"/>
          <w:b w:val="0"/>
          <w:i w:val="0"/>
          <w:sz w:val="22"/>
        </w:rPr>
        <w:t>The platform provides unified lifecycle coverage spanning asset design, issuance, compliance enforcement, transfer and settlement, corporate actions, and retirement. This end-to-end capability means that the sandbox can support complete use cases without requiring participants to assemble multiple point solutions.</w:t>
      </w:r>
    </w:p>
    <w:p>
      <w:r>
        <w:rPr>
          <w:rFonts w:ascii="Figtree" w:hAnsi="Figtree"/>
          <w:b w:val="0"/>
          <w:i w:val="0"/>
          <w:sz w:val="22"/>
        </w:rPr>
        <w:t>The ex-ante compliance model ensures that regulatory rules are enforced at the smart contract level before any transfer executes. Non-compliant states cannot exist on-chain, which is precisely what regulators expect from institutional-grade digital asset infrastructure.</w:t>
      </w:r>
    </w:p>
    <w:p>
      <w:r>
        <w:rPr>
          <w:rFonts w:ascii="Figtree" w:hAnsi="Figtree"/>
          <w:b w:val="0"/>
          <w:i w:val="0"/>
          <w:sz w:val="22"/>
        </w:rPr>
        <w:t>Deployment flexibility enables the platform to operate in managed SaaS, private cloud, on-premises, or hybrid configurations. For the DIFC sandbox, the recommended private cloud deployment ensures data residency within UAE jurisdiction while providing the operational support model that sandbox participants require.</w:t>
      </w:r>
    </w:p>
    <w:p>
      <w:r>
        <w:rPr>
          <w:rFonts w:ascii="Figtree" w:hAnsi="Figtree"/>
          <w:b w:val="0"/>
          <w:i w:val="0"/>
          <w:sz w:val="22"/>
        </w:rPr>
        <w:t>Interoperability with existing institutional systems is baked into the platform architecture. DALP exposes a comprehensive API, provides a TypeScript SDK, and supports event-driven integration through webhooks. This ensures that the sandbox can connect with the broader financial infrastructure that participants bring to the platform.</w:t>
      </w:r>
    </w:p>
    <w:p>
      <w:pPr>
        <w:pStyle w:val="H2"/>
        <w:numPr>
          <w:ilvl w:val="1"/>
          <w:numId w:val="1"/>
        </w:numPr>
      </w:pPr>
      <w:r>
        <w:t>1.6 Reference Fit Snapshot</w:t>
      </w:r>
    </w:p>
    <w:p>
      <w:r>
        <w:rPr>
          <w:rFonts w:ascii="Figtree" w:hAnsi="Figtree"/>
          <w:b w:val="0"/>
          <w:i w:val="0"/>
          <w:sz w:val="22"/>
        </w:rPr>
        <w:t>Three references are particularly relevant to the DIFC Digital Asset Sandbox programme:</w:t>
      </w:r>
    </w:p>
    <w:p>
      <w:r>
        <w:rPr>
          <w:rFonts w:ascii="Figtree" w:hAnsi="Figtree"/>
          <w:b/>
          <w:i w:val="0"/>
          <w:sz w:val="22"/>
        </w:rPr>
        <w:t>Saudi Arabia Real Estate Registry (REGA):</w:t>
      </w:r>
      <w:r>
        <w:rPr>
          <w:rFonts w:ascii="Figtree" w:hAnsi="Figtree"/>
          <w:b w:val="0"/>
          <w:i w:val="0"/>
          <w:sz w:val="22"/>
        </w:rPr>
        <w:t xml:space="preserve"> This country-scale blockchain deployment demonstrates DALP's capacity for sovereign-scale infrastructure within the Middle East region. The project involved integration with national identity systems (Yakeen), payment rails (Sadad), and multiple PropTech participants. It demonstrates the platform's ability to operate within government regulatory frameworks and support multiple concurrent participants through a unified API gateway.</w:t>
      </w:r>
    </w:p>
    <w:p>
      <w:r>
        <w:rPr>
          <w:rFonts w:ascii="Figtree" w:hAnsi="Figtree"/>
          <w:b/>
          <w:i w:val="0"/>
          <w:sz w:val="22"/>
        </w:rPr>
        <w:t>Standard Chartered Bank Digital Virtual Exchange:</w:t>
      </w:r>
      <w:r>
        <w:rPr>
          <w:rFonts w:ascii="Figtree" w:hAnsi="Figtree"/>
          <w:b w:val="0"/>
          <w:i w:val="0"/>
          <w:sz w:val="22"/>
        </w:rPr>
        <w:t xml:space="preserve"> This engagement demonstrates institutional-grade securities tokenization with fractional ownership, real-time settlement, and integration with existing banking infrastructure across multiple jurisdictions. It is directly relevant to any sandbox use case involving securities tokenization or trading infrastructure.</w:t>
      </w:r>
    </w:p>
    <w:p>
      <w:r>
        <w:rPr>
          <w:rFonts w:ascii="Figtree" w:hAnsi="Figtree"/>
          <w:b/>
          <w:i w:val="0"/>
          <w:sz w:val="22"/>
        </w:rPr>
        <w:t>State Bank of India CBDC:</w:t>
      </w:r>
      <w:r>
        <w:rPr>
          <w:rFonts w:ascii="Figtree" w:hAnsi="Figtree"/>
          <w:b w:val="0"/>
          <w:i w:val="0"/>
          <w:sz w:val="22"/>
        </w:rPr>
        <w:t xml:space="preserve"> This engagement demonstrates national-scale transaction throughput and infrastructure designed for central bank digital currency operations. While the use case differs from a sandbox, the technical requirements for scalability, security, and integration with existing financial systems are directly applicable.</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exists to bridge the gap between digital asset ambitions and production-grade execution. Our mission is to enable financial institutions, market infrastructure providers, and sovereign entities to move real-world value on-chain with a compliant, secure, production-grade digital asset lifecycle platform.</w:t>
      </w:r>
    </w:p>
    <w:p>
      <w:r>
        <w:rPr>
          <w:rFonts w:ascii="Figtree" w:hAnsi="Figtree"/>
          <w:b w:val="0"/>
          <w:i w:val="0"/>
          <w:sz w:val="22"/>
        </w:rPr>
        <w:t>Financial institutions and governments recognize that tokenization and digital assets are becoming core infrastructure for capital markets and real-world assets. Regulatory frameworks are maturing, tokenized instruments are appearing on balance sheets, and expectations are shifting from innovation theatre to operational reality.</w:t>
      </w:r>
    </w:p>
    <w:p>
      <w:r>
        <w:rPr>
          <w:rFonts w:ascii="Figtree" w:hAnsi="Figtree"/>
          <w:b w:val="0"/>
          <w:i w:val="0"/>
          <w:sz w:val="22"/>
        </w:rPr>
        <w:t>Yet tokenization technology being accessible does not mean institutional-grade implementation is. The real challenge lies in doing it correctly at production scale: meeting regulatory requirements, implementing proper governance, supporting the full asset lifecycle, and ensuring that early pilots can scale into real institutional infrastructure. Most organizations remain stuck in pilot mode, overwhelmed by the complexity of regulatory compliance, governance requirements, and building infrastructure that can withstand production scrutiny.</w:t>
      </w:r>
    </w:p>
    <w:p>
      <w:r>
        <w:rPr>
          <w:rFonts w:ascii="Figtree" w:hAnsi="Figtree"/>
          <w:b w:val="0"/>
          <w:i w:val="0"/>
          <w:sz w:val="22"/>
        </w:rPr>
        <w:t>SettleMint solves this complexity, turning digital asset strategy into operating systems that reduce time-to-market and remove operational and regulatory risk.</w:t>
      </w:r>
    </w:p>
    <w:p>
      <w:pPr>
        <w:pStyle w:val="H2"/>
        <w:numPr>
          <w:ilvl w:val="1"/>
          <w:numId w:val="1"/>
        </w:numPr>
      </w:pPr>
      <w:r>
        <w:t>2.2 History and Market Position</w:t>
      </w:r>
    </w:p>
    <w:p>
      <w:r>
        <w:rPr>
          <w:rFonts w:ascii="Figtree" w:hAnsi="Figtree"/>
          <w:b w:val="0"/>
          <w:i w:val="0"/>
          <w:sz w:val="22"/>
        </w:rPr>
        <w:t>SettleMint was founded in 2016 and is headquartered in Leuven, Belgium. The company was established by practitioners working in blockchain and distributed systems since the early enterprise adoption wave, with hands-on experience designing and delivering tokenization, payments, and capital markets projects, and a track record of turning prototypes into production systems that pass institutional scrutiny.</w:t>
      </w:r>
    </w:p>
    <w:p>
      <w:r>
        <w:rPr>
          <w:rFonts w:ascii="Figtree" w:hAnsi="Figtree"/>
          <w:b w:val="0"/>
          <w:i w:val="0"/>
          <w:sz w:val="22"/>
        </w:rPr>
        <w:t>Key milestones demonstrate our evolution from early blockchain middleware to a comprehensive lifecycle platform:</w:t>
      </w:r>
    </w:p>
    <w:p>
      <w:pPr>
        <w:pStyle w:val="ListParagraph"/>
        <w:numPr>
          <w:ilvl w:val="0"/>
          <w:numId w:val="4"/>
        </w:numPr>
      </w:pPr>
      <w:r>
        <w:rPr>
          <w:rFonts w:ascii="Figtree" w:hAnsi="Figtree"/>
          <w:b/>
          <w:i w:val="0"/>
          <w:sz w:val="22"/>
        </w:rPr>
        <w:t>2016 - Founding</w:t>
      </w:r>
      <w:r>
        <w:rPr>
          <w:rFonts w:ascii="Figtree" w:hAnsi="Figtree"/>
          <w:b w:val="0"/>
          <w:i w:val="0"/>
          <w:sz w:val="22"/>
        </w:rPr>
        <w:t>: Established in Leuven, Belgium, with a focus on enterprise blockchain infrastructure</w:t>
      </w:r>
    </w:p>
    <w:p>
      <w:pPr>
        <w:pStyle w:val="ListParagraph"/>
        <w:numPr>
          <w:ilvl w:val="0"/>
          <w:numId w:val="4"/>
        </w:numPr>
      </w:pPr>
      <w:r>
        <w:rPr>
          <w:rFonts w:ascii="Figtree" w:hAnsi="Figtree"/>
          <w:b/>
          <w:i w:val="0"/>
          <w:sz w:val="22"/>
        </w:rPr>
        <w:t>Early Production Deployments</w:t>
      </w:r>
      <w:r>
        <w:rPr>
          <w:rFonts w:ascii="Figtree" w:hAnsi="Figtree"/>
          <w:b w:val="0"/>
          <w:i w:val="0"/>
          <w:sz w:val="22"/>
        </w:rPr>
        <w:t>: First customer programmes with tier-1 and tier-2 financial institutions, moving from innovation pilots to live transaction processing</w:t>
      </w:r>
    </w:p>
    <w:p>
      <w:pPr>
        <w:pStyle w:val="ListParagraph"/>
        <w:numPr>
          <w:ilvl w:val="0"/>
          <w:numId w:val="4"/>
        </w:numPr>
      </w:pPr>
      <w:r>
        <w:rPr>
          <w:rFonts w:ascii="Figtree" w:hAnsi="Figtree"/>
          <w:b/>
          <w:i w:val="0"/>
          <w:sz w:val="22"/>
        </w:rPr>
        <w:t>Platform Evolution</w:t>
      </w:r>
      <w:r>
        <w:rPr>
          <w:rFonts w:ascii="Figtree" w:hAnsi="Figtree"/>
          <w:b w:val="0"/>
          <w:i w:val="0"/>
          <w:sz w:val="22"/>
        </w:rPr>
        <w:t>: Development and release of DALP (Digital Asset Lifecycle Platform), consolidating years of production experience into a unified platform architecture</w:t>
      </w:r>
    </w:p>
    <w:p>
      <w:pPr>
        <w:pStyle w:val="ListParagraph"/>
        <w:numPr>
          <w:ilvl w:val="0"/>
          <w:numId w:val="4"/>
        </w:numPr>
      </w:pPr>
      <w:r>
        <w:rPr>
          <w:rFonts w:ascii="Figtree" w:hAnsi="Figtree"/>
          <w:b/>
          <w:i w:val="0"/>
          <w:sz w:val="22"/>
        </w:rPr>
        <w:t>Geographic Expansion</w:t>
      </w:r>
      <w:r>
        <w:rPr>
          <w:rFonts w:ascii="Figtree" w:hAnsi="Figtree"/>
          <w:b w:val="0"/>
          <w:i w:val="0"/>
          <w:sz w:val="22"/>
        </w:rPr>
        <w:t>: Expansion of operations across Europe, the Middle East (including active sovereign programmes in the Gulf region), and Asia-Pacific (including production deployments in Japan and Singapore)</w:t>
      </w:r>
    </w:p>
    <w:p>
      <w:pPr>
        <w:pStyle w:val="ListParagraph"/>
        <w:numPr>
          <w:ilvl w:val="0"/>
          <w:numId w:val="4"/>
        </w:numPr>
      </w:pPr>
      <w:r>
        <w:rPr>
          <w:rFonts w:ascii="Figtree" w:hAnsi="Figtree"/>
          <w:b/>
          <w:i w:val="0"/>
          <w:sz w:val="22"/>
        </w:rPr>
        <w:t>Sovereign-Scale Programmes</w:t>
      </w:r>
      <w:r>
        <w:rPr>
          <w:rFonts w:ascii="Figtree" w:hAnsi="Figtree"/>
          <w:b w:val="0"/>
          <w:i w:val="0"/>
          <w:sz w:val="22"/>
        </w:rPr>
        <w:t>: Engagement with national-scale tokenization initiatives, including real estate registries and sovereign capital markets infrastructure</w:t>
      </w:r>
    </w:p>
    <w:p>
      <w:pPr>
        <w:pStyle w:val="ListParagraph"/>
        <w:numPr>
          <w:ilvl w:val="0"/>
          <w:numId w:val="4"/>
        </w:numPr>
      </w:pPr>
      <w:r>
        <w:rPr>
          <w:rFonts w:ascii="Figtree" w:hAnsi="Figtree"/>
          <w:b/>
          <w:i w:val="0"/>
          <w:sz w:val="22"/>
        </w:rPr>
        <w:t>Continued Production Growth</w:t>
      </w:r>
      <w:r>
        <w:rPr>
          <w:rFonts w:ascii="Figtree" w:hAnsi="Figtree"/>
          <w:b w:val="0"/>
          <w:i w:val="0"/>
          <w:sz w:val="22"/>
        </w:rPr>
        <w:t>: Years of continuous production deployments with increasing transaction volumes, asset types, and regulatory environments</w:t>
      </w:r>
    </w:p>
    <w:p>
      <w:r>
        <w:rPr>
          <w:rFonts w:ascii="Figtree" w:hAnsi="Figtree"/>
          <w:b w:val="0"/>
          <w:i w:val="0"/>
          <w:sz w:val="22"/>
        </w:rPr>
        <w:t>Our market position is defined by a singular focus: production-grade digital asset infrastructure for regulated environments. We do not offer consulting services as a primary business; we offer a platform that institutions operate themselves, building internal capability rather than dependency on external developers.</w:t>
      </w:r>
    </w:p>
    <w:p>
      <w:pPr>
        <w:pStyle w:val="H2"/>
        <w:numPr>
          <w:ilvl w:val="1"/>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4"/>
        <w:gridCol w:w="66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Years of continuous operation</w:t>
            </w:r>
          </w:p>
        </w:tc>
        <w:tc>
          <w:tcPr>
            <w:tcW w:type="dxa" w:w="4873"/>
            <w:vAlign w:val="center"/>
          </w:tcPr>
          <w:p>
            <w:pPr>
              <w:spacing w:line="276" w:lineRule="auto" w:before="0" w:after="0"/>
            </w:pPr>
            <w:r/>
            <w:r>
              <w:rPr>
                <w:rFonts w:ascii="Figtree" w:hAnsi="Figtree"/>
                <w:b w:val="0"/>
                <w:i w:val="0"/>
                <w:sz w:val="20"/>
              </w:rPr>
              <w:t>Building enterprise blockchain infrastructure since 2016</w:t>
            </w:r>
          </w:p>
        </w:tc>
      </w:tr>
      <w:tr>
        <w:trPr>
          <w:trHeight w:val="425" w:hRule="atLeast"/>
        </w:trPr>
        <w:tc>
          <w:tcPr>
            <w:tcW w:type="dxa" w:w="4873"/>
            <w:vAlign w:val="center"/>
          </w:tcPr>
          <w:p>
            <w:pPr>
              <w:spacing w:line="276" w:lineRule="auto" w:before="0" w:after="0"/>
            </w:pPr>
            <w:r/>
            <w:r>
              <w:rPr>
                <w:rFonts w:ascii="Figtree" w:hAnsi="Figtree"/>
                <w:b w:val="0"/>
                <w:i w:val="0"/>
                <w:sz w:val="20"/>
              </w:rPr>
              <w:t>Production bank deployments</w:t>
            </w:r>
          </w:p>
        </w:tc>
        <w:tc>
          <w:tcPr>
            <w:tcW w:type="dxa" w:w="4873"/>
            <w:vAlign w:val="center"/>
          </w:tcPr>
          <w:p>
            <w:pPr>
              <w:spacing w:line="276" w:lineRule="auto" w:before="0" w:after="0"/>
            </w:pPr>
            <w:r/>
            <w:r>
              <w:rPr>
                <w:rFonts w:ascii="Figtree" w:hAnsi="Figtree"/>
                <w:b w:val="0"/>
                <w:i w:val="0"/>
                <w:sz w:val="20"/>
              </w:rPr>
              <w:t>7+ years of continuous production at regulated banks in Asia and Europe</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programmes</w:t>
            </w:r>
          </w:p>
        </w:tc>
        <w:tc>
          <w:tcPr>
            <w:tcW w:type="dxa" w:w="4873"/>
            <w:vAlign w:val="center"/>
          </w:tcPr>
          <w:p>
            <w:pPr>
              <w:spacing w:line="276" w:lineRule="auto" w:before="0" w:after="0"/>
            </w:pPr>
            <w:r/>
            <w:r>
              <w:rPr>
                <w:rFonts w:ascii="Figtree" w:hAnsi="Figtree"/>
                <w:b w:val="0"/>
                <w:i w:val="0"/>
                <w:sz w:val="20"/>
              </w:rPr>
              <w:t>Active national-scale programmes in the Middle East, including Saudi Arabia RER</w:t>
            </w:r>
          </w:p>
        </w:tc>
      </w:tr>
      <w:tr>
        <w:trPr>
          <w:trHeight w:val="425" w:hRule="atLeast"/>
        </w:trPr>
        <w:tc>
          <w:tcPr>
            <w:tcW w:type="dxa" w:w="4873"/>
            <w:vAlign w:val="center"/>
          </w:tcPr>
          <w:p>
            <w:pPr>
              <w:spacing w:line="276" w:lineRule="auto" w:before="0" w:after="0"/>
            </w:pPr>
            <w:r/>
            <w:r>
              <w:rPr>
                <w:rFonts w:ascii="Figtree" w:hAnsi="Figtree"/>
                <w:b w:val="0"/>
                <w:i w:val="0"/>
                <w:sz w:val="20"/>
              </w:rPr>
              <w:t>Asset class coverage</w:t>
            </w:r>
          </w:p>
        </w:tc>
        <w:tc>
          <w:tcPr>
            <w:tcW w:type="dxa" w:w="4873"/>
            <w:vAlign w:val="center"/>
          </w:tcPr>
          <w:p>
            <w:pPr>
              <w:spacing w:line="276" w:lineRule="auto" w:before="0" w:after="0"/>
            </w:pPr>
            <w:r/>
            <w:r>
              <w:rPr>
                <w:rFonts w:ascii="Figtree" w:hAnsi="Figtree"/>
                <w:b w:val="0"/>
                <w:i w:val="0"/>
                <w:sz w:val="20"/>
              </w:rPr>
              <w:t>Live deployments spanning bonds, equities, deposits, stablecoins, real estate, funds, and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Transaction throughput</w:t>
            </w:r>
          </w:p>
        </w:tc>
        <w:tc>
          <w:tcPr>
            <w:tcW w:type="dxa" w:w="4873"/>
            <w:vAlign w:val="center"/>
          </w:tcPr>
          <w:p>
            <w:pPr>
              <w:spacing w:line="276" w:lineRule="auto" w:before="0" w:after="0"/>
            </w:pPr>
            <w:r/>
            <w:r>
              <w:rPr>
                <w:rFonts w:ascii="Figtree" w:hAnsi="Figtree"/>
                <w:b w:val="0"/>
                <w:i w:val="0"/>
                <w:sz w:val="20"/>
              </w:rPr>
              <w:t>Production systems handling significant transaction volumes under institutional SLAs</w:t>
            </w:r>
          </w:p>
        </w:tc>
      </w:tr>
      <w:tr>
        <w:trPr>
          <w:trHeight w:val="425" w:hRule="atLeast"/>
        </w:trPr>
        <w:tc>
          <w:tcPr>
            <w:tcW w:type="dxa" w:w="4873"/>
            <w:vAlign w:val="center"/>
          </w:tcPr>
          <w:p>
            <w:pPr>
              <w:spacing w:line="276" w:lineRule="auto" w:before="0" w:after="0"/>
            </w:pPr>
            <w:r/>
            <w:r>
              <w:rPr>
                <w:rFonts w:ascii="Figtree" w:hAnsi="Figtree"/>
                <w:b w:val="0"/>
                <w:i w:val="0"/>
                <w:sz w:val="20"/>
              </w:rPr>
              <w:t>Security certifications</w:t>
            </w:r>
          </w:p>
        </w:tc>
        <w:tc>
          <w:tcPr>
            <w:tcW w:type="dxa" w:w="4873"/>
            <w:vAlign w:val="center"/>
          </w:tcPr>
          <w:p>
            <w:pPr>
              <w:spacing w:line="276" w:lineRule="auto" w:before="0" w:after="0"/>
            </w:pPr>
            <w:r/>
            <w:r>
              <w:rPr>
                <w:rFonts w:ascii="Figtree" w:hAnsi="Figtree"/>
                <w:b w:val="0"/>
                <w:i w:val="0"/>
                <w:sz w:val="20"/>
              </w:rPr>
              <w:t>ISO 27001 and SOC 2 Type II certified</w:t>
            </w:r>
          </w:p>
        </w:tc>
      </w:tr>
    </w:tbl>
    <w:p>
      <w:pPr>
        <w:spacing w:before="0" w:after="0" w:line="120" w:lineRule="exact"/>
      </w:pPr>
    </w:p>
    <w:p>
      <w:r>
        <w:rPr>
          <w:rFonts w:ascii="Figtree" w:hAnsi="Figtree"/>
          <w:b w:val="0"/>
          <w:i w:val="0"/>
          <w:sz w:val="22"/>
        </w:rPr>
        <w:t>These credentials are not aspirational; they represent verified production deployments that have passed institutional scrutiny, security reviews, and regulatory examination.</w:t>
      </w:r>
    </w:p>
    <w:p>
      <w:pPr>
        <w:pStyle w:val="H2"/>
        <w:numPr>
          <w:ilvl w:val="1"/>
          <w:numId w:val="1"/>
        </w:numPr>
      </w:pPr>
      <w:r>
        <w:t>2.4 Regulatory Readiness</w:t>
      </w:r>
    </w:p>
    <w:p>
      <w:r>
        <w:rPr>
          <w:rFonts w:ascii="Figtree" w:hAnsi="Figtree"/>
          <w:b w:val="0"/>
          <w:i w:val="0"/>
          <w:sz w:val="22"/>
        </w:rPr>
        <w:t>SettleMint maintains regulatory readiness across multiple jurisdictions: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4"/>
        <w:gridCol w:w="836"/>
        <w:gridCol w:w="61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UAE/DIFC</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compliance engine; deployment readiness in UAE region</w:t>
            </w:r>
          </w:p>
        </w:tc>
      </w:tr>
      <w:tr>
        <w:trPr>
          <w:trHeight w:val="425" w:hRule="atLeast"/>
        </w:trPr>
        <w:tc>
          <w:tcPr>
            <w:tcW w:type="dxa" w:w="3249"/>
            <w:vAlign w:val="center"/>
          </w:tcPr>
          <w:p>
            <w:pPr>
              <w:spacing w:line="276" w:lineRule="auto" w:before="0" w:after="0"/>
            </w:pPr>
            <w:r/>
            <w:r>
              <w:rPr>
                <w:rFonts w:ascii="Figtree" w:hAnsi="Figtree"/>
                <w:b w:val="0"/>
                <w:i w:val="0"/>
                <w:sz w:val="20"/>
              </w:rPr>
              <w:t>EU/MiCA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Pre-built MiCA compliance template with country allowlists and supply limits</w:t>
            </w:r>
          </w:p>
        </w:tc>
      </w:tr>
      <w:tr>
        <w:trPr>
          <w:trHeight w:val="425" w:hRule="atLeast"/>
        </w:trPr>
        <w:tc>
          <w:tcPr>
            <w:tcW w:type="dxa" w:w="3249"/>
            <w:vAlign w:val="center"/>
          </w:tcPr>
          <w:p>
            <w:pPr>
              <w:spacing w:line="276" w:lineRule="auto" w:before="0" w:after="0"/>
            </w:pPr>
            <w:r/>
            <w:r>
              <w:rPr>
                <w:rFonts w:ascii="Figtree" w:hAnsi="Figtree"/>
                <w:b w:val="0"/>
                <w:i w:val="0"/>
                <w:sz w:val="20"/>
              </w:rPr>
              <w:t>Singapore/MAS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Pre-built MAS compliance template with investor count limits and holding periods</w:t>
            </w:r>
          </w:p>
        </w:tc>
      </w:tr>
      <w:tr>
        <w:trPr>
          <w:trHeight w:val="425" w:hRule="atLeast"/>
        </w:trPr>
        <w:tc>
          <w:tcPr>
            <w:tcW w:type="dxa" w:w="3249"/>
            <w:vAlign w:val="center"/>
          </w:tcPr>
          <w:p>
            <w:pPr>
              <w:spacing w:line="276" w:lineRule="auto" w:before="0" w:after="0"/>
            </w:pPr>
            <w:r/>
            <w:r>
              <w:rPr>
                <w:rFonts w:ascii="Figtree" w:hAnsi="Figtree"/>
                <w:b w:val="0"/>
                <w:i w:val="0"/>
                <w:sz w:val="20"/>
              </w:rPr>
              <w:t>UK/FCA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Pre-built FCA-aligned compliance templates</w:t>
            </w:r>
          </w:p>
        </w:tc>
      </w:tr>
      <w:tr>
        <w:trPr>
          <w:trHeight w:val="425" w:hRule="atLeast"/>
        </w:trPr>
        <w:tc>
          <w:tcPr>
            <w:tcW w:type="dxa" w:w="3249"/>
            <w:vAlign w:val="center"/>
          </w:tcPr>
          <w:p>
            <w:pPr>
              <w:spacing w:line="276" w:lineRule="auto" w:before="0" w:after="0"/>
            </w:pPr>
            <w:r/>
            <w:r>
              <w:rPr>
                <w:rFonts w:ascii="Figtree" w:hAnsi="Figtree"/>
                <w:b w:val="0"/>
                <w:i w:val="0"/>
                <w:sz w:val="20"/>
              </w:rPr>
              <w:t>USA/SEC</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 Reg CF, Reg D 506(b)/(c) compliance templates</w:t>
            </w:r>
          </w:p>
        </w:tc>
      </w:tr>
      <w:tr>
        <w:trPr>
          <w:trHeight w:val="425" w:hRule="atLeast"/>
        </w:trPr>
        <w:tc>
          <w:tcPr>
            <w:tcW w:type="dxa" w:w="3249"/>
            <w:vAlign w:val="center"/>
          </w:tcPr>
          <w:p>
            <w:pPr>
              <w:spacing w:line="276" w:lineRule="auto" w:before="0" w:after="0"/>
            </w:pPr>
            <w:r/>
            <w:r>
              <w:rPr>
                <w:rFonts w:ascii="Figtree" w:hAnsi="Figtree"/>
                <w:b w:val="0"/>
                <w:i w:val="0"/>
                <w:sz w:val="20"/>
              </w:rPr>
              <w:t>Japan/FSA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Japan FSA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Sharia Compliance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compliance engine for Islamic finance requirements</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 operates with an engineering-heavy organization. The DALP Core Engineering team consists of four senior engineers responsible for all platform development: smart contract architecture, backend services, API layer, compliance engine, settlement workflows, and infrastructure automation.</w:t>
      </w:r>
    </w:p>
    <w:p>
      <w:r>
        <w:rPr>
          <w:rFonts w:ascii="Figtree" w:hAnsi="Figtree"/>
          <w:b w:val="0"/>
          <w:i w:val="0"/>
          <w:sz w:val="22"/>
        </w:rPr>
        <w:t>The leadership combines deep technical expertise, financial domain knowledge, and enterprise delivery experience. The CEO leads commercial strategy with experience spanning Standard Chartered, SC Ventures, and capital markets. The Co-founder and President oversees strategy and market expansion. The Co-founder and CTO oversees technology strategy and platform architecture with deep expertise in distributed systems and blockchain protocols.</w:t>
      </w:r>
    </w:p>
    <w:p>
      <w:pPr>
        <w:pStyle w:val="H2"/>
        <w:numPr>
          <w:ilvl w:val="1"/>
          <w:numId w:val="1"/>
        </w:numPr>
      </w:pPr>
      <w:r>
        <w:t>2.6 Ecosystem and Partnerships</w:t>
      </w:r>
    </w:p>
    <w:p>
      <w:r>
        <w:rPr>
          <w:rFonts w:ascii="Figtree" w:hAnsi="Figtree"/>
          <w:b w:val="0"/>
          <w:i w:val="0"/>
          <w:sz w:val="22"/>
        </w:rPr>
        <w:t>SettleMint maintains partnerships with custody providers (Fireblocks, DFNS), cloud providers (AWS, Azure, GCP), identity providers (OnchainID), and systems integrators across Europe, the Middle East, and Asia-Pacific.</w:t>
      </w:r>
    </w:p>
    <w:p>
      <w:pPr>
        <w:pStyle w:val="H2"/>
        <w:numPr>
          <w:ilvl w:val="1"/>
          <w:numId w:val="1"/>
        </w:numPr>
      </w:pPr>
      <w:r>
        <w:t>2.7 Why Relevant to This Bid</w:t>
      </w:r>
    </w:p>
    <w:p>
      <w:r>
        <w:rPr>
          <w:rFonts w:ascii="Figtree" w:hAnsi="Figtree"/>
          <w:b w:val="0"/>
          <w:i w:val="0"/>
          <w:sz w:val="22"/>
        </w:rPr>
        <w:t>The DIFC Digital Asset Sandbox programme requires a partner with production-grade technology, regional experience within the Middle East, and the ability to support sandbox-to-production evolution. SettleMint meets all three criteria.</w:t>
      </w: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(Digital Asset Lifecycle Platform) is the infrastructure that institutions need to design, launch, and operate digital assets at production scale, with the governance, compliance, and reliability that regulated environments demand.</w:t>
      </w:r>
    </w:p>
    <w:p>
      <w:r>
        <w:rPr>
          <w:rFonts w:ascii="Figtree" w:hAnsi="Figtree"/>
          <w:b w:val="0"/>
          <w:i w:val="0"/>
          <w:sz w:val="22"/>
        </w:rPr>
        <w:t>The platform is designed as a unified operational command centre. From a single interface, operators manage portfolio valuation, identity verification, compliance monitoring, settlement workflows, and system administration. The dashboard reflects on-chain state in real time, not overnight.</w:t>
      </w:r>
    </w:p>
    <w:p>
      <w:r>
        <w:rPr>
          <w:rFonts w:ascii="Figtree" w:hAnsi="Figtree"/>
          <w:b w:val="0"/>
          <w:i w:val="0"/>
          <w:sz w:val="22"/>
        </w:rPr>
        <w:t>DALP is a platform, not a consulting engagement. Institutions configure and operate it themselves using the same software that powers production deployments across Europe, the Middle East, and Asia-Pacific.</w:t>
      </w:r>
    </w:p>
    <w:p>
      <w:pPr>
        <w:pStyle w:val="H2"/>
        <w:numPr>
          <w:ilvl w:val="1"/>
          <w:numId w:val="1"/>
        </w:numPr>
      </w:pPr>
      <w:r>
        <w:t>3.2 Core Lifecycle Pillars</w:t>
      </w:r>
    </w:p>
    <w:p>
      <w:pPr>
        <w:pStyle w:val="H3"/>
        <w:numPr>
          <w:ilvl w:val="2"/>
          <w:numId w:val="1"/>
        </w:numPr>
      </w:pPr>
      <w:r>
        <w:t>Issuance</w:t>
      </w:r>
    </w:p>
    <w:p>
      <w:r>
        <w:rPr>
          <w:rFonts w:ascii="Figtree" w:hAnsi="Figtree"/>
          <w:b w:val="0"/>
          <w:i w:val="0"/>
          <w:sz w:val="22"/>
        </w:rPr>
        <w:t>The Asset Designer guides issuers through tokenization with a step-by-step wizard supporting all major asset classes. Rather than writing custom smart contracts, operators configure DALP through the wizard that captures the full specification of the instrument.</w:t>
      </w:r>
    </w:p>
    <w:p>
      <w:pPr>
        <w:pStyle w:val="H3"/>
        <w:numPr>
          <w:ilvl w:val="2"/>
          <w:numId w:val="1"/>
        </w:numPr>
      </w:pPr>
      <w:r>
        <w:t>Compliance</w:t>
      </w:r>
    </w:p>
    <w:p>
      <w:r>
        <w:rPr>
          <w:rFonts w:ascii="Figtree" w:hAnsi="Figtree"/>
          <w:b w:val="0"/>
          <w:i w:val="0"/>
          <w:sz w:val="22"/>
        </w:rPr>
        <w:t>DALP implements ex-ante compliance enforcement: every token transfer, minting operation, and investor onboarding passes through a deterministic policy evaluation engine at the smart contract layer. If a transfer would violate any configured rule, it reverts atomically.</w:t>
      </w:r>
    </w:p>
    <w:p>
      <w:r>
        <w:rPr>
          <w:rFonts w:ascii="Figtree" w:hAnsi="Figtree"/>
          <w:b w:val="0"/>
          <w:i w:val="0"/>
          <w:sz w:val="22"/>
        </w:rPr>
        <w:t>The compliance library offers 12 configurable controls across seven categories: Eligibility, Restrictions, Transfer Controls, Issuance and Supply, Time-Based Rules, and Settlement and Collateral.</w:t>
      </w:r>
    </w:p>
    <w:p>
      <w:pPr>
        <w:pStyle w:val="H3"/>
        <w:numPr>
          <w:ilvl w:val="2"/>
          <w:numId w:val="1"/>
        </w:numPr>
      </w:pPr>
      <w:r>
        <w:t>Custody</w:t>
      </w:r>
    </w:p>
    <w:p>
      <w:r>
        <w:rPr>
          <w:rFonts w:ascii="Figtree" w:hAnsi="Figtree"/>
          <w:b w:val="0"/>
          <w:i w:val="0"/>
          <w:sz w:val="22"/>
        </w:rPr>
        <w:t>DALP supports both platform-managed custody and bring-your-own-custodian integration. For platform-managed custody, the platform provides secure key management through HSM and cloud KMS integration.</w:t>
      </w:r>
    </w:p>
    <w:p>
      <w:pPr>
        <w:pStyle w:val="H3"/>
        <w:numPr>
          <w:ilvl w:val="2"/>
          <w:numId w:val="1"/>
        </w:numPr>
      </w:pPr>
      <w:r>
        <w:t>Settlement</w:t>
      </w:r>
    </w:p>
    <w:p>
      <w:r>
        <w:rPr>
          <w:rFonts w:ascii="Figtree" w:hAnsi="Figtree"/>
          <w:b w:val="0"/>
          <w:i w:val="0"/>
          <w:sz w:val="22"/>
        </w:rPr>
        <w:t>DALP's atomic Delivery-versus-Payment (DvP) settlement ensures that asset and cash transfer simultaneously or both revert, achieving true T+0 finality. The XvP (Exchange versus Payment) settlement module extends this to multi-party, multi-asset atomic settlement.</w:t>
      </w:r>
    </w:p>
    <w:p>
      <w:pPr>
        <w:pStyle w:val="H3"/>
        <w:numPr>
          <w:ilvl w:val="2"/>
          <w:numId w:val="1"/>
        </w:numPr>
      </w:pPr>
      <w:r>
        <w:t>Servicing</w:t>
      </w:r>
    </w:p>
    <w:p>
      <w:r>
        <w:rPr>
          <w:rFonts w:ascii="Figtree" w:hAnsi="Figtree"/>
          <w:b w:val="0"/>
          <w:i w:val="0"/>
          <w:sz w:val="22"/>
        </w:rPr>
        <w:t>DALP automates corporate actions including bond coupon payments using pull-based distribution where holders claim their accrued yield.</w:t>
      </w:r>
    </w:p>
    <w:p>
      <w:pPr>
        <w:pStyle w:val="H2"/>
        <w:numPr>
          <w:ilvl w:val="1"/>
          <w:numId w:val="1"/>
        </w:numPr>
      </w:pPr>
      <w:r>
        <w:t>3.3 Platform Foundations</w:t>
      </w:r>
    </w:p>
    <w:p>
      <w:pPr>
        <w:pStyle w:val="H3"/>
        <w:numPr>
          <w:ilvl w:val="2"/>
          <w:numId w:val="1"/>
        </w:numPr>
      </w:pPr>
      <w:r>
        <w:t>Identity and Access</w:t>
      </w:r>
    </w:p>
    <w:p>
      <w:r>
        <w:rPr>
          <w:rFonts w:ascii="Figtree" w:hAnsi="Figtree"/>
          <w:b w:val="0"/>
          <w:i w:val="0"/>
          <w:sz w:val="22"/>
        </w:rPr>
        <w:t>Every participant is represented by an on-chain identity contract based on the OnchainID protocol. Claims are issued by trusted third parties, not self-asserted. Claims are checked at execution time, not only at onboarding.</w:t>
      </w:r>
    </w:p>
    <w:p>
      <w:pPr>
        <w:pStyle w:val="H3"/>
        <w:numPr>
          <w:ilvl w:val="2"/>
          <w:numId w:val="1"/>
        </w:numPr>
      </w:pPr>
      <w:r>
        <w:t>Integration and Interoperability</w:t>
      </w:r>
    </w:p>
    <w:p>
      <w:r>
        <w:rPr>
          <w:rFonts w:ascii="Figtree" w:hAnsi="Figtree"/>
          <w:b w:val="0"/>
          <w:i w:val="0"/>
          <w:sz w:val="22"/>
        </w:rPr>
        <w:t>DALP is API-first. Every capability is accessible through REST API (OpenAPI 3.1), TypeScript SDK (@settlemint/dalp-sdk), and Event Webhooks.</w:t>
      </w:r>
    </w:p>
    <w:p>
      <w:pPr>
        <w:pStyle w:val="H3"/>
        <w:numPr>
          <w:ilvl w:val="2"/>
          <w:numId w:val="1"/>
        </w:numPr>
      </w:pPr>
      <w:r>
        <w:t>Observability and Operations</w:t>
      </w:r>
    </w:p>
    <w:p>
      <w:r>
        <w:rPr>
          <w:rFonts w:ascii="Figtree" w:hAnsi="Figtree"/>
          <w:b w:val="0"/>
          <w:i w:val="0"/>
          <w:sz w:val="22"/>
        </w:rPr>
        <w:t>DALP includes enterprise-grade monitoring without requiring third-party tooling. Complete audit trails are maintained with timestamps, transaction hashes, and gas costs.</w:t>
      </w:r>
    </w:p>
    <w:p>
      <w:pPr>
        <w:pStyle w:val="H2"/>
        <w:numPr>
          <w:ilvl w:val="1"/>
          <w:numId w:val="1"/>
        </w:numPr>
      </w:pPr>
      <w:r>
        <w:t>3.4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3"/>
        <w:gridCol w:w="2673"/>
        <w:gridCol w:w="47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Characteristics</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Bonds</w:t>
            </w:r>
          </w:p>
        </w:tc>
        <w:tc>
          <w:tcPr>
            <w:tcW w:type="dxa" w:w="3249"/>
            <w:vAlign w:val="center"/>
          </w:tcPr>
          <w:p>
            <w:pPr>
              <w:spacing w:line="276" w:lineRule="auto" w:before="0" w:after="0"/>
            </w:pPr>
            <w:r/>
            <w:r>
              <w:rPr>
                <w:rFonts w:ascii="Figtree" w:hAnsi="Figtree"/>
                <w:b w:val="0"/>
                <w:i w:val="0"/>
                <w:sz w:val="20"/>
              </w:rPr>
              <w:t>Maturity dates, coupon schedules, ISIN identifiers</w:t>
            </w:r>
          </w:p>
        </w:tc>
      </w:tr>
      <w:tr>
        <w:trPr>
          <w:trHeight w:val="425" w:hRule="atLeast"/>
        </w:trPr>
        <w:tc>
          <w:tcPr>
            <w:tcW w:type="dxa" w:w="3249"/>
            <w:vAlign w:val="center"/>
          </w:tcPr>
          <w:p>
            <w:pPr>
              <w:spacing w:line="276" w:lineRule="auto" w:before="0" w:after="0"/>
            </w:pPr>
            <w:r/>
            <w:r>
              <w:rPr>
                <w:rFonts w:ascii="Figtree" w:hAnsi="Figtree"/>
                <w:b w:val="0"/>
                <w:i w:val="0"/>
                <w:sz w:val="20"/>
              </w:rPr>
              <w:t>Flexible Income</w:t>
            </w:r>
          </w:p>
        </w:tc>
        <w:tc>
          <w:tcPr>
            <w:tcW w:type="dxa" w:w="3249"/>
            <w:vAlign w:val="center"/>
          </w:tcPr>
          <w:p>
            <w:pPr>
              <w:spacing w:line="276" w:lineRule="auto" w:before="0" w:after="0"/>
            </w:pPr>
            <w:r/>
            <w:r>
              <w:rPr>
                <w:rFonts w:ascii="Figtree" w:hAnsi="Figtree"/>
                <w:b w:val="0"/>
                <w:i w:val="0"/>
                <w:sz w:val="20"/>
              </w:rPr>
              <w:t>Equities, Funds</w:t>
            </w:r>
          </w:p>
        </w:tc>
        <w:tc>
          <w:tcPr>
            <w:tcW w:type="dxa" w:w="3249"/>
            <w:vAlign w:val="center"/>
          </w:tcPr>
          <w:p>
            <w:pPr>
              <w:spacing w:line="276" w:lineRule="auto" w:before="0" w:after="0"/>
            </w:pPr>
            <w:r/>
            <w:r>
              <w:rPr>
                <w:rFonts w:ascii="Figtree" w:hAnsi="Figtree"/>
                <w:b w:val="0"/>
                <w:i w:val="0"/>
                <w:sz w:val="20"/>
              </w:rPr>
              <w:t>Share classes, collateral management</w:t>
            </w:r>
          </w:p>
        </w:tc>
      </w:tr>
      <w:tr>
        <w:trPr>
          <w:trHeight w:val="425" w:hRule="atLeast"/>
        </w:trPr>
        <w:tc>
          <w:tcPr>
            <w:tcW w:type="dxa" w:w="3249"/>
            <w:vAlign w:val="center"/>
          </w:tcPr>
          <w:p>
            <w:pPr>
              <w:spacing w:line="276" w:lineRule="auto" w:before="0" w:after="0"/>
            </w:pPr>
            <w:r/>
            <w:r>
              <w:rPr>
                <w:rFonts w:ascii="Figtree" w:hAnsi="Figtree"/>
                <w:b w:val="0"/>
                <w:i w:val="0"/>
                <w:sz w:val="20"/>
              </w:rPr>
              <w:t>Cash Equivalents</w:t>
            </w:r>
          </w:p>
        </w:tc>
        <w:tc>
          <w:tcPr>
            <w:tcW w:type="dxa" w:w="3249"/>
            <w:vAlign w:val="center"/>
          </w:tcPr>
          <w:p>
            <w:pPr>
              <w:spacing w:line="276" w:lineRule="auto" w:before="0" w:after="0"/>
            </w:pPr>
            <w:r/>
            <w:r>
              <w:rPr>
                <w:rFonts w:ascii="Figtree" w:hAnsi="Figtree"/>
                <w:b w:val="0"/>
                <w:i w:val="0"/>
                <w:sz w:val="20"/>
              </w:rPr>
              <w:t>Deposits, Stablecoins</w:t>
            </w:r>
          </w:p>
        </w:tc>
        <w:tc>
          <w:tcPr>
            <w:tcW w:type="dxa" w:w="3249"/>
            <w:vAlign w:val="center"/>
          </w:tcPr>
          <w:p>
            <w:pPr>
              <w:spacing w:line="276" w:lineRule="auto" w:before="0" w:after="0"/>
            </w:pPr>
            <w:r/>
            <w:r>
              <w:rPr>
                <w:rFonts w:ascii="Figtree" w:hAnsi="Figtree"/>
                <w:b w:val="0"/>
                <w:i w:val="0"/>
                <w:sz w:val="20"/>
              </w:rPr>
              <w:t>Bank deposit tokenization</w:t>
            </w:r>
          </w:p>
        </w:tc>
      </w:tr>
      <w:tr>
        <w:trPr>
          <w:trHeight w:val="425" w:hRule="atLeast"/>
        </w:trPr>
        <w:tc>
          <w:tcPr>
            <w:tcW w:type="dxa" w:w="3249"/>
            <w:vAlign w:val="center"/>
          </w:tcPr>
          <w:p>
            <w:pPr>
              <w:spacing w:line="276" w:lineRule="auto" w:before="0" w:after="0"/>
            </w:pPr>
            <w:r/>
            <w:r>
              <w:rPr>
                <w:rFonts w:ascii="Figtree" w:hAnsi="Figtree"/>
                <w:b w:val="0"/>
                <w:i w:val="0"/>
                <w:sz w:val="20"/>
              </w:rPr>
              <w:t>Real World Assets</w:t>
            </w:r>
          </w:p>
        </w:tc>
        <w:tc>
          <w:tcPr>
            <w:tcW w:type="dxa" w:w="3249"/>
            <w:vAlign w:val="center"/>
          </w:tcPr>
          <w:p>
            <w:pPr>
              <w:spacing w:line="276" w:lineRule="auto" w:before="0" w:after="0"/>
            </w:pPr>
            <w:r/>
            <w:r>
              <w:rPr>
                <w:rFonts w:ascii="Figtree" w:hAnsi="Figtree"/>
                <w:b w:val="0"/>
                <w:i w:val="0"/>
                <w:sz w:val="20"/>
              </w:rPr>
              <w:t>Real Estate, Precious Metals</w:t>
            </w:r>
          </w:p>
        </w:tc>
        <w:tc>
          <w:tcPr>
            <w:tcW w:type="dxa" w:w="3249"/>
            <w:vAlign w:val="center"/>
          </w:tcPr>
          <w:p>
            <w:pPr>
              <w:spacing w:line="276" w:lineRule="auto" w:before="0" w:after="0"/>
            </w:pPr>
            <w:r/>
            <w:r>
              <w:rPr>
                <w:rFonts w:ascii="Figtree" w:hAnsi="Figtree"/>
                <w:b w:val="0"/>
                <w:i w:val="0"/>
                <w:sz w:val="20"/>
              </w:rPr>
              <w:t>GPS coordinates, custody metadata</w:t>
            </w:r>
          </w:p>
        </w:tc>
      </w:tr>
    </w:tbl>
    <w:p>
      <w:pPr>
        <w:spacing w:before="0" w:after="0" w:line="120" w:lineRule="exact"/>
      </w:pPr>
    </w:p>
    <w:p>
      <w:pPr>
        <w:pStyle w:val="H2"/>
        <w:numPr>
          <w:ilvl w:val="1"/>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53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Primary compliance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Standard token interface</w:t>
            </w:r>
          </w:p>
        </w:tc>
      </w:tr>
      <w:tr>
        <w:trPr>
          <w:trHeight w:val="425" w:hRule="atLeast"/>
        </w:trPr>
        <w:tc>
          <w:tcPr>
            <w:tcW w:type="dxa" w:w="4873"/>
            <w:vAlign w:val="center"/>
          </w:tcPr>
          <w:p>
            <w:pPr>
              <w:spacing w:line="276" w:lineRule="auto" w:before="0" w:after="0"/>
            </w:pPr>
            <w:r/>
            <w:r>
              <w:rPr>
                <w:rFonts w:ascii="Figtree" w:hAnsi="Figtree"/>
                <w:b w:val="0"/>
                <w:i w:val="0"/>
                <w:sz w:val="20"/>
              </w:rPr>
              <w:t>ERC-734/735 (OnchainID)</w:t>
            </w:r>
          </w:p>
        </w:tc>
        <w:tc>
          <w:tcPr>
            <w:tcW w:type="dxa" w:w="4873"/>
            <w:vAlign w:val="center"/>
          </w:tcPr>
          <w:p>
            <w:pPr>
              <w:spacing w:line="276" w:lineRule="auto" w:before="0" w:after="0"/>
            </w:pPr>
            <w:r/>
            <w:r>
              <w:rPr>
                <w:rFonts w:ascii="Figtree" w:hAnsi="Figtree"/>
                <w:b w:val="0"/>
                <w:i w:val="0"/>
                <w:sz w:val="20"/>
              </w:rPr>
              <w:t>Identity and claims</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Meta-transactions</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Financial messaging</w:t>
            </w:r>
          </w:p>
        </w:tc>
      </w:tr>
    </w:tbl>
    <w:p>
      <w:pPr>
        <w:spacing w:before="0" w:after="0" w:line="120" w:lineRule="exact"/>
      </w:pPr>
    </w:p>
    <w:p>
      <w:pPr>
        <w:pStyle w:val="H2"/>
        <w:numPr>
          <w:ilvl w:val="1"/>
          <w:numId w:val="1"/>
        </w:numPr>
      </w:pPr>
      <w:r>
        <w:t>3.6 Key Differentiators</w:t>
      </w:r>
    </w:p>
    <w:p>
      <w:pPr>
        <w:pStyle w:val="ListParagraph"/>
        <w:numPr>
          <w:ilvl w:val="0"/>
          <w:numId w:val="4"/>
        </w:numPr>
      </w:pPr>
      <w:r>
        <w:rPr>
          <w:rFonts w:ascii="Figtree" w:hAnsi="Figtree"/>
          <w:b w:val="0"/>
          <w:i w:val="0"/>
          <w:sz w:val="22"/>
        </w:rPr>
        <w:t>Configuration over custom development</w:t>
      </w:r>
    </w:p>
    <w:p>
      <w:pPr>
        <w:pStyle w:val="ListParagraph"/>
        <w:numPr>
          <w:ilvl w:val="0"/>
          <w:numId w:val="4"/>
        </w:numPr>
      </w:pPr>
      <w:r>
        <w:rPr>
          <w:rFonts w:ascii="Figtree" w:hAnsi="Figtree"/>
          <w:b w:val="0"/>
          <w:i w:val="0"/>
          <w:sz w:val="22"/>
        </w:rPr>
        <w:t>Ex-ante compliance enforcement</w:t>
      </w:r>
    </w:p>
    <w:p>
      <w:pPr>
        <w:pStyle w:val="ListParagraph"/>
        <w:numPr>
          <w:ilvl w:val="0"/>
          <w:numId w:val="4"/>
        </w:numPr>
      </w:pPr>
      <w:r>
        <w:rPr>
          <w:rFonts w:ascii="Figtree" w:hAnsi="Figtree"/>
          <w:b w:val="0"/>
          <w:i w:val="0"/>
          <w:sz w:val="22"/>
        </w:rPr>
        <w:t>Full lifecycle coverage</w:t>
      </w:r>
    </w:p>
    <w:p>
      <w:pPr>
        <w:pStyle w:val="ListParagraph"/>
        <w:numPr>
          <w:ilvl w:val="0"/>
          <w:numId w:val="4"/>
        </w:numPr>
      </w:pPr>
      <w:r>
        <w:rPr>
          <w:rFonts w:ascii="Figtree" w:hAnsi="Figtree"/>
          <w:b w:val="0"/>
          <w:i w:val="0"/>
          <w:sz w:val="22"/>
        </w:rPr>
        <w:t>Atomic settlement</w:t>
      </w:r>
    </w:p>
    <w:p>
      <w:pPr>
        <w:pStyle w:val="ListParagraph"/>
        <w:numPr>
          <w:ilvl w:val="0"/>
          <w:numId w:val="4"/>
        </w:numPr>
      </w:pPr>
      <w:r>
        <w:rPr>
          <w:rFonts w:ascii="Figtree" w:hAnsi="Figtree"/>
          <w:b w:val="0"/>
          <w:i w:val="0"/>
          <w:sz w:val="22"/>
        </w:rPr>
        <w:t>Enterprise governance with 26 roles</w:t>
      </w:r>
    </w:p>
    <w:p>
      <w:r>
        <w:br w:type="page"/>
      </w:r>
    </w:p>
    <w:p>
      <w:pPr>
        <w:pStyle w:val="H1"/>
        <w:numPr>
          <w:ilvl w:val="0"/>
          <w:numId w:val="1"/>
        </w:numPr>
      </w:pPr>
      <w:r>
        <w:t>4. Customer References</w:t>
      </w:r>
    </w:p>
    <w:p>
      <w:pPr>
        <w:pStyle w:val="H2"/>
        <w:numPr>
          <w:ilvl w:val="1"/>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8"/>
        <w:gridCol w:w="1814"/>
        <w:gridCol w:w="1474"/>
        <w:gridCol w:w="31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REGA</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Real estate</w:t>
            </w:r>
          </w:p>
        </w:tc>
        <w:tc>
          <w:tcPr>
            <w:tcW w:type="dxa" w:w="2436"/>
            <w:vAlign w:val="center"/>
          </w:tcPr>
          <w:p>
            <w:pPr>
              <w:spacing w:line="276" w:lineRule="auto" w:before="0" w:after="0"/>
            </w:pPr>
            <w:r/>
            <w:r>
              <w:rPr>
                <w:rFonts w:ascii="Figtree" w:hAnsi="Figtree"/>
                <w:b w:val="0"/>
                <w:i w:val="0"/>
                <w:sz w:val="20"/>
              </w:rPr>
              <w:t>National-scale blockchain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Securities</w:t>
            </w:r>
          </w:p>
        </w:tc>
        <w:tc>
          <w:tcPr>
            <w:tcW w:type="dxa" w:w="2436"/>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ETPs</w:t>
            </w:r>
          </w:p>
        </w:tc>
        <w:tc>
          <w:tcPr>
            <w:tcW w:type="dxa" w:w="2436"/>
            <w:vAlign w:val="center"/>
          </w:tcPr>
          <w:p>
            <w:pPr>
              <w:spacing w:line="276" w:lineRule="auto" w:before="0" w:after="0"/>
            </w:pPr>
            <w:r/>
            <w:r>
              <w:rPr>
                <w:rFonts w:ascii="Figtree" w:hAnsi="Figtree"/>
                <w:b w:val="0"/>
                <w:i w:val="0"/>
                <w:sz w:val="20"/>
              </w:rPr>
              <w:t>Hybrid ETP issuance</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w:t>
            </w:r>
          </w:p>
        </w:tc>
        <w:tc>
          <w:tcPr>
            <w:tcW w:type="dxa" w:w="2436"/>
            <w:vAlign w:val="center"/>
          </w:tcPr>
          <w:p>
            <w:pPr>
              <w:spacing w:line="276" w:lineRule="auto" w:before="0" w:after="0"/>
            </w:pPr>
            <w:r/>
            <w:r>
              <w:rPr>
                <w:rFonts w:ascii="Figtree" w:hAnsi="Figtree"/>
                <w:b w:val="0"/>
                <w:i w:val="0"/>
                <w:sz w:val="20"/>
              </w:rPr>
              <w:t>National CBDC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tokens</w:t>
            </w:r>
          </w:p>
        </w:tc>
        <w:tc>
          <w:tcPr>
            <w:tcW w:type="dxa" w:w="2436"/>
            <w:vAlign w:val="center"/>
          </w:tcPr>
          <w:p>
            <w:pPr>
              <w:spacing w:line="276" w:lineRule="auto" w:before="0" w:after="0"/>
            </w:pPr>
            <w:r/>
            <w:r>
              <w:rPr>
                <w:rFonts w:ascii="Figtree" w:hAnsi="Figtree"/>
                <w:b w:val="0"/>
                <w:i w:val="0"/>
                <w:sz w:val="20"/>
              </w:rPr>
              <w:t>Cross-border FX settlement</w:t>
            </w:r>
          </w:p>
        </w:tc>
      </w:tr>
      <w:tr>
        <w:trPr>
          <w:trHeight w:val="425" w:hRule="atLeast"/>
        </w:trPr>
        <w:tc>
          <w:tcPr>
            <w:tcW w:type="dxa" w:w="2436"/>
            <w:vAlign w:val="center"/>
          </w:tcPr>
          <w:p>
            <w:pPr>
              <w:spacing w:line="276" w:lineRule="auto" w:before="0" w:after="0"/>
            </w:pPr>
            <w:r/>
            <w:r>
              <w:rPr>
                <w:rFonts w:ascii="Figtree" w:hAnsi="Figtree"/>
                <w:b w:val="0"/>
                <w:i w:val="0"/>
                <w:sz w:val="20"/>
              </w:rPr>
              <w:t>ADI Abu Dhabi</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Equity tokens</w:t>
            </w:r>
          </w:p>
        </w:tc>
        <w:tc>
          <w:tcPr>
            <w:tcW w:type="dxa" w:w="2436"/>
            <w:vAlign w:val="center"/>
          </w:tcPr>
          <w:p>
            <w:pPr>
              <w:spacing w:line="276" w:lineRule="auto" w:before="0" w:after="0"/>
            </w:pPr>
            <w:r/>
            <w:r>
              <w:rPr>
                <w:rFonts w:ascii="Figtree" w:hAnsi="Figtree"/>
                <w:b w:val="0"/>
                <w:i w:val="0"/>
                <w:sz w:val="20"/>
              </w:rPr>
              <w:t>Equity issuance</w:t>
            </w:r>
          </w:p>
        </w:tc>
      </w:tr>
    </w:tbl>
    <w:p>
      <w:pPr>
        <w:spacing w:before="0" w:after="0" w:line="120" w:lineRule="exact"/>
      </w:pPr>
    </w:p>
    <w:p>
      <w:pPr>
        <w:pStyle w:val="H2"/>
        <w:numPr>
          <w:ilvl w:val="1"/>
          <w:numId w:val="1"/>
        </w:numPr>
      </w:pPr>
      <w:r>
        <w:t>4.2 Saudi Arabia Real Estate Registry</w:t>
      </w:r>
    </w:p>
    <w:p>
      <w:r>
        <w:rPr>
          <w:rFonts w:ascii="Figtree" w:hAnsi="Figtree"/>
          <w:b/>
          <w:i w:val="0"/>
          <w:sz w:val="22"/>
        </w:rPr>
        <w:t>Context</w:t>
      </w:r>
      <w:r>
        <w:rPr>
          <w:rFonts w:ascii="Figtree" w:hAnsi="Figtree"/>
          <w:b w:val="0"/>
          <w:i w:val="0"/>
          <w:sz w:val="22"/>
        </w:rPr>
        <w:t>: REGA built national-scale blockchain for property registration and fractionalization under Vision 2030.</w:t>
      </w:r>
    </w:p>
    <w:p>
      <w:r>
        <w:rPr>
          <w:rFonts w:ascii="Figtree" w:hAnsi="Figtree"/>
          <w:b/>
          <w:i w:val="0"/>
          <w:sz w:val="22"/>
        </w:rPr>
        <w:t>Solution</w:t>
      </w:r>
      <w:r>
        <w:rPr>
          <w:rFonts w:ascii="Figtree" w:hAnsi="Figtree"/>
          <w:b w:val="0"/>
          <w:i w:val="0"/>
          <w:sz w:val="22"/>
        </w:rPr>
        <w:t>: DALP powers the blockchain and tokenization layer. Four PropTechs are live in production, processing real transactions as of January 2026.</w:t>
      </w:r>
    </w:p>
    <w:p>
      <w:r>
        <w:rPr>
          <w:rFonts w:ascii="Figtree" w:hAnsi="Figtree"/>
          <w:b/>
          <w:i w:val="0"/>
          <w:sz w:val="22"/>
        </w:rPr>
        <w:t>Outcome</w:t>
      </w:r>
      <w:r>
        <w:rPr>
          <w:rFonts w:ascii="Figtree" w:hAnsi="Figtree"/>
          <w:b w:val="0"/>
          <w:i w:val="0"/>
          <w:sz w:val="22"/>
        </w:rPr>
        <w:t>: First country in the world with national-scale property blockchain. Live production since January 2026.</w:t>
      </w:r>
    </w:p>
    <w:p>
      <w:r>
        <w:rPr>
          <w:rFonts w:ascii="Figtree" w:hAnsi="Figtree"/>
          <w:b/>
          <w:i w:val="0"/>
          <w:sz w:val="22"/>
        </w:rPr>
        <w:t>Transferability</w:t>
      </w:r>
      <w:r>
        <w:rPr>
          <w:rFonts w:ascii="Figtree" w:hAnsi="Figtree"/>
          <w:b w:val="0"/>
          <w:i w:val="0"/>
          <w:sz w:val="22"/>
        </w:rPr>
        <w:t>: Demonstrates GCC regulatory framework integration, national identity integration, and multi-participant API gateway.</w:t>
      </w:r>
    </w:p>
    <w:p>
      <w:pPr>
        <w:pStyle w:val="H2"/>
        <w:numPr>
          <w:ilvl w:val="1"/>
          <w:numId w:val="1"/>
        </w:numPr>
      </w:pPr>
      <w:r>
        <w:t>4.3 Standard Chartered Bank Digital Virtual Exchange</w:t>
      </w:r>
    </w:p>
    <w:p>
      <w:r>
        <w:rPr>
          <w:rFonts w:ascii="Figtree" w:hAnsi="Figtree"/>
          <w:b/>
          <w:i w:val="0"/>
          <w:sz w:val="22"/>
        </w:rPr>
        <w:t>Context</w:t>
      </w:r>
      <w:r>
        <w:rPr>
          <w:rFonts w:ascii="Figtree" w:hAnsi="Figtree"/>
          <w:b w:val="0"/>
          <w:i w:val="0"/>
          <w:sz w:val="22"/>
        </w:rPr>
        <w:t>: Improved trading efficiency for institutional investors across Asia, Africa, and Middle East.</w:t>
      </w:r>
    </w:p>
    <w:p>
      <w:r>
        <w:rPr>
          <w:rFonts w:ascii="Figtree" w:hAnsi="Figtree"/>
          <w:b/>
          <w:i w:val="0"/>
          <w:sz w:val="22"/>
        </w:rPr>
        <w:t>Solution</w:t>
      </w:r>
      <w:r>
        <w:rPr>
          <w:rFonts w:ascii="Figtree" w:hAnsi="Figtree"/>
          <w:b w:val="0"/>
          <w:i w:val="0"/>
          <w:sz w:val="22"/>
        </w:rPr>
        <w:t>: Blockchain-based Digital Virtual Exchange using DALP for securities tokenization and fractional ownership.</w:t>
      </w:r>
    </w:p>
    <w:p>
      <w:r>
        <w:rPr>
          <w:rFonts w:ascii="Figtree" w:hAnsi="Figtree"/>
          <w:b/>
          <w:i w:val="0"/>
          <w:sz w:val="22"/>
        </w:rPr>
        <w:t>Outcome</w:t>
      </w:r>
      <w:r>
        <w:rPr>
          <w:rFonts w:ascii="Figtree" w:hAnsi="Figtree"/>
          <w:b w:val="0"/>
          <w:i w:val="0"/>
          <w:sz w:val="22"/>
        </w:rPr>
        <w:t>: Settlement from days to near-instant. Custody intermediary costs eliminated.</w:t>
      </w:r>
    </w:p>
    <w:p>
      <w:r>
        <w:rPr>
          <w:rFonts w:ascii="Figtree" w:hAnsi="Figtree"/>
          <w:b/>
          <w:i w:val="0"/>
          <w:sz w:val="22"/>
        </w:rPr>
        <w:t>Transferability</w:t>
      </w:r>
      <w:r>
        <w:rPr>
          <w:rFonts w:ascii="Figtree" w:hAnsi="Figtree"/>
          <w:b w:val="0"/>
          <w:i w:val="0"/>
          <w:sz w:val="22"/>
        </w:rPr>
        <w:t>: Demonstrates institutional securities tokenization and multi-region deployment.</w:t>
      </w:r>
    </w:p>
    <w:p>
      <w:pPr>
        <w:pStyle w:val="H2"/>
        <w:numPr>
          <w:ilvl w:val="1"/>
          <w:numId w:val="1"/>
        </w:numPr>
      </w:pPr>
      <w:r>
        <w:t>4.4 Commerzbank Hybrid ETP Issuance</w:t>
      </w:r>
    </w:p>
    <w:p>
      <w:r>
        <w:rPr>
          <w:rFonts w:ascii="Figtree" w:hAnsi="Figtree"/>
          <w:b/>
          <w:i w:val="0"/>
          <w:sz w:val="22"/>
        </w:rPr>
        <w:t>Context</w:t>
      </w:r>
      <w:r>
        <w:rPr>
          <w:rFonts w:ascii="Figtree" w:hAnsi="Figtree"/>
          <w:b w:val="0"/>
          <w:i w:val="0"/>
          <w:sz w:val="22"/>
        </w:rPr>
        <w:t>: Modernized ETP issuance through hybrid on-chain/off-chain model with Boerse Stuttgart.</w:t>
      </w:r>
    </w:p>
    <w:p>
      <w:r>
        <w:rPr>
          <w:rFonts w:ascii="Figtree" w:hAnsi="Figtree"/>
          <w:b/>
          <w:i w:val="0"/>
          <w:sz w:val="22"/>
        </w:rPr>
        <w:t>Solution</w:t>
      </w:r>
      <w:r>
        <w:rPr>
          <w:rFonts w:ascii="Figtree" w:hAnsi="Figtree"/>
          <w:b w:val="0"/>
          <w:i w:val="0"/>
          <w:sz w:val="22"/>
        </w:rPr>
        <w:t>: DALP manages on-chain issuance and settlement with exchange integration.</w:t>
      </w:r>
    </w:p>
    <w:p>
      <w:r>
        <w:rPr>
          <w:rFonts w:ascii="Figtree" w:hAnsi="Figtree"/>
          <w:b/>
          <w:i w:val="0"/>
          <w:sz w:val="22"/>
        </w:rPr>
        <w:t>Outcome</w:t>
      </w:r>
      <w:r>
        <w:rPr>
          <w:rFonts w:ascii="Figtree" w:hAnsi="Figtree"/>
          <w:b w:val="0"/>
          <w:i w:val="0"/>
          <w:sz w:val="22"/>
        </w:rPr>
        <w:t>: Settlement under 10 seconds. EUR 7 million potential annual savings.</w:t>
      </w:r>
    </w:p>
    <w:p>
      <w:r>
        <w:rPr>
          <w:rFonts w:ascii="Figtree" w:hAnsi="Figtree"/>
          <w:b/>
          <w:i w:val="0"/>
          <w:sz w:val="22"/>
        </w:rPr>
        <w:t>Transferability</w:t>
      </w:r>
      <w:r>
        <w:rPr>
          <w:rFonts w:ascii="Figtree" w:hAnsi="Figtree"/>
          <w:b w:val="0"/>
          <w:i w:val="0"/>
          <w:sz w:val="22"/>
        </w:rPr>
        <w:t>: Demonstrates hybrid capability with established exchange infrastructure.</w:t>
      </w:r>
    </w:p>
    <w:p>
      <w:r>
        <w:br w:type="page"/>
      </w:r>
    </w:p>
    <w:p>
      <w:pPr>
        <w:pStyle w:val="H1"/>
        <w:numPr>
          <w:ilvl w:val="0"/>
          <w:numId w:val="1"/>
        </w:numPr>
      </w:pPr>
      <w:r>
        <w:t>5. Understanding of Requirements</w:t>
      </w:r>
    </w:p>
    <w:p>
      <w:pPr>
        <w:pStyle w:val="H2"/>
        <w:numPr>
          <w:ilvl w:val="1"/>
          <w:numId w:val="1"/>
        </w:numPr>
      </w:pPr>
      <w:r>
        <w:t>5.1 Client Context</w:t>
      </w:r>
    </w:p>
    <w:p>
      <w:r>
        <w:rPr>
          <w:rFonts w:ascii="Figtree" w:hAnsi="Figtree"/>
          <w:b w:val="0"/>
          <w:i w:val="0"/>
          <w:sz w:val="22"/>
        </w:rPr>
        <w:t>The DIFC Digital Asset Regulatory Sandbox Platform is a strategic initiative to establish Dubai as a global centre for digital asset innovation. The programme addresses demand from financial institutions, fintech companies, and enterprises for a controlled testing environment.</w:t>
      </w:r>
    </w:p>
    <w:p>
      <w:pPr>
        <w:pStyle w:val="H2"/>
        <w:numPr>
          <w:ilvl w:val="1"/>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5"/>
        <w:gridCol w:w="4687"/>
        <w:gridCol w:w="12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Multiple digital asset classes</w:t>
            </w:r>
          </w:p>
        </w:tc>
        <w:tc>
          <w:tcPr>
            <w:tcW w:type="dxa" w:w="3249"/>
            <w:vAlign w:val="center"/>
          </w:tcPr>
          <w:p>
            <w:pPr>
              <w:spacing w:line="276" w:lineRule="auto" w:before="0" w:after="0"/>
            </w:pPr>
            <w:r/>
            <w:r>
              <w:rPr>
                <w:rFonts w:ascii="Figtree" w:hAnsi="Figtree"/>
                <w:b w:val="0"/>
                <w:i w:val="0"/>
                <w:sz w:val="20"/>
              </w:rPr>
              <w:t>Critical</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KYC/AML and identity management</w:t>
            </w:r>
          </w:p>
        </w:tc>
        <w:tc>
          <w:tcPr>
            <w:tcW w:type="dxa" w:w="3249"/>
            <w:vAlign w:val="center"/>
          </w:tcPr>
          <w:p>
            <w:pPr>
              <w:spacing w:line="276" w:lineRule="auto" w:before="0" w:after="0"/>
            </w:pPr>
            <w:r/>
            <w:r>
              <w:rPr>
                <w:rFonts w:ascii="Figtree" w:hAnsi="Figtree"/>
                <w:b w:val="0"/>
                <w:i w:val="0"/>
                <w:sz w:val="20"/>
              </w:rPr>
              <w:t>Critical</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Configurable compliance rules</w:t>
            </w:r>
          </w:p>
        </w:tc>
        <w:tc>
          <w:tcPr>
            <w:tcW w:type="dxa" w:w="3249"/>
            <w:vAlign w:val="center"/>
          </w:tcPr>
          <w:p>
            <w:pPr>
              <w:spacing w:line="276" w:lineRule="auto" w:before="0" w:after="0"/>
            </w:pPr>
            <w:r/>
            <w:r>
              <w:rPr>
                <w:rFonts w:ascii="Figtree" w:hAnsi="Figtree"/>
                <w:b w:val="0"/>
                <w:i w:val="0"/>
                <w:sz w:val="20"/>
              </w:rPr>
              <w:t>Critical</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Atomic DvP and XvP</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API and regulatory interfaces</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UAE deployment, data residency</w:t>
            </w:r>
          </w:p>
        </w:tc>
        <w:tc>
          <w:tcPr>
            <w:tcW w:type="dxa" w:w="3249"/>
            <w:vAlign w:val="center"/>
          </w:tcPr>
          <w:p>
            <w:pPr>
              <w:spacing w:line="276" w:lineRule="auto" w:before="0" w:after="0"/>
            </w:pPr>
            <w:r/>
            <w:r>
              <w:rPr>
                <w:rFonts w:ascii="Figtree" w:hAnsi="Figtree"/>
                <w:b w:val="0"/>
                <w:i w:val="0"/>
                <w:sz w:val="20"/>
              </w:rPr>
              <w:t>Critical</w:t>
            </w:r>
          </w:p>
        </w:tc>
      </w:tr>
    </w:tbl>
    <w:p>
      <w:pPr>
        <w:spacing w:before="0" w:after="0" w:line="120" w:lineRule="exact"/>
      </w:pPr>
    </w:p>
    <w:p>
      <w:pPr>
        <w:pStyle w:val="H2"/>
        <w:numPr>
          <w:ilvl w:val="1"/>
          <w:numId w:val="1"/>
        </w:numPr>
      </w:pPr>
      <w:r>
        <w:t>5.3 Key Challenges</w:t>
      </w:r>
    </w:p>
    <w:p>
      <w:pPr>
        <w:pStyle w:val="H3"/>
        <w:numPr>
          <w:ilvl w:val="2"/>
          <w:numId w:val="1"/>
        </w:numPr>
      </w:pPr>
      <w:r>
        <w:t>Challenge 1: Regulatory Evolvability</w:t>
      </w:r>
    </w:p>
    <w:p>
      <w:r>
        <w:rPr>
          <w:rFonts w:ascii="Figtree" w:hAnsi="Figtree"/>
          <w:b w:val="0"/>
          <w:i w:val="0"/>
          <w:sz w:val="22"/>
        </w:rPr>
        <w:t>A sandbox must accommodate participants at different maturity levels. DALP's configurable compliance engine addresses this.</w:t>
      </w:r>
    </w:p>
    <w:p>
      <w:pPr>
        <w:pStyle w:val="H3"/>
        <w:numPr>
          <w:ilvl w:val="2"/>
          <w:numId w:val="1"/>
        </w:numPr>
      </w:pPr>
      <w:r>
        <w:t>Challenge 2: Multi-Participant Governance</w:t>
      </w:r>
    </w:p>
    <w:p>
      <w:r>
        <w:rPr>
          <w:rFonts w:ascii="Figtree" w:hAnsi="Figtree"/>
          <w:b w:val="0"/>
          <w:i w:val="0"/>
          <w:sz w:val="22"/>
        </w:rPr>
        <w:t>Multiple participants with different roles and regulatory statuses require granular access control.</w:t>
      </w:r>
    </w:p>
    <w:p>
      <w:pPr>
        <w:pStyle w:val="H3"/>
        <w:numPr>
          <w:ilvl w:val="2"/>
          <w:numId w:val="1"/>
        </w:numPr>
      </w:pPr>
      <w:r>
        <w:t>Challenge 3: Sandbox-to-Production Transition</w:t>
      </w:r>
    </w:p>
    <w:p>
      <w:r>
        <w:rPr>
          <w:rFonts w:ascii="Figtree" w:hAnsi="Figtree"/>
          <w:b w:val="0"/>
          <w:i w:val="0"/>
          <w:sz w:val="22"/>
        </w:rPr>
        <w:t>Successful participants need a path to production without migration.</w:t>
      </w:r>
    </w:p>
    <w:p>
      <w:pPr>
        <w:pStyle w:val="H3"/>
        <w:numPr>
          <w:ilvl w:val="2"/>
          <w:numId w:val="1"/>
        </w:numPr>
      </w:pPr>
      <w:r>
        <w:t>Challenge 4: Integration with DIFC Ecosystem</w:t>
      </w:r>
    </w:p>
    <w:p>
      <w:r>
        <w:rPr>
          <w:rFonts w:ascii="Figtree" w:hAnsi="Figtree"/>
          <w:b w:val="0"/>
          <w:i w:val="0"/>
          <w:sz w:val="22"/>
        </w:rPr>
        <w:t>The sandbox must integrate with existing DIFC systems.</w:t>
      </w:r>
    </w:p>
    <w:p>
      <w:pPr>
        <w:pStyle w:val="H3"/>
        <w:numPr>
          <w:ilvl w:val="2"/>
          <w:numId w:val="1"/>
        </w:numPr>
      </w:pPr>
      <w:r>
        <w:t>Challenge 5: Operational Complexity</w:t>
      </w:r>
    </w:p>
    <w:p>
      <w:r>
        <w:rPr>
          <w:rFonts w:ascii="Figtree" w:hAnsi="Figtree"/>
          <w:b w:val="0"/>
          <w:i w:val="0"/>
          <w:sz w:val="22"/>
        </w:rPr>
        <w:t>Even a sandbox requires production-grade reliability and observability.</w:t>
      </w:r>
    </w:p>
    <w:p>
      <w:r>
        <w:br w:type="page"/>
      </w:r>
    </w:p>
    <w:p>
      <w:pPr>
        <w:pStyle w:val="H1"/>
        <w:numPr>
          <w:ilvl w:val="0"/>
          <w:numId w:val="1"/>
        </w:numPr>
      </w:pPr>
      <w:r>
        <w:t>6. Proposed Solution and Functional Capabilities</w:t>
      </w:r>
    </w:p>
    <w:p>
      <w:pPr>
        <w:pStyle w:val="H2"/>
        <w:numPr>
          <w:ilvl w:val="1"/>
          <w:numId w:val="1"/>
        </w:numPr>
      </w:pPr>
      <w:r>
        <w:t>6.1 Solution Overview</w:t>
      </w:r>
    </w:p>
    <w:p>
      <w:r>
        <w:rPr>
          <w:rFonts w:ascii="Figtree" w:hAnsi="Figtree"/>
          <w:b w:val="0"/>
          <w:i w:val="0"/>
          <w:sz w:val="22"/>
        </w:rPr>
        <w:t>SettleMint proposes DALP as the foundational platform for the DIFC Digital Asset Regulatory Sandbox. The solution provides complete lifecycle management enabling participants to issue, hold, transfer, and service digital assets within a controlled regulatory environment.</w:t>
      </w:r>
    </w:p>
    <w:p>
      <w:r>
        <w:rPr>
          <w:rFonts w:ascii="Figtree" w:hAnsi="Figtree"/>
          <w:b w:val="0"/>
          <w:i w:val="0"/>
          <w:sz w:val="22"/>
        </w:rPr>
        <w:t>The deployment model is a dedicated private cloud environment in the UAE, ensuring data residency within DIFC jurisdiction.</w:t>
      </w:r>
    </w:p>
    <w:p>
      <w:pPr>
        <w:pStyle w:val="H2"/>
        <w:numPr>
          <w:ilvl w:val="1"/>
          <w:numId w:val="1"/>
        </w:numPr>
      </w:pPr>
      <w:r>
        <w:t>6.2 Issuance and Asset Configuration</w:t>
      </w:r>
    </w:p>
    <w:p>
      <w:r>
        <w:rPr>
          <w:rFonts w:ascii="Figtree" w:hAnsi="Figtree"/>
          <w:b w:val="0"/>
          <w:i w:val="0"/>
          <w:sz w:val="22"/>
        </w:rPr>
        <w:t>DALP provides a guided Asset Designer wizard for tokenization without custom smart contract development. Supported asset classes include:</w:t>
      </w:r>
    </w:p>
    <w:p>
      <w:r>
        <w:rPr>
          <w:rFonts w:ascii="Figtree" w:hAnsi="Figtree"/>
          <w:b/>
          <w:i w:val="0"/>
          <w:sz w:val="22"/>
        </w:rPr>
        <w:t>Bonds</w:t>
      </w:r>
      <w:r>
        <w:rPr>
          <w:rFonts w:ascii="Figtree" w:hAnsi="Figtree"/>
          <w:b w:val="0"/>
          <w:i w:val="0"/>
          <w:sz w:val="22"/>
        </w:rPr>
        <w:t>: Maturity date, ISIN, face value, denomination asset, coupon schedule with automated yield distribution.</w:t>
      </w:r>
    </w:p>
    <w:p>
      <w:r>
        <w:rPr>
          <w:rFonts w:ascii="Figtree" w:hAnsi="Figtree"/>
          <w:b/>
          <w:i w:val="0"/>
          <w:sz w:val="22"/>
        </w:rPr>
        <w:t>Equities</w:t>
      </w:r>
      <w:r>
        <w:rPr>
          <w:rFonts w:ascii="Figtree" w:hAnsi="Figtree"/>
          <w:b w:val="0"/>
          <w:i w:val="0"/>
          <w:sz w:val="22"/>
        </w:rPr>
        <w:t>: Share class configuration (common, preferred, voting), collateral management with coverage ratios.</w:t>
      </w:r>
    </w:p>
    <w:p>
      <w:r>
        <w:rPr>
          <w:rFonts w:ascii="Figtree" w:hAnsi="Figtree"/>
          <w:b/>
          <w:i w:val="0"/>
          <w:sz w:val="22"/>
        </w:rPr>
        <w:t>Funds</w:t>
      </w:r>
      <w:r>
        <w:rPr>
          <w:rFonts w:ascii="Figtree" w:hAnsi="Figtree"/>
          <w:b w:val="0"/>
          <w:i w:val="0"/>
          <w:sz w:val="22"/>
        </w:rPr>
        <w:t>: Investment category, fund class, management fee parameters, 18-decimal precision for fractional units.</w:t>
      </w:r>
    </w:p>
    <w:p>
      <w:r>
        <w:rPr>
          <w:rFonts w:ascii="Figtree" w:hAnsi="Figtree"/>
          <w:b/>
          <w:i w:val="0"/>
          <w:sz w:val="22"/>
        </w:rPr>
        <w:t>Real Estate</w:t>
      </w:r>
      <w:r>
        <w:rPr>
          <w:rFonts w:ascii="Figtree" w:hAnsi="Figtree"/>
          <w:b w:val="0"/>
          <w:i w:val="0"/>
          <w:sz w:val="22"/>
        </w:rPr>
        <w:t>: GPS coordinates, property classification, building specifications, fractional ownership.</w:t>
      </w:r>
    </w:p>
    <w:p>
      <w:r>
        <w:rPr>
          <w:rFonts w:ascii="Figtree" w:hAnsi="Figtree"/>
          <w:b/>
          <w:i w:val="0"/>
          <w:sz w:val="22"/>
        </w:rPr>
        <w:t>Precious Metals</w:t>
      </w:r>
      <w:r>
        <w:rPr>
          <w:rFonts w:ascii="Figtree" w:hAnsi="Figtree"/>
          <w:b w:val="0"/>
          <w:i w:val="0"/>
          <w:sz w:val="22"/>
        </w:rPr>
        <w:t>: Physical custody traceability with vault locations and custodians.</w:t>
      </w:r>
    </w:p>
    <w:p>
      <w:r>
        <w:rPr>
          <w:rFonts w:ascii="Figtree" w:hAnsi="Figtree"/>
          <w:b/>
          <w:i w:val="0"/>
          <w:sz w:val="22"/>
        </w:rPr>
        <w:t>Stablecoins</w:t>
      </w:r>
      <w:r>
        <w:rPr>
          <w:rFonts w:ascii="Figtree" w:hAnsi="Figtree"/>
          <w:b w:val="0"/>
          <w:i w:val="0"/>
          <w:sz w:val="22"/>
        </w:rPr>
        <w:t>: Peg currency relationship on-chain for transparent monetary policy.</w:t>
      </w:r>
    </w:p>
    <w:p>
      <w:r>
        <w:rPr>
          <w:rFonts w:ascii="Figtree" w:hAnsi="Figtree"/>
          <w:b/>
          <w:i w:val="0"/>
          <w:sz w:val="22"/>
        </w:rPr>
        <w:t>Deposits</w:t>
      </w:r>
      <w:r>
        <w:rPr>
          <w:rFonts w:ascii="Figtree" w:hAnsi="Figtree"/>
          <w:b w:val="0"/>
          <w:i w:val="0"/>
          <w:sz w:val="22"/>
        </w:rPr>
        <w:t>: Tokenized bank deposits for DvP settlement currency.</w:t>
      </w:r>
    </w:p>
    <w:p>
      <w:pPr>
        <w:pStyle w:val="H2"/>
        <w:numPr>
          <w:ilvl w:val="1"/>
          <w:numId w:val="1"/>
        </w:numPr>
      </w:pPr>
      <w:r>
        <w:t>6.3 Identity and Eligibility</w:t>
      </w:r>
    </w:p>
    <w:p>
      <w:r>
        <w:rPr>
          <w:rFonts w:ascii="Figtree" w:hAnsi="Figtree"/>
          <w:b w:val="0"/>
          <w:i w:val="0"/>
          <w:sz w:val="22"/>
        </w:rPr>
        <w:t>DALP implements identity through OnchainID where every participant holds an on-chain identity contract. The claims model requires trusted issuers to attest to participant attributes.</w:t>
      </w:r>
    </w:p>
    <w:p>
      <w:pPr>
        <w:pStyle w:val="H2"/>
        <w:numPr>
          <w:ilvl w:val="1"/>
          <w:numId w:val="1"/>
        </w:numPr>
      </w:pPr>
      <w:r>
        <w:t>6.4 Compliance Configuration</w:t>
      </w:r>
    </w:p>
    <w:p>
      <w:r>
        <w:rPr>
          <w:rFonts w:ascii="Figtree" w:hAnsi="Figtree"/>
          <w:b w:val="0"/>
          <w:i w:val="0"/>
          <w:sz w:val="22"/>
        </w:rPr>
        <w:t>DALP's compliance engine provides 12 configurable controls organized across seven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7"/>
        <w:gridCol w:w="60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Controls</w:t>
            </w:r>
          </w:p>
        </w:tc>
      </w:tr>
      <w:tr>
        <w:trPr>
          <w:trHeight w:val="425" w:hRule="atLeast"/>
        </w:trPr>
        <w:tc>
          <w:tcPr>
            <w:tcW w:type="dxa" w:w="4873"/>
            <w:vAlign w:val="center"/>
          </w:tcPr>
          <w:p>
            <w:pPr>
              <w:spacing w:line="276" w:lineRule="auto" w:before="0" w:after="0"/>
            </w:pPr>
            <w:r/>
            <w:r>
              <w:rPr>
                <w:rFonts w:ascii="Figtree" w:hAnsi="Figtree"/>
                <w:b w:val="0"/>
                <w:i w:val="0"/>
                <w:sz w:val="20"/>
              </w:rPr>
              <w:t>Eligibility</w:t>
            </w:r>
          </w:p>
        </w:tc>
        <w:tc>
          <w:tcPr>
            <w:tcW w:type="dxa" w:w="4873"/>
            <w:vAlign w:val="center"/>
          </w:tcPr>
          <w:p>
            <w:pPr>
              <w:spacing w:line="276" w:lineRule="auto" w:before="0" w:after="0"/>
            </w:pPr>
            <w:r/>
            <w:r>
              <w:rPr>
                <w:rFonts w:ascii="Figtree" w:hAnsi="Figtree"/>
                <w:b w:val="0"/>
                <w:i w:val="0"/>
                <w:sz w:val="20"/>
              </w:rPr>
              <w:t>Investor verification, claim requirements</w:t>
            </w:r>
          </w:p>
        </w:tc>
      </w:tr>
      <w:tr>
        <w:trPr>
          <w:trHeight w:val="425" w:hRule="atLeast"/>
        </w:trPr>
        <w:tc>
          <w:tcPr>
            <w:tcW w:type="dxa" w:w="4873"/>
            <w:vAlign w:val="center"/>
          </w:tcPr>
          <w:p>
            <w:pPr>
              <w:spacing w:line="276" w:lineRule="auto" w:before="0" w:after="0"/>
            </w:pPr>
            <w:r/>
            <w:r>
              <w:rPr>
                <w:rFonts w:ascii="Figtree" w:hAnsi="Figtree"/>
                <w:b w:val="0"/>
                <w:i w:val="0"/>
                <w:sz w:val="20"/>
              </w:rPr>
              <w:t>Restrictions</w:t>
            </w:r>
          </w:p>
        </w:tc>
        <w:tc>
          <w:tcPr>
            <w:tcW w:type="dxa" w:w="4873"/>
            <w:vAlign w:val="center"/>
          </w:tcPr>
          <w:p>
            <w:pPr>
              <w:spacing w:line="276" w:lineRule="auto" w:before="0" w:after="0"/>
            </w:pPr>
            <w:r/>
            <w:r>
              <w:rPr>
                <w:rFonts w:ascii="Figtree" w:hAnsi="Figtree"/>
                <w:b w:val="0"/>
                <w:i w:val="0"/>
                <w:sz w:val="20"/>
              </w:rPr>
              <w:t>Country allowlists, investor limits</w:t>
            </w:r>
          </w:p>
        </w:tc>
      </w:tr>
      <w:tr>
        <w:trPr>
          <w:trHeight w:val="425" w:hRule="atLeast"/>
        </w:trPr>
        <w:tc>
          <w:tcPr>
            <w:tcW w:type="dxa" w:w="4873"/>
            <w:vAlign w:val="center"/>
          </w:tcPr>
          <w:p>
            <w:pPr>
              <w:spacing w:line="276" w:lineRule="auto" w:before="0" w:after="0"/>
            </w:pPr>
            <w:r/>
            <w:r>
              <w:rPr>
                <w:rFonts w:ascii="Figtree" w:hAnsi="Figtree"/>
                <w:b w:val="0"/>
                <w:i w:val="0"/>
                <w:sz w:val="20"/>
              </w:rPr>
              <w:t>Transfer Controls</w:t>
            </w:r>
          </w:p>
        </w:tc>
        <w:tc>
          <w:tcPr>
            <w:tcW w:type="dxa" w:w="4873"/>
            <w:vAlign w:val="center"/>
          </w:tcPr>
          <w:p>
            <w:pPr>
              <w:spacing w:line="276" w:lineRule="auto" w:before="0" w:after="0"/>
            </w:pPr>
            <w:r/>
            <w:r>
              <w:rPr>
                <w:rFonts w:ascii="Figtree" w:hAnsi="Figtree"/>
                <w:b w:val="0"/>
                <w:i w:val="0"/>
                <w:sz w:val="20"/>
              </w:rPr>
              <w:t>Approval thresholds, freeze functionality</w:t>
            </w:r>
          </w:p>
        </w:tc>
      </w:tr>
      <w:tr>
        <w:trPr>
          <w:trHeight w:val="425" w:hRule="atLeast"/>
        </w:trPr>
        <w:tc>
          <w:tcPr>
            <w:tcW w:type="dxa" w:w="4873"/>
            <w:vAlign w:val="center"/>
          </w:tcPr>
          <w:p>
            <w:pPr>
              <w:spacing w:line="276" w:lineRule="auto" w:before="0" w:after="0"/>
            </w:pPr>
            <w:r/>
            <w:r>
              <w:rPr>
                <w:rFonts w:ascii="Figtree" w:hAnsi="Figtree"/>
                <w:b w:val="0"/>
                <w:i w:val="0"/>
                <w:sz w:val="20"/>
              </w:rPr>
              <w:t>Issuance/Supply</w:t>
            </w:r>
          </w:p>
        </w:tc>
        <w:tc>
          <w:tcPr>
            <w:tcW w:type="dxa" w:w="4873"/>
            <w:vAlign w:val="center"/>
          </w:tcPr>
          <w:p>
            <w:pPr>
              <w:spacing w:line="276" w:lineRule="auto" w:before="0" w:after="0"/>
            </w:pPr>
            <w:r/>
            <w:r>
              <w:rPr>
                <w:rFonts w:ascii="Figtree" w:hAnsi="Figtree"/>
                <w:b w:val="0"/>
                <w:i w:val="0"/>
                <w:sz w:val="20"/>
              </w:rPr>
              <w:t>Supply caps, minting limits</w:t>
            </w:r>
          </w:p>
        </w:tc>
      </w:tr>
      <w:tr>
        <w:trPr>
          <w:trHeight w:val="425" w:hRule="atLeast"/>
        </w:trPr>
        <w:tc>
          <w:tcPr>
            <w:tcW w:type="dxa" w:w="4873"/>
            <w:vAlign w:val="center"/>
          </w:tcPr>
          <w:p>
            <w:pPr>
              <w:spacing w:line="276" w:lineRule="auto" w:before="0" w:after="0"/>
            </w:pPr>
            <w:r/>
            <w:r>
              <w:rPr>
                <w:rFonts w:ascii="Figtree" w:hAnsi="Figtree"/>
                <w:b w:val="0"/>
                <w:i w:val="0"/>
                <w:sz w:val="20"/>
              </w:rPr>
              <w:t>Time-Based</w:t>
            </w:r>
          </w:p>
        </w:tc>
        <w:tc>
          <w:tcPr>
            <w:tcW w:type="dxa" w:w="4873"/>
            <w:vAlign w:val="center"/>
          </w:tcPr>
          <w:p>
            <w:pPr>
              <w:spacing w:line="276" w:lineRule="auto" w:before="0" w:after="0"/>
            </w:pPr>
            <w:r/>
            <w:r>
              <w:rPr>
                <w:rFonts w:ascii="Figtree" w:hAnsi="Figtree"/>
                <w:b w:val="0"/>
                <w:i w:val="0"/>
                <w:sz w:val="20"/>
              </w:rPr>
              <w:t>Lock-up periods, holding requirements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DvP requirements, settlement windows</w:t>
            </w:r>
          </w:p>
        </w:tc>
      </w:tr>
      <w:tr>
        <w:trPr>
          <w:trHeight w:val="425" w:hRule="atLeast"/>
        </w:trPr>
        <w:tc>
          <w:tcPr>
            <w:tcW w:type="dxa" w:w="4873"/>
            <w:vAlign w:val="center"/>
          </w:tcPr>
          <w:p>
            <w:pPr>
              <w:spacing w:line="276" w:lineRule="auto" w:before="0" w:after="0"/>
            </w:pPr>
            <w:r/>
            <w:r>
              <w:rPr>
                <w:rFonts w:ascii="Figtree" w:hAnsi="Figtree"/>
                <w:b w:val="0"/>
                <w:i w:val="0"/>
                <w:sz w:val="20"/>
              </w:rPr>
              <w:t>Collateral</w:t>
            </w:r>
          </w:p>
        </w:tc>
        <w:tc>
          <w:tcPr>
            <w:tcW w:type="dxa" w:w="4873"/>
            <w:vAlign w:val="center"/>
          </w:tcPr>
          <w:p>
            <w:pPr>
              <w:spacing w:line="276" w:lineRule="auto" w:before="0" w:after="0"/>
            </w:pPr>
            <w:r/>
            <w:r>
              <w:rPr>
                <w:rFonts w:ascii="Figtree" w:hAnsi="Figtree"/>
                <w:b w:val="0"/>
                <w:i w:val="0"/>
                <w:sz w:val="20"/>
              </w:rPr>
              <w:t>Coverage ratios, margin requirements</w:t>
            </w:r>
          </w:p>
        </w:tc>
      </w:tr>
    </w:tbl>
    <w:p>
      <w:pPr>
        <w:spacing w:before="0" w:after="0" w:line="120" w:lineRule="exact"/>
      </w:pPr>
    </w:p>
    <w:p>
      <w:r>
        <w:rPr>
          <w:rFonts w:ascii="Figtree" w:hAnsi="Figtree"/>
          <w:b w:val="0"/>
          <w:i w:val="0"/>
          <w:sz w:val="22"/>
        </w:rPr>
        <w:t>Pre-built regulatory templates are available for MiCA, MAS, FCA, SEC Reg CF, Reg D, and Japan FSA. DIFC-specific requirements can be configured through the expression builder using boolean logic.</w:t>
      </w:r>
    </w:p>
    <w:p>
      <w:pPr>
        <w:pStyle w:val="H2"/>
        <w:numPr>
          <w:ilvl w:val="1"/>
          <w:numId w:val="1"/>
        </w:numPr>
      </w:pPr>
      <w:r>
        <w:t>6.5 Settlement Capabilities</w:t>
      </w:r>
    </w:p>
    <w:p>
      <w:pPr>
        <w:pStyle w:val="H3"/>
        <w:numPr>
          <w:ilvl w:val="2"/>
          <w:numId w:val="1"/>
        </w:numPr>
      </w:pPr>
      <w:r>
        <w:t>DvP (Delivery-versus-Payment)</w:t>
      </w:r>
    </w:p>
    <w:p>
      <w:r>
        <w:rPr>
          <w:rFonts w:ascii="Figtree" w:hAnsi="Figtree"/>
          <w:b w:val="0"/>
          <w:i w:val="0"/>
          <w:sz w:val="22"/>
        </w:rPr>
        <w:t>Atomic settlement ensuring asset and cash transfer simultaneously or both revert.</w:t>
      </w:r>
    </w:p>
    <w:p>
      <w:pPr>
        <w:pStyle w:val="H3"/>
        <w:numPr>
          <w:ilvl w:val="2"/>
          <w:numId w:val="1"/>
        </w:numPr>
      </w:pPr>
      <w:r>
        <w:t>XvP (Exchange versus Payment)</w:t>
      </w:r>
    </w:p>
    <w:p>
      <w:r>
        <w:rPr>
          <w:rFonts w:ascii="Figtree" w:hAnsi="Figtree"/>
          <w:b w:val="0"/>
          <w:i w:val="0"/>
          <w:sz w:val="22"/>
        </w:rPr>
        <w:t>Multi-party, multi-asset atomic settlement for complex transactions.</w:t>
      </w:r>
    </w:p>
    <w:p>
      <w:pPr>
        <w:pStyle w:val="H3"/>
        <w:numPr>
          <w:ilvl w:val="2"/>
          <w:numId w:val="1"/>
        </w:numPr>
      </w:pPr>
      <w:r>
        <w:t>Cross-Chain Settlement</w:t>
      </w:r>
    </w:p>
    <w:p>
      <w:r>
        <w:rPr>
          <w:rFonts w:ascii="Figtree" w:hAnsi="Figtree"/>
          <w:b w:val="0"/>
          <w:i w:val="0"/>
          <w:sz w:val="22"/>
        </w:rPr>
        <w:t>HTLC (Hash Time-Locked Contract) cryptography secures cross-chain atomic execution.</w:t>
      </w:r>
    </w:p>
    <w:p>
      <w:pPr>
        <w:pStyle w:val="H2"/>
        <w:numPr>
          <w:ilvl w:val="1"/>
          <w:numId w:val="1"/>
        </w:numPr>
      </w:pPr>
      <w:r>
        <w:t>6.6 Participant Onboarding Flow</w:t>
      </w:r>
    </w:p>
    <w:p>
      <w:r>
        <w:rPr>
          <w:rFonts w:ascii="Figtree" w:hAnsi="Figtree"/>
          <w:b w:val="0"/>
          <w:i w:val="0"/>
          <w:sz w:val="22"/>
        </w:rPr>
        <w:t>The onboarding flow includes application submission, identity verification, compliance review, approval decision, sandbox access provisioning, and asset creation capabilities.</w:t>
      </w:r>
    </w:p>
    <w:p>
      <w:pPr>
        <w:pStyle w:val="H2"/>
        <w:numPr>
          <w:ilvl w:val="1"/>
          <w:numId w:val="1"/>
        </w:numPr>
      </w:pPr>
      <w:r>
        <w:t>6.7 Role-Based Access Control</w:t>
      </w:r>
    </w:p>
    <w:p>
      <w:r>
        <w:rPr>
          <w:rFonts w:ascii="Figtree" w:hAnsi="Figtree"/>
          <w:b w:val="0"/>
          <w:i w:val="0"/>
          <w:sz w:val="22"/>
        </w:rPr>
        <w:t>DALP defines 26 distinct roles across four layers: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1"/>
        <w:gridCol w:w="63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Roles</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Platform Admin, Auditor, Support</w:t>
            </w:r>
          </w:p>
        </w:tc>
      </w:tr>
      <w:tr>
        <w:trPr>
          <w:trHeight w:val="425" w:hRule="atLeast"/>
        </w:trPr>
        <w:tc>
          <w:tcPr>
            <w:tcW w:type="dxa" w:w="4873"/>
            <w:vAlign w:val="center"/>
          </w:tcPr>
          <w:p>
            <w:pPr>
              <w:spacing w:line="276" w:lineRule="auto" w:before="0" w:after="0"/>
            </w:pPr>
            <w:r/>
            <w:r>
              <w:rPr>
                <w:rFonts w:ascii="Figtree" w:hAnsi="Figtree"/>
                <w:b w:val="0"/>
                <w:i w:val="0"/>
                <w:sz w:val="20"/>
              </w:rPr>
              <w:t>Asset</w:t>
            </w:r>
          </w:p>
        </w:tc>
        <w:tc>
          <w:tcPr>
            <w:tcW w:type="dxa" w:w="4873"/>
            <w:vAlign w:val="center"/>
          </w:tcPr>
          <w:p>
            <w:pPr>
              <w:spacing w:line="276" w:lineRule="auto" w:before="0" w:after="0"/>
            </w:pPr>
            <w:r/>
            <w:r>
              <w:rPr>
                <w:rFonts w:ascii="Figtree" w:hAnsi="Figtree"/>
                <w:b w:val="0"/>
                <w:i w:val="0"/>
                <w:sz w:val="20"/>
              </w:rPr>
              <w:t>Asset Admin, Issuer, Custodian</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Compliance Officer, Investigator</w:t>
            </w:r>
          </w:p>
        </w:tc>
      </w:tr>
      <w:tr>
        <w:trPr>
          <w:trHeight w:val="425" w:hRule="atLeast"/>
        </w:trPr>
        <w:tc>
          <w:tcPr>
            <w:tcW w:type="dxa" w:w="4873"/>
            <w:vAlign w:val="center"/>
          </w:tcPr>
          <w:p>
            <w:pPr>
              <w:spacing w:line="276" w:lineRule="auto" w:before="0" w:after="0"/>
            </w:pPr>
            <w:r/>
            <w:r>
              <w:rPr>
                <w:rFonts w:ascii="Figtree" w:hAnsi="Figtree"/>
                <w:b w:val="0"/>
                <w:i w:val="0"/>
                <w:sz w:val="20"/>
              </w:rPr>
              <w:t>Transaction</w:t>
            </w:r>
          </w:p>
        </w:tc>
        <w:tc>
          <w:tcPr>
            <w:tcW w:type="dxa" w:w="4873"/>
            <w:vAlign w:val="center"/>
          </w:tcPr>
          <w:p>
            <w:pPr>
              <w:spacing w:line="276" w:lineRule="auto" w:before="0" w:after="0"/>
            </w:pPr>
            <w:r/>
            <w:r>
              <w:rPr>
                <w:rFonts w:ascii="Figtree" w:hAnsi="Figtree"/>
                <w:b w:val="0"/>
                <w:i w:val="0"/>
                <w:sz w:val="20"/>
              </w:rPr>
              <w:t>Initiator, Approver, Viewer</w:t>
            </w:r>
          </w:p>
        </w:tc>
      </w:tr>
    </w:tbl>
    <w:p>
      <w:pPr>
        <w:spacing w:before="0" w:after="0" w:line="120" w:lineRule="exact"/>
      </w:pPr>
    </w:p>
    <w:p>
      <w:r>
        <w:br w:type="page"/>
      </w:r>
    </w:p>
    <w:p>
      <w:pPr>
        <w:pStyle w:val="H1"/>
        <w:numPr>
          <w:ilvl w:val="0"/>
          <w:numId w:val="1"/>
        </w:numPr>
      </w:pPr>
      <w:r>
        <w:t>7. Technical Architecture</w:t>
      </w:r>
    </w:p>
    <w:p>
      <w:pPr>
        <w:pStyle w:val="H2"/>
        <w:numPr>
          <w:ilvl w:val="1"/>
          <w:numId w:val="1"/>
        </w:numPr>
      </w:pPr>
      <w:r>
        <w:t>7.1 Architecture Overview</w:t>
      </w:r>
    </w:p>
    <w:p>
      <w:r>
        <w:rPr>
          <w:rFonts w:ascii="Figtree" w:hAnsi="Figtree"/>
          <w:b w:val="0"/>
          <w:i w:val="0"/>
          <w:sz w:val="22"/>
        </w:rPr>
        <w:t>DALP is built as a four-layer stack with distinct responsibility boundaries:</w:t>
      </w:r>
    </w:p>
    <w:p>
      <w:pPr>
        <w:pStyle w:val="H3"/>
        <w:numPr>
          <w:ilvl w:val="2"/>
          <w:numId w:val="1"/>
        </w:numPr>
      </w:pPr>
      <w:r>
        <w:t>Application Layer</w:t>
      </w:r>
    </w:p>
    <w:p>
      <w:r>
        <w:rPr>
          <w:rFonts w:ascii="Figtree" w:hAnsi="Figtree"/>
          <w:b w:val="0"/>
          <w:i w:val="0"/>
          <w:sz w:val="22"/>
        </w:rPr>
        <w:t>The DALP dApp provides the operational interface for asset lifecycle management, compliance workflows, portfolio views, system monitoring, and the Asset Designer wizard. The application supports internationalization with four locales including Arabic (RTL support).</w:t>
      </w:r>
    </w:p>
    <w:p>
      <w:pPr>
        <w:pStyle w:val="H3"/>
        <w:numPr>
          <w:ilvl w:val="2"/>
          <w:numId w:val="1"/>
        </w:numPr>
      </w:pPr>
      <w:r>
        <w:t>API Layer</w:t>
      </w:r>
    </w:p>
    <w:p>
      <w:r>
        <w:rPr>
          <w:rFonts w:ascii="Figtree" w:hAnsi="Figtree"/>
          <w:b w:val="0"/>
          <w:i w:val="0"/>
          <w:sz w:val="22"/>
        </w:rPr>
        <w:t>The Unified API exposes all platform capabilities through OpenAPI 3.1 specifications. A dual-endpoint architecture separates browser sessions from programmatic access, creating a hardened security boundary.</w:t>
      </w:r>
    </w:p>
    <w:p>
      <w:pPr>
        <w:pStyle w:val="H3"/>
        <w:numPr>
          <w:ilvl w:val="2"/>
          <w:numId w:val="1"/>
        </w:numPr>
      </w:pPr>
      <w:r>
        <w:t>Middleware Layer</w:t>
      </w:r>
    </w:p>
    <w:p>
      <w:pPr>
        <w:pStyle w:val="ListParagraph"/>
        <w:numPr>
          <w:ilvl w:val="0"/>
          <w:numId w:val="4"/>
        </w:numPr>
      </w:pPr>
      <w:r>
        <w:rPr>
          <w:rFonts w:ascii="Figtree" w:hAnsi="Figtree"/>
          <w:b/>
          <w:i w:val="0"/>
          <w:sz w:val="22"/>
        </w:rPr>
        <w:t>Restate Execution Engine</w:t>
      </w:r>
      <w:r>
        <w:rPr>
          <w:rFonts w:ascii="Figtree" w:hAnsi="Figtree"/>
          <w:b w:val="0"/>
          <w:i w:val="0"/>
          <w:sz w:val="22"/>
        </w:rPr>
        <w:t>: Durable workflow orchestration with persistent state and exactly-once semantics</w:t>
      </w:r>
    </w:p>
    <w:p>
      <w:pPr>
        <w:pStyle w:val="ListParagraph"/>
        <w:numPr>
          <w:ilvl w:val="0"/>
          <w:numId w:val="4"/>
        </w:numPr>
      </w:pPr>
      <w:r>
        <w:rPr>
          <w:rFonts w:ascii="Figtree" w:hAnsi="Figtree"/>
          <w:b/>
          <w:i w:val="0"/>
          <w:sz w:val="22"/>
        </w:rPr>
        <w:t>Key Guardian</w:t>
      </w:r>
      <w:r>
        <w:rPr>
          <w:rFonts w:ascii="Figtree" w:hAnsi="Figtree"/>
          <w:b w:val="0"/>
          <w:i w:val="0"/>
          <w:sz w:val="22"/>
        </w:rPr>
        <w:t>: Cryptographic key storage with HSM and cloud KMS integration</w:t>
      </w:r>
    </w:p>
    <w:p>
      <w:pPr>
        <w:pStyle w:val="ListParagraph"/>
        <w:numPr>
          <w:ilvl w:val="0"/>
          <w:numId w:val="4"/>
        </w:numPr>
      </w:pPr>
      <w:r>
        <w:rPr>
          <w:rFonts w:ascii="Figtree" w:hAnsi="Figtree"/>
          <w:b/>
          <w:i w:val="0"/>
          <w:sz w:val="22"/>
        </w:rPr>
        <w:t>Transaction Signer</w:t>
      </w:r>
      <w:r>
        <w:rPr>
          <w:rFonts w:ascii="Figtree" w:hAnsi="Figtree"/>
          <w:b w:val="0"/>
          <w:i w:val="0"/>
          <w:sz w:val="22"/>
        </w:rPr>
        <w:t>: EIP-1559 gas pricing and meta-transactions</w:t>
      </w:r>
    </w:p>
    <w:p>
      <w:pPr>
        <w:pStyle w:val="ListParagraph"/>
        <w:numPr>
          <w:ilvl w:val="0"/>
          <w:numId w:val="4"/>
        </w:numPr>
      </w:pPr>
      <w:r>
        <w:rPr>
          <w:rFonts w:ascii="Figtree" w:hAnsi="Figtree"/>
          <w:b/>
          <w:i w:val="0"/>
          <w:sz w:val="22"/>
        </w:rPr>
        <w:t>Chain Indexer</w:t>
      </w:r>
      <w:r>
        <w:rPr>
          <w:rFonts w:ascii="Figtree" w:hAnsi="Figtree"/>
          <w:b w:val="0"/>
          <w:i w:val="0"/>
          <w:sz w:val="22"/>
        </w:rPr>
        <w:t>: Blockchain event processing into queryable state projection</w:t>
      </w:r>
    </w:p>
    <w:p>
      <w:pPr>
        <w:pStyle w:val="H3"/>
        <w:numPr>
          <w:ilvl w:val="2"/>
          <w:numId w:val="1"/>
        </w:numPr>
      </w:pPr>
      <w:r>
        <w:t>Smart Contract Layer</w:t>
      </w:r>
    </w:p>
    <w:p>
      <w:r>
        <w:rPr>
          <w:rFonts w:ascii="Figtree" w:hAnsi="Figtree"/>
          <w:b w:val="0"/>
          <w:i w:val="0"/>
          <w:sz w:val="22"/>
        </w:rPr>
        <w:t>All contracts are built on SMART Protocol (ERC-3643) with the five-layer on-chain architecture: SMART Protocol foundation, Global infrastructure, System-level identity and compliance, Asset contracts, and Addon contracts.</w:t>
      </w:r>
    </w:p>
    <w:p>
      <w:pPr>
        <w:pStyle w:val="H2"/>
        <w:numPr>
          <w:ilvl w:val="1"/>
          <w:numId w:val="1"/>
        </w:numPr>
      </w:pPr>
      <w:r>
        <w:t>7.2 EVM-Native Design</w:t>
      </w:r>
    </w:p>
    <w:p>
      <w:r>
        <w:rPr>
          <w:rFonts w:ascii="Figtree" w:hAnsi="Figtree"/>
          <w:b w:val="0"/>
          <w:i w:val="0"/>
          <w:sz w:val="22"/>
        </w:rPr>
        <w:t>DALP targets exclusively EVM-compatible blockchains. This is a deliberate architectural decision driven by the EVM ecosystem's maturity in tooling, audited contract libraries, and institutional adoption.</w:t>
      </w:r>
    </w:p>
    <w:p>
      <w:r>
        <w:rPr>
          <w:rFonts w:ascii="Figtree" w:hAnsi="Figtree"/>
          <w:b w:val="0"/>
          <w:i w:val="0"/>
          <w:sz w:val="22"/>
        </w:rPr>
        <w:t>The platform operates on any blockchain implementing the Ethereum JSON-RPC specification:</w:t>
      </w:r>
    </w:p>
    <w:p>
      <w:pPr>
        <w:pStyle w:val="ListParagraph"/>
        <w:numPr>
          <w:ilvl w:val="0"/>
          <w:numId w:val="4"/>
        </w:numPr>
      </w:pPr>
      <w:r>
        <w:rPr>
          <w:rFonts w:ascii="Figtree" w:hAnsi="Figtree"/>
          <w:b w:val="0"/>
          <w:i w:val="0"/>
          <w:sz w:val="22"/>
        </w:rPr>
        <w:t>Layer 1 mainnets: Ethereum, Polygon, Avalanche, BNB Smart Chain</w:t>
      </w:r>
    </w:p>
    <w:p>
      <w:pPr>
        <w:pStyle w:val="ListParagraph"/>
        <w:numPr>
          <w:ilvl w:val="0"/>
          <w:numId w:val="4"/>
        </w:numPr>
      </w:pPr>
      <w:r>
        <w:rPr>
          <w:rFonts w:ascii="Figtree" w:hAnsi="Figtree"/>
          <w:b w:val="0"/>
          <w:i w:val="0"/>
          <w:sz w:val="22"/>
        </w:rPr>
        <w:t>Layer 2 rollups: Arbitrum, Optimism, Base, zkSync Era, Polygon zkEVM</w:t>
      </w:r>
    </w:p>
    <w:p>
      <w:pPr>
        <w:pStyle w:val="ListParagraph"/>
        <w:numPr>
          <w:ilvl w:val="0"/>
          <w:numId w:val="4"/>
        </w:numPr>
      </w:pPr>
      <w:r>
        <w:rPr>
          <w:rFonts w:ascii="Figtree" w:hAnsi="Figtree"/>
          <w:b w:val="0"/>
          <w:i w:val="0"/>
          <w:sz w:val="22"/>
        </w:rPr>
        <w:t>Private/consortium networks: Hyperledger Besu, Go-Ethereum</w:t>
      </w:r>
    </w:p>
    <w:p>
      <w:r>
        <w:rPr>
          <w:rFonts w:ascii="Figtree" w:hAnsi="Figtree"/>
          <w:b w:val="0"/>
          <w:i w:val="0"/>
          <w:sz w:val="22"/>
        </w:rPr>
        <w:t>No application code changes are required when switching networks.</w:t>
      </w:r>
    </w:p>
    <w:p>
      <w:pPr>
        <w:pStyle w:val="H2"/>
        <w:numPr>
          <w:ilvl w:val="1"/>
          <w:numId w:val="1"/>
        </w:numPr>
      </w:pPr>
      <w:r>
        <w:t>7.3 Infrastructure Components</w:t>
      </w:r>
    </w:p>
    <w:p>
      <w:r>
        <w:rPr>
          <w:rFonts w:ascii="Figtree" w:hAnsi="Figtree"/>
          <w:b w:val="0"/>
          <w:i w:val="0"/>
          <w:sz w:val="22"/>
        </w:rPr>
        <w:t>For the DIFC sandbox, the recommended deployment topology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9"/>
        <w:gridCol w:w="63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Application Tier</w:t>
            </w:r>
          </w:p>
        </w:tc>
        <w:tc>
          <w:tcPr>
            <w:tcW w:type="dxa" w:w="4873"/>
            <w:vAlign w:val="center"/>
          </w:tcPr>
          <w:p>
            <w:pPr>
              <w:spacing w:line="276" w:lineRule="auto" w:before="0" w:after="0"/>
            </w:pPr>
            <w:r/>
            <w:r>
              <w:rPr>
                <w:rFonts w:ascii="Figtree" w:hAnsi="Figtree"/>
                <w:b w:val="0"/>
                <w:i w:val="0"/>
                <w:sz w:val="20"/>
              </w:rPr>
              <w:t>3-node Kubernetes cluster, auto-scaling</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PostgreSQL with read replicas</w:t>
            </w:r>
          </w:p>
        </w:tc>
      </w:tr>
      <w:tr>
        <w:trPr>
          <w:trHeight w:val="425" w:hRule="atLeast"/>
        </w:trPr>
        <w:tc>
          <w:tcPr>
            <w:tcW w:type="dxa" w:w="4873"/>
            <w:vAlign w:val="center"/>
          </w:tcPr>
          <w:p>
            <w:pPr>
              <w:spacing w:line="276" w:lineRule="auto" w:before="0" w:after="0"/>
            </w:pPr>
            <w:r/>
            <w:r>
              <w:rPr>
                <w:rFonts w:ascii="Figtree" w:hAnsi="Figtree"/>
                <w:b w:val="0"/>
                <w:i w:val="0"/>
                <w:sz w:val="20"/>
              </w:rPr>
              <w:t>Cache</w:t>
            </w:r>
          </w:p>
        </w:tc>
        <w:tc>
          <w:tcPr>
            <w:tcW w:type="dxa" w:w="4873"/>
            <w:vAlign w:val="center"/>
          </w:tcPr>
          <w:p>
            <w:pPr>
              <w:spacing w:line="276" w:lineRule="auto" w:before="0" w:after="0"/>
            </w:pPr>
            <w:r/>
            <w:r>
              <w:rPr>
                <w:rFonts w:ascii="Figtree" w:hAnsi="Figtree"/>
                <w:b w:val="0"/>
                <w:i w:val="0"/>
                <w:sz w:val="20"/>
              </w:rPr>
              <w:t>Redis cluster for session and query caching</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Permissioned EVM network or dedicated network</w:t>
            </w:r>
          </w:p>
        </w:tc>
      </w:tr>
      <w:tr>
        <w:trPr>
          <w:trHeight w:val="425" w:hRule="atLeast"/>
        </w:trPr>
        <w:tc>
          <w:tcPr>
            <w:tcW w:type="dxa" w:w="4873"/>
            <w:vAlign w:val="center"/>
          </w:tcPr>
          <w:p>
            <w:pPr>
              <w:spacing w:line="276" w:lineRule="auto" w:before="0" w:after="0"/>
            </w:pPr>
            <w:r/>
            <w:r>
              <w:rPr>
                <w:rFonts w:ascii="Figtree" w:hAnsi="Figtree"/>
                <w:b w:val="0"/>
                <w:i w:val="0"/>
                <w:sz w:val="20"/>
              </w:rPr>
              <w:t>Storage</w:t>
            </w:r>
          </w:p>
        </w:tc>
        <w:tc>
          <w:tcPr>
            <w:tcW w:type="dxa" w:w="4873"/>
            <w:vAlign w:val="center"/>
          </w:tcPr>
          <w:p>
            <w:pPr>
              <w:spacing w:line="276" w:lineRule="auto" w:before="0" w:after="0"/>
            </w:pPr>
            <w:r/>
            <w:r>
              <w:rPr>
                <w:rFonts w:ascii="Figtree" w:hAnsi="Figtree"/>
                <w:b w:val="0"/>
                <w:i w:val="0"/>
                <w:sz w:val="20"/>
              </w:rPr>
              <w:t>S3-compatible object storage</w:t>
            </w:r>
          </w:p>
        </w:tc>
      </w:tr>
      <w:tr>
        <w:trPr>
          <w:trHeight w:val="425" w:hRule="atLeast"/>
        </w:trPr>
        <w:tc>
          <w:tcPr>
            <w:tcW w:type="dxa" w:w="4873"/>
            <w:vAlign w:val="center"/>
          </w:tcPr>
          <w:p>
            <w:pPr>
              <w:spacing w:line="276" w:lineRule="auto" w:before="0" w:after="0"/>
            </w:pPr>
            <w:r/>
            <w:r>
              <w:rPr>
                <w:rFonts w:ascii="Figtree" w:hAnsi="Figtree"/>
                <w:b w:val="0"/>
                <w:i w:val="0"/>
                <w:sz w:val="20"/>
              </w:rPr>
              <w:t>Networking</w:t>
            </w:r>
          </w:p>
        </w:tc>
        <w:tc>
          <w:tcPr>
            <w:tcW w:type="dxa" w:w="4873"/>
            <w:vAlign w:val="center"/>
          </w:tcPr>
          <w:p>
            <w:pPr>
              <w:spacing w:line="276" w:lineRule="auto" w:before="0" w:after="0"/>
            </w:pPr>
            <w:r/>
            <w:r>
              <w:rPr>
                <w:rFonts w:ascii="Figtree" w:hAnsi="Figtree"/>
                <w:b w:val="0"/>
                <w:i w:val="0"/>
                <w:sz w:val="20"/>
              </w:rPr>
              <w:t>VPC with private subnets, VPN access</w:t>
            </w:r>
          </w:p>
        </w:tc>
      </w:tr>
    </w:tbl>
    <w:p>
      <w:pPr>
        <w:spacing w:before="0" w:after="0" w:line="120" w:lineRule="exact"/>
      </w:pPr>
    </w:p>
    <w:p>
      <w:pPr>
        <w:pStyle w:val="H2"/>
        <w:numPr>
          <w:ilvl w:val="1"/>
          <w:numId w:val="1"/>
        </w:numPr>
      </w:pPr>
      <w:r>
        <w:t>7.4 Data Flow Architecture</w:t>
      </w:r>
    </w:p>
    <w:p>
      <w:r>
        <w:rPr>
          <w:rFonts w:ascii="Figtree" w:hAnsi="Figtree"/>
          <w:b w:val="0"/>
          <w:i w:val="0"/>
          <w:sz w:val="22"/>
        </w:rPr>
        <w:t>User actions flow through authentication, API gateway, core services, workflow engine, and blockchain interaction. Events are indexed back to the database for queryable state.</w:t>
      </w:r>
    </w:p>
    <w:p>
      <w:pPr>
        <w:pStyle w:val="H2"/>
        <w:numPr>
          <w:ilvl w:val="1"/>
          <w:numId w:val="1"/>
        </w:numPr>
      </w:pPr>
      <w:r>
        <w:t>7.5 API Architecture</w:t>
      </w:r>
    </w:p>
    <w:p>
      <w:r>
        <w:rPr>
          <w:rFonts w:ascii="Figtree" w:hAnsi="Figtree"/>
          <w:b w:val="0"/>
          <w:i w:val="0"/>
          <w:sz w:val="22"/>
        </w:rPr>
        <w:t>DALP exposes a comprehensive REST API following OpenAPI 3.1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Endpoint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/assets</w:t>
            </w:r>
          </w:p>
        </w:tc>
        <w:tc>
          <w:tcPr>
            <w:tcW w:type="dxa" w:w="4873"/>
            <w:vAlign w:val="center"/>
          </w:tcPr>
          <w:p>
            <w:pPr>
              <w:spacing w:line="276" w:lineRule="auto" w:before="0" w:after="0"/>
            </w:pPr>
            <w:r/>
            <w:r>
              <w:rPr>
                <w:rFonts w:ascii="Figtree" w:hAnsi="Figtree"/>
                <w:b w:val="0"/>
                <w:i w:val="0"/>
                <w:sz w:val="20"/>
              </w:rPr>
              <w:t>Asset lifecycle management</w:t>
            </w:r>
          </w:p>
        </w:tc>
      </w:tr>
      <w:tr>
        <w:trPr>
          <w:trHeight w:val="425" w:hRule="atLeast"/>
        </w:trPr>
        <w:tc>
          <w:tcPr>
            <w:tcW w:type="dxa" w:w="4873"/>
            <w:vAlign w:val="center"/>
          </w:tcPr>
          <w:p>
            <w:pPr>
              <w:spacing w:line="276" w:lineRule="auto" w:before="0" w:after="0"/>
            </w:pPr>
            <w:r/>
            <w:r>
              <w:rPr>
                <w:rFonts w:ascii="Figtree" w:hAnsi="Figtree"/>
                <w:b w:val="0"/>
                <w:i w:val="0"/>
                <w:sz w:val="20"/>
              </w:rPr>
              <w:t>/identities</w:t>
            </w:r>
          </w:p>
        </w:tc>
        <w:tc>
          <w:tcPr>
            <w:tcW w:type="dxa" w:w="4873"/>
            <w:vAlign w:val="center"/>
          </w:tcPr>
          <w:p>
            <w:pPr>
              <w:spacing w:line="276" w:lineRule="auto" w:before="0" w:after="0"/>
            </w:pPr>
            <w:r/>
            <w:r>
              <w:rPr>
                <w:rFonts w:ascii="Figtree" w:hAnsi="Figtree"/>
                <w:b w:val="0"/>
                <w:i w:val="0"/>
                <w:sz w:val="20"/>
              </w:rPr>
              <w:t>Identity and claims management</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Compliance rule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/transactions</w:t>
            </w:r>
          </w:p>
        </w:tc>
        <w:tc>
          <w:tcPr>
            <w:tcW w:type="dxa" w:w="4873"/>
            <w:vAlign w:val="center"/>
          </w:tcPr>
          <w:p>
            <w:pPr>
              <w:spacing w:line="276" w:lineRule="auto" w:before="0" w:after="0"/>
            </w:pPr>
            <w:r/>
            <w:r>
              <w:rPr>
                <w:rFonts w:ascii="Figtree" w:hAnsi="Figtree"/>
                <w:b w:val="0"/>
                <w:i w:val="0"/>
                <w:sz w:val="20"/>
              </w:rPr>
              <w:t>Transfer and settlement operations</w:t>
            </w:r>
          </w:p>
        </w:tc>
      </w:tr>
      <w:tr>
        <w:trPr>
          <w:trHeight w:val="425" w:hRule="atLeast"/>
        </w:trPr>
        <w:tc>
          <w:tcPr>
            <w:tcW w:type="dxa" w:w="4873"/>
            <w:vAlign w:val="center"/>
          </w:tcPr>
          <w:p>
            <w:pPr>
              <w:spacing w:line="276" w:lineRule="auto" w:before="0" w:after="0"/>
            </w:pPr>
            <w:r/>
            <w:r>
              <w:rPr>
                <w:rFonts w:ascii="Figtree" w:hAnsi="Figtree"/>
                <w:b w:val="0"/>
                <w:i w:val="0"/>
                <w:sz w:val="20"/>
              </w:rPr>
              <w:t>/settlements</w:t>
            </w:r>
          </w:p>
        </w:tc>
        <w:tc>
          <w:tcPr>
            <w:tcW w:type="dxa" w:w="4873"/>
            <w:vAlign w:val="center"/>
          </w:tcPr>
          <w:p>
            <w:pPr>
              <w:spacing w:line="276" w:lineRule="auto" w:before="0" w:after="0"/>
            </w:pPr>
            <w:r/>
            <w:r>
              <w:rPr>
                <w:rFonts w:ascii="Figtree" w:hAnsi="Figtree"/>
                <w:b w:val="0"/>
                <w:i w:val="0"/>
                <w:sz w:val="20"/>
              </w:rPr>
              <w:t>DvP and XvP settlement</w:t>
            </w:r>
          </w:p>
        </w:tc>
      </w:tr>
      <w:tr>
        <w:trPr>
          <w:trHeight w:val="425" w:hRule="atLeast"/>
        </w:trPr>
        <w:tc>
          <w:tcPr>
            <w:tcW w:type="dxa" w:w="4873"/>
            <w:vAlign w:val="center"/>
          </w:tcPr>
          <w:p>
            <w:pPr>
              <w:spacing w:line="276" w:lineRule="auto" w:before="0" w:after="0"/>
            </w:pPr>
            <w:r/>
            <w:r>
              <w:rPr>
                <w:rFonts w:ascii="Figtree" w:hAnsi="Figtree"/>
                <w:b w:val="0"/>
                <w:i w:val="0"/>
                <w:sz w:val="20"/>
              </w:rPr>
              <w:t>/webhooks</w:t>
            </w:r>
          </w:p>
        </w:tc>
        <w:tc>
          <w:tcPr>
            <w:tcW w:type="dxa" w:w="4873"/>
            <w:vAlign w:val="center"/>
          </w:tcPr>
          <w:p>
            <w:pPr>
              <w:spacing w:line="276" w:lineRule="auto" w:before="0" w:after="0"/>
            </w:pPr>
            <w:r/>
            <w:r>
              <w:rPr>
                <w:rFonts w:ascii="Figtree" w:hAnsi="Figtree"/>
                <w:b w:val="0"/>
                <w:i w:val="0"/>
                <w:sz w:val="20"/>
              </w:rPr>
              <w:t>Event subscription management</w:t>
            </w:r>
          </w:p>
        </w:tc>
      </w:tr>
      <w:tr>
        <w:trPr>
          <w:trHeight w:val="425" w:hRule="atLeast"/>
        </w:trPr>
        <w:tc>
          <w:tcPr>
            <w:tcW w:type="dxa" w:w="4873"/>
            <w:vAlign w:val="center"/>
          </w:tcPr>
          <w:p>
            <w:pPr>
              <w:spacing w:line="276" w:lineRule="auto" w:before="0" w:after="0"/>
            </w:pPr>
            <w:r/>
            <w:r>
              <w:rPr>
                <w:rFonts w:ascii="Figtree" w:hAnsi="Figtree"/>
                <w:b w:val="0"/>
                <w:i w:val="0"/>
                <w:sz w:val="20"/>
              </w:rPr>
              <w:t>/admin</w:t>
            </w:r>
          </w:p>
        </w:tc>
        <w:tc>
          <w:tcPr>
            <w:tcW w:type="dxa" w:w="4873"/>
            <w:vAlign w:val="center"/>
          </w:tcPr>
          <w:p>
            <w:pPr>
              <w:spacing w:line="276" w:lineRule="auto" w:before="0" w:after="0"/>
            </w:pPr>
            <w:r/>
            <w:r>
              <w:rPr>
                <w:rFonts w:ascii="Figtree" w:hAnsi="Figtree"/>
                <w:b w:val="0"/>
                <w:i w:val="0"/>
                <w:sz w:val="20"/>
              </w:rPr>
              <w:t>Platform administration</w:t>
            </w:r>
          </w:p>
        </w:tc>
      </w:tr>
    </w:tbl>
    <w:p>
      <w:pPr>
        <w:spacing w:before="0" w:after="0" w:line="120" w:lineRule="exact"/>
      </w:pPr>
    </w:p>
    <w:p>
      <w:pPr>
        <w:pStyle w:val="H2"/>
        <w:numPr>
          <w:ilvl w:val="1"/>
          <w:numId w:val="1"/>
        </w:numPr>
      </w:pPr>
      <w:r>
        <w:t>7.6 Integration Points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2864"/>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KYC Providers</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Identity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Custodians</w:t>
            </w:r>
          </w:p>
        </w:tc>
        <w:tc>
          <w:tcPr>
            <w:tcW w:type="dxa" w:w="3249"/>
            <w:vAlign w:val="center"/>
          </w:tcPr>
          <w:p>
            <w:pPr>
              <w:spacing w:line="276" w:lineRule="auto" w:before="0" w:after="0"/>
            </w:pPr>
            <w:r/>
            <w:r>
              <w:rPr>
                <w:rFonts w:ascii="Figtree" w:hAnsi="Figtree"/>
                <w:b w:val="0"/>
                <w:i w:val="0"/>
                <w:sz w:val="20"/>
              </w:rPr>
              <w:t>SDK/API</w:t>
            </w:r>
          </w:p>
        </w:tc>
        <w:tc>
          <w:tcPr>
            <w:tcW w:type="dxa" w:w="3249"/>
            <w:vAlign w:val="center"/>
          </w:tcPr>
          <w:p>
            <w:pPr>
              <w:spacing w:line="276" w:lineRule="auto" w:before="0" w:after="0"/>
            </w:pPr>
            <w:r/>
            <w:r>
              <w:rPr>
                <w:rFonts w:ascii="Figtree" w:hAnsi="Figtree"/>
                <w:b w:val="0"/>
                <w:i w:val="0"/>
                <w:sz w:val="20"/>
              </w:rPr>
              <w:t>Asset custody</w:t>
            </w:r>
          </w:p>
        </w:tc>
      </w:tr>
      <w:tr>
        <w:trPr>
          <w:trHeight w:val="425" w:hRule="atLeast"/>
        </w:trPr>
        <w:tc>
          <w:tcPr>
            <w:tcW w:type="dxa" w:w="3249"/>
            <w:vAlign w:val="center"/>
          </w:tcPr>
          <w:p>
            <w:pPr>
              <w:spacing w:line="276" w:lineRule="auto" w:before="0" w:after="0"/>
            </w:pPr>
            <w:r/>
            <w:r>
              <w:rPr>
                <w:rFonts w:ascii="Figtree" w:hAnsi="Figtree"/>
                <w:b w:val="0"/>
                <w:i w:val="0"/>
                <w:sz w:val="20"/>
              </w:rPr>
              <w:t>Payment Rails</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Cash settlement</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API/Webhook</w:t>
            </w:r>
          </w:p>
        </w:tc>
        <w:tc>
          <w:tcPr>
            <w:tcW w:type="dxa" w:w="3249"/>
            <w:vAlign w:val="center"/>
          </w:tcPr>
          <w:p>
            <w:pPr>
              <w:spacing w:line="276" w:lineRule="auto" w:before="0" w:after="0"/>
            </w:pPr>
            <w:r/>
            <w:r>
              <w:rPr>
                <w:rFonts w:ascii="Figtree" w:hAnsi="Figtree"/>
                <w:b w:val="0"/>
                <w:i w:val="0"/>
                <w:sz w:val="20"/>
              </w:rPr>
              <w:t>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Providers</w:t>
            </w:r>
          </w:p>
        </w:tc>
        <w:tc>
          <w:tcPr>
            <w:tcW w:type="dxa" w:w="3249"/>
            <w:vAlign w:val="center"/>
          </w:tcPr>
          <w:p>
            <w:pPr>
              <w:spacing w:line="276" w:lineRule="auto" w:before="0" w:after="0"/>
            </w:pPr>
            <w:r/>
            <w:r>
              <w:rPr>
                <w:rFonts w:ascii="Figtree" w:hAnsi="Figtree"/>
                <w:b w:val="0"/>
                <w:i w:val="0"/>
                <w:sz w:val="20"/>
              </w:rPr>
              <w:t>SAML/OIDC</w:t>
            </w:r>
          </w:p>
        </w:tc>
        <w:tc>
          <w:tcPr>
            <w:tcW w:type="dxa" w:w="3249"/>
            <w:vAlign w:val="center"/>
          </w:tcPr>
          <w:p>
            <w:pPr>
              <w:spacing w:line="276" w:lineRule="auto" w:before="0" w:after="0"/>
            </w:pPr>
            <w:r/>
            <w:r>
              <w:rPr>
                <w:rFonts w:ascii="Figtree" w:hAnsi="Figtree"/>
                <w:b w:val="0"/>
                <w:i w:val="0"/>
                <w:sz w:val="20"/>
              </w:rPr>
              <w:t>SSO authentication</w:t>
            </w:r>
          </w:p>
        </w:tc>
      </w:tr>
    </w:tbl>
    <w:p>
      <w:pPr>
        <w:spacing w:before="0" w:after="0" w:line="120" w:lineRule="exact"/>
      </w:pPr>
    </w:p>
    <w:p>
      <w:r>
        <w:br w:type="page"/>
      </w:r>
    </w:p>
    <w:p>
      <w:pPr>
        <w:pStyle w:val="H1"/>
        <w:numPr>
          <w:ilvl w:val="0"/>
          <w:numId w:val="1"/>
        </w:numPr>
      </w:pPr>
      <w:r>
        <w:t>8. Security</w:t>
      </w:r>
    </w:p>
    <w:p>
      <w:pPr>
        <w:pStyle w:val="H2"/>
        <w:numPr>
          <w:ilvl w:val="1"/>
          <w:numId w:val="1"/>
        </w:numPr>
      </w:pPr>
      <w:r>
        <w:t>8.1 Security Architecture</w:t>
      </w:r>
    </w:p>
    <w:p>
      <w:r>
        <w:rPr>
          <w:rFonts w:ascii="Figtree" w:hAnsi="Figtree"/>
          <w:b w:val="0"/>
          <w:i w:val="0"/>
          <w:sz w:val="22"/>
        </w:rPr>
        <w:t>Security is enforced at every layer independently, so no single-layer failure grants unauthorized access:</w:t>
      </w:r>
    </w:p>
    <w:p>
      <w:pPr>
        <w:pStyle w:val="H3"/>
        <w:numPr>
          <w:ilvl w:val="2"/>
          <w:numId w:val="1"/>
        </w:numPr>
      </w:pPr>
      <w:r>
        <w:t>Layer 1: Authentication</w:t>
      </w:r>
    </w:p>
    <w:p>
      <w:pPr>
        <w:pStyle w:val="ListParagraph"/>
        <w:numPr>
          <w:ilvl w:val="0"/>
          <w:numId w:val="4"/>
        </w:numPr>
      </w:pPr>
      <w:r>
        <w:rPr>
          <w:rFonts w:ascii="Figtree" w:hAnsi="Figtree"/>
          <w:b w:val="0"/>
          <w:i w:val="0"/>
          <w:sz w:val="22"/>
        </w:rPr>
        <w:t>Better Auth with support for email/password, passkeys (WebAuthn), LDAP/Active Directory, OAuth 2.0/OIDC, and SAML 2.0</w:t>
      </w:r>
    </w:p>
    <w:p>
      <w:pPr>
        <w:pStyle w:val="ListParagraph"/>
        <w:numPr>
          <w:ilvl w:val="0"/>
          <w:numId w:val="4"/>
        </w:numPr>
      </w:pPr>
      <w:r>
        <w:rPr>
          <w:rFonts w:ascii="Figtree" w:hAnsi="Figtree"/>
          <w:b w:val="0"/>
          <w:i w:val="0"/>
          <w:sz w:val="22"/>
        </w:rPr>
        <w:t>Sessions use HTTP-only cookies with SameSite protection and 7-day expiry with 24-hour refresh windows</w:t>
      </w:r>
    </w:p>
    <w:p>
      <w:pPr>
        <w:pStyle w:val="H3"/>
        <w:numPr>
          <w:ilvl w:val="2"/>
          <w:numId w:val="1"/>
        </w:numPr>
      </w:pPr>
      <w:r>
        <w:t>Layer 2: Authorization</w:t>
      </w:r>
    </w:p>
    <w:p>
      <w:pPr>
        <w:pStyle w:val="ListParagraph"/>
        <w:numPr>
          <w:ilvl w:val="0"/>
          <w:numId w:val="4"/>
        </w:numPr>
      </w:pPr>
      <w:r>
        <w:rPr>
          <w:rFonts w:ascii="Figtree" w:hAnsi="Figtree"/>
          <w:b w:val="0"/>
          <w:i w:val="0"/>
          <w:sz w:val="22"/>
        </w:rPr>
        <w:t>Dual-layer permission model: off-chain platform roles (Better Auth) and on-chain roles (AccessManager contract)</w:t>
      </w:r>
    </w:p>
    <w:p>
      <w:pPr>
        <w:pStyle w:val="ListParagraph"/>
        <w:numPr>
          <w:ilvl w:val="0"/>
          <w:numId w:val="4"/>
        </w:numPr>
      </w:pPr>
      <w:r>
        <w:rPr>
          <w:rFonts w:ascii="Figtree" w:hAnsi="Figtree"/>
          <w:b w:val="0"/>
          <w:i w:val="0"/>
          <w:sz w:val="22"/>
        </w:rPr>
        <w:t>Both layers must pass for any blockchain write operation</w:t>
      </w:r>
    </w:p>
    <w:p>
      <w:pPr>
        <w:pStyle w:val="ListParagraph"/>
        <w:numPr>
          <w:ilvl w:val="0"/>
          <w:numId w:val="4"/>
        </w:numPr>
      </w:pPr>
      <w:r>
        <w:rPr>
          <w:rFonts w:ascii="Figtree" w:hAnsi="Figtree"/>
          <w:b w:val="0"/>
          <w:i w:val="0"/>
          <w:sz w:val="22"/>
        </w:rPr>
        <w:t>26 distinct roles across four layers enforce granular separation of duties</w:t>
      </w:r>
    </w:p>
    <w:p>
      <w:pPr>
        <w:pStyle w:val="H3"/>
        <w:numPr>
          <w:ilvl w:val="2"/>
          <w:numId w:val="1"/>
        </w:numPr>
      </w:pPr>
      <w:r>
        <w:t>Layer 3: Wallet Verification</w:t>
      </w:r>
    </w:p>
    <w:p>
      <w:pPr>
        <w:pStyle w:val="ListParagraph"/>
        <w:numPr>
          <w:ilvl w:val="0"/>
          <w:numId w:val="4"/>
        </w:numPr>
      </w:pPr>
      <w:r>
        <w:rPr>
          <w:rFonts w:ascii="Figtree" w:hAnsi="Figtree"/>
          <w:b w:val="0"/>
          <w:i w:val="0"/>
          <w:sz w:val="22"/>
        </w:rPr>
        <w:t>Step-up authentication for all blockchain write operations via PIN, TOTP, or backup codes</w:t>
      </w:r>
    </w:p>
    <w:p>
      <w:pPr>
        <w:pStyle w:val="ListParagraph"/>
        <w:numPr>
          <w:ilvl w:val="0"/>
          <w:numId w:val="4"/>
        </w:numPr>
      </w:pPr>
      <w:r>
        <w:rPr>
          <w:rFonts w:ascii="Figtree" w:hAnsi="Figtree"/>
          <w:b w:val="0"/>
          <w:i w:val="0"/>
          <w:sz w:val="22"/>
        </w:rPr>
        <w:t>Even with a valid session, no on-chain transaction executes without wallet verification</w:t>
      </w:r>
    </w:p>
    <w:p>
      <w:pPr>
        <w:pStyle w:val="H3"/>
        <w:numPr>
          <w:ilvl w:val="2"/>
          <w:numId w:val="1"/>
        </w:numPr>
      </w:pPr>
      <w:r>
        <w:t>Layer 4: Compliance Enforcement</w:t>
      </w:r>
    </w:p>
    <w:p>
      <w:pPr>
        <w:pStyle w:val="ListParagraph"/>
        <w:numPr>
          <w:ilvl w:val="0"/>
          <w:numId w:val="4"/>
        </w:numPr>
      </w:pPr>
      <w:r>
        <w:rPr>
          <w:rFonts w:ascii="Figtree" w:hAnsi="Figtree"/>
          <w:b w:val="0"/>
          <w:i w:val="0"/>
          <w:sz w:val="22"/>
        </w:rPr>
        <w:t>ERC-3643 compliance modules validate every transfer against identity, jurisdiction, and policy rules at the smart contract level</w:t>
      </w:r>
    </w:p>
    <w:p>
      <w:pPr>
        <w:pStyle w:val="H3"/>
        <w:numPr>
          <w:ilvl w:val="2"/>
          <w:numId w:val="1"/>
        </w:numPr>
      </w:pPr>
      <w:r>
        <w:t>Layer 5: Custody Policy</w:t>
      </w:r>
    </w:p>
    <w:p>
      <w:pPr>
        <w:pStyle w:val="ListParagraph"/>
        <w:numPr>
          <w:ilvl w:val="0"/>
          <w:numId w:val="4"/>
        </w:numPr>
      </w:pPr>
      <w:r>
        <w:rPr>
          <w:rFonts w:ascii="Figtree" w:hAnsi="Figtree"/>
          <w:b w:val="0"/>
          <w:i w:val="0"/>
          <w:sz w:val="22"/>
        </w:rPr>
        <w:t>External custody providers (Fireblocks, DFNS) impose additional approval gates for custody-backed signing flows</w:t>
      </w:r>
    </w:p>
    <w:p>
      <w:pPr>
        <w:pStyle w:val="H2"/>
        <w:numPr>
          <w:ilvl w:val="1"/>
          <w:numId w:val="1"/>
        </w:numPr>
      </w:pPr>
      <w:r>
        <w:t>8.2 Certifications and Audits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425"/>
        <w:gridCol w:w="50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Certified</w:t>
            </w:r>
          </w:p>
        </w:tc>
        <w:tc>
          <w:tcPr>
            <w:tcW w:type="dxa" w:w="3249"/>
            <w:vAlign w:val="center"/>
          </w:tcPr>
          <w:p>
            <w:pPr>
              <w:spacing w:line="276" w:lineRule="auto" w:before="0" w:after="0"/>
            </w:pPr>
            <w:r/>
            <w:r>
              <w:rPr>
                <w:rFonts w:ascii="Figtree" w:hAnsi="Figtree"/>
                <w:b w:val="0"/>
                <w:i w:val="0"/>
                <w:sz w:val="20"/>
              </w:rPr>
              <w:t>Information security management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Certified</w:t>
            </w:r>
          </w:p>
        </w:tc>
        <w:tc>
          <w:tcPr>
            <w:tcW w:type="dxa" w:w="3249"/>
            <w:vAlign w:val="center"/>
          </w:tcPr>
          <w:p>
            <w:pPr>
              <w:spacing w:line="276" w:lineRule="auto" w:before="0" w:after="0"/>
            </w:pPr>
            <w:r/>
            <w:r>
              <w:rPr>
                <w:rFonts w:ascii="Figtree" w:hAnsi="Figtree"/>
                <w:b w:val="0"/>
                <w:i w:val="0"/>
                <w:sz w:val="20"/>
              </w:rPr>
              <w:t>Security, availability, confidentiality</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w:t>
            </w:r>
          </w:p>
        </w:tc>
        <w:tc>
          <w:tcPr>
            <w:tcW w:type="dxa" w:w="3249"/>
            <w:vAlign w:val="center"/>
          </w:tcPr>
          <w:p>
            <w:pPr>
              <w:spacing w:line="276" w:lineRule="auto" w:before="0" w:after="0"/>
            </w:pPr>
            <w:r/>
            <w:r>
              <w:rPr>
                <w:rFonts w:ascii="Figtree" w:hAnsi="Figtree"/>
                <w:b w:val="0"/>
                <w:i w:val="0"/>
                <w:sz w:val="20"/>
              </w:rPr>
              <w:t>Regular</w:t>
            </w:r>
          </w:p>
        </w:tc>
        <w:tc>
          <w:tcPr>
            <w:tcW w:type="dxa" w:w="3249"/>
            <w:vAlign w:val="center"/>
          </w:tcPr>
          <w:p>
            <w:pPr>
              <w:spacing w:line="276" w:lineRule="auto" w:before="0" w:after="0"/>
            </w:pPr>
            <w:r/>
            <w:r>
              <w:rPr>
                <w:rFonts w:ascii="Figtree" w:hAnsi="Figtree"/>
                <w:b w:val="0"/>
                <w:i w:val="0"/>
                <w:sz w:val="20"/>
              </w:rPr>
              <w:t>Independent third-party assessments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w:t>
            </w:r>
          </w:p>
        </w:tc>
        <w:tc>
          <w:tcPr>
            <w:tcW w:type="dxa" w:w="3249"/>
            <w:vAlign w:val="center"/>
          </w:tcPr>
          <w:p>
            <w:pPr>
              <w:spacing w:line="276" w:lineRule="auto" w:before="0" w:after="0"/>
            </w:pPr>
            <w:r/>
            <w:r>
              <w:rPr>
                <w:rFonts w:ascii="Figtree" w:hAnsi="Figtree"/>
                <w:b w:val="0"/>
                <w:i w:val="0"/>
                <w:sz w:val="20"/>
              </w:rPr>
              <w:t>Per release</w:t>
            </w:r>
          </w:p>
        </w:tc>
        <w:tc>
          <w:tcPr>
            <w:tcW w:type="dxa" w:w="3249"/>
            <w:vAlign w:val="center"/>
          </w:tcPr>
          <w:p>
            <w:pPr>
              <w:spacing w:line="276" w:lineRule="auto" w:before="0" w:after="0"/>
            </w:pPr>
            <w:r/>
            <w:r>
              <w:rPr>
                <w:rFonts w:ascii="Figtree" w:hAnsi="Figtree"/>
                <w:b w:val="0"/>
                <w:i w:val="0"/>
                <w:sz w:val="20"/>
              </w:rPr>
              <w:t>Blockchain security firm review</w:t>
            </w:r>
          </w:p>
        </w:tc>
      </w:tr>
    </w:tbl>
    <w:p>
      <w:pPr>
        <w:spacing w:before="0" w:after="0" w:line="120" w:lineRule="exact"/>
      </w:pPr>
    </w:p>
    <w:p>
      <w:pPr>
        <w:pStyle w:val="H2"/>
        <w:numPr>
          <w:ilvl w:val="1"/>
          <w:numId w:val="1"/>
        </w:numPr>
      </w:pPr>
      <w:r>
        <w:t>8.3 Data Security</w:t>
      </w:r>
    </w:p>
    <w:p>
      <w:pPr>
        <w:pStyle w:val="ListParagraph"/>
        <w:numPr>
          <w:ilvl w:val="0"/>
          <w:numId w:val="4"/>
        </w:numPr>
      </w:pPr>
      <w:r>
        <w:rPr>
          <w:rFonts w:ascii="Figtree" w:hAnsi="Figtree"/>
          <w:b/>
          <w:i w:val="0"/>
          <w:sz w:val="22"/>
        </w:rPr>
        <w:t>Encryption at rest</w:t>
      </w:r>
      <w:r>
        <w:rPr>
          <w:rFonts w:ascii="Figtree" w:hAnsi="Figtree"/>
          <w:b w:val="0"/>
          <w:i w:val="0"/>
          <w:sz w:val="22"/>
        </w:rPr>
        <w:t>: AES-256 for all stored data</w:t>
      </w:r>
    </w:p>
    <w:p>
      <w:pPr>
        <w:pStyle w:val="ListParagraph"/>
        <w:numPr>
          <w:ilvl w:val="0"/>
          <w:numId w:val="4"/>
        </w:numPr>
      </w:pPr>
      <w:r>
        <w:rPr>
          <w:rFonts w:ascii="Figtree" w:hAnsi="Figtree"/>
          <w:b/>
          <w:i w:val="0"/>
          <w:sz w:val="22"/>
        </w:rPr>
        <w:t>Encryption in transit</w:t>
      </w:r>
      <w:r>
        <w:rPr>
          <w:rFonts w:ascii="Figtree" w:hAnsi="Figtree"/>
          <w:b w:val="0"/>
          <w:i w:val="0"/>
          <w:sz w:val="22"/>
        </w:rPr>
        <w:t>: TLS 1.3 for all network communication</w:t>
      </w:r>
    </w:p>
    <w:p>
      <w:pPr>
        <w:pStyle w:val="ListParagraph"/>
        <w:numPr>
          <w:ilvl w:val="0"/>
          <w:numId w:val="4"/>
        </w:numPr>
      </w:pPr>
      <w:r>
        <w:rPr>
          <w:rFonts w:ascii="Figtree" w:hAnsi="Figtree"/>
          <w:b/>
          <w:i w:val="0"/>
          <w:sz w:val="22"/>
        </w:rPr>
        <w:t>Key management</w:t>
      </w:r>
      <w:r>
        <w:rPr>
          <w:rFonts w:ascii="Figtree" w:hAnsi="Figtree"/>
          <w:b w:val="0"/>
          <w:i w:val="0"/>
          <w:sz w:val="22"/>
        </w:rPr>
        <w:t>: HSM integration for cryptographic keys</w:t>
      </w:r>
    </w:p>
    <w:p>
      <w:pPr>
        <w:pStyle w:val="ListParagraph"/>
        <w:numPr>
          <w:ilvl w:val="0"/>
          <w:numId w:val="4"/>
        </w:numPr>
      </w:pPr>
      <w:r>
        <w:rPr>
          <w:rFonts w:ascii="Figtree" w:hAnsi="Figtree"/>
          <w:b/>
          <w:i w:val="0"/>
          <w:sz w:val="22"/>
        </w:rPr>
        <w:t>Data residency</w:t>
      </w:r>
      <w:r>
        <w:rPr>
          <w:rFonts w:ascii="Figtree" w:hAnsi="Figtree"/>
          <w:b w:val="0"/>
          <w:i w:val="0"/>
          <w:sz w:val="22"/>
        </w:rPr>
        <w:t>: All data maintained within UAE for the DIFC deployment</w:t>
      </w:r>
    </w:p>
    <w:p>
      <w:pPr>
        <w:pStyle w:val="H2"/>
        <w:numPr>
          <w:ilvl w:val="1"/>
          <w:numId w:val="1"/>
        </w:numPr>
      </w:pPr>
      <w:r>
        <w:t>8.4 Access Control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9"/>
        <w:gridCol w:w="1624"/>
        <w:gridCol w:w="1508"/>
        <w:gridCol w:w="1973"/>
        <w:gridCol w:w="1160"/>
        <w:gridCol w:w="7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Creation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Identity Mgmt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Config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Settlement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Admin</w:t>
            </w:r>
          </w:p>
        </w:tc>
      </w:tr>
      <w:tr>
        <w:trPr>
          <w:trHeight w:val="425" w:hRule="atLeast"/>
        </w:trPr>
        <w:tc>
          <w:tcPr>
            <w:tcW w:type="dxa" w:w="1624"/>
            <w:vAlign w:val="center"/>
          </w:tcPr>
          <w:p>
            <w:pPr>
              <w:spacing w:line="276" w:lineRule="auto" w:before="0" w:after="0"/>
            </w:pPr>
            <w:r/>
            <w:r>
              <w:rPr>
                <w:rFonts w:ascii="Figtree" w:hAnsi="Figtree"/>
                <w:b w:val="0"/>
                <w:i w:val="0"/>
                <w:sz w:val="20"/>
              </w:rPr>
              <w:t>Platform Admin</w:t>
            </w:r>
          </w:p>
        </w:tc>
        <w:tc>
          <w:tcPr>
            <w:tcW w:type="dxa" w:w="1624"/>
            <w:vAlign w:val="center"/>
          </w:tcPr>
          <w:p>
            <w:pPr>
              <w:spacing w:line="276" w:lineRule="auto" w:before="0" w:after="0"/>
            </w:pPr>
            <w:r/>
            <w:r>
              <w:rPr>
                <w:rFonts w:ascii="Figtree" w:hAnsi="Figtree"/>
                <w:b w:val="0"/>
                <w:i w:val="0"/>
                <w:sz w:val="20"/>
              </w:rPr>
              <w:t>Yes</w:t>
            </w:r>
          </w:p>
        </w:tc>
        <w:tc>
          <w:tcPr>
            <w:tcW w:type="dxa" w:w="1624"/>
            <w:vAlign w:val="center"/>
          </w:tcPr>
          <w:p>
            <w:pPr>
              <w:spacing w:line="276" w:lineRule="auto" w:before="0" w:after="0"/>
            </w:pPr>
            <w:r/>
            <w:r>
              <w:rPr>
                <w:rFonts w:ascii="Figtree" w:hAnsi="Figtree"/>
                <w:b w:val="0"/>
                <w:i w:val="0"/>
                <w:sz w:val="20"/>
              </w:rPr>
              <w:t>Yes</w:t>
            </w:r>
          </w:p>
        </w:tc>
        <w:tc>
          <w:tcPr>
            <w:tcW w:type="dxa" w:w="1624"/>
            <w:vAlign w:val="center"/>
          </w:tcPr>
          <w:p>
            <w:pPr>
              <w:spacing w:line="276" w:lineRule="auto" w:before="0" w:after="0"/>
            </w:pPr>
            <w:r/>
            <w:r>
              <w:rPr>
                <w:rFonts w:ascii="Figtree" w:hAnsi="Figtree"/>
                <w:b w:val="0"/>
                <w:i w:val="0"/>
                <w:sz w:val="20"/>
              </w:rPr>
              <w:t>Yes</w:t>
            </w:r>
          </w:p>
        </w:tc>
        <w:tc>
          <w:tcPr>
            <w:tcW w:type="dxa" w:w="1624"/>
            <w:vAlign w:val="center"/>
          </w:tcPr>
          <w:p>
            <w:pPr>
              <w:spacing w:line="276" w:lineRule="auto" w:before="0" w:after="0"/>
            </w:pPr>
            <w:r/>
            <w:r>
              <w:rPr>
                <w:rFonts w:ascii="Figtree" w:hAnsi="Figtree"/>
                <w:b w:val="0"/>
                <w:i w:val="0"/>
                <w:sz w:val="20"/>
              </w:rPr>
              <w:t>Yes</w:t>
            </w:r>
          </w:p>
        </w:tc>
        <w:tc>
          <w:tcPr>
            <w:tcW w:type="dxa" w:w="1624"/>
            <w:vAlign w:val="center"/>
          </w:tcPr>
          <w:p>
            <w:pPr>
              <w:spacing w:line="276" w:lineRule="auto" w:before="0" w:after="0"/>
            </w:pPr>
            <w:r/>
            <w:r>
              <w:rPr>
                <w:rFonts w:ascii="Figtree" w:hAnsi="Figtree"/>
                <w:b w:val="0"/>
                <w:i w:val="0"/>
                <w:sz w:val="20"/>
              </w:rPr>
              <w:t>Yes</w:t>
            </w:r>
          </w:p>
        </w:tc>
      </w:tr>
      <w:tr>
        <w:trPr>
          <w:trHeight w:val="425" w:hRule="atLeast"/>
        </w:trPr>
        <w:tc>
          <w:tcPr>
            <w:tcW w:type="dxa" w:w="1624"/>
            <w:vAlign w:val="center"/>
          </w:tcPr>
          <w:p>
            <w:pPr>
              <w:spacing w:line="276" w:lineRule="auto" w:before="0" w:after="0"/>
            </w:pPr>
            <w:r/>
            <w:r>
              <w:rPr>
                <w:rFonts w:ascii="Figtree" w:hAnsi="Figtree"/>
                <w:b w:val="0"/>
                <w:i w:val="0"/>
                <w:sz w:val="20"/>
              </w:rPr>
              <w:t>Asset Issuer</w:t>
            </w:r>
          </w:p>
        </w:tc>
        <w:tc>
          <w:tcPr>
            <w:tcW w:type="dxa" w:w="1624"/>
            <w:vAlign w:val="center"/>
          </w:tcPr>
          <w:p>
            <w:pPr>
              <w:spacing w:line="276" w:lineRule="auto" w:before="0" w:after="0"/>
            </w:pPr>
            <w:r/>
            <w:r>
              <w:rPr>
                <w:rFonts w:ascii="Figtree" w:hAnsi="Figtree"/>
                <w:b w:val="0"/>
                <w:i w:val="0"/>
                <w:sz w:val="20"/>
              </w:rPr>
              <w:t>Own only</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Own only</w:t>
            </w:r>
          </w:p>
        </w:tc>
        <w:tc>
          <w:tcPr>
            <w:tcW w:type="dxa" w:w="1624"/>
            <w:vAlign w:val="center"/>
          </w:tcPr>
          <w:p>
            <w:pPr>
              <w:spacing w:line="276" w:lineRule="auto" w:before="0" w:after="0"/>
            </w:pPr>
            <w:r/>
            <w:r>
              <w:rPr>
                <w:rFonts w:ascii="Figtree" w:hAnsi="Figtree"/>
                <w:b w:val="0"/>
                <w:i w:val="0"/>
                <w:sz w:val="20"/>
              </w:rPr>
              <w:t>Own only</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Compliance Officer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Investor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Own only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Own only</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Auditor</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View</w:t>
            </w:r>
          </w:p>
        </w:tc>
        <w:tc>
          <w:tcPr>
            <w:tcW w:type="dxa" w:w="1624"/>
            <w:vAlign w:val="center"/>
          </w:tcPr>
          <w:p>
            <w:pPr>
              <w:spacing w:line="276" w:lineRule="auto" w:before="0" w:after="0"/>
            </w:pPr>
            <w:r/>
            <w:r>
              <w:rPr>
                <w:rFonts w:ascii="Figtree" w:hAnsi="Figtree"/>
                <w:b w:val="0"/>
                <w:i w:val="0"/>
                <w:sz w:val="20"/>
              </w:rPr>
              <w:t>No</w:t>
            </w:r>
          </w:p>
        </w:tc>
      </w:tr>
    </w:tbl>
    <w:p>
      <w:pPr>
        <w:spacing w:before="0" w:after="0" w:line="120" w:lineRule="exact"/>
      </w:pPr>
    </w:p>
    <w:p>
      <w:pPr>
        <w:pStyle w:val="H2"/>
        <w:numPr>
          <w:ilvl w:val="1"/>
          <w:numId w:val="1"/>
        </w:numPr>
      </w:pPr>
      <w:r>
        <w:t>8.5 Monitoring and Incident Response</w:t>
      </w:r>
    </w:p>
    <w:p>
      <w:pPr>
        <w:pStyle w:val="ListParagraph"/>
        <w:numPr>
          <w:ilvl w:val="0"/>
          <w:numId w:val="4"/>
        </w:numPr>
      </w:pPr>
      <w:r>
        <w:rPr>
          <w:rFonts w:ascii="Figtree" w:hAnsi="Figtree"/>
          <w:b w:val="0"/>
          <w:i w:val="0"/>
          <w:sz w:val="22"/>
        </w:rPr>
        <w:t>Real-time monitoring with 10-second refresh rates</w:t>
      </w:r>
    </w:p>
    <w:p>
      <w:pPr>
        <w:pStyle w:val="ListParagraph"/>
        <w:numPr>
          <w:ilvl w:val="0"/>
          <w:numId w:val="4"/>
        </w:numPr>
      </w:pPr>
      <w:r>
        <w:rPr>
          <w:rFonts w:ascii="Figtree" w:hAnsi="Figtree"/>
          <w:b w:val="0"/>
          <w:i w:val="0"/>
          <w:sz w:val="22"/>
        </w:rPr>
        <w:t>Hysteresis-based health classification (3 consecutive samples)</w:t>
      </w:r>
    </w:p>
    <w:p>
      <w:pPr>
        <w:pStyle w:val="ListParagraph"/>
        <w:numPr>
          <w:ilvl w:val="0"/>
          <w:numId w:val="4"/>
        </w:numPr>
      </w:pPr>
      <w:r>
        <w:rPr>
          <w:rFonts w:ascii="Figtree" w:hAnsi="Figtree"/>
          <w:b w:val="0"/>
          <w:i w:val="0"/>
          <w:sz w:val="22"/>
        </w:rPr>
        <w:t>24-hour historical health trends</w:t>
      </w:r>
    </w:p>
    <w:p>
      <w:pPr>
        <w:pStyle w:val="ListParagraph"/>
        <w:numPr>
          <w:ilvl w:val="0"/>
          <w:numId w:val="4"/>
        </w:numPr>
      </w:pPr>
      <w:r>
        <w:rPr>
          <w:rFonts w:ascii="Figtree" w:hAnsi="Figtree"/>
          <w:b w:val="0"/>
          <w:i w:val="0"/>
          <w:sz w:val="22"/>
        </w:rPr>
        <w:t>Automated alerting for anomalies</w:t>
      </w:r>
    </w:p>
    <w:p>
      <w:pPr>
        <w:pStyle w:val="ListParagraph"/>
        <w:numPr>
          <w:ilvl w:val="0"/>
          <w:numId w:val="4"/>
        </w:numPr>
      </w:pPr>
      <w:r>
        <w:rPr>
          <w:rFonts w:ascii="Figtree" w:hAnsi="Figtree"/>
          <w:b w:val="0"/>
          <w:i w:val="0"/>
          <w:sz w:val="22"/>
        </w:rPr>
        <w:t>Incident response procedures with defined escalation paths</w:t>
      </w:r>
    </w:p>
    <w:p>
      <w:r>
        <w:br w:type="page"/>
      </w:r>
    </w:p>
    <w:p>
      <w:pPr>
        <w:pStyle w:val="H1"/>
        <w:numPr>
          <w:ilvl w:val="0"/>
          <w:numId w:val="1"/>
        </w:numPr>
      </w:pPr>
      <w:r>
        <w:t>9. Project Implementation and Delivery</w:t>
      </w:r>
    </w:p>
    <w:p>
      <w:pPr>
        <w:pStyle w:val="H2"/>
        <w:numPr>
          <w:ilvl w:val="1"/>
          <w:numId w:val="1"/>
        </w:numPr>
      </w:pPr>
      <w:r>
        <w:t>9.1 Delivery Methodology</w:t>
      </w:r>
    </w:p>
    <w:p>
      <w:r>
        <w:rPr>
          <w:rFonts w:ascii="Figtree" w:hAnsi="Figtree"/>
          <w:b w:val="0"/>
          <w:i w:val="0"/>
          <w:sz w:val="22"/>
        </w:rPr>
        <w:t>SettleMint follows a structured, phase-gated implementation methodology:</w:t>
      </w:r>
    </w:p>
    <w:p>
      <w:pPr>
        <w:pStyle w:val="H3"/>
        <w:numPr>
          <w:ilvl w:val="2"/>
          <w:numId w:val="1"/>
        </w:numPr>
      </w:pPr>
      <w:r>
        <w:t>Phase 1: Discovery and Requirements (Weeks 1-2)</w:t>
      </w:r>
    </w:p>
    <w:p>
      <w:pPr>
        <w:pStyle w:val="ListParagraph"/>
        <w:numPr>
          <w:ilvl w:val="0"/>
          <w:numId w:val="4"/>
        </w:numPr>
      </w:pPr>
      <w:r>
        <w:rPr>
          <w:rFonts w:ascii="Figtree" w:hAnsi="Figtree"/>
          <w:b w:val="0"/>
          <w:i w:val="0"/>
          <w:sz w:val="22"/>
        </w:rPr>
        <w:t>Business Requirements Document</w:t>
      </w:r>
    </w:p>
    <w:p>
      <w:pPr>
        <w:pStyle w:val="ListParagraph"/>
        <w:numPr>
          <w:ilvl w:val="0"/>
          <w:numId w:val="4"/>
        </w:numPr>
      </w:pPr>
      <w:r>
        <w:rPr>
          <w:rFonts w:ascii="Figtree" w:hAnsi="Figtree"/>
          <w:b w:val="0"/>
          <w:i w:val="0"/>
          <w:sz w:val="22"/>
        </w:rPr>
        <w:t>Regulatory and Compliance Matrix</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w:t>
      </w:r>
    </w:p>
    <w:p>
      <w:pPr>
        <w:pStyle w:val="H3"/>
        <w:numPr>
          <w:ilvl w:val="2"/>
          <w:numId w:val="1"/>
        </w:numPr>
      </w:pPr>
      <w:r>
        <w:t>Phase 2: Foundation and Setup (Weeks 3-5)</w:t>
      </w:r>
    </w:p>
    <w:p>
      <w:pPr>
        <w:pStyle w:val="ListParagraph"/>
        <w:numPr>
          <w:ilvl w:val="0"/>
          <w:numId w:val="4"/>
        </w:numPr>
      </w:pPr>
      <w:r>
        <w:rPr>
          <w:rFonts w:ascii="Figtree" w:hAnsi="Figtree"/>
          <w:b w:val="0"/>
          <w:i w:val="0"/>
          <w:sz w:val="22"/>
        </w:rPr>
        <w:t>Environment provisioning complete</w:t>
      </w:r>
    </w:p>
    <w:p>
      <w:pPr>
        <w:pStyle w:val="ListParagraph"/>
        <w:numPr>
          <w:ilvl w:val="0"/>
          <w:numId w:val="4"/>
        </w:numPr>
      </w:pPr>
      <w:r>
        <w:rPr>
          <w:rFonts w:ascii="Figtree" w:hAnsi="Figtree"/>
          <w:b w:val="0"/>
          <w:i w:val="0"/>
          <w:sz w:val="22"/>
        </w:rPr>
        <w:t>Network configuration validated</w:t>
      </w:r>
    </w:p>
    <w:p>
      <w:pPr>
        <w:pStyle w:val="ListParagraph"/>
        <w:numPr>
          <w:ilvl w:val="0"/>
          <w:numId w:val="4"/>
        </w:numPr>
      </w:pPr>
      <w:r>
        <w:rPr>
          <w:rFonts w:ascii="Figtree" w:hAnsi="Figtree"/>
          <w:b w:val="0"/>
          <w:i w:val="0"/>
          <w:sz w:val="22"/>
        </w:rPr>
        <w:t>Identity framework deployed</w:t>
      </w:r>
    </w:p>
    <w:p>
      <w:pPr>
        <w:pStyle w:val="ListParagraph"/>
        <w:numPr>
          <w:ilvl w:val="0"/>
          <w:numId w:val="4"/>
        </w:numPr>
      </w:pPr>
      <w:r>
        <w:rPr>
          <w:rFonts w:ascii="Figtree" w:hAnsi="Figtree"/>
          <w:b w:val="0"/>
          <w:i w:val="0"/>
          <w:sz w:val="22"/>
        </w:rPr>
        <w:t>Platform accessible for configuration</w:t>
      </w:r>
    </w:p>
    <w:p>
      <w:pPr>
        <w:pStyle w:val="H3"/>
        <w:numPr>
          <w:ilvl w:val="2"/>
          <w:numId w:val="1"/>
        </w:numPr>
      </w:pPr>
      <w:r>
        <w:t>Phase 3: Configuration and Compliance (Weeks 6-9)</w:t>
      </w:r>
    </w:p>
    <w:p>
      <w:pPr>
        <w:pStyle w:val="ListParagraph"/>
        <w:numPr>
          <w:ilvl w:val="0"/>
          <w:numId w:val="4"/>
        </w:numPr>
      </w:pPr>
      <w:r>
        <w:rPr>
          <w:rFonts w:ascii="Figtree" w:hAnsi="Figtree"/>
          <w:b w:val="0"/>
          <w:i w:val="0"/>
          <w:sz w:val="22"/>
        </w:rPr>
        <w:t>Asset types configured</w:t>
      </w:r>
    </w:p>
    <w:p>
      <w:pPr>
        <w:pStyle w:val="ListParagraph"/>
        <w:numPr>
          <w:ilvl w:val="0"/>
          <w:numId w:val="4"/>
        </w:numPr>
      </w:pPr>
      <w:r>
        <w:rPr>
          <w:rFonts w:ascii="Figtree" w:hAnsi="Figtree"/>
          <w:b w:val="0"/>
          <w:i w:val="0"/>
          <w:sz w:val="22"/>
        </w:rPr>
        <w:t>Compliance modules operational</w:t>
      </w:r>
    </w:p>
    <w:p>
      <w:pPr>
        <w:pStyle w:val="ListParagraph"/>
        <w:numPr>
          <w:ilvl w:val="0"/>
          <w:numId w:val="4"/>
        </w:numPr>
      </w:pPr>
      <w:r>
        <w:rPr>
          <w:rFonts w:ascii="Figtree" w:hAnsi="Figtree"/>
          <w:b w:val="0"/>
          <w:i w:val="0"/>
          <w:sz w:val="22"/>
        </w:rPr>
        <w:t>Operational workflows established</w:t>
      </w:r>
    </w:p>
    <w:p>
      <w:pPr>
        <w:pStyle w:val="ListParagraph"/>
        <w:numPr>
          <w:ilvl w:val="0"/>
          <w:numId w:val="4"/>
        </w:numPr>
      </w:pPr>
      <w:r>
        <w:rPr>
          <w:rFonts w:ascii="Figtree" w:hAnsi="Figtree"/>
          <w:b w:val="0"/>
          <w:i w:val="0"/>
          <w:sz w:val="22"/>
        </w:rPr>
        <w:t>Sandbox environment ready for testing</w:t>
      </w:r>
    </w:p>
    <w:p>
      <w:pPr>
        <w:pStyle w:val="H3"/>
        <w:numPr>
          <w:ilvl w:val="2"/>
          <w:numId w:val="1"/>
        </w:numPr>
      </w:pPr>
      <w:r>
        <w:t>Phase 4: Integration and Testing (Weeks 10-13)</w:t>
      </w:r>
    </w:p>
    <w:p>
      <w:pPr>
        <w:pStyle w:val="ListParagraph"/>
        <w:numPr>
          <w:ilvl w:val="0"/>
          <w:numId w:val="4"/>
        </w:numPr>
      </w:pPr>
      <w:r>
        <w:rPr>
          <w:rFonts w:ascii="Figtree" w:hAnsi="Figtree"/>
          <w:b w:val="0"/>
          <w:i w:val="0"/>
          <w:sz w:val="22"/>
        </w:rPr>
        <w:t>System integration complete</w:t>
      </w:r>
    </w:p>
    <w:p>
      <w:pPr>
        <w:pStyle w:val="ListParagraph"/>
        <w:numPr>
          <w:ilvl w:val="0"/>
          <w:numId w:val="4"/>
        </w:numPr>
      </w:pPr>
      <w:r>
        <w:rPr>
          <w:rFonts w:ascii="Figtree" w:hAnsi="Figtree"/>
          <w:b w:val="0"/>
          <w:i w:val="0"/>
          <w:sz w:val="22"/>
        </w:rPr>
        <w:t>Functional testing passed</w:t>
      </w:r>
    </w:p>
    <w:p>
      <w:pPr>
        <w:pStyle w:val="ListParagraph"/>
        <w:numPr>
          <w:ilvl w:val="0"/>
          <w:numId w:val="4"/>
        </w:numPr>
      </w:pPr>
      <w:r>
        <w:rPr>
          <w:rFonts w:ascii="Figtree" w:hAnsi="Figtree"/>
          <w:b w:val="0"/>
          <w:i w:val="0"/>
          <w:sz w:val="22"/>
        </w:rPr>
        <w:t>Security testing passed</w:t>
      </w:r>
    </w:p>
    <w:p>
      <w:pPr>
        <w:pStyle w:val="ListParagraph"/>
        <w:numPr>
          <w:ilvl w:val="0"/>
          <w:numId w:val="4"/>
        </w:numPr>
      </w:pPr>
      <w:r>
        <w:rPr>
          <w:rFonts w:ascii="Figtree" w:hAnsi="Figtree"/>
          <w:b w:val="0"/>
          <w:i w:val="0"/>
          <w:sz w:val="22"/>
        </w:rPr>
        <w:t>User acceptance testing complete</w:t>
      </w:r>
    </w:p>
    <w:p>
      <w:pPr>
        <w:pStyle w:val="H3"/>
        <w:numPr>
          <w:ilvl w:val="2"/>
          <w:numId w:val="1"/>
        </w:numPr>
      </w:pPr>
      <w:r>
        <w:t>Phase 5: Go-Live and Hypercare (Weeks 14-19)</w:t>
      </w:r>
    </w:p>
    <w:p>
      <w:pPr>
        <w:pStyle w:val="ListParagraph"/>
        <w:numPr>
          <w:ilvl w:val="0"/>
          <w:numId w:val="4"/>
        </w:numPr>
      </w:pPr>
      <w:r>
        <w:rPr>
          <w:rFonts w:ascii="Figtree" w:hAnsi="Figtree"/>
          <w:b w:val="0"/>
          <w:i w:val="0"/>
          <w:sz w:val="22"/>
        </w:rPr>
        <w:t>Production deployment (2 weeks)</w:t>
      </w:r>
    </w:p>
    <w:p>
      <w:pPr>
        <w:pStyle w:val="ListParagraph"/>
        <w:numPr>
          <w:ilvl w:val="0"/>
          <w:numId w:val="4"/>
        </w:numPr>
      </w:pPr>
      <w:r>
        <w:rPr>
          <w:rFonts w:ascii="Figtree" w:hAnsi="Figtree"/>
          <w:b w:val="0"/>
          <w:i w:val="0"/>
          <w:sz w:val="22"/>
        </w:rPr>
        <w:t>Hypercare support (4 weeks)</w:t>
      </w:r>
    </w:p>
    <w:p>
      <w:pPr>
        <w:pStyle w:val="ListParagraph"/>
        <w:numPr>
          <w:ilvl w:val="0"/>
          <w:numId w:val="4"/>
        </w:numPr>
      </w:pPr>
      <w:r>
        <w:rPr>
          <w:rFonts w:ascii="Figtree" w:hAnsi="Figtree"/>
          <w:b w:val="0"/>
          <w:i w:val="0"/>
          <w:sz w:val="22"/>
        </w:rPr>
        <w:t>Knowledge transfer complete</w:t>
      </w:r>
    </w:p>
    <w:p>
      <w:pPr>
        <w:pStyle w:val="ListParagraph"/>
        <w:numPr>
          <w:ilvl w:val="0"/>
          <w:numId w:val="4"/>
        </w:numPr>
      </w:pPr>
      <w:r>
        <w:rPr>
          <w:rFonts w:ascii="Figtree" w:hAnsi="Figtree"/>
          <w:b w:val="0"/>
          <w:i w:val="0"/>
          <w:sz w:val="22"/>
        </w:rPr>
        <w:t>Support transition</w:t>
      </w:r>
    </w:p>
    <w:p>
      <w:pPr>
        <w:pStyle w:val="H2"/>
        <w:numPr>
          <w:ilvl w:val="1"/>
          <w:numId w:val="1"/>
        </w:numPr>
      </w:pPr>
      <w:r>
        <w:t>9.2 Governance and Escalation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774"/>
        <w:gridCol w:w="3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r>
      <w:tr>
        <w:trPr>
          <w:trHeight w:val="425" w:hRule="atLeast"/>
        </w:trPr>
        <w:tc>
          <w:tcPr>
            <w:tcW w:type="dxa" w:w="3249"/>
            <w:vAlign w:val="center"/>
          </w:tcPr>
          <w:p>
            <w:pPr>
              <w:spacing w:line="276" w:lineRule="auto" w:before="0" w:after="0"/>
            </w:pPr>
            <w:r/>
            <w:r>
              <w:rPr>
                <w:rFonts w:ascii="Figtree" w:hAnsi="Figtree"/>
                <w:b w:val="0"/>
                <w:i w:val="0"/>
                <w:sz w:val="20"/>
              </w:rPr>
              <w:t>Project Steering</w:t>
            </w:r>
          </w:p>
        </w:tc>
        <w:tc>
          <w:tcPr>
            <w:tcW w:type="dxa" w:w="3249"/>
            <w:vAlign w:val="center"/>
          </w:tcPr>
          <w:p>
            <w:pPr>
              <w:spacing w:line="276" w:lineRule="auto" w:before="0" w:after="0"/>
            </w:pPr>
            <w:r/>
            <w:r>
              <w:rPr>
                <w:rFonts w:ascii="Figtree" w:hAnsi="Figtree"/>
                <w:b w:val="0"/>
                <w:i w:val="0"/>
                <w:sz w:val="20"/>
              </w:rPr>
              <w:t>Bi-weekly</w:t>
            </w:r>
          </w:p>
        </w:tc>
        <w:tc>
          <w:tcPr>
            <w:tcW w:type="dxa" w:w="3249"/>
            <w:vAlign w:val="center"/>
          </w:tcPr>
          <w:p>
            <w:pPr>
              <w:spacing w:line="276" w:lineRule="auto" w:before="0" w:after="0"/>
            </w:pPr>
            <w:r/>
            <w:r>
              <w:rPr>
                <w:rFonts w:ascii="Figtree" w:hAnsi="Figtree"/>
                <w:b w:val="0"/>
                <w:i w:val="0"/>
                <w:sz w:val="20"/>
              </w:rPr>
              <w:t>Executive sponsors</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Management</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Project managers</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Solution architects</w:t>
            </w:r>
          </w:p>
        </w:tc>
      </w:tr>
      <w:tr>
        <w:trPr>
          <w:trHeight w:val="425" w:hRule="atLeast"/>
        </w:trPr>
        <w:tc>
          <w:tcPr>
            <w:tcW w:type="dxa" w:w="3249"/>
            <w:vAlign w:val="center"/>
          </w:tcPr>
          <w:p>
            <w:pPr>
              <w:spacing w:line="276" w:lineRule="auto" w:before="0" w:after="0"/>
            </w:pPr>
            <w:r/>
            <w:r>
              <w:rPr>
                <w:rFonts w:ascii="Figtree" w:hAnsi="Figtree"/>
                <w:b w:val="0"/>
                <w:i w:val="0"/>
                <w:sz w:val="20"/>
              </w:rPr>
              <w:t>Risk and Issues</w:t>
            </w:r>
          </w:p>
        </w:tc>
        <w:tc>
          <w:tcPr>
            <w:tcW w:type="dxa" w:w="3249"/>
            <w:vAlign w:val="center"/>
          </w:tcPr>
          <w:p>
            <w:pPr>
              <w:spacing w:line="276" w:lineRule="auto" w:before="0" w:after="0"/>
            </w:pPr>
            <w:r/>
            <w:r>
              <w:rPr>
                <w:rFonts w:ascii="Figtree" w:hAnsi="Figtree"/>
                <w:b w:val="0"/>
                <w:i w:val="0"/>
                <w:sz w:val="20"/>
              </w:rPr>
              <w:t>As needed</w:t>
            </w:r>
          </w:p>
        </w:tc>
        <w:tc>
          <w:tcPr>
            <w:tcW w:type="dxa" w:w="3249"/>
            <w:vAlign w:val="center"/>
          </w:tcPr>
          <w:p>
            <w:pPr>
              <w:spacing w:line="276" w:lineRule="auto" w:before="0" w:after="0"/>
            </w:pPr>
            <w:r/>
            <w:r>
              <w:rPr>
                <w:rFonts w:ascii="Figtree" w:hAnsi="Figtree"/>
                <w:b w:val="0"/>
                <w:i w:val="0"/>
                <w:sz w:val="20"/>
              </w:rPr>
              <w:t>Risk managers</w:t>
            </w:r>
          </w:p>
        </w:tc>
      </w:tr>
    </w:tbl>
    <w:p>
      <w:pPr>
        <w:spacing w:before="0" w:after="0" w:line="120" w:lineRule="exact"/>
      </w:pPr>
    </w:p>
    <w:p>
      <w:pPr>
        <w:pStyle w:val="H2"/>
        <w:numPr>
          <w:ilvl w:val="1"/>
          <w:numId w:val="1"/>
        </w:numPr>
      </w:pPr>
      <w:r>
        <w:t>9.3 RACI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54"/>
        <w:gridCol w:w="1814"/>
        <w:gridCol w:w="725"/>
        <w:gridCol w:w="21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DIFC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r>
      <w:tr>
        <w:trPr>
          <w:trHeight w:val="425" w:hRule="atLeast"/>
        </w:trPr>
        <w:tc>
          <w:tcPr>
            <w:tcW w:type="dxa" w:w="2436"/>
            <w:vAlign w:val="center"/>
          </w:tcPr>
          <w:p>
            <w:pPr>
              <w:spacing w:line="276" w:lineRule="auto" w:before="0" w:after="0"/>
            </w:pPr>
            <w:r/>
            <w:r>
              <w:rPr>
                <w:rFonts w:ascii="Figtree" w:hAnsi="Figtree"/>
                <w:b w:val="0"/>
                <w:i w:val="0"/>
                <w:sz w:val="20"/>
              </w:rPr>
              <w:t>Platform deployment</w:t>
            </w:r>
          </w:p>
        </w:tc>
        <w:tc>
          <w:tcPr>
            <w:tcW w:type="dxa" w:w="2436"/>
            <w:vAlign w:val="center"/>
          </w:tcPr>
          <w:p>
            <w:pPr>
              <w:spacing w:line="276" w:lineRule="auto" w:before="0" w:after="0"/>
            </w:pPr>
            <w:r/>
            <w:r>
              <w:rPr>
                <w:rFonts w:ascii="Figtree" w:hAnsi="Figtree"/>
                <w:b w:val="0"/>
                <w:i w:val="0"/>
                <w:sz w:val="20"/>
              </w:rPr>
              <w:t>R</w:t>
            </w:r>
          </w:p>
        </w:tc>
        <w:tc>
          <w:tcPr>
            <w:tcW w:type="dxa" w:w="2436"/>
            <w:vAlign w:val="center"/>
          </w:tcPr>
          <w:p>
            <w:pPr>
              <w:spacing w:line="276" w:lineRule="auto" w:before="0" w:after="0"/>
            </w:pPr>
            <w:r/>
            <w:r>
              <w:rPr>
                <w:rFonts w:ascii="Figtree" w:hAnsi="Figtree"/>
                <w:b w:val="0"/>
                <w:i w:val="0"/>
                <w:sz w:val="20"/>
              </w:rPr>
              <w:t>A</w:t>
            </w:r>
          </w:p>
        </w:tc>
        <w:tc>
          <w:tcPr>
            <w:tcW w:type="dxa" w:w="2436"/>
            <w:vAlign w:val="center"/>
          </w:tcPr>
          <w:p>
            <w:pPr>
              <w:spacing w:line="276" w:lineRule="auto" w:before="0" w:after="0"/>
            </w:pPr>
            <w:r/>
            <w:r>
              <w:rPr>
                <w:rFonts w:ascii="Figtree" w:hAnsi="Figtree"/>
                <w:b w:val="0"/>
                <w:i w:val="0"/>
                <w:sz w:val="20"/>
              </w:rPr>
              <w:t>I</w:t>
            </w:r>
          </w:p>
        </w:tc>
      </w:tr>
      <w:tr>
        <w:trPr>
          <w:trHeight w:val="425" w:hRule="atLeast"/>
        </w:trPr>
        <w:tc>
          <w:tcPr>
            <w:tcW w:type="dxa" w:w="2436"/>
            <w:vAlign w:val="center"/>
          </w:tcPr>
          <w:p>
            <w:pPr>
              <w:spacing w:line="276" w:lineRule="auto" w:before="0" w:after="0"/>
            </w:pPr>
            <w:r/>
            <w:r>
              <w:rPr>
                <w:rFonts w:ascii="Figtree" w:hAnsi="Figtree"/>
                <w:b w:val="0"/>
                <w:i w:val="0"/>
                <w:sz w:val="20"/>
              </w:rPr>
              <w:t>Compliance configuration</w:t>
            </w:r>
          </w:p>
        </w:tc>
        <w:tc>
          <w:tcPr>
            <w:tcW w:type="dxa" w:w="2436"/>
            <w:vAlign w:val="center"/>
          </w:tcPr>
          <w:p>
            <w:pPr>
              <w:spacing w:line="276" w:lineRule="auto" w:before="0" w:after="0"/>
            </w:pPr>
            <w:r/>
            <w:r>
              <w:rPr>
                <w:rFonts w:ascii="Figtree" w:hAnsi="Figtree"/>
                <w:b w:val="0"/>
                <w:i w:val="0"/>
                <w:sz w:val="20"/>
              </w:rPr>
              <w:t>C</w:t>
            </w:r>
          </w:p>
        </w:tc>
        <w:tc>
          <w:tcPr>
            <w:tcW w:type="dxa" w:w="2436"/>
            <w:vAlign w:val="center"/>
          </w:tcPr>
          <w:p>
            <w:pPr>
              <w:spacing w:line="276" w:lineRule="auto" w:before="0" w:after="0"/>
            </w:pPr>
            <w:r/>
            <w:r>
              <w:rPr>
                <w:rFonts w:ascii="Figtree" w:hAnsi="Figtree"/>
                <w:b w:val="0"/>
                <w:i w:val="0"/>
                <w:sz w:val="20"/>
              </w:rPr>
              <w:t>A</w:t>
            </w:r>
          </w:p>
        </w:tc>
        <w:tc>
          <w:tcPr>
            <w:tcW w:type="dxa" w:w="2436"/>
            <w:vAlign w:val="center"/>
          </w:tcPr>
          <w:p>
            <w:pPr>
              <w:spacing w:line="276" w:lineRule="auto" w:before="0" w:after="0"/>
            </w:pPr>
            <w:r/>
            <w:r>
              <w:rPr>
                <w:rFonts w:ascii="Figtree" w:hAnsi="Figtree"/>
                <w:b w:val="0"/>
                <w:i w:val="0"/>
                <w:sz w:val="20"/>
              </w:rPr>
              <w:t>C</w:t>
            </w:r>
          </w:p>
        </w:tc>
      </w:tr>
      <w:tr>
        <w:trPr>
          <w:trHeight w:val="425" w:hRule="atLeast"/>
        </w:trPr>
        <w:tc>
          <w:tcPr>
            <w:tcW w:type="dxa" w:w="2436"/>
            <w:vAlign w:val="center"/>
          </w:tcPr>
          <w:p>
            <w:pPr>
              <w:spacing w:line="276" w:lineRule="auto" w:before="0" w:after="0"/>
            </w:pPr>
            <w:r/>
            <w:r>
              <w:rPr>
                <w:rFonts w:ascii="Figtree" w:hAnsi="Figtree"/>
                <w:b w:val="0"/>
                <w:i w:val="0"/>
                <w:sz w:val="20"/>
              </w:rPr>
              <w:t>Integration development</w:t>
            </w:r>
          </w:p>
        </w:tc>
        <w:tc>
          <w:tcPr>
            <w:tcW w:type="dxa" w:w="2436"/>
            <w:vAlign w:val="center"/>
          </w:tcPr>
          <w:p>
            <w:pPr>
              <w:spacing w:line="276" w:lineRule="auto" w:before="0" w:after="0"/>
            </w:pPr>
            <w:r/>
            <w:r>
              <w:rPr>
                <w:rFonts w:ascii="Figtree" w:hAnsi="Figtree"/>
                <w:b w:val="0"/>
                <w:i w:val="0"/>
                <w:sz w:val="20"/>
              </w:rPr>
              <w:t>R</w:t>
            </w:r>
          </w:p>
        </w:tc>
        <w:tc>
          <w:tcPr>
            <w:tcW w:type="dxa" w:w="2436"/>
            <w:vAlign w:val="center"/>
          </w:tcPr>
          <w:p>
            <w:pPr>
              <w:spacing w:line="276" w:lineRule="auto" w:before="0" w:after="0"/>
            </w:pPr>
            <w:r/>
            <w:r>
              <w:rPr>
                <w:rFonts w:ascii="Figtree" w:hAnsi="Figtree"/>
                <w:b w:val="0"/>
                <w:i w:val="0"/>
                <w:sz w:val="20"/>
              </w:rPr>
              <w:t>C</w:t>
            </w:r>
          </w:p>
        </w:tc>
        <w:tc>
          <w:tcPr>
            <w:tcW w:type="dxa" w:w="2436"/>
            <w:vAlign w:val="center"/>
          </w:tcPr>
          <w:p>
            <w:pPr>
              <w:spacing w:line="276" w:lineRule="auto" w:before="0" w:after="0"/>
            </w:pPr>
            <w:r/>
            <w:r>
              <w:rPr>
                <w:rFonts w:ascii="Figtree" w:hAnsi="Figtree"/>
                <w:b w:val="0"/>
                <w:i w:val="0"/>
                <w:sz w:val="20"/>
              </w:rPr>
              <w:t>C</w:t>
            </w:r>
          </w:p>
        </w:tc>
      </w:tr>
      <w:tr>
        <w:trPr>
          <w:trHeight w:val="425" w:hRule="atLeast"/>
        </w:trPr>
        <w:tc>
          <w:tcPr>
            <w:tcW w:type="dxa" w:w="2436"/>
            <w:vAlign w:val="center"/>
          </w:tcPr>
          <w:p>
            <w:pPr>
              <w:spacing w:line="276" w:lineRule="auto" w:before="0" w:after="0"/>
            </w:pPr>
            <w:r/>
            <w:r>
              <w:rPr>
                <w:rFonts w:ascii="Figtree" w:hAnsi="Figtree"/>
                <w:b w:val="0"/>
                <w:i w:val="0"/>
                <w:sz w:val="20"/>
              </w:rPr>
              <w:t>User acceptance testing</w:t>
            </w:r>
          </w:p>
        </w:tc>
        <w:tc>
          <w:tcPr>
            <w:tcW w:type="dxa" w:w="2436"/>
            <w:vAlign w:val="center"/>
          </w:tcPr>
          <w:p>
            <w:pPr>
              <w:spacing w:line="276" w:lineRule="auto" w:before="0" w:after="0"/>
            </w:pPr>
            <w:r/>
            <w:r>
              <w:rPr>
                <w:rFonts w:ascii="Figtree" w:hAnsi="Figtree"/>
                <w:b w:val="0"/>
                <w:i w:val="0"/>
                <w:sz w:val="20"/>
              </w:rPr>
              <w:t>C</w:t>
            </w:r>
          </w:p>
        </w:tc>
        <w:tc>
          <w:tcPr>
            <w:tcW w:type="dxa" w:w="2436"/>
            <w:vAlign w:val="center"/>
          </w:tcPr>
          <w:p>
            <w:pPr>
              <w:spacing w:line="276" w:lineRule="auto" w:before="0" w:after="0"/>
            </w:pPr>
            <w:r/>
            <w:r>
              <w:rPr>
                <w:rFonts w:ascii="Figtree" w:hAnsi="Figtree"/>
                <w:b w:val="0"/>
                <w:i w:val="0"/>
                <w:sz w:val="20"/>
              </w:rPr>
              <w:t>A</w:t>
            </w:r>
          </w:p>
        </w:tc>
        <w:tc>
          <w:tcPr>
            <w:tcW w:type="dxa" w:w="2436"/>
            <w:vAlign w:val="center"/>
          </w:tcPr>
          <w:p>
            <w:pPr>
              <w:spacing w:line="276" w:lineRule="auto" w:before="0" w:after="0"/>
            </w:pPr>
            <w:r/>
            <w:r>
              <w:rPr>
                <w:rFonts w:ascii="Figtree" w:hAnsi="Figtree"/>
                <w:b w:val="0"/>
                <w:i w:val="0"/>
                <w:sz w:val="20"/>
              </w:rPr>
              <w:t>R</w:t>
            </w:r>
          </w:p>
        </w:tc>
      </w:tr>
      <w:tr>
        <w:trPr>
          <w:trHeight w:val="425" w:hRule="atLeast"/>
        </w:trPr>
        <w:tc>
          <w:tcPr>
            <w:tcW w:type="dxa" w:w="2436"/>
            <w:vAlign w:val="center"/>
          </w:tcPr>
          <w:p>
            <w:pPr>
              <w:spacing w:line="276" w:lineRule="auto" w:before="0" w:after="0"/>
            </w:pPr>
            <w:r/>
            <w:r>
              <w:rPr>
                <w:rFonts w:ascii="Figtree" w:hAnsi="Figtree"/>
                <w:b w:val="0"/>
                <w:i w:val="0"/>
                <w:sz w:val="20"/>
              </w:rPr>
              <w:t>Go-live decision</w:t>
            </w:r>
          </w:p>
        </w:tc>
        <w:tc>
          <w:tcPr>
            <w:tcW w:type="dxa" w:w="2436"/>
            <w:vAlign w:val="center"/>
          </w:tcPr>
          <w:p>
            <w:pPr>
              <w:spacing w:line="276" w:lineRule="auto" w:before="0" w:after="0"/>
            </w:pPr>
            <w:r/>
            <w:r>
              <w:rPr>
                <w:rFonts w:ascii="Figtree" w:hAnsi="Figtree"/>
                <w:b w:val="0"/>
                <w:i w:val="0"/>
                <w:sz w:val="20"/>
              </w:rPr>
              <w:t>C</w:t>
            </w:r>
          </w:p>
        </w:tc>
        <w:tc>
          <w:tcPr>
            <w:tcW w:type="dxa" w:w="2436"/>
            <w:vAlign w:val="center"/>
          </w:tcPr>
          <w:p>
            <w:pPr>
              <w:spacing w:line="276" w:lineRule="auto" w:before="0" w:after="0"/>
            </w:pPr>
            <w:r/>
            <w:r>
              <w:rPr>
                <w:rFonts w:ascii="Figtree" w:hAnsi="Figtree"/>
                <w:b w:val="0"/>
                <w:i w:val="0"/>
                <w:sz w:val="20"/>
              </w:rPr>
              <w:t>R</w:t>
            </w:r>
          </w:p>
        </w:tc>
        <w:tc>
          <w:tcPr>
            <w:tcW w:type="dxa" w:w="2436"/>
            <w:vAlign w:val="center"/>
          </w:tcPr>
          <w:p>
            <w:pPr>
              <w:spacing w:line="276" w:lineRule="auto" w:before="0" w:after="0"/>
            </w:pPr>
            <w:r/>
            <w:r>
              <w:rPr>
                <w:rFonts w:ascii="Figtree" w:hAnsi="Figtree"/>
                <w:b w:val="0"/>
                <w:i w:val="0"/>
                <w:sz w:val="20"/>
              </w:rPr>
              <w:t>I</w:t>
            </w:r>
          </w:p>
        </w:tc>
      </w:tr>
      <w:tr>
        <w:trPr>
          <w:trHeight w:val="425" w:hRule="atLeast"/>
        </w:trPr>
        <w:tc>
          <w:tcPr>
            <w:tcW w:type="dxa" w:w="2436"/>
            <w:vAlign w:val="center"/>
          </w:tcPr>
          <w:p>
            <w:pPr>
              <w:spacing w:line="276" w:lineRule="auto" w:before="0" w:after="0"/>
            </w:pPr>
            <w:r/>
            <w:r>
              <w:rPr>
                <w:rFonts w:ascii="Figtree" w:hAnsi="Figtree"/>
                <w:b w:val="0"/>
                <w:i w:val="0"/>
                <w:sz w:val="20"/>
              </w:rPr>
              <w:t>Ongoing operations</w:t>
            </w:r>
          </w:p>
        </w:tc>
        <w:tc>
          <w:tcPr>
            <w:tcW w:type="dxa" w:w="2436"/>
            <w:vAlign w:val="center"/>
          </w:tcPr>
          <w:p>
            <w:pPr>
              <w:spacing w:line="276" w:lineRule="auto" w:before="0" w:after="0"/>
            </w:pPr>
            <w:r/>
            <w:r>
              <w:rPr>
                <w:rFonts w:ascii="Figtree" w:hAnsi="Figtree"/>
                <w:b w:val="0"/>
                <w:i w:val="0"/>
                <w:sz w:val="20"/>
              </w:rPr>
              <w:t>C</w:t>
            </w:r>
          </w:p>
        </w:tc>
        <w:tc>
          <w:tcPr>
            <w:tcW w:type="dxa" w:w="2436"/>
            <w:vAlign w:val="center"/>
          </w:tcPr>
          <w:p>
            <w:pPr>
              <w:spacing w:line="276" w:lineRule="auto" w:before="0" w:after="0"/>
            </w:pPr>
            <w:r/>
            <w:r>
              <w:rPr>
                <w:rFonts w:ascii="Figtree" w:hAnsi="Figtree"/>
                <w:b w:val="0"/>
                <w:i w:val="0"/>
                <w:sz w:val="20"/>
              </w:rPr>
              <w:t>A</w:t>
            </w:r>
          </w:p>
        </w:tc>
        <w:tc>
          <w:tcPr>
            <w:tcW w:type="dxa" w:w="2436"/>
            <w:vAlign w:val="center"/>
          </w:tcPr>
          <w:p>
            <w:pPr>
              <w:spacing w:line="276" w:lineRule="auto" w:before="0" w:after="0"/>
            </w:pPr>
            <w:r/>
            <w:r>
              <w:rPr>
                <w:rFonts w:ascii="Figtree" w:hAnsi="Figtree"/>
                <w:b w:val="0"/>
                <w:i w:val="0"/>
                <w:sz w:val="20"/>
              </w:rPr>
              <w:t>R</w:t>
            </w:r>
          </w:p>
        </w:tc>
      </w:tr>
    </w:tbl>
    <w:p>
      <w:pPr>
        <w:spacing w:before="0" w:after="0" w:line="120" w:lineRule="exact"/>
      </w:pPr>
    </w:p>
    <w:p>
      <w:r>
        <w:rPr>
          <w:rFonts w:ascii="Figtree" w:hAnsi="Figtree"/>
          <w:b w:val="0"/>
          <w:i w:val="0"/>
          <w:sz w:val="22"/>
        </w:rPr>
        <w:t>R = Responsible, A = Accountable, C = Consulted, I = Informed</w:t>
      </w:r>
    </w:p>
    <w:p>
      <w:r>
        <w:br w:type="page"/>
      </w:r>
    </w:p>
    <w:p>
      <w:pPr>
        <w:pStyle w:val="H1"/>
        <w:numPr>
          <w:ilvl w:val="0"/>
          <w:numId w:val="1"/>
        </w:numPr>
      </w:pPr>
      <w:r>
        <w:t>10. Deployment</w:t>
      </w:r>
    </w:p>
    <w:p>
      <w:pPr>
        <w:pStyle w:val="H2"/>
        <w:numPr>
          <w:ilvl w:val="1"/>
          <w:numId w:val="1"/>
        </w:numPr>
      </w:pPr>
      <w:r>
        <w:t>10.1 Deployment Options</w:t>
      </w:r>
    </w:p>
    <w:p>
      <w:r>
        <w:rPr>
          <w:rFonts w:ascii="Figtree" w:hAnsi="Figtree"/>
          <w:b w:val="0"/>
          <w:i w:val="0"/>
          <w:sz w:val="22"/>
        </w:rPr>
        <w:t>SettleMint supports four deployment models: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5"/>
        <w:gridCol w:w="2116"/>
        <w:gridCol w:w="2872"/>
        <w:gridCol w:w="2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 to Deploy</w:t>
            </w:r>
          </w:p>
        </w:tc>
      </w:tr>
      <w:tr>
        <w:trPr>
          <w:trHeight w:val="425" w:hRule="atLeast"/>
        </w:trPr>
        <w:tc>
          <w:tcPr>
            <w:tcW w:type="dxa" w:w="2436"/>
            <w:vAlign w:val="center"/>
          </w:tcPr>
          <w:p>
            <w:pPr>
              <w:spacing w:line="276" w:lineRule="auto" w:before="0" w:after="0"/>
            </w:pPr>
            <w:r/>
            <w:r>
              <w:rPr>
                <w:rFonts w:ascii="Figtree" w:hAnsi="Figtree"/>
                <w:b w:val="0"/>
                <w:i w:val="0"/>
                <w:sz w:val="20"/>
              </w:rPr>
              <w:t>Managed SaaS</w:t>
            </w:r>
          </w:p>
        </w:tc>
        <w:tc>
          <w:tcPr>
            <w:tcW w:type="dxa" w:w="2436"/>
            <w:vAlign w:val="center"/>
          </w:tcPr>
          <w:p>
            <w:pPr>
              <w:spacing w:line="276" w:lineRule="auto" w:before="0" w:after="0"/>
            </w:pPr>
            <w:r/>
            <w:r>
              <w:rPr>
                <w:rFonts w:ascii="Figtree" w:hAnsi="Figtree"/>
                <w:b w:val="0"/>
                <w:i w:val="0"/>
                <w:sz w:val="20"/>
              </w:rPr>
              <w:t>Regional</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Fastest</w:t>
            </w:r>
          </w:p>
        </w:tc>
      </w:tr>
      <w:tr>
        <w:trPr>
          <w:trHeight w:val="425" w:hRule="atLeast"/>
        </w:trPr>
        <w:tc>
          <w:tcPr>
            <w:tcW w:type="dxa" w:w="2436"/>
            <w:vAlign w:val="center"/>
          </w:tcPr>
          <w:p>
            <w:pPr>
              <w:spacing w:line="276" w:lineRule="auto" w:before="0" w:after="0"/>
            </w:pPr>
            <w:r/>
            <w:r>
              <w:rPr>
                <w:rFonts w:ascii="Figtree" w:hAnsi="Figtree"/>
                <w:b w:val="0"/>
                <w:i w:val="0"/>
                <w:sz w:val="20"/>
              </w:rPr>
              <w:t>Private Cloud</w:t>
            </w:r>
          </w:p>
        </w:tc>
        <w:tc>
          <w:tcPr>
            <w:tcW w:type="dxa" w:w="2436"/>
            <w:vAlign w:val="center"/>
          </w:tcPr>
          <w:p>
            <w:pPr>
              <w:spacing w:line="276" w:lineRule="auto" w:before="0" w:after="0"/>
            </w:pPr>
            <w:r/>
            <w:r>
              <w:rPr>
                <w:rFonts w:ascii="Figtree" w:hAnsi="Figtree"/>
                <w:b w:val="0"/>
                <w:i w:val="0"/>
                <w:sz w:val="20"/>
              </w:rPr>
              <w:t>Client region</w:t>
            </w:r>
          </w:p>
        </w:tc>
        <w:tc>
          <w:tcPr>
            <w:tcW w:type="dxa" w:w="2436"/>
            <w:vAlign w:val="center"/>
          </w:tcPr>
          <w:p>
            <w:pPr>
              <w:spacing w:line="276" w:lineRule="auto" w:before="0" w:after="0"/>
            </w:pPr>
            <w:r/>
            <w:r>
              <w:rPr>
                <w:rFonts w:ascii="Figtree" w:hAnsi="Figtree"/>
                <w:b w:val="0"/>
                <w:i w:val="0"/>
                <w:sz w:val="20"/>
              </w:rPr>
              <w:t>SettleMint + Client</w:t>
            </w:r>
          </w:p>
        </w:tc>
        <w:tc>
          <w:tcPr>
            <w:tcW w:type="dxa" w:w="2436"/>
            <w:vAlign w:val="center"/>
          </w:tcPr>
          <w:p>
            <w:pPr>
              <w:spacing w:line="276" w:lineRule="auto" w:before="0" w:after="0"/>
            </w:pPr>
            <w:r/>
            <w:r>
              <w:rPr>
                <w:rFonts w:ascii="Figtree" w:hAnsi="Figtree"/>
                <w:b w:val="0"/>
                <w:i w:val="0"/>
                <w:sz w:val="20"/>
              </w:rPr>
              <w:t>Fast</w:t>
            </w:r>
          </w:p>
        </w:tc>
      </w:tr>
      <w:tr>
        <w:trPr>
          <w:trHeight w:val="425" w:hRule="atLeast"/>
        </w:trPr>
        <w:tc>
          <w:tcPr>
            <w:tcW w:type="dxa" w:w="2436"/>
            <w:vAlign w:val="center"/>
          </w:tcPr>
          <w:p>
            <w:pPr>
              <w:spacing w:line="276" w:lineRule="auto" w:before="0" w:after="0"/>
            </w:pPr>
            <w:r/>
            <w:r>
              <w:rPr>
                <w:rFonts w:ascii="Figtree" w:hAnsi="Figtree"/>
                <w:b w:val="0"/>
                <w:i w:val="0"/>
                <w:sz w:val="20"/>
              </w:rPr>
              <w:t>On-Premises</w:t>
            </w:r>
          </w:p>
        </w:tc>
        <w:tc>
          <w:tcPr>
            <w:tcW w:type="dxa" w:w="2436"/>
            <w:vAlign w:val="center"/>
          </w:tcPr>
          <w:p>
            <w:pPr>
              <w:spacing w:line="276" w:lineRule="auto" w:before="0" w:after="0"/>
            </w:pPr>
            <w:r/>
            <w:r>
              <w:rPr>
                <w:rFonts w:ascii="Figtree" w:hAnsi="Figtree"/>
                <w:b w:val="0"/>
                <w:i w:val="0"/>
                <w:sz w:val="20"/>
              </w:rPr>
              <w:t>Client site</w:t>
            </w:r>
          </w:p>
        </w:tc>
        <w:tc>
          <w:tcPr>
            <w:tcW w:type="dxa" w:w="2436"/>
            <w:vAlign w:val="center"/>
          </w:tcPr>
          <w:p>
            <w:pPr>
              <w:spacing w:line="276" w:lineRule="auto" w:before="0" w:after="0"/>
            </w:pPr>
            <w:r/>
            <w:r>
              <w:rPr>
                <w:rFonts w:ascii="Figtree" w:hAnsi="Figtree"/>
                <w:b w:val="0"/>
                <w:i w:val="0"/>
                <w:sz w:val="20"/>
              </w:rPr>
              <w:t>Client</w:t>
            </w:r>
          </w:p>
        </w:tc>
        <w:tc>
          <w:tcPr>
            <w:tcW w:type="dxa" w:w="2436"/>
            <w:vAlign w:val="center"/>
          </w:tcPr>
          <w:p>
            <w:pPr>
              <w:spacing w:line="276" w:lineRule="auto" w:before="0" w:after="0"/>
            </w:pPr>
            <w:r/>
            <w:r>
              <w:rPr>
                <w:rFonts w:ascii="Figtree" w:hAnsi="Figtree"/>
                <w:b w:val="0"/>
                <w:i w:val="0"/>
                <w:sz w:val="20"/>
              </w:rPr>
              <w:t>Slowest</w:t>
            </w:r>
          </w:p>
        </w:tc>
      </w:tr>
      <w:tr>
        <w:trPr>
          <w:trHeight w:val="425" w:hRule="atLeast"/>
        </w:trPr>
        <w:tc>
          <w:tcPr>
            <w:tcW w:type="dxa" w:w="2436"/>
            <w:vAlign w:val="center"/>
          </w:tcPr>
          <w:p>
            <w:pPr>
              <w:spacing w:line="276" w:lineRule="auto" w:before="0" w:after="0"/>
            </w:pPr>
            <w:r/>
            <w:r>
              <w:rPr>
                <w:rFonts w:ascii="Figtree" w:hAnsi="Figtree"/>
                <w:b w:val="0"/>
                <w:i w:val="0"/>
                <w:sz w:val="20"/>
              </w:rPr>
              <w:t>Hybrid</w:t>
            </w:r>
          </w:p>
        </w:tc>
        <w:tc>
          <w:tcPr>
            <w:tcW w:type="dxa" w:w="2436"/>
            <w:vAlign w:val="center"/>
          </w:tcPr>
          <w:p>
            <w:pPr>
              <w:spacing w:line="276" w:lineRule="auto" w:before="0" w:after="0"/>
            </w:pPr>
            <w:r/>
            <w:r>
              <w:rPr>
                <w:rFonts w:ascii="Figtree" w:hAnsi="Figtree"/>
                <w:b w:val="0"/>
                <w:i w:val="0"/>
                <w:sz w:val="20"/>
              </w:rPr>
              <w:t>Mixed</w:t>
            </w:r>
          </w:p>
        </w:tc>
        <w:tc>
          <w:tcPr>
            <w:tcW w:type="dxa" w:w="2436"/>
            <w:vAlign w:val="center"/>
          </w:tcPr>
          <w:p>
            <w:pPr>
              <w:spacing w:line="276" w:lineRule="auto" w:before="0" w:after="0"/>
            </w:pPr>
            <w:r/>
            <w:r>
              <w:rPr>
                <w:rFonts w:ascii="Figtree" w:hAnsi="Figtree"/>
                <w:b w:val="0"/>
                <w:i w:val="0"/>
                <w:sz w:val="20"/>
              </w:rPr>
              <w:t>Variable</w:t>
            </w:r>
          </w:p>
        </w:tc>
        <w:tc>
          <w:tcPr>
            <w:tcW w:type="dxa" w:w="2436"/>
            <w:vAlign w:val="center"/>
          </w:tcPr>
          <w:p>
            <w:pPr>
              <w:spacing w:line="276" w:lineRule="auto" w:before="0" w:after="0"/>
            </w:pPr>
            <w:r/>
            <w:r>
              <w:rPr>
                <w:rFonts w:ascii="Figtree" w:hAnsi="Figtree"/>
                <w:b w:val="0"/>
                <w:i w:val="0"/>
                <w:sz w:val="20"/>
              </w:rPr>
              <w:t>Variable</w:t>
            </w:r>
          </w:p>
        </w:tc>
      </w:tr>
    </w:tbl>
    <w:p>
      <w:pPr>
        <w:spacing w:before="0" w:after="0" w:line="120" w:lineRule="exact"/>
      </w:pPr>
    </w:p>
    <w:p>
      <w:r>
        <w:rPr>
          <w:rFonts w:ascii="Figtree" w:hAnsi="Figtree"/>
          <w:b w:val="0"/>
          <w:i w:val="0"/>
          <w:sz w:val="22"/>
        </w:rPr>
        <w:t xml:space="preserve">For DIFC, we recommend </w:t>
      </w:r>
      <w:r>
        <w:rPr>
          <w:rFonts w:ascii="Figtree" w:hAnsi="Figtree"/>
          <w:b/>
          <w:i w:val="0"/>
          <w:sz w:val="22"/>
        </w:rPr>
        <w:t>Private Cloud</w:t>
      </w:r>
      <w:r>
        <w:rPr>
          <w:rFonts w:ascii="Figtree" w:hAnsi="Figtree"/>
          <w:b w:val="0"/>
          <w:i w:val="0"/>
          <w:sz w:val="22"/>
        </w:rPr>
        <w:t xml:space="preserve"> deployed within UAE to ensure data residency while providing operational support.</w:t>
      </w:r>
    </w:p>
    <w:p>
      <w:pPr>
        <w:pStyle w:val="H2"/>
        <w:numPr>
          <w:ilvl w:val="1"/>
          <w:numId w:val="1"/>
        </w:numPr>
      </w:pPr>
      <w:r>
        <w:t>10.2 DIFC-Specific Deployment</w:t>
      </w:r>
    </w:p>
    <w:p>
      <w:r>
        <w:rPr>
          <w:rFonts w:ascii="Figtree" w:hAnsi="Figtree"/>
          <w:b w:val="0"/>
          <w:i w:val="0"/>
          <w:sz w:val="22"/>
        </w:rPr>
        <w:t>The deployment includes a dedicated private cloud environment in the UAE region with production and disaster recovery clusters, VPC isolation, and controlled access for DIFC administrators and sandbox participants.</w:t>
      </w:r>
    </w:p>
    <w:p>
      <w:r>
        <w:br w:type="page"/>
      </w:r>
    </w:p>
    <w:p>
      <w:pPr>
        <w:pStyle w:val="H1"/>
        <w:numPr>
          <w:ilvl w:val="0"/>
          <w:numId w:val="1"/>
        </w:numPr>
      </w:pPr>
      <w:r>
        <w:t>11. Training and Knowledge Transfer</w:t>
      </w:r>
    </w:p>
    <w:p>
      <w:pPr>
        <w:pStyle w:val="H2"/>
        <w:numPr>
          <w:ilvl w:val="1"/>
          <w:numId w:val="1"/>
        </w:numPr>
      </w:pPr>
      <w:r>
        <w:t>11.1 Training Approach</w:t>
      </w:r>
    </w:p>
    <w:p>
      <w:r>
        <w:rPr>
          <w:rFonts w:ascii="Figtree" w:hAnsi="Figtree"/>
          <w:b w:val="0"/>
          <w:i w:val="0"/>
          <w:sz w:val="22"/>
        </w:rPr>
        <w:t>SettleMint provides comprehensive training covering: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8"/>
        <w:gridCol w:w="6119"/>
        <w:gridCol w:w="10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Topics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Administrators</w:t>
            </w:r>
          </w:p>
        </w:tc>
        <w:tc>
          <w:tcPr>
            <w:tcW w:type="dxa" w:w="3249"/>
            <w:vAlign w:val="center"/>
          </w:tcPr>
          <w:p>
            <w:pPr>
              <w:spacing w:line="276" w:lineRule="auto" w:before="0" w:after="0"/>
            </w:pPr>
            <w:r/>
            <w:r>
              <w:rPr>
                <w:rFonts w:ascii="Figtree" w:hAnsi="Figtree"/>
                <w:b w:val="0"/>
                <w:i w:val="0"/>
                <w:sz w:val="20"/>
              </w:rPr>
              <w:t>Platform configuration, user management, compliance</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Operators</w:t>
            </w:r>
          </w:p>
        </w:tc>
        <w:tc>
          <w:tcPr>
            <w:tcW w:type="dxa" w:w="3249"/>
            <w:vAlign w:val="center"/>
          </w:tcPr>
          <w:p>
            <w:pPr>
              <w:spacing w:line="276" w:lineRule="auto" w:before="0" w:after="0"/>
            </w:pPr>
            <w:r/>
            <w:r>
              <w:rPr>
                <w:rFonts w:ascii="Figtree" w:hAnsi="Figtree"/>
                <w:b w:val="0"/>
                <w:i w:val="0"/>
                <w:sz w:val="20"/>
              </w:rPr>
              <w:t>Asset creation, compliance monitoring, settlement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Developers</w:t>
            </w:r>
          </w:p>
        </w:tc>
        <w:tc>
          <w:tcPr>
            <w:tcW w:type="dxa" w:w="3249"/>
            <w:vAlign w:val="center"/>
          </w:tcPr>
          <w:p>
            <w:pPr>
              <w:spacing w:line="276" w:lineRule="auto" w:before="0" w:after="0"/>
            </w:pPr>
            <w:r/>
            <w:r>
              <w:rPr>
                <w:rFonts w:ascii="Figtree" w:hAnsi="Figtree"/>
                <w:b w:val="0"/>
                <w:i w:val="0"/>
                <w:sz w:val="20"/>
              </w:rPr>
              <w:t>API usage, SDK integration, webhook configuration</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Auditors</w:t>
            </w:r>
          </w:p>
        </w:tc>
        <w:tc>
          <w:tcPr>
            <w:tcW w:type="dxa" w:w="3249"/>
            <w:vAlign w:val="center"/>
          </w:tcPr>
          <w:p>
            <w:pPr>
              <w:spacing w:line="276" w:lineRule="auto" w:before="0" w:after="0"/>
            </w:pPr>
            <w:r/>
            <w:r>
              <w:rPr>
                <w:rFonts w:ascii="Figtree" w:hAnsi="Figtree"/>
                <w:b w:val="0"/>
                <w:i w:val="0"/>
                <w:sz w:val="20"/>
              </w:rPr>
              <w:t>Audit trail access, reporting, compliance verification</w:t>
            </w:r>
          </w:p>
        </w:tc>
        <w:tc>
          <w:tcPr>
            <w:tcW w:type="dxa" w:w="3249"/>
            <w:vAlign w:val="center"/>
          </w:tcPr>
          <w:p>
            <w:pPr>
              <w:spacing w:line="276" w:lineRule="auto" w:before="0" w:after="0"/>
            </w:pPr>
            <w:r/>
            <w:r>
              <w:rPr>
                <w:rFonts w:ascii="Figtree" w:hAnsi="Figtree"/>
                <w:b w:val="0"/>
                <w:i w:val="0"/>
                <w:sz w:val="20"/>
              </w:rPr>
              <w:t>0.5 day</w:t>
            </w:r>
          </w:p>
        </w:tc>
      </w:tr>
    </w:tbl>
    <w:p>
      <w:pPr>
        <w:spacing w:before="0" w:after="0" w:line="120" w:lineRule="exact"/>
      </w:pPr>
    </w:p>
    <w:p>
      <w:pPr>
        <w:pStyle w:val="H2"/>
        <w:numPr>
          <w:ilvl w:val="1"/>
          <w:numId w:val="1"/>
        </w:numPr>
      </w:pPr>
      <w:r>
        <w:t>11.2 Knowledge Transfer Deliverables</w:t>
      </w:r>
    </w:p>
    <w:p>
      <w:pPr>
        <w:pStyle w:val="ListParagraph"/>
        <w:numPr>
          <w:ilvl w:val="0"/>
          <w:numId w:val="4"/>
        </w:numPr>
      </w:pPr>
      <w:r>
        <w:rPr>
          <w:rFonts w:ascii="Figtree" w:hAnsi="Figtree"/>
          <w:b w:val="0"/>
          <w:i w:val="0"/>
          <w:sz w:val="22"/>
        </w:rPr>
        <w:t>Technical documentation (installation, configuration, operation)</w:t>
      </w:r>
    </w:p>
    <w:p>
      <w:pPr>
        <w:pStyle w:val="ListParagraph"/>
        <w:numPr>
          <w:ilvl w:val="0"/>
          <w:numId w:val="4"/>
        </w:numPr>
      </w:pPr>
      <w:r>
        <w:rPr>
          <w:rFonts w:ascii="Figtree" w:hAnsi="Figtree"/>
          <w:b w:val="0"/>
          <w:i w:val="0"/>
          <w:sz w:val="22"/>
        </w:rPr>
        <w:t>API documentation (OpenAPI specifications)</w:t>
      </w:r>
    </w:p>
    <w:p>
      <w:pPr>
        <w:pStyle w:val="ListParagraph"/>
        <w:numPr>
          <w:ilvl w:val="0"/>
          <w:numId w:val="4"/>
        </w:numPr>
      </w:pPr>
      <w:r>
        <w:rPr>
          <w:rFonts w:ascii="Figtree" w:hAnsi="Figtree"/>
          <w:b w:val="0"/>
          <w:i w:val="0"/>
          <w:sz w:val="22"/>
        </w:rPr>
        <w:t>User guides for each role</w:t>
      </w:r>
    </w:p>
    <w:p>
      <w:pPr>
        <w:pStyle w:val="ListParagraph"/>
        <w:numPr>
          <w:ilvl w:val="0"/>
          <w:numId w:val="4"/>
        </w:numPr>
      </w:pPr>
      <w:r>
        <w:rPr>
          <w:rFonts w:ascii="Figtree" w:hAnsi="Figtree"/>
          <w:b w:val="0"/>
          <w:i w:val="0"/>
          <w:sz w:val="22"/>
        </w:rPr>
        <w:t>Troubleshooting guide</w:t>
      </w:r>
    </w:p>
    <w:p>
      <w:pPr>
        <w:pStyle w:val="ListParagraph"/>
        <w:numPr>
          <w:ilvl w:val="0"/>
          <w:numId w:val="4"/>
        </w:numPr>
      </w:pPr>
      <w:r>
        <w:rPr>
          <w:rFonts w:ascii="Figtree" w:hAnsi="Figtree"/>
          <w:b w:val="0"/>
          <w:i w:val="0"/>
          <w:sz w:val="22"/>
        </w:rPr>
        <w:t>FAQ document</w:t>
      </w:r>
    </w:p>
    <w:p>
      <w:r>
        <w:br w:type="page"/>
      </w:r>
    </w:p>
    <w:p>
      <w:pPr>
        <w:pStyle w:val="H1"/>
        <w:numPr>
          <w:ilvl w:val="0"/>
          <w:numId w:val="1"/>
        </w:numPr>
      </w:pPr>
      <w:r>
        <w:t>12. Support and SLA</w:t>
      </w:r>
    </w:p>
    <w:p>
      <w:pPr>
        <w:pStyle w:val="H2"/>
        <w:numPr>
          <w:ilvl w:val="1"/>
          <w:numId w:val="1"/>
        </w:numPr>
      </w:pPr>
      <w:r>
        <w:t>12.1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2116"/>
        <w:gridCol w:w="1965"/>
        <w:gridCol w:w="34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Channels</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Email</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12x5</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Email, Phone</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Email, Phone, Dedicated</w:t>
            </w:r>
          </w:p>
        </w:tc>
      </w:tr>
    </w:tbl>
    <w:p>
      <w:pPr>
        <w:spacing w:before="0" w:after="0" w:line="120" w:lineRule="exact"/>
      </w:pPr>
    </w:p>
    <w:p>
      <w:pPr>
        <w:pStyle w:val="H2"/>
        <w:numPr>
          <w:ilvl w:val="1"/>
          <w:numId w:val="1"/>
        </w:numPr>
      </w:pPr>
      <w:r>
        <w:t>12.2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3"/>
        <w:gridCol w:w="4980"/>
        <w:gridCol w:w="2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Response</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Complete system outage</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Major functionality impaired</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Minor functionality impacted</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General inquiries</w:t>
            </w:r>
          </w:p>
        </w:tc>
        <w:tc>
          <w:tcPr>
            <w:tcW w:type="dxa" w:w="3249"/>
            <w:vAlign w:val="center"/>
          </w:tcPr>
          <w:p>
            <w:pPr>
              <w:spacing w:line="276" w:lineRule="auto" w:before="0" w:after="0"/>
            </w:pPr>
            <w:r/>
            <w:r>
              <w:rPr>
                <w:rFonts w:ascii="Figtree" w:hAnsi="Figtree"/>
                <w:b w:val="0"/>
                <w:i w:val="0"/>
                <w:sz w:val="20"/>
              </w:rPr>
              <w:t>24 hours</w:t>
            </w:r>
          </w:p>
        </w:tc>
      </w:tr>
    </w:tbl>
    <w:p>
      <w:pPr>
        <w:spacing w:before="0" w:after="0" w:line="120" w:lineRule="exact"/>
      </w:pPr>
    </w:p>
    <w:p>
      <w:pPr>
        <w:pStyle w:val="H2"/>
        <w:numPr>
          <w:ilvl w:val="1"/>
          <w:numId w:val="1"/>
        </w:numPr>
      </w:pPr>
      <w:r>
        <w:t>12.3 Maintenance Windows</w:t>
      </w:r>
    </w:p>
    <w:p>
      <w:pPr>
        <w:pStyle w:val="ListParagraph"/>
        <w:numPr>
          <w:ilvl w:val="0"/>
          <w:numId w:val="4"/>
        </w:numPr>
      </w:pPr>
      <w:r>
        <w:rPr>
          <w:rFonts w:ascii="Figtree" w:hAnsi="Figtree"/>
          <w:b w:val="0"/>
          <w:i w:val="0"/>
          <w:sz w:val="22"/>
        </w:rPr>
        <w:t>Planned maintenance: Weekly Wednesday 02:00-04:00 UTC</w:t>
      </w:r>
    </w:p>
    <w:p>
      <w:pPr>
        <w:pStyle w:val="ListParagraph"/>
        <w:numPr>
          <w:ilvl w:val="0"/>
          <w:numId w:val="4"/>
        </w:numPr>
      </w:pPr>
      <w:r>
        <w:rPr>
          <w:rFonts w:ascii="Figtree" w:hAnsi="Figtree"/>
          <w:b w:val="0"/>
          <w:i w:val="0"/>
          <w:sz w:val="22"/>
        </w:rPr>
        <w:t>Emergency security patches: As required with 24-hour notice</w:t>
      </w:r>
    </w:p>
    <w:p>
      <w:pPr>
        <w:pStyle w:val="ListParagraph"/>
        <w:numPr>
          <w:ilvl w:val="0"/>
          <w:numId w:val="4"/>
        </w:numPr>
      </w:pPr>
      <w:r>
        <w:rPr>
          <w:rFonts w:ascii="Figtree" w:hAnsi="Figtree"/>
          <w:b w:val="0"/>
          <w:i w:val="0"/>
          <w:sz w:val="22"/>
        </w:rPr>
        <w:t>Release cadence: Monthly feature releases</w:t>
      </w:r>
    </w:p>
    <w:p>
      <w:r>
        <w:br w:type="page"/>
      </w:r>
    </w:p>
    <w:p>
      <w:pPr>
        <w:pStyle w:val="H1"/>
        <w:numPr>
          <w:ilvl w:val="0"/>
          <w:numId w:val="1"/>
        </w:numPr>
      </w:pPr>
      <w:r>
        <w:t>13. Risk Management</w:t>
      </w:r>
    </w:p>
    <w:p>
      <w:pPr>
        <w:pStyle w:val="H2"/>
        <w:numPr>
          <w:ilvl w:val="1"/>
          <w:numId w:val="1"/>
        </w:numPr>
      </w:pPr>
      <w:r>
        <w:t>13.1 Identified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1080"/>
        <w:gridCol w:w="864"/>
        <w:gridCol w:w="44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Integration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planning, mock services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Configurable compliance engine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compliance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UAE deployment only</w:t>
            </w:r>
          </w:p>
        </w:tc>
      </w:tr>
      <w:tr>
        <w:trPr>
          <w:trHeight w:val="425" w:hRule="atLeast"/>
        </w:trPr>
        <w:tc>
          <w:tcPr>
            <w:tcW w:type="dxa" w:w="2436"/>
            <w:vAlign w:val="center"/>
          </w:tcPr>
          <w:p>
            <w:pPr>
              <w:spacing w:line="276" w:lineRule="auto" w:before="0" w:after="0"/>
            </w:pPr>
            <w:r/>
            <w:r>
              <w:rPr>
                <w:rFonts w:ascii="Figtree" w:hAnsi="Figtree"/>
                <w:b w:val="0"/>
                <w:i w:val="0"/>
                <w:sz w:val="20"/>
              </w:rPr>
              <w:t>Participant adoption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Marketing support, technical enablement</w:t>
            </w:r>
          </w:p>
        </w:tc>
      </w:tr>
      <w:tr>
        <w:trPr>
          <w:trHeight w:val="425" w:hRule="atLeast"/>
        </w:trPr>
        <w:tc>
          <w:tcPr>
            <w:tcW w:type="dxa" w:w="2436"/>
            <w:vAlign w:val="center"/>
          </w:tcPr>
          <w:p>
            <w:pPr>
              <w:spacing w:line="276" w:lineRule="auto" w:before="0" w:after="0"/>
            </w:pPr>
            <w:r/>
            <w:r>
              <w:rPr>
                <w:rFonts w:ascii="Figtree" w:hAnsi="Figtree"/>
                <w:b w:val="0"/>
                <w:i w:val="0"/>
                <w:sz w:val="20"/>
              </w:rPr>
              <w:t>Technology obsolescence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Open standards, EVM compatibility</w:t>
            </w:r>
          </w:p>
        </w:tc>
      </w:tr>
    </w:tbl>
    <w:p>
      <w:pPr>
        <w:spacing w:before="0" w:after="0" w:line="120" w:lineRule="exact"/>
      </w:pPr>
    </w:p>
    <w:p>
      <w:pPr>
        <w:pStyle w:val="H2"/>
        <w:numPr>
          <w:ilvl w:val="1"/>
          <w:numId w:val="1"/>
        </w:numPr>
      </w:pPr>
      <w:r>
        <w:t>13.2 Risk Register</w:t>
      </w:r>
    </w:p>
    <w:p>
      <w:r>
        <w:rPr>
          <w:rFonts w:ascii="Figtree" w:hAnsi="Figtree"/>
          <w:b w:val="0"/>
          <w:i w:val="0"/>
          <w:sz w:val="22"/>
        </w:rPr>
        <w:t>A comprehensive risk register will be maintained throughout the project with monthly review cycles and escalation procedures for high-impact risks.</w:t>
      </w:r>
    </w:p>
    <w:p>
      <w:r>
        <w:br w:type="page"/>
      </w:r>
    </w:p>
    <w:p>
      <w:pPr>
        <w:pStyle w:val="H1"/>
        <w:numPr>
          <w:ilvl w:val="0"/>
          <w:numId w:val="1"/>
        </w:numPr>
      </w:pPr>
      <w:r>
        <w:t>14. Compliance Matrix</w:t>
      </w:r>
    </w:p>
    <w:p>
      <w:pPr>
        <w:pStyle w:val="H2"/>
        <w:numPr>
          <w:ilvl w:val="1"/>
          <w:numId w:val="1"/>
        </w:numPr>
      </w:pPr>
      <w:r>
        <w:t>14.1 RFP Requirements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32"/>
        <w:gridCol w:w="3864"/>
        <w:gridCol w:w="11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Multi-asset support</w:t>
            </w:r>
          </w:p>
        </w:tc>
        <w:tc>
          <w:tcPr>
            <w:tcW w:type="dxa" w:w="3249"/>
            <w:vAlign w:val="center"/>
          </w:tcPr>
          <w:p>
            <w:pPr>
              <w:spacing w:line="276" w:lineRule="auto" w:before="0" w:after="0"/>
            </w:pPr>
            <w:r/>
            <w:r>
              <w:rPr>
                <w:rFonts w:ascii="Figtree" w:hAnsi="Figtree"/>
                <w:b w:val="0"/>
                <w:i w:val="0"/>
                <w:sz w:val="20"/>
              </w:rPr>
              <w:t>7 asset classes</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Identity management</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KYC/AML integration</w:t>
            </w:r>
          </w:p>
        </w:tc>
        <w:tc>
          <w:tcPr>
            <w:tcW w:type="dxa" w:w="3249"/>
            <w:vAlign w:val="center"/>
          </w:tcPr>
          <w:p>
            <w:pPr>
              <w:spacing w:line="276" w:lineRule="auto" w:before="0" w:after="0"/>
            </w:pPr>
            <w:r/>
            <w:r>
              <w:rPr>
                <w:rFonts w:ascii="Figtree" w:hAnsi="Figtree"/>
                <w:b w:val="0"/>
                <w:i w:val="0"/>
                <w:sz w:val="20"/>
              </w:rPr>
              <w:t>API + Trusted Issuers</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w:t>
            </w:r>
          </w:p>
        </w:tc>
        <w:tc>
          <w:tcPr>
            <w:tcW w:type="dxa" w:w="3249"/>
            <w:vAlign w:val="center"/>
          </w:tcPr>
          <w:p>
            <w:pPr>
              <w:spacing w:line="276" w:lineRule="auto" w:before="0" w:after="0"/>
            </w:pPr>
            <w:r/>
            <w:r>
              <w:rPr>
                <w:rFonts w:ascii="Figtree" w:hAnsi="Figtree"/>
                <w:b w:val="0"/>
                <w:i w:val="0"/>
                <w:sz w:val="20"/>
              </w:rPr>
              <w:t>12 controls + templates</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Atomic DvP</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w:t>
            </w:r>
          </w:p>
        </w:tc>
        <w:tc>
          <w:tcPr>
            <w:tcW w:type="dxa" w:w="3249"/>
            <w:vAlign w:val="center"/>
          </w:tcPr>
          <w:p>
            <w:pPr>
              <w:spacing w:line="276" w:lineRule="auto" w:before="0" w:after="0"/>
            </w:pPr>
            <w:r/>
            <w:r>
              <w:rPr>
                <w:rFonts w:ascii="Figtree" w:hAnsi="Figtree"/>
                <w:b w:val="0"/>
                <w:i w:val="0"/>
                <w:sz w:val="20"/>
              </w:rPr>
              <w:t>XvP module</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API connectivity</w:t>
            </w:r>
          </w:p>
        </w:tc>
        <w:tc>
          <w:tcPr>
            <w:tcW w:type="dxa" w:w="3249"/>
            <w:vAlign w:val="center"/>
          </w:tcPr>
          <w:p>
            <w:pPr>
              <w:spacing w:line="276" w:lineRule="auto" w:before="0" w:after="0"/>
            </w:pPr>
            <w:r/>
            <w:r>
              <w:rPr>
                <w:rFonts w:ascii="Figtree" w:hAnsi="Figtree"/>
                <w:b w:val="0"/>
                <w:i w:val="0"/>
                <w:sz w:val="20"/>
              </w:rPr>
              <w:t>REST + SDK</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UAE deployment</w:t>
            </w:r>
          </w:p>
        </w:tc>
        <w:tc>
          <w:tcPr>
            <w:tcW w:type="dxa" w:w="3249"/>
            <w:vAlign w:val="center"/>
          </w:tcPr>
          <w:p>
            <w:pPr>
              <w:spacing w:line="276" w:lineRule="auto" w:before="0" w:after="0"/>
            </w:pPr>
            <w:r/>
            <w:r>
              <w:rPr>
                <w:rFonts w:ascii="Figtree" w:hAnsi="Figtree"/>
                <w:b w:val="0"/>
                <w:i w:val="0"/>
                <w:sz w:val="20"/>
              </w:rPr>
              <w:t>Private cloud UAE</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Audit trails</w:t>
            </w:r>
          </w:p>
        </w:tc>
        <w:tc>
          <w:tcPr>
            <w:tcW w:type="dxa" w:w="3249"/>
            <w:vAlign w:val="center"/>
          </w:tcPr>
          <w:p>
            <w:pPr>
              <w:spacing w:line="276" w:lineRule="auto" w:before="0" w:after="0"/>
            </w:pPr>
            <w:r/>
            <w:r>
              <w:rPr>
                <w:rFonts w:ascii="Figtree" w:hAnsi="Figtree"/>
                <w:b w:val="0"/>
                <w:i w:val="0"/>
                <w:sz w:val="20"/>
              </w:rPr>
              <w:t>Complete on-chain</w:t>
            </w:r>
          </w:p>
        </w:tc>
        <w:tc>
          <w:tcPr>
            <w:tcW w:type="dxa" w:w="3249"/>
            <w:vAlign w:val="center"/>
          </w:tcPr>
          <w:p>
            <w:pPr>
              <w:spacing w:line="276" w:lineRule="auto" w:before="0" w:after="0"/>
            </w:pPr>
            <w:r/>
            <w:r>
              <w:rPr>
                <w:rFonts w:ascii="Figtree" w:hAnsi="Figtree"/>
                <w:b w:val="0"/>
                <w:i w:val="0"/>
                <w:sz w:val="20"/>
              </w:rPr>
              <w:t>Covered</w:t>
            </w:r>
          </w:p>
        </w:tc>
      </w:tr>
      <w:tr>
        <w:trPr>
          <w:trHeight w:val="425" w:hRule="atLeast"/>
        </w:trPr>
        <w:tc>
          <w:tcPr>
            <w:tcW w:type="dxa" w:w="3249"/>
            <w:vAlign w:val="center"/>
          </w:tcPr>
          <w:p>
            <w:pPr>
              <w:spacing w:line="276" w:lineRule="auto" w:before="0" w:after="0"/>
            </w:pPr>
            <w:r/>
            <w:r>
              <w:rPr>
                <w:rFonts w:ascii="Figtree" w:hAnsi="Figtree"/>
                <w:b w:val="0"/>
                <w:i w:val="0"/>
                <w:sz w:val="20"/>
              </w:rPr>
              <w:t>Role-based access</w:t>
            </w:r>
          </w:p>
        </w:tc>
        <w:tc>
          <w:tcPr>
            <w:tcW w:type="dxa" w:w="3249"/>
            <w:vAlign w:val="center"/>
          </w:tcPr>
          <w:p>
            <w:pPr>
              <w:spacing w:line="276" w:lineRule="auto" w:before="0" w:after="0"/>
            </w:pPr>
            <w:r/>
            <w:r>
              <w:rPr>
                <w:rFonts w:ascii="Figtree" w:hAnsi="Figtree"/>
                <w:b w:val="0"/>
                <w:i w:val="0"/>
                <w:sz w:val="20"/>
              </w:rPr>
              <w:t>26 roles</w:t>
            </w:r>
          </w:p>
        </w:tc>
        <w:tc>
          <w:tcPr>
            <w:tcW w:type="dxa" w:w="3249"/>
            <w:vAlign w:val="center"/>
          </w:tcPr>
          <w:p>
            <w:pPr>
              <w:spacing w:line="276" w:lineRule="auto" w:before="0" w:after="0"/>
            </w:pPr>
            <w:r/>
            <w:r>
              <w:rPr>
                <w:rFonts w:ascii="Figtree" w:hAnsi="Figtree"/>
                <w:b w:val="0"/>
                <w:i w:val="0"/>
                <w:sz w:val="20"/>
              </w:rPr>
              <w:t>Covered</w:t>
            </w:r>
          </w:p>
        </w:tc>
      </w:tr>
    </w:tbl>
    <w:p>
      <w:pPr>
        <w:spacing w:before="0" w:after="0" w:line="120" w:lineRule="exact"/>
      </w:pPr>
    </w:p>
    <w:p>
      <w:r>
        <w:br w:type="page"/>
      </w:r>
    </w:p>
    <w:p>
      <w:pPr>
        <w:pStyle w:val="H1"/>
        <w:numPr>
          <w:ilvl w:val="0"/>
          <w:numId w:val="1"/>
        </w:numPr>
      </w:pPr>
      <w:r>
        <w:t>15. Writer's Checklist</w:t>
      </w:r>
    </w:p>
    <w:p>
      <w:pPr>
        <w:pStyle w:val="ListParagraph"/>
        <w:numPr>
          <w:ilvl w:val="0"/>
          <w:numId w:val="4"/>
        </w:numPr>
      </w:pPr>
      <w:r>
        <w:rPr>
          <w:rFonts w:ascii="Figtree" w:hAnsi="Figtree"/>
          <w:b w:val="0"/>
          <w:i w:val="0"/>
          <w:sz w:val="22"/>
        </w:rPr>
        <w:t>All sections follow technical skeleton structure</w:t>
      </w:r>
    </w:p>
    <w:p>
      <w:pPr>
        <w:pStyle w:val="ListParagraph"/>
        <w:numPr>
          <w:ilvl w:val="0"/>
          <w:numId w:val="4"/>
        </w:numPr>
      </w:pPr>
      <w:r>
        <w:rPr>
          <w:rFonts w:ascii="Figtree" w:hAnsi="Figtree"/>
          <w:b w:val="0"/>
          <w:i w:val="0"/>
          <w:sz w:val="22"/>
        </w:rPr>
        <w:t>Writing style matches senior blockchain architect persona</w:t>
      </w:r>
    </w:p>
    <w:p>
      <w:pPr>
        <w:pStyle w:val="ListParagraph"/>
        <w:numPr>
          <w:ilvl w:val="0"/>
          <w:numId w:val="4"/>
        </w:numPr>
      </w:pPr>
      <w:r>
        <w:rPr>
          <w:rFonts w:ascii="Figtree" w:hAnsi="Figtree"/>
          <w:b w:val="0"/>
          <w:i w:val="0"/>
          <w:sz w:val="22"/>
        </w:rPr>
        <w:t>No AI-tell markers (leverage, utilize, robust, etc.)</w:t>
      </w:r>
    </w:p>
    <w:p>
      <w:pPr>
        <w:pStyle w:val="ListParagraph"/>
        <w:numPr>
          <w:ilvl w:val="0"/>
          <w:numId w:val="4"/>
        </w:numPr>
      </w:pPr>
      <w:r>
        <w:rPr>
          <w:rFonts w:ascii="Figtree" w:hAnsi="Figtree"/>
          <w:b w:val="0"/>
          <w:i w:val="0"/>
          <w:sz w:val="22"/>
        </w:rPr>
        <w:t>Active voice predominates</w:t>
      </w:r>
    </w:p>
    <w:p>
      <w:pPr>
        <w:pStyle w:val="ListParagraph"/>
        <w:numPr>
          <w:ilvl w:val="0"/>
          <w:numId w:val="4"/>
        </w:numPr>
      </w:pPr>
      <w:r>
        <w:rPr>
          <w:rFonts w:ascii="Figtree" w:hAnsi="Figtree"/>
          <w:b w:val="0"/>
          <w:i w:val="0"/>
          <w:sz w:val="22"/>
        </w:rPr>
        <w:t>Mermaid diagrams included for key architectures</w:t>
      </w:r>
    </w:p>
    <w:p>
      <w:pPr>
        <w:pStyle w:val="ListParagraph"/>
        <w:numPr>
          <w:ilvl w:val="0"/>
          <w:numId w:val="4"/>
        </w:numPr>
      </w:pPr>
      <w:r>
        <w:rPr>
          <w:rFonts w:ascii="Figtree" w:hAnsi="Figtree"/>
          <w:b w:val="0"/>
          <w:i w:val="0"/>
          <w:sz w:val="22"/>
        </w:rPr>
        <w:t>Compliance matrix complete</w:t>
      </w:r>
    </w:p>
    <w:p>
      <w:pPr>
        <w:pStyle w:val="ListParagraph"/>
        <w:numPr>
          <w:ilvl w:val="0"/>
          <w:numId w:val="4"/>
        </w:numPr>
      </w:pPr>
      <w:r>
        <w:rPr>
          <w:rFonts w:ascii="Figtree" w:hAnsi="Figtree"/>
          <w:b w:val="0"/>
          <w:i w:val="0"/>
          <w:sz w:val="22"/>
        </w:rPr>
        <w:t>Requirements addressed systematically</w:t>
      </w:r>
    </w:p>
    <w:p>
      <w:pPr>
        <w:pStyle w:val="ListParagraph"/>
        <w:numPr>
          <w:ilvl w:val="0"/>
          <w:numId w:val="4"/>
        </w:numPr>
      </w:pPr>
      <w:r>
        <w:rPr>
          <w:rFonts w:ascii="Figtree" w:hAnsi="Figtree"/>
          <w:b w:val="0"/>
          <w:i w:val="0"/>
          <w:sz w:val="22"/>
        </w:rPr>
        <w:t>Evidence-based claims with references</w:t>
      </w:r>
    </w:p>
    <w:p>
      <w:pPr>
        <w:pStyle w:val="ListParagraph"/>
        <w:numPr>
          <w:ilvl w:val="0"/>
          <w:numId w:val="4"/>
        </w:numPr>
      </w:pPr>
      <w:r>
        <w:rPr>
          <w:rFonts w:ascii="Figtree" w:hAnsi="Figtree"/>
          <w:b w:val="0"/>
          <w:i w:val="0"/>
          <w:sz w:val="22"/>
        </w:rPr>
        <w:t>No overclaiming or hedging language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