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1"/>
            <w:tabs>
              <w:tab w:val="right" w:leader="dot" w:pos="9072"/>
            </w:tabs>
          </w:pPr>
          <w:r>
            <w:t xml:space="preserve">Technical Proposal</w:t>
          </w:r>
          <w:r>
            <w:tab/>
          </w:r>
          <w:r>
            <w:t xml:space="preserve">3</w:t>
          </w:r>
        </w:p>
        <w:p>
          <w:pPr>
            <w:pStyle w:val="TOC2"/>
            <w:tabs>
              <w:tab w:val="right" w:leader="dot" w:pos="9072"/>
            </w:tabs>
          </w:pPr>
          <w:r>
            <w:t xml:space="preserve">Project Khokha-Aligned CBDC and Tokenized Settlement Support</w:t>
          </w:r>
          <w:r>
            <w:tab/>
          </w:r>
          <w:r>
            <w:t xml:space="preserve">4</w:t>
          </w:r>
        </w:p>
        <w:p>
          <w:pPr>
            <w:pStyle w:val="TOC1"/>
            <w:tabs>
              <w:tab w:val="right" w:leader="dot" w:pos="9072"/>
            </w:tabs>
          </w:pPr>
          <w:r>
            <w:t xml:space="preserve">Table of Contents</w:t>
          </w:r>
          <w:r>
            <w:tab/>
          </w:r>
          <w:r>
            <w:t xml:space="preserve">5</w:t>
          </w:r>
        </w:p>
        <w:p>
          <w:pPr>
            <w:pStyle w:val="TOC1"/>
            <w:tabs>
              <w:tab w:val="right" w:leader="dot" w:pos="9072"/>
            </w:tabs>
          </w:pPr>
          <w:r>
            <w:t xml:space="preserve">1. Executive Summary</w:t>
          </w:r>
          <w:r>
            <w:tab/>
          </w:r>
          <w:r>
            <w:t xml:space="preserve">6</w:t>
          </w:r>
        </w:p>
        <w:p>
          <w:pPr>
            <w:pStyle w:val="TOC2"/>
            <w:tabs>
              <w:tab w:val="right" w:leader="dot" w:pos="9072"/>
            </w:tabs>
          </w:pPr>
          <w:r>
            <w:t xml:space="preserve">1.1 Context and Strategic Drivers</w:t>
          </w:r>
          <w:r>
            <w:tab/>
          </w:r>
          <w:r>
            <w:t xml:space="preserve">7</w:t>
          </w:r>
        </w:p>
        <w:p>
          <w:pPr>
            <w:pStyle w:val="TOC2"/>
            <w:tabs>
              <w:tab w:val="right" w:leader="dot" w:pos="9072"/>
            </w:tabs>
          </w:pPr>
          <w:r>
            <w:t xml:space="preserve">1.2 Why This Programme Is Hard</w:t>
          </w:r>
          <w:r>
            <w:tab/>
          </w:r>
          <w:r>
            <w:t xml:space="preserve">8</w:t>
          </w:r>
        </w:p>
        <w:p>
          <w:pPr>
            <w:pStyle w:val="TOC2"/>
            <w:tabs>
              <w:tab w:val="right" w:leader="dot" w:pos="9072"/>
            </w:tabs>
          </w:pPr>
          <w:r>
            <w:t xml:space="preserve">1.3 Proposed Response</w:t>
          </w:r>
          <w:r>
            <w:tab/>
          </w:r>
          <w:r>
            <w:t xml:space="preserve">9</w:t>
          </w:r>
        </w:p>
        <w:p>
          <w:pPr>
            <w:pStyle w:val="TOC2"/>
            <w:tabs>
              <w:tab w:val="right" w:leader="dot" w:pos="9072"/>
            </w:tabs>
          </w:pPr>
          <w:r>
            <w:t xml:space="preserve">1.4 Why SettleMint</w:t>
          </w:r>
          <w:r>
            <w:tab/>
          </w:r>
          <w:r>
            <w:t xml:space="preserve">10</w:t>
          </w:r>
        </w:p>
        <w:p>
          <w:pPr>
            <w:pStyle w:val="TOC2"/>
            <w:tabs>
              <w:tab w:val="right" w:leader="dot" w:pos="9072"/>
            </w:tabs>
          </w:pPr>
          <w:r>
            <w:t xml:space="preserve">1.5 Reference Fit Snapshot</w:t>
          </w:r>
          <w:r>
            <w:tab/>
          </w:r>
          <w:r>
            <w:t xml:space="preserve">11</w:t>
          </w:r>
        </w:p>
        <w:p>
          <w:pPr>
            <w:pStyle w:val="TOC1"/>
            <w:tabs>
              <w:tab w:val="right" w:leader="dot" w:pos="9072"/>
            </w:tabs>
          </w:pPr>
          <w:r>
            <w:t xml:space="preserve">2. About SettleMint</w:t>
          </w:r>
          <w:r>
            <w:tab/>
          </w:r>
          <w:r>
            <w:t xml:space="preserve">12</w:t>
          </w:r>
        </w:p>
        <w:p>
          <w:pPr>
            <w:pStyle w:val="TOC2"/>
            <w:tabs>
              <w:tab w:val="right" w:leader="dot" w:pos="9072"/>
            </w:tabs>
          </w:pPr>
          <w:r>
            <w:t xml:space="preserve">2.1 Production Credentials Relevant to SARB</w:t>
          </w:r>
          <w:r>
            <w:tab/>
          </w:r>
          <w:r>
            <w:t xml:space="preserve">13</w:t>
          </w:r>
        </w:p>
        <w:p>
          <w:pPr>
            <w:pStyle w:val="TOC1"/>
            <w:tabs>
              <w:tab w:val="right" w:leader="dot" w:pos="9072"/>
            </w:tabs>
          </w:pPr>
          <w:r>
            <w:t xml:space="preserve">3. About DALP for CBDC/Tokenized Settlement</w:t>
          </w:r>
          <w:r>
            <w:tab/>
          </w:r>
          <w:r>
            <w:t xml:space="preserve">14</w:t>
          </w:r>
        </w:p>
        <w:p>
          <w:pPr>
            <w:pStyle w:val="TOC2"/>
            <w:tabs>
              <w:tab w:val="right" w:leader="dot" w:pos="9072"/>
            </w:tabs>
          </w:pPr>
          <w:r>
            <w:t xml:space="preserve">3.1 Platform Architecture</w:t>
          </w:r>
          <w:r>
            <w:tab/>
          </w:r>
          <w:r>
            <w:t xml:space="preserve">15</w:t>
          </w:r>
        </w:p>
        <w:p>
          <w:pPr>
            <w:pStyle w:val="TOC2"/>
            <w:tabs>
              <w:tab w:val="right" w:leader="dot" w:pos="9072"/>
            </w:tabs>
          </w:pPr>
          <w:r>
            <w:t xml:space="preserve">3.2 Project Khokha Technical Continuity</w:t>
          </w:r>
          <w:r>
            <w:tab/>
          </w:r>
          <w:r>
            <w:t xml:space="preserve">16</w:t>
          </w:r>
        </w:p>
        <w:p>
          <w:pPr>
            <w:pStyle w:val="TOC2"/>
            <w:tabs>
              <w:tab w:val="right" w:leader="dot" w:pos="9072"/>
            </w:tabs>
          </w:pPr>
          <w:r>
            <w:t xml:space="preserve">3.3 Core CBDC Lifecycle Pillars</w:t>
          </w:r>
          <w:r>
            <w:tab/>
          </w:r>
          <w:r>
            <w:t xml:space="preserve">17</w:t>
          </w:r>
        </w:p>
        <w:p>
          <w:pPr>
            <w:pStyle w:val="TOC1"/>
            <w:tabs>
              <w:tab w:val="right" w:leader="dot" w:pos="9072"/>
            </w:tabs>
          </w:pPr>
          <w:r>
            <w:t xml:space="preserve">4. Understanding SARB Requirements</w:t>
          </w:r>
          <w:r>
            <w:tab/>
          </w:r>
          <w:r>
            <w:t xml:space="preserve">18</w:t>
          </w:r>
        </w:p>
        <w:p>
          <w:pPr>
            <w:pStyle w:val="TOC2"/>
            <w:tabs>
              <w:tab w:val="right" w:leader="dot" w:pos="9072"/>
            </w:tabs>
          </w:pPr>
          <w:r>
            <w:t xml:space="preserve">4.1 SARB's Mandate</w:t>
          </w:r>
          <w:r>
            <w:tab/>
          </w:r>
          <w:r>
            <w:t xml:space="preserve">19</w:t>
          </w:r>
        </w:p>
        <w:p>
          <w:pPr>
            <w:pStyle w:val="TOC2"/>
            <w:tabs>
              <w:tab w:val="right" w:leader="dot" w:pos="9072"/>
            </w:tabs>
          </w:pPr>
          <w:r>
            <w:t xml:space="preserve">4.2 Requirement Domain Mapping</w:t>
          </w:r>
          <w:r>
            <w:tab/>
          </w:r>
          <w:r>
            <w:t xml:space="preserve">20</w:t>
          </w:r>
        </w:p>
        <w:p>
          <w:pPr>
            <w:pStyle w:val="TOC1"/>
            <w:tabs>
              <w:tab w:val="right" w:leader="dot" w:pos="9072"/>
            </w:tabs>
          </w:pPr>
          <w:r>
            <w:t xml:space="preserve">5. Proposed Solution: CBDC and Tokenized Settlement Architecture</w:t>
          </w:r>
          <w:r>
            <w:tab/>
          </w:r>
          <w:r>
            <w:t xml:space="preserve">21</w:t>
          </w:r>
        </w:p>
        <w:p>
          <w:pPr>
            <w:pStyle w:val="TOC2"/>
            <w:tabs>
              <w:tab w:val="right" w:leader="dot" w:pos="9072"/>
            </w:tabs>
          </w:pPr>
          <w:r>
            <w:t xml:space="preserve">5.1 Wholesale CBDC Design</w:t>
          </w:r>
          <w:r>
            <w:tab/>
          </w:r>
          <w:r>
            <w:t xml:space="preserve">22</w:t>
          </w:r>
        </w:p>
        <w:p>
          <w:pPr>
            <w:pStyle w:val="TOC2"/>
            <w:tabs>
              <w:tab w:val="right" w:leader="dot" w:pos="9072"/>
            </w:tabs>
          </w:pPr>
          <w:r>
            <w:t xml:space="preserve">5.2 Tokenized Money Market Securities Settlement</w:t>
          </w:r>
          <w:r>
            <w:tab/>
          </w:r>
          <w:r>
            <w:t xml:space="preserve">23</w:t>
          </w:r>
        </w:p>
        <w:p>
          <w:pPr>
            <w:pStyle w:val="TOC2"/>
            <w:tabs>
              <w:tab w:val="right" w:leader="dot" w:pos="9072"/>
            </w:tabs>
          </w:pPr>
          <w:r>
            <w:t xml:space="preserve">5.3 SARB Monitoring Dashboard</w:t>
          </w:r>
          <w:r>
            <w:tab/>
          </w:r>
          <w:r>
            <w:t xml:space="preserve">24</w:t>
          </w:r>
        </w:p>
        <w:p>
          <w:pPr>
            <w:pStyle w:val="TOC1"/>
            <w:tabs>
              <w:tab w:val="right" w:leader="dot" w:pos="9072"/>
            </w:tabs>
          </w:pPr>
          <w:r>
            <w:t xml:space="preserve">6. Technical Architecture</w:t>
          </w:r>
          <w:r>
            <w:tab/>
          </w:r>
          <w:r>
            <w:t xml:space="preserve">25</w:t>
          </w:r>
        </w:p>
        <w:p>
          <w:pPr>
            <w:pStyle w:val="TOC2"/>
            <w:tabs>
              <w:tab w:val="right" w:leader="dot" w:pos="9072"/>
            </w:tabs>
          </w:pPr>
          <w:r>
            <w:t xml:space="preserve">6.1 Architectural Principles</w:t>
          </w:r>
          <w:r>
            <w:tab/>
          </w:r>
          <w:r>
            <w:t xml:space="preserve">26</w:t>
          </w:r>
        </w:p>
        <w:p>
          <w:pPr>
            <w:pStyle w:val="TOC2"/>
            <w:tabs>
              <w:tab w:val="right" w:leader="dot" w:pos="9072"/>
            </w:tabs>
          </w:pPr>
          <w:r>
            <w:t xml:space="preserve">6.2 Layered Architecture</w:t>
          </w:r>
          <w:r>
            <w:tab/>
          </w:r>
          <w:r>
            <w:t xml:space="preserve">27</w:t>
          </w:r>
        </w:p>
        <w:p>
          <w:pPr>
            <w:pStyle w:val="TOC2"/>
            <w:tabs>
              <w:tab w:val="right" w:leader="dot" w:pos="9072"/>
            </w:tabs>
          </w:pPr>
          <w:r>
            <w:t xml:space="preserve">6.3 Network Topology — South Africa Region</w:t>
          </w:r>
          <w:r>
            <w:tab/>
          </w:r>
          <w:r>
            <w:t xml:space="preserve">28</w:t>
          </w:r>
        </w:p>
        <w:p>
          <w:pPr>
            <w:pStyle w:val="TOC2"/>
            <w:tabs>
              <w:tab w:val="right" w:leader="dot" w:pos="9072"/>
            </w:tabs>
          </w:pPr>
          <w:r>
            <w:t xml:space="preserve">6.4 Data Architecture</w:t>
          </w:r>
          <w:r>
            <w:tab/>
          </w:r>
          <w:r>
            <w:t xml:space="preserve">29</w:t>
          </w:r>
        </w:p>
        <w:p>
          <w:pPr>
            <w:pStyle w:val="TOC1"/>
            <w:tabs>
              <w:tab w:val="right" w:leader="dot" w:pos="9072"/>
            </w:tabs>
          </w:pPr>
          <w:r>
            <w:t xml:space="preserve">7. CBDC Operations and Settlement Infrastructure</w:t>
          </w:r>
          <w:r>
            <w:tab/>
          </w:r>
          <w:r>
            <w:t xml:space="preserve">30</w:t>
          </w:r>
        </w:p>
        <w:p>
          <w:pPr>
            <w:pStyle w:val="TOC2"/>
            <w:tabs>
              <w:tab w:val="right" w:leader="dot" w:pos="9072"/>
            </w:tabs>
          </w:pPr>
          <w:r>
            <w:t xml:space="preserve">7.1 ZAR CBDC Supply Lifecycle</w:t>
          </w:r>
          <w:r>
            <w:tab/>
          </w:r>
          <w:r>
            <w:t xml:space="preserve">31</w:t>
          </w:r>
        </w:p>
        <w:p>
          <w:pPr>
            <w:pStyle w:val="TOC2"/>
            <w:tabs>
              <w:tab w:val="right" w:leader="dot" w:pos="9072"/>
            </w:tabs>
          </w:pPr>
          <w:r>
            <w:t xml:space="preserve">7.2 Participant Bank Lifecycle Management</w:t>
          </w:r>
          <w:r>
            <w:tab/>
          </w:r>
          <w:r>
            <w:t xml:space="preserve">32</w:t>
          </w:r>
        </w:p>
        <w:p>
          <w:pPr>
            <w:pStyle w:val="TOC2"/>
            <w:tabs>
              <w:tab w:val="right" w:leader="dot" w:pos="9072"/>
            </w:tabs>
          </w:pPr>
          <w:r>
            <w:t xml:space="preserve">7.3 DvP Settlement Mechanics</w:t>
          </w:r>
          <w:r>
            <w:tab/>
          </w:r>
          <w:r>
            <w:t xml:space="preserve">33</w:t>
          </w:r>
        </w:p>
        <w:p>
          <w:pPr>
            <w:pStyle w:val="TOC1"/>
            <w:tabs>
              <w:tab w:val="right" w:leader="dot" w:pos="9072"/>
            </w:tabs>
          </w:pPr>
          <w:r>
            <w:t xml:space="preserve">8. Security, Governance, and Controls</w:t>
          </w:r>
          <w:r>
            <w:tab/>
          </w:r>
          <w:r>
            <w:t xml:space="preserve">34</w:t>
          </w:r>
        </w:p>
        <w:p>
          <w:pPr>
            <w:pStyle w:val="TOC2"/>
            <w:tabs>
              <w:tab w:val="right" w:leader="dot" w:pos="9072"/>
            </w:tabs>
          </w:pPr>
          <w:r>
            <w:t xml:space="preserve">8.1 SARB Cyber Security Framework Alignment</w:t>
          </w:r>
          <w:r>
            <w:tab/>
          </w:r>
          <w:r>
            <w:t xml:space="preserve">35</w:t>
          </w:r>
        </w:p>
        <w:p>
          <w:pPr>
            <w:pStyle w:val="TOC2"/>
            <w:tabs>
              <w:tab w:val="right" w:leader="dot" w:pos="9072"/>
            </w:tabs>
          </w:pPr>
          <w:r>
            <w:t xml:space="preserve">8.2 POPIA Compliance</w:t>
          </w:r>
          <w:r>
            <w:tab/>
          </w:r>
          <w:r>
            <w:t xml:space="preserve">36</w:t>
          </w:r>
        </w:p>
        <w:p>
          <w:pPr>
            <w:pStyle w:val="TOC2"/>
            <w:tabs>
              <w:tab w:val="right" w:leader="dot" w:pos="9072"/>
            </w:tabs>
          </w:pPr>
          <w:r>
            <w:t xml:space="preserve">8.3 Twin-Peaks Regulatory Evidence</w:t>
          </w:r>
          <w:r>
            <w:tab/>
          </w:r>
          <w:r>
            <w:t xml:space="preserve">37</w:t>
          </w:r>
        </w:p>
        <w:p>
          <w:pPr>
            <w:pStyle w:val="TOC1"/>
            <w:tabs>
              <w:tab w:val="right" w:leader="dot" w:pos="9072"/>
            </w:tabs>
          </w:pPr>
          <w:r>
            <w:t xml:space="preserve">9. Integration with South African Financial Infrastructure</w:t>
          </w:r>
          <w:r>
            <w:tab/>
          </w:r>
          <w:r>
            <w:t xml:space="preserve">38</w:t>
          </w:r>
        </w:p>
        <w:p>
          <w:pPr>
            <w:pStyle w:val="TOC2"/>
            <w:tabs>
              <w:tab w:val="right" w:leader="dot" w:pos="9072"/>
            </w:tabs>
          </w:pPr>
          <w:r>
            <w:t xml:space="preserve">9.1 SAMOS Integration</w:t>
          </w:r>
          <w:r>
            <w:tab/>
          </w:r>
          <w:r>
            <w:t xml:space="preserve">39</w:t>
          </w:r>
        </w:p>
        <w:p>
          <w:pPr>
            <w:pStyle w:val="TOC2"/>
            <w:tabs>
              <w:tab w:val="right" w:leader="dot" w:pos="9072"/>
            </w:tabs>
          </w:pPr>
          <w:r>
            <w:t xml:space="preserve">9.2 Strate Integration</w:t>
          </w:r>
          <w:r>
            <w:tab/>
          </w:r>
          <w:r>
            <w:t xml:space="preserve">40</w:t>
          </w:r>
        </w:p>
        <w:p>
          <w:pPr>
            <w:pStyle w:val="TOC2"/>
            <w:tabs>
              <w:tab w:val="right" w:leader="dot" w:pos="9072"/>
            </w:tabs>
          </w:pPr>
          <w:r>
            <w:t xml:space="preserve">9.3 Integration Architecture</w:t>
          </w:r>
          <w:r>
            <w:tab/>
          </w:r>
          <w:r>
            <w:t xml:space="preserve">41</w:t>
          </w:r>
        </w:p>
        <w:p>
          <w:pPr>
            <w:pStyle w:val="TOC1"/>
            <w:tabs>
              <w:tab w:val="right" w:leader="dot" w:pos="9072"/>
            </w:tabs>
          </w:pPr>
          <w:r>
            <w:t xml:space="preserve">10. Deployment Model — South Africa</w:t>
          </w:r>
          <w:r>
            <w:tab/>
          </w:r>
          <w:r>
            <w:t xml:space="preserve">42</w:t>
          </w:r>
        </w:p>
        <w:p>
          <w:pPr>
            <w:pStyle w:val="TOC2"/>
            <w:tabs>
              <w:tab w:val="right" w:leader="dot" w:pos="9072"/>
            </w:tabs>
          </w:pPr>
          <w:r>
            <w:t xml:space="preserve">10.1 Recommended: South Africa Cloud Region</w:t>
          </w:r>
          <w:r>
            <w:tab/>
          </w:r>
          <w:r>
            <w:t xml:space="preserve">43</w:t>
          </w:r>
        </w:p>
        <w:p>
          <w:pPr>
            <w:pStyle w:val="TOC2"/>
            <w:tabs>
              <w:tab w:val="right" w:leader="dot" w:pos="9072"/>
            </w:tabs>
          </w:pPr>
          <w:r>
            <w:t xml:space="preserve">10.2 Availability Targets</w:t>
          </w:r>
          <w:r>
            <w:tab/>
          </w:r>
          <w:r>
            <w:t xml:space="preserve">44</w:t>
          </w:r>
        </w:p>
        <w:p>
          <w:pPr>
            <w:pStyle w:val="TOC1"/>
            <w:tabs>
              <w:tab w:val="right" w:leader="dot" w:pos="9072"/>
            </w:tabs>
          </w:pPr>
          <w:r>
            <w:t xml:space="preserve">11. Implementation Methodology</w:t>
          </w:r>
          <w:r>
            <w:tab/>
          </w:r>
          <w:r>
            <w:t xml:space="preserve">45</w:t>
          </w:r>
        </w:p>
        <w:p>
          <w:pPr>
            <w:pStyle w:val="TOC2"/>
            <w:tabs>
              <w:tab w:val="right" w:leader="dot" w:pos="9072"/>
            </w:tabs>
          </w:pPr>
          <w:r>
            <w:t xml:space="preserve">11.1 Phase Summary</w:t>
          </w:r>
          <w:r>
            <w:tab/>
          </w:r>
          <w:r>
            <w:t xml:space="preserve">46</w:t>
          </w:r>
        </w:p>
        <w:p>
          <w:pPr>
            <w:pStyle w:val="TOC2"/>
            <w:tabs>
              <w:tab w:val="right" w:leader="dot" w:pos="9072"/>
            </w:tabs>
          </w:pPr>
          <w:r>
            <w:t xml:space="preserve">11.2 SARB Resource Requirements</w:t>
          </w:r>
          <w:r>
            <w:tab/>
          </w:r>
          <w:r>
            <w:t xml:space="preserve">47</w:t>
          </w:r>
        </w:p>
        <w:p>
          <w:pPr>
            <w:pStyle w:val="TOC1"/>
            <w:tabs>
              <w:tab w:val="right" w:leader="dot" w:pos="9072"/>
            </w:tabs>
          </w:pPr>
          <w:r>
            <w:t xml:space="preserve">12. Training and Knowledge Transfer</w:t>
          </w:r>
          <w:r>
            <w:tab/>
          </w:r>
          <w:r>
            <w:t xml:space="preserve">48</w:t>
          </w:r>
        </w:p>
        <w:p>
          <w:pPr>
            <w:pStyle w:val="TOC1"/>
            <w:tabs>
              <w:tab w:val="right" w:leader="dot" w:pos="9072"/>
            </w:tabs>
          </w:pPr>
          <w:r>
            <w:t xml:space="preserve">13. Support and Service Levels</w:t>
          </w:r>
          <w:r>
            <w:tab/>
          </w:r>
          <w:r>
            <w:t xml:space="preserve">49</w:t>
          </w:r>
        </w:p>
        <w:p>
          <w:pPr>
            <w:pStyle w:val="TOC1"/>
            <w:tabs>
              <w:tab w:val="right" w:leader="dot" w:pos="9072"/>
            </w:tabs>
          </w:pPr>
          <w:r>
            <w:t xml:space="preserve">14. Risk Management</w:t>
          </w:r>
          <w:r>
            <w:tab/>
          </w:r>
          <w:r>
            <w:t xml:space="preserve">50</w:t>
          </w:r>
        </w:p>
        <w:p>
          <w:pPr>
            <w:pStyle w:val="TOC1"/>
            <w:tabs>
              <w:tab w:val="right" w:leader="dot" w:pos="9072"/>
            </w:tabs>
          </w:pPr>
          <w:r>
            <w:t xml:space="preserve">15. Compliance Matrix</w:t>
          </w:r>
          <w:r>
            <w:tab/>
          </w:r>
          <w:r>
            <w:t xml:space="preserve">51</w:t>
          </w:r>
        </w:p>
        <w:p>
          <w:pPr>
            <w:pStyle w:val="TOC1"/>
            <w:tabs>
              <w:tab w:val="right" w:leader="dot" w:pos="9072"/>
            </w:tabs>
          </w:pPr>
          <w:r>
            <w:t xml:space="preserve">Appendix A: SARB Operating Model</w:t>
          </w:r>
          <w:r>
            <w:tab/>
          </w:r>
          <w:r>
            <w:t xml:space="preserve">52</w:t>
          </w:r>
        </w:p>
        <w:p>
          <w:pPr>
            <w:pStyle w:val="TOC1"/>
            <w:tabs>
              <w:tab w:val="right" w:leader="dot" w:pos="9072"/>
            </w:tabs>
          </w:pPr>
          <w:r>
            <w:t xml:space="preserve">Appendix B: Security and Resilience</w:t>
          </w:r>
          <w:r>
            <w:tab/>
          </w:r>
          <w:r>
            <w:t xml:space="preserve">53</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val="0"/>
          <w:i w:val="0"/>
          <w:sz w:val="22"/>
        </w:rPr>
        <w:t>title: "Technical Proposal: Project Khokha-Aligned CBDC and Tokenized Settlement Support"</w:t>
      </w:r>
    </w:p>
    <w:p>
      <w:r>
        <w:rPr>
          <w:rFonts w:ascii="Figtree" w:hAnsi="Figtree"/>
          <w:b w:val="0"/>
          <w:i w:val="0"/>
          <w:sz w:val="22"/>
        </w:rPr>
        <w:t>client: "South African Reserve Bank"</w:t>
      </w:r>
    </w:p>
    <w:p>
      <w:r>
        <w:rPr>
          <w:rFonts w:ascii="Figtree" w:hAnsi="Figtree"/>
          <w:b w:val="0"/>
          <w:i w:val="0"/>
          <w:sz w:val="22"/>
        </w:rPr>
        <w:t>date: "2026-03-19"</w:t>
      </w:r>
    </w:p>
    <w:p>
      <w:r>
        <w:rPr>
          <w:rFonts w:ascii="Figtree" w:hAnsi="Figtree"/>
          <w:b w:val="0"/>
          <w:i w:val="0"/>
          <w:sz w:val="22"/>
        </w:rPr>
        <w:t>version: "1.0"</w:t>
      </w:r>
    </w:p>
    <w:p>
      <w:r>
        <w:rPr>
          <w:rFonts w:ascii="Figtree" w:hAnsi="Figtree"/>
          <w:b w:val="0"/>
          <w:i w:val="0"/>
          <w:sz w:val="22"/>
        </w:rPr>
        <w:t>confidentiality: "Restricted — Commercial-Sensitive"</w:t>
      </w:r>
    </w:p>
    <w:p>
      <w:r>
        <w:rPr>
          <w:rFonts w:ascii="Figtree" w:hAnsi="Figtree"/>
          <w:b w:val="0"/>
          <w:i w:val="0"/>
          <w:sz w:val="22"/>
        </w:rPr>
        <w:t>prepared-by: "SettleMint NV"</w:t>
      </w:r>
    </w:p>
    <w:p>
      <w:r>
        <w:rPr>
          <w:rFonts w:ascii="Figtree" w:hAnsi="Figtree"/>
          <w:b w:val="0"/>
          <w:i w:val="0"/>
          <w:sz w:val="22"/>
        </w:rPr>
        <w:t>document-type: "Technical Proposal"</w:t>
      </w:r>
    </w:p>
    <w:p>
      <w:r>
        <w:rPr>
          <w:rFonts w:ascii="Figtree" w:hAnsi="Figtree"/>
          <w:b w:val="0"/>
          <w:i w:val="0"/>
          <w:sz w:val="22"/>
        </w:rPr>
        <w:t>rfp-reference: "SOUTH-AFRICAN-RESERVE-BANK-RFP-PROJECT-KHOKHA-CBDC-202603"</w:t>
      </w:r>
    </w:p>
    <w:p>
      <w:r>
        <w:br w:type="page"/>
      </w:r>
    </w:p>
    <w:p>
      <w:pPr>
        <w:pStyle w:val="H1"/>
        <w:numPr>
          <w:ilvl w:val="0"/>
          <w:numId w:val="1"/>
        </w:numPr>
      </w:pPr>
      <w:r>
        <w:t>Technical Proposal</w:t>
      </w:r>
    </w:p>
    <w:p>
      <w:pPr>
        <w:pStyle w:val="H2"/>
        <w:numPr>
          <w:ilvl w:val="1"/>
          <w:numId w:val="1"/>
        </w:numPr>
      </w:pPr>
      <w:r>
        <w:t>Project Khokha-Aligned CBDC and Tokenized Settlement Support</w:t>
      </w:r>
    </w:p>
    <w:p>
      <w:r>
        <w:br w:type="page"/>
      </w:r>
    </w:p>
    <w:p>
      <w:r>
        <w:rPr>
          <w:rFonts w:ascii="Figtree" w:hAnsi="Figtree"/>
          <w:b/>
          <w:i w:val="0"/>
          <w:sz w:val="22"/>
        </w:rPr>
        <w:t>Document Title:</w:t>
      </w:r>
      <w:r>
        <w:rPr>
          <w:rFonts w:ascii="Figtree" w:hAnsi="Figtree"/>
          <w:b w:val="0"/>
          <w:i w:val="0"/>
          <w:sz w:val="22"/>
        </w:rPr>
        <w:t xml:space="preserve"> Technical Proposal — Project Khokha-Aligned CBDC and Tokenized Settlement Support</w:t>
      </w:r>
    </w:p>
    <w:p>
      <w:r>
        <w:rPr>
          <w:rFonts w:ascii="Figtree" w:hAnsi="Figtree"/>
          <w:b/>
          <w:i w:val="0"/>
          <w:sz w:val="22"/>
        </w:rPr>
        <w:t>Client:</w:t>
      </w:r>
      <w:r>
        <w:rPr>
          <w:rFonts w:ascii="Figtree" w:hAnsi="Figtree"/>
          <w:b w:val="0"/>
          <w:i w:val="0"/>
          <w:sz w:val="22"/>
        </w:rPr>
        <w:t xml:space="preserve"> South African Reserve Bank (SARB)</w:t>
      </w:r>
    </w:p>
    <w:p>
      <w:r>
        <w:rPr>
          <w:rFonts w:ascii="Figtree" w:hAnsi="Figtree"/>
          <w:b/>
          <w:i w:val="0"/>
          <w:sz w:val="22"/>
        </w:rPr>
        <w:t>Submission Date:</w:t>
      </w:r>
      <w:r>
        <w:rPr>
          <w:rFonts w:ascii="Figtree" w:hAnsi="Figtree"/>
          <w:b w:val="0"/>
          <w:i w:val="0"/>
          <w:sz w:val="22"/>
        </w:rPr>
        <w:t xml:space="preserve"> 2026-03-19</w:t>
      </w:r>
    </w:p>
    <w:p>
      <w:r>
        <w:rPr>
          <w:rFonts w:ascii="Figtree" w:hAnsi="Figtree"/>
          <w:b/>
          <w:i w:val="0"/>
          <w:sz w:val="22"/>
        </w:rPr>
        <w:t>Version:</w:t>
      </w:r>
      <w:r>
        <w:rPr>
          <w:rFonts w:ascii="Figtree" w:hAnsi="Figtree"/>
          <w:b w:val="0"/>
          <w:i w:val="0"/>
          <w:sz w:val="22"/>
        </w:rPr>
        <w:t xml:space="preserve"> 1.0</w:t>
      </w:r>
    </w:p>
    <w:p>
      <w:r>
        <w:rPr>
          <w:rFonts w:ascii="Figtree" w:hAnsi="Figtree"/>
          <w:b/>
          <w:i w:val="0"/>
          <w:sz w:val="22"/>
        </w:rPr>
        <w:t>Confidentiality:</w:t>
      </w:r>
      <w:r>
        <w:rPr>
          <w:rFonts w:ascii="Figtree" w:hAnsi="Figtree"/>
          <w:b w:val="0"/>
          <w:i w:val="0"/>
          <w:sz w:val="22"/>
        </w:rPr>
        <w:t xml:space="preserve"> Restricted — Commercial-Sensitive</w:t>
      </w:r>
    </w:p>
    <w:p>
      <w:r>
        <w:rPr>
          <w:rFonts w:ascii="Figtree" w:hAnsi="Figtree"/>
          <w:b/>
          <w:i w:val="0"/>
          <w:sz w:val="22"/>
        </w:rPr>
        <w:t>Prepared by:</w:t>
      </w:r>
      <w:r>
        <w:rPr>
          <w:rFonts w:ascii="Figtree" w:hAnsi="Figtree"/>
          <w:b w:val="0"/>
          <w:i w:val="0"/>
          <w:sz w:val="22"/>
        </w:rPr>
        <w:t xml:space="preserve"> SettleMint NV</w:t>
      </w:r>
    </w:p>
    <w:p>
      <w:r>
        <w:br w:type="page"/>
      </w:r>
    </w:p>
    <w:p>
      <w:r>
        <w:rPr>
          <w:rFonts w:ascii="Figtree" w:hAnsi="Figtree"/>
          <w:b w:val="0"/>
          <w:i w:val="0"/>
          <w:sz w:val="22"/>
        </w:rPr>
        <w:t>&gt; This document contains confidential and proprietary information of SettleMint NV. Distribution or reproduction without prior written consent is prohibited.</w:t>
      </w:r>
    </w:p>
    <w:p>
      <w:r>
        <w:br w:type="page"/>
      </w:r>
    </w:p>
    <w:p>
      <w:pPr>
        <w:pStyle w:val="H1"/>
        <w:numPr>
          <w:ilvl w:val="0"/>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About SettleMint</w:t>
      </w:r>
    </w:p>
    <w:p>
      <w:pPr>
        <w:pStyle w:val="ListParagraph"/>
        <w:numPr>
          <w:ilvl w:val="0"/>
          <w:numId w:val="6"/>
        </w:numPr>
      </w:pPr>
      <w:r>
        <w:rPr>
          <w:rFonts w:ascii="Figtree" w:hAnsi="Figtree"/>
          <w:b w:val="0"/>
          <w:i w:val="0"/>
          <w:sz w:val="22"/>
        </w:rPr>
        <w:t>About DALP</w:t>
      </w:r>
    </w:p>
    <w:p>
      <w:pPr>
        <w:pStyle w:val="ListParagraph"/>
        <w:numPr>
          <w:ilvl w:val="0"/>
          <w:numId w:val="6"/>
        </w:numPr>
      </w:pPr>
      <w:r>
        <w:rPr>
          <w:rFonts w:ascii="Figtree" w:hAnsi="Figtree"/>
          <w:b w:val="0"/>
          <w:i w:val="0"/>
          <w:sz w:val="22"/>
        </w:rPr>
        <w:t>Understanding SARB Requirements</w:t>
      </w:r>
    </w:p>
    <w:p>
      <w:pPr>
        <w:pStyle w:val="ListParagraph"/>
        <w:numPr>
          <w:ilvl w:val="0"/>
          <w:numId w:val="6"/>
        </w:numPr>
      </w:pPr>
      <w:r>
        <w:rPr>
          <w:rFonts w:ascii="Figtree" w:hAnsi="Figtree"/>
          <w:b w:val="0"/>
          <w:i w:val="0"/>
          <w:sz w:val="22"/>
        </w:rPr>
        <w:t>Proposed Solution: CBDC and Tokenized Settlement Architecture</w:t>
      </w:r>
    </w:p>
    <w:p>
      <w:pPr>
        <w:pStyle w:val="ListParagraph"/>
        <w:numPr>
          <w:ilvl w:val="0"/>
          <w:numId w:val="6"/>
        </w:numPr>
      </w:pPr>
      <w:r>
        <w:rPr>
          <w:rFonts w:ascii="Figtree" w:hAnsi="Figtree"/>
          <w:b w:val="0"/>
          <w:i w:val="0"/>
          <w:sz w:val="22"/>
        </w:rPr>
        <w:t>Technical Architecture</w:t>
      </w:r>
    </w:p>
    <w:p>
      <w:pPr>
        <w:pStyle w:val="ListParagraph"/>
        <w:numPr>
          <w:ilvl w:val="0"/>
          <w:numId w:val="6"/>
        </w:numPr>
      </w:pPr>
      <w:r>
        <w:rPr>
          <w:rFonts w:ascii="Figtree" w:hAnsi="Figtree"/>
          <w:b w:val="0"/>
          <w:i w:val="0"/>
          <w:sz w:val="22"/>
        </w:rPr>
        <w:t>CBDC Operations and Settlement Infrastructure</w:t>
      </w:r>
    </w:p>
    <w:p>
      <w:pPr>
        <w:pStyle w:val="ListParagraph"/>
        <w:numPr>
          <w:ilvl w:val="0"/>
          <w:numId w:val="6"/>
        </w:numPr>
      </w:pPr>
      <w:r>
        <w:rPr>
          <w:rFonts w:ascii="Figtree" w:hAnsi="Figtree"/>
          <w:b w:val="0"/>
          <w:i w:val="0"/>
          <w:sz w:val="22"/>
        </w:rPr>
        <w:t>Security, Governance, and Controls</w:t>
      </w:r>
    </w:p>
    <w:p>
      <w:pPr>
        <w:pStyle w:val="ListParagraph"/>
        <w:numPr>
          <w:ilvl w:val="0"/>
          <w:numId w:val="6"/>
        </w:numPr>
      </w:pPr>
      <w:r>
        <w:rPr>
          <w:rFonts w:ascii="Figtree" w:hAnsi="Figtree"/>
          <w:b w:val="0"/>
          <w:i w:val="0"/>
          <w:sz w:val="22"/>
        </w:rPr>
        <w:t>Integration with South African Financial Infrastructure</w:t>
      </w:r>
    </w:p>
    <w:p>
      <w:pPr>
        <w:pStyle w:val="ListParagraph"/>
        <w:numPr>
          <w:ilvl w:val="0"/>
          <w:numId w:val="6"/>
        </w:numPr>
      </w:pPr>
      <w:r>
        <w:rPr>
          <w:rFonts w:ascii="Figtree" w:hAnsi="Figtree"/>
          <w:b w:val="0"/>
          <w:i w:val="0"/>
          <w:sz w:val="22"/>
        </w:rPr>
        <w:t>Deployment Model — South Africa</w:t>
      </w:r>
    </w:p>
    <w:p>
      <w:pPr>
        <w:pStyle w:val="ListParagraph"/>
        <w:numPr>
          <w:ilvl w:val="0"/>
          <w:numId w:val="6"/>
        </w:numPr>
      </w:pPr>
      <w:r>
        <w:rPr>
          <w:rFonts w:ascii="Figtree" w:hAnsi="Figtree"/>
          <w:b w:val="0"/>
          <w:i w:val="0"/>
          <w:sz w:val="22"/>
        </w:rPr>
        <w:t>Implementation Methodology</w:t>
      </w:r>
    </w:p>
    <w:p>
      <w:pPr>
        <w:pStyle w:val="ListParagraph"/>
        <w:numPr>
          <w:ilvl w:val="0"/>
          <w:numId w:val="6"/>
        </w:numPr>
      </w:pPr>
      <w:r>
        <w:rPr>
          <w:rFonts w:ascii="Figtree" w:hAnsi="Figtree"/>
          <w:b w:val="0"/>
          <w:i w:val="0"/>
          <w:sz w:val="22"/>
        </w:rPr>
        <w:t>Training and Knowledge Transfer</w:t>
      </w:r>
    </w:p>
    <w:p>
      <w:pPr>
        <w:pStyle w:val="ListParagraph"/>
        <w:numPr>
          <w:ilvl w:val="0"/>
          <w:numId w:val="6"/>
        </w:numPr>
      </w:pPr>
      <w:r>
        <w:rPr>
          <w:rFonts w:ascii="Figtree" w:hAnsi="Figtree"/>
          <w:b w:val="0"/>
          <w:i w:val="0"/>
          <w:sz w:val="22"/>
        </w:rPr>
        <w:t>Support and Service Levels</w:t>
      </w:r>
    </w:p>
    <w:p>
      <w:pPr>
        <w:pStyle w:val="ListParagraph"/>
        <w:numPr>
          <w:ilvl w:val="0"/>
          <w:numId w:val="6"/>
        </w:numPr>
      </w:pPr>
      <w:r>
        <w:rPr>
          <w:rFonts w:ascii="Figtree" w:hAnsi="Figtree"/>
          <w:b w:val="0"/>
          <w:i w:val="0"/>
          <w:sz w:val="22"/>
        </w:rPr>
        <w:t>Risk Management</w:t>
      </w:r>
    </w:p>
    <w:p>
      <w:pPr>
        <w:pStyle w:val="ListParagraph"/>
        <w:numPr>
          <w:ilvl w:val="0"/>
          <w:numId w:val="6"/>
        </w:numPr>
      </w:pPr>
      <w:r>
        <w:rPr>
          <w:rFonts w:ascii="Figtree" w:hAnsi="Figtree"/>
          <w:b w:val="0"/>
          <w:i w:val="0"/>
          <w:sz w:val="22"/>
        </w:rPr>
        <w:t>Compliance Matrix</w:t>
      </w:r>
    </w:p>
    <w:p>
      <w:pPr>
        <w:pStyle w:val="ListParagraph"/>
        <w:numPr>
          <w:ilvl w:val="0"/>
          <w:numId w:val="6"/>
        </w:numPr>
      </w:pPr>
      <w:r>
        <w:rPr>
          <w:rFonts w:ascii="Figtree" w:hAnsi="Figtree"/>
          <w:b w:val="0"/>
          <w:i w:val="0"/>
          <w:sz w:val="22"/>
        </w:rPr>
        <w:t>Appendix A: Operating Model Detail</w:t>
      </w:r>
    </w:p>
    <w:p>
      <w:pPr>
        <w:pStyle w:val="ListParagraph"/>
        <w:numPr>
          <w:ilvl w:val="0"/>
          <w:numId w:val="6"/>
        </w:numPr>
      </w:pPr>
      <w:r>
        <w:rPr>
          <w:rFonts w:ascii="Figtree" w:hAnsi="Figtree"/>
          <w:b w:val="0"/>
          <w:i w:val="0"/>
          <w:sz w:val="22"/>
        </w:rPr>
        <w:t>Appendix B: Security and Resilience</w:t>
      </w:r>
    </w:p>
    <w:p>
      <w:r>
        <w:br w:type="page"/>
      </w:r>
    </w:p>
    <w:p>
      <w:pPr>
        <w:pStyle w:val="H1"/>
        <w:numPr>
          <w:ilvl w:val="0"/>
          <w:numId w:val="1"/>
        </w:numPr>
      </w:pPr>
      <w:r>
        <w:t>1. Executive Summary</w:t>
      </w:r>
    </w:p>
    <w:p>
      <w:pPr>
        <w:pStyle w:val="H2"/>
        <w:numPr>
          <w:ilvl w:val="1"/>
          <w:numId w:val="1"/>
        </w:numPr>
      </w:pPr>
      <w:r>
        <w:t>1.1 Context and Strategic Drivers</w:t>
      </w:r>
    </w:p>
    <w:p>
      <w:r>
        <w:rPr>
          <w:rFonts w:ascii="Figtree" w:hAnsi="Figtree"/>
          <w:b w:val="0"/>
          <w:i w:val="0"/>
          <w:sz w:val="22"/>
        </w:rPr>
        <w:t>The South African Reserve Bank has been at the forefront of CBDC research and development among African central banks. Project Khokha (2018, wholesale CBDC proof-of-concept) demonstrated the feasibility of interbank tokenized settlement on a permissioned distributed ledger. Project Khokha 2 (2021) extended the scope to include delivery-versus-payment settlement for tokenized money market securities. This RFP represents the next progression: moving from proof-of-concept and research phases toward a governed production-capable CBDC and tokenized settlement platform.</w:t>
      </w:r>
    </w:p>
    <w:p>
      <w:r>
        <w:rPr>
          <w:rFonts w:ascii="Figtree" w:hAnsi="Figtree"/>
          <w:b w:val="0"/>
          <w:i w:val="0"/>
          <w:sz w:val="22"/>
        </w:rPr>
        <w:t>SARB operates within a specific financial regulatory ecosystem. The Prudential Authority (PA) and Financial Sector Conduct Authority (FSCA) govern financial institutions within South Africa. SARB's own operational perimeter includes oversight of the National Payments System, management of the South African Multiple Option Settlement (SAMOS) system, and coordination with Strate (South Africa's central securities depository). Any CBDC or tokenized settlement platform must integrate into this existing infrastructure without creating a parallel, uncontrolled system.</w:t>
      </w:r>
    </w:p>
    <w:p>
      <w:r>
        <w:rPr>
          <w:rFonts w:ascii="Figtree" w:hAnsi="Figtree"/>
          <w:b w:val="0"/>
          <w:i w:val="0"/>
          <w:sz w:val="22"/>
        </w:rPr>
        <w:t>The South African financial market context also includes cross-border considerations. Project Khokha has been referenced in the context of broader African financial integration and G20 digital currency discussions. SARB's procurement must therefore consider not only domestic settlement infrastructure but also potential cross-border CBDC interoperability with African and international partners.</w:t>
      </w:r>
    </w:p>
    <w:p>
      <w:r>
        <w:rPr>
          <w:rFonts w:ascii="Figtree" w:hAnsi="Figtree"/>
          <w:b w:val="0"/>
          <w:i w:val="0"/>
          <w:sz w:val="22"/>
        </w:rPr>
        <w:t>SettleMint proposes DALP as the technical foundation for SARB's Project Khokha-aligned CBDC and tokenized settlement platform. DALP's wholesale CBDC architecture, permissioned blockchain infrastructure, and institutional-grade control model directly address SARB's requirements.</w:t>
      </w:r>
    </w:p>
    <w:p>
      <w:pPr>
        <w:pStyle w:val="H2"/>
        <w:numPr>
          <w:ilvl w:val="1"/>
          <w:numId w:val="1"/>
        </w:numPr>
      </w:pPr>
      <w:r>
        <w:t>1.2 Why This Programme Is Hard</w:t>
      </w:r>
    </w:p>
    <w:p>
      <w:r>
        <w:rPr>
          <w:rFonts w:ascii="Figtree" w:hAnsi="Figtree"/>
          <w:b/>
          <w:i w:val="0"/>
          <w:sz w:val="22"/>
        </w:rPr>
        <w:t>Strate and SAMOS integration:</w:t>
      </w:r>
      <w:r>
        <w:rPr>
          <w:rFonts w:ascii="Figtree" w:hAnsi="Figtree"/>
          <w:b w:val="0"/>
          <w:i w:val="0"/>
          <w:sz w:val="22"/>
        </w:rPr>
        <w:t xml:space="preserve"> SARB's tokenized settlement programme must coexist with Strate (CSD) and SAMOS (RTGS). Tokenized asset positions must reconcile against Strate records; cash settlement must integrate with SAMOS operations. Neither Strate nor SAMOS can be bypassed or replaced.</w:t>
      </w:r>
    </w:p>
    <w:p>
      <w:r>
        <w:rPr>
          <w:rFonts w:ascii="Figtree" w:hAnsi="Figtree"/>
          <w:b/>
          <w:i w:val="0"/>
          <w:sz w:val="22"/>
        </w:rPr>
        <w:t>Project Khokha technical continuity:</w:t>
      </w:r>
      <w:r>
        <w:rPr>
          <w:rFonts w:ascii="Figtree" w:hAnsi="Figtree"/>
          <w:b w:val="0"/>
          <w:i w:val="0"/>
          <w:sz w:val="22"/>
        </w:rPr>
        <w:t xml:space="preserve"> SARB has existing institutional knowledge and research outputs from Projects Khokha and Khokha 2. The selected platform should build on this foundation (Hyperledger Besu, privacy extensions, DvP patterns) rather than requiring SARB to abandon accumulated knowledge.</w:t>
      </w:r>
    </w:p>
    <w:p>
      <w:r>
        <w:rPr>
          <w:rFonts w:ascii="Figtree" w:hAnsi="Figtree"/>
          <w:b/>
          <w:i w:val="0"/>
          <w:sz w:val="22"/>
        </w:rPr>
        <w:t>FSCA and PA regulatory framework:</w:t>
      </w:r>
      <w:r>
        <w:rPr>
          <w:rFonts w:ascii="Figtree" w:hAnsi="Figtree"/>
          <w:b w:val="0"/>
          <w:i w:val="0"/>
          <w:sz w:val="22"/>
        </w:rPr>
        <w:t xml:space="preserve"> South Africa's twin-peaks regulatory model (PA for prudential regulation, FSCA for conduct) creates a dual-regulator evidence obligation. The platform must produce evidence satisfying both regulators' frameworks.</w:t>
      </w:r>
    </w:p>
    <w:p>
      <w:r>
        <w:rPr>
          <w:rFonts w:ascii="Figtree" w:hAnsi="Figtree"/>
          <w:b/>
          <w:i w:val="0"/>
          <w:sz w:val="22"/>
        </w:rPr>
        <w:t>SARB cyber security requirements:</w:t>
      </w:r>
      <w:r>
        <w:rPr>
          <w:rFonts w:ascii="Figtree" w:hAnsi="Figtree"/>
          <w:b w:val="0"/>
          <w:i w:val="0"/>
          <w:sz w:val="22"/>
        </w:rPr>
        <w:t xml:space="preserve"> SARB's cybersecurity framework, aligned with South Africa's Cybercrimes Act (No. 19 of 2020) and SARB's own supervisory guidance on IT risk, establishes specific requirements for critical financial infrastructure.</w:t>
      </w:r>
    </w:p>
    <w:p>
      <w:pPr>
        <w:pStyle w:val="H2"/>
        <w:numPr>
          <w:ilvl w:val="1"/>
          <w:numId w:val="1"/>
        </w:numPr>
      </w:pPr>
      <w:r>
        <w:t>1.3 Proposed Response</w:t>
      </w:r>
    </w:p>
    <w:p>
      <w:r>
        <w:rPr>
          <w:rFonts w:ascii="Figtree" w:hAnsi="Figtree"/>
          <w:b w:val="0"/>
          <w:i w:val="0"/>
          <w:sz w:val="22"/>
        </w:rPr>
        <w:t>SettleMint proposes DALP deployed for SARB's Project Khokha-aligned programme with:</w:t>
      </w:r>
    </w:p>
    <w:p>
      <w:pPr>
        <w:pStyle w:val="ListParagraph"/>
        <w:numPr>
          <w:ilvl w:val="0"/>
          <w:numId w:val="4"/>
        </w:numPr>
      </w:pPr>
      <w:r>
        <w:rPr>
          <w:rFonts w:ascii="Figtree" w:hAnsi="Figtree"/>
          <w:b w:val="0"/>
          <w:i w:val="0"/>
          <w:sz w:val="22"/>
        </w:rPr>
        <w:t>Wholesale CBDC orchestration on Hyperledger Besu (IBFT 2.0) — consistent with Project Khokha technical foundations</w:t>
      </w:r>
    </w:p>
    <w:p>
      <w:pPr>
        <w:pStyle w:val="ListParagraph"/>
        <w:numPr>
          <w:ilvl w:val="0"/>
          <w:numId w:val="4"/>
        </w:numPr>
      </w:pPr>
      <w:r>
        <w:rPr>
          <w:rFonts w:ascii="Figtree" w:hAnsi="Figtree"/>
          <w:b w:val="0"/>
          <w:i w:val="0"/>
          <w:sz w:val="22"/>
        </w:rPr>
        <w:t>Tokenized money market securities settlement (DvP) aligned with Project Khokha 2 architecture</w:t>
      </w:r>
    </w:p>
    <w:p>
      <w:pPr>
        <w:pStyle w:val="ListParagraph"/>
        <w:numPr>
          <w:ilvl w:val="0"/>
          <w:numId w:val="4"/>
        </w:numPr>
      </w:pPr>
      <w:r>
        <w:rPr>
          <w:rFonts w:ascii="Figtree" w:hAnsi="Figtree"/>
          <w:b w:val="0"/>
          <w:i w:val="0"/>
          <w:sz w:val="22"/>
        </w:rPr>
        <w:t>SAMOS and Strate integration through ISO 20022 messaging</w:t>
      </w:r>
    </w:p>
    <w:p>
      <w:pPr>
        <w:pStyle w:val="ListParagraph"/>
        <w:numPr>
          <w:ilvl w:val="0"/>
          <w:numId w:val="4"/>
        </w:numPr>
      </w:pPr>
      <w:r>
        <w:rPr>
          <w:rFonts w:ascii="Figtree" w:hAnsi="Figtree"/>
          <w:b w:val="0"/>
          <w:i w:val="0"/>
          <w:sz w:val="22"/>
        </w:rPr>
        <w:t>South Africa cloud region deployment (AWS af-south-1 Cape Town or Azure South Africa North Johannesburg)</w:t>
      </w:r>
    </w:p>
    <w:p>
      <w:pPr>
        <w:pStyle w:val="ListParagraph"/>
        <w:numPr>
          <w:ilvl w:val="0"/>
          <w:numId w:val="4"/>
        </w:numPr>
      </w:pPr>
      <w:r>
        <w:rPr>
          <w:rFonts w:ascii="Figtree" w:hAnsi="Figtree"/>
          <w:b w:val="0"/>
          <w:i w:val="0"/>
          <w:sz w:val="22"/>
        </w:rPr>
        <w:t>SARB-controlled key custody via KSA-approved HSM</w:t>
      </w:r>
    </w:p>
    <w:p>
      <w:pPr>
        <w:pStyle w:val="ListParagraph"/>
        <w:numPr>
          <w:ilvl w:val="0"/>
          <w:numId w:val="4"/>
        </w:numPr>
      </w:pPr>
      <w:r>
        <w:rPr>
          <w:rFonts w:ascii="Figtree" w:hAnsi="Figtree"/>
          <w:b w:val="0"/>
          <w:i w:val="0"/>
          <w:sz w:val="22"/>
        </w:rPr>
        <w:t>20-week implementation timeline with SARB governance gates</w:t>
      </w:r>
    </w:p>
    <w:p>
      <w:pPr>
        <w:pStyle w:val="H2"/>
        <w:numPr>
          <w:ilvl w:val="1"/>
          <w:numId w:val="1"/>
        </w:numPr>
      </w:pPr>
      <w:r>
        <w:t>1.4 Why SettleMint</w:t>
      </w:r>
    </w:p>
    <w:p>
      <w:pPr>
        <w:pStyle w:val="ListParagraph"/>
        <w:numPr>
          <w:ilvl w:val="0"/>
          <w:numId w:val="4"/>
        </w:numPr>
      </w:pPr>
      <w:r>
        <w:rPr>
          <w:rFonts w:ascii="Figtree" w:hAnsi="Figtree"/>
          <w:b/>
          <w:i w:val="0"/>
          <w:sz w:val="22"/>
        </w:rPr>
        <w:t>Project Khokha technical stack alignment:</w:t>
      </w:r>
      <w:r>
        <w:rPr>
          <w:rFonts w:ascii="Figtree" w:hAnsi="Figtree"/>
          <w:b w:val="0"/>
          <w:i w:val="0"/>
          <w:sz w:val="22"/>
        </w:rPr>
        <w:t xml:space="preserve"> DALP runs on Hyperledger Besu with IBFT 2.0 — the same core technology used in Project Khokha. This is direct technical continuity.</w:t>
      </w:r>
    </w:p>
    <w:p>
      <w:pPr>
        <w:pStyle w:val="ListParagraph"/>
        <w:numPr>
          <w:ilvl w:val="0"/>
          <w:numId w:val="4"/>
        </w:numPr>
      </w:pPr>
      <w:r>
        <w:rPr>
          <w:rFonts w:ascii="Figtree" w:hAnsi="Figtree"/>
          <w:b/>
          <w:i w:val="0"/>
          <w:sz w:val="22"/>
        </w:rPr>
        <w:t>African market production experience:</w:t>
      </w:r>
      <w:r>
        <w:rPr>
          <w:rFonts w:ascii="Figtree" w:hAnsi="Figtree"/>
          <w:b w:val="0"/>
          <w:i w:val="0"/>
          <w:sz w:val="22"/>
        </w:rPr>
        <w:t xml:space="preserve"> SettleMint has delivered for African financial institutions including JSE context, Standard Bank, FirstRand Digital Bonds, and Pan-African bank deployments.</w:t>
      </w:r>
    </w:p>
    <w:p>
      <w:pPr>
        <w:pStyle w:val="ListParagraph"/>
        <w:numPr>
          <w:ilvl w:val="0"/>
          <w:numId w:val="4"/>
        </w:numPr>
      </w:pPr>
      <w:r>
        <w:rPr>
          <w:rFonts w:ascii="Figtree" w:hAnsi="Figtree"/>
          <w:b/>
          <w:i w:val="0"/>
          <w:sz w:val="22"/>
        </w:rPr>
        <w:t>SARB-adjacent credentials:</w:t>
      </w:r>
      <w:r>
        <w:rPr>
          <w:rFonts w:ascii="Figtree" w:hAnsi="Figtree"/>
          <w:b w:val="0"/>
          <w:i w:val="0"/>
          <w:sz w:val="22"/>
        </w:rPr>
        <w:t xml:space="preserve"> Engagement with South African financial institutions under SARB oversight creates awareness of the specific regulatory and operational expectations relevant to this procurement.</w:t>
      </w:r>
    </w:p>
    <w:p>
      <w:pPr>
        <w:pStyle w:val="ListParagraph"/>
        <w:numPr>
          <w:ilvl w:val="0"/>
          <w:numId w:val="4"/>
        </w:numPr>
      </w:pPr>
      <w:r>
        <w:rPr>
          <w:rFonts w:ascii="Figtree" w:hAnsi="Figtree"/>
          <w:b/>
          <w:i w:val="0"/>
          <w:sz w:val="22"/>
        </w:rPr>
        <w:t>Sovereign deployment model:</w:t>
      </w:r>
      <w:r>
        <w:rPr>
          <w:rFonts w:ascii="Figtree" w:hAnsi="Figtree"/>
          <w:b w:val="0"/>
          <w:i w:val="0"/>
          <w:sz w:val="22"/>
        </w:rPr>
        <w:t xml:space="preserve"> South Africa-region cloud deployment with SARB-controlled key custody satisfies SARB's data sovereignty requirements.</w:t>
      </w:r>
    </w:p>
    <w:p>
      <w:pPr>
        <w:pStyle w:val="H2"/>
        <w:numPr>
          <w:ilvl w:val="1"/>
          <w:numId w:val="1"/>
        </w:numPr>
      </w:pPr>
      <w:r>
        <w:t>1.5 Reference Fit Snapshot</w:t>
      </w:r>
    </w:p>
    <w:p>
      <w:pPr>
        <w:pStyle w:val="ListParagraph"/>
        <w:numPr>
          <w:ilvl w:val="0"/>
          <w:numId w:val="4"/>
        </w:numPr>
      </w:pPr>
      <w:r>
        <w:rPr>
          <w:rFonts w:ascii="Figtree" w:hAnsi="Figtree"/>
          <w:b/>
          <w:i w:val="0"/>
          <w:sz w:val="22"/>
        </w:rPr>
        <w:t>Project Khokha I and II (SARB/BIS):</w:t>
      </w:r>
      <w:r>
        <w:rPr>
          <w:rFonts w:ascii="Figtree" w:hAnsi="Figtree"/>
          <w:b w:val="0"/>
          <w:i w:val="0"/>
          <w:sz w:val="22"/>
        </w:rPr>
        <w:t xml:space="preserve"> Hyperledger Besu IBFT 2.0 foundation; DvP settlement patterns; central bank control model.</w:t>
      </w:r>
    </w:p>
    <w:p>
      <w:pPr>
        <w:pStyle w:val="ListParagraph"/>
        <w:numPr>
          <w:ilvl w:val="0"/>
          <w:numId w:val="4"/>
        </w:numPr>
      </w:pPr>
      <w:r>
        <w:rPr>
          <w:rFonts w:ascii="Figtree" w:hAnsi="Figtree"/>
          <w:b/>
          <w:i w:val="0"/>
          <w:sz w:val="22"/>
        </w:rPr>
        <w:t>JSE Digital Post-Trade Infrastructure (South Africa):</w:t>
      </w:r>
      <w:r>
        <w:rPr>
          <w:rFonts w:ascii="Figtree" w:hAnsi="Figtree"/>
          <w:b w:val="0"/>
          <w:i w:val="0"/>
          <w:sz w:val="22"/>
        </w:rPr>
        <w:t xml:space="preserve"> South African market infrastructure context; Strate interaction patterns.</w:t>
      </w:r>
    </w:p>
    <w:p>
      <w:pPr>
        <w:pStyle w:val="ListParagraph"/>
        <w:numPr>
          <w:ilvl w:val="0"/>
          <w:numId w:val="4"/>
        </w:numPr>
      </w:pPr>
      <w:r>
        <w:rPr>
          <w:rFonts w:ascii="Figtree" w:hAnsi="Figtree"/>
          <w:b/>
          <w:i w:val="0"/>
          <w:sz w:val="22"/>
        </w:rPr>
        <w:t>Central Bank of UAE — Digital Dirham (Gulf):</w:t>
      </w:r>
      <w:r>
        <w:rPr>
          <w:rFonts w:ascii="Figtree" w:hAnsi="Figtree"/>
          <w:b w:val="0"/>
          <w:i w:val="0"/>
          <w:sz w:val="22"/>
        </w:rPr>
        <w:t xml:space="preserve"> Central bank CBDC deployment; sovereign control architecture; BIS-adjacent evidence requirements.</w:t>
      </w:r>
    </w:p>
    <w:p>
      <w:r>
        <w:br w:type="page"/>
      </w:r>
    </w:p>
    <w:p>
      <w:pPr>
        <w:pStyle w:val="H1"/>
        <w:numPr>
          <w:ilvl w:val="0"/>
          <w:numId w:val="1"/>
        </w:numPr>
      </w:pPr>
      <w:r>
        <w:t>2. About SettleMint</w:t>
      </w:r>
    </w:p>
    <w:p>
      <w:pPr>
        <w:pStyle w:val="H2"/>
        <w:numPr>
          <w:ilvl w:val="1"/>
          <w:numId w:val="1"/>
        </w:numPr>
      </w:pPr>
      <w:r>
        <w:t>2.1 Production Credentials Relevant to SARB</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93"/>
        <w:gridCol w:w="607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Credential</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Detail</w:t>
            </w:r>
          </w:p>
        </w:tc>
      </w:tr>
      <w:tr>
        <w:trPr>
          <w:trHeight w:val="425" w:hRule="atLeast"/>
        </w:trPr>
        <w:tc>
          <w:tcPr>
            <w:tcW w:type="dxa" w:w="4873"/>
            <w:vAlign w:val="center"/>
          </w:tcPr>
          <w:p>
            <w:pPr>
              <w:spacing w:line="276" w:lineRule="auto" w:before="0" w:after="0"/>
            </w:pPr>
            <w:r/>
            <w:r>
              <w:rPr>
                <w:rFonts w:ascii="Figtree" w:hAnsi="Figtree"/>
                <w:b w:val="0"/>
                <w:i w:val="0"/>
                <w:sz w:val="20"/>
              </w:rPr>
              <w:t>African market deployments</w:t>
            </w:r>
          </w:p>
        </w:tc>
        <w:tc>
          <w:tcPr>
            <w:tcW w:type="dxa" w:w="4873"/>
            <w:vAlign w:val="center"/>
          </w:tcPr>
          <w:p>
            <w:pPr>
              <w:spacing w:line="276" w:lineRule="auto" w:before="0" w:after="0"/>
            </w:pPr>
            <w:r/>
            <w:r>
              <w:rPr>
                <w:rFonts w:ascii="Figtree" w:hAnsi="Figtree"/>
                <w:b w:val="0"/>
                <w:i w:val="0"/>
                <w:sz w:val="20"/>
              </w:rPr>
              <w:t>JSE, Standard Bank, FirstRand, Absa, Standard Chartered Africa</w:t>
            </w:r>
          </w:p>
        </w:tc>
      </w:tr>
      <w:tr>
        <w:trPr>
          <w:trHeight w:val="425" w:hRule="atLeast"/>
        </w:trPr>
        <w:tc>
          <w:tcPr>
            <w:tcW w:type="dxa" w:w="4873"/>
            <w:vAlign w:val="center"/>
          </w:tcPr>
          <w:p>
            <w:pPr>
              <w:spacing w:line="276" w:lineRule="auto" w:before="0" w:after="0"/>
            </w:pPr>
            <w:r/>
            <w:r>
              <w:rPr>
                <w:rFonts w:ascii="Figtree" w:hAnsi="Figtree"/>
                <w:b w:val="0"/>
                <w:i w:val="0"/>
                <w:sz w:val="20"/>
              </w:rPr>
              <w:t>Project Khokha stack</w:t>
            </w:r>
          </w:p>
        </w:tc>
        <w:tc>
          <w:tcPr>
            <w:tcW w:type="dxa" w:w="4873"/>
            <w:vAlign w:val="center"/>
          </w:tcPr>
          <w:p>
            <w:pPr>
              <w:spacing w:line="276" w:lineRule="auto" w:before="0" w:after="0"/>
            </w:pPr>
            <w:r/>
            <w:r>
              <w:rPr>
                <w:rFonts w:ascii="Figtree" w:hAnsi="Figtree"/>
                <w:b w:val="0"/>
                <w:i w:val="0"/>
                <w:sz w:val="20"/>
              </w:rPr>
              <w:t>Hyperledger Besu IBFT 2.0 — same technical foundation</w:t>
            </w:r>
          </w:p>
        </w:tc>
      </w:tr>
      <w:tr>
        <w:trPr>
          <w:trHeight w:val="425" w:hRule="atLeast"/>
        </w:trPr>
        <w:tc>
          <w:tcPr>
            <w:tcW w:type="dxa" w:w="4873"/>
            <w:vAlign w:val="center"/>
          </w:tcPr>
          <w:p>
            <w:pPr>
              <w:spacing w:line="276" w:lineRule="auto" w:before="0" w:after="0"/>
            </w:pPr>
            <w:r/>
            <w:r>
              <w:rPr>
                <w:rFonts w:ascii="Figtree" w:hAnsi="Figtree"/>
                <w:b w:val="0"/>
                <w:i w:val="0"/>
                <w:sz w:val="20"/>
              </w:rPr>
              <w:t>Central bank CBDC</w:t>
            </w:r>
          </w:p>
        </w:tc>
        <w:tc>
          <w:tcPr>
            <w:tcW w:type="dxa" w:w="4873"/>
            <w:vAlign w:val="center"/>
          </w:tcPr>
          <w:p>
            <w:pPr>
              <w:spacing w:line="276" w:lineRule="auto" w:before="0" w:after="0"/>
            </w:pPr>
            <w:r/>
            <w:r>
              <w:rPr>
                <w:rFonts w:ascii="Figtree" w:hAnsi="Figtree"/>
                <w:b w:val="0"/>
                <w:i w:val="0"/>
                <w:sz w:val="20"/>
              </w:rPr>
              <w:t>CBUAE Digital Dirham, BIS-linked CBDC research</w:t>
            </w:r>
          </w:p>
        </w:tc>
      </w:tr>
      <w:tr>
        <w:trPr>
          <w:trHeight w:val="425" w:hRule="atLeast"/>
        </w:trPr>
        <w:tc>
          <w:tcPr>
            <w:tcW w:type="dxa" w:w="4873"/>
            <w:vAlign w:val="center"/>
          </w:tcPr>
          <w:p>
            <w:pPr>
              <w:spacing w:line="276" w:lineRule="auto" w:before="0" w:after="0"/>
            </w:pPr>
            <w:r/>
            <w:r>
              <w:rPr>
                <w:rFonts w:ascii="Figtree" w:hAnsi="Figtree"/>
                <w:b w:val="0"/>
                <w:i w:val="0"/>
                <w:sz w:val="20"/>
              </w:rPr>
              <w:t>ISO 27001, SOC 2 Type II</w:t>
            </w:r>
          </w:p>
        </w:tc>
        <w:tc>
          <w:tcPr>
            <w:tcW w:type="dxa" w:w="4873"/>
            <w:vAlign w:val="center"/>
          </w:tcPr>
          <w:p>
            <w:pPr>
              <w:spacing w:line="276" w:lineRule="auto" w:before="0" w:after="0"/>
            </w:pPr>
            <w:r/>
            <w:r>
              <w:rPr>
                <w:rFonts w:ascii="Figtree" w:hAnsi="Figtree"/>
                <w:b w:val="0"/>
                <w:i w:val="0"/>
                <w:sz w:val="20"/>
              </w:rPr>
              <w:t>Security certifications</w:t>
            </w:r>
          </w:p>
        </w:tc>
      </w:tr>
      <w:tr>
        <w:trPr>
          <w:trHeight w:val="425" w:hRule="atLeast"/>
        </w:trPr>
        <w:tc>
          <w:tcPr>
            <w:tcW w:type="dxa" w:w="4873"/>
            <w:vAlign w:val="center"/>
          </w:tcPr>
          <w:p>
            <w:pPr>
              <w:spacing w:line="276" w:lineRule="auto" w:before="0" w:after="0"/>
            </w:pPr>
            <w:r/>
            <w:r>
              <w:rPr>
                <w:rFonts w:ascii="Figtree" w:hAnsi="Figtree"/>
                <w:b w:val="0"/>
                <w:i w:val="0"/>
                <w:sz w:val="20"/>
              </w:rPr>
              <w:t>Sovereign deployment</w:t>
            </w:r>
          </w:p>
        </w:tc>
        <w:tc>
          <w:tcPr>
            <w:tcW w:type="dxa" w:w="4873"/>
            <w:vAlign w:val="center"/>
          </w:tcPr>
          <w:p>
            <w:pPr>
              <w:spacing w:line="276" w:lineRule="auto" w:before="0" w:after="0"/>
            </w:pPr>
            <w:r/>
            <w:r>
              <w:rPr>
                <w:rFonts w:ascii="Figtree" w:hAnsi="Figtree"/>
                <w:b w:val="0"/>
                <w:i w:val="0"/>
                <w:sz w:val="20"/>
              </w:rPr>
              <w:t>South Africa-region cloud, SARB-controlled HSM option</w:t>
            </w:r>
          </w:p>
        </w:tc>
      </w:tr>
    </w:tbl>
    <w:p>
      <w:pPr>
        <w:spacing w:before="0" w:after="0" w:line="120" w:lineRule="exact"/>
      </w:pPr>
    </w:p>
    <w:p>
      <w:r>
        <w:br w:type="page"/>
      </w:r>
    </w:p>
    <w:p>
      <w:pPr>
        <w:pStyle w:val="H1"/>
        <w:numPr>
          <w:ilvl w:val="0"/>
          <w:numId w:val="1"/>
        </w:numPr>
      </w:pPr>
      <w:r>
        <w:t>3. About DALP for CBDC/Tokenized Settlement</w:t>
      </w:r>
    </w:p>
    <w:p>
      <w:pPr>
        <w:pStyle w:val="H2"/>
        <w:numPr>
          <w:ilvl w:val="1"/>
          <w:numId w:val="1"/>
        </w:numPr>
      </w:pPr>
      <w:r>
        <w:t>3.1 Platform Architecture</w:t>
      </w:r>
    </w:p>
    <w:p>
      <w:pPr>
        <w:jc w:val="center"/>
      </w:pPr>
      <w:r>
        <w:drawing>
          <wp:inline xmlns:a="http://schemas.openxmlformats.org/drawingml/2006/main" xmlns:pic="http://schemas.openxmlformats.org/drawingml/2006/picture">
            <wp:extent cx="5486400" cy="1511559"/>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1511559"/>
                    </a:xfrm>
                    <a:prstGeom prst="rect"/>
                  </pic:spPr>
                </pic:pic>
              </a:graphicData>
            </a:graphic>
          </wp:inline>
        </w:drawing>
      </w:r>
    </w:p>
    <w:p>
      <w:pPr>
        <w:pStyle w:val="H2"/>
        <w:numPr>
          <w:ilvl w:val="1"/>
          <w:numId w:val="1"/>
        </w:numPr>
      </w:pPr>
      <w:r>
        <w:t>3.2 Project Khokha Technical Continuity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283"/>
        <w:gridCol w:w="578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Project Khokha Element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DALP Alignment</w:t>
            </w:r>
          </w:p>
        </w:tc>
      </w:tr>
      <w:tr>
        <w:trPr>
          <w:trHeight w:val="425" w:hRule="atLeast"/>
        </w:trPr>
        <w:tc>
          <w:tcPr>
            <w:tcW w:type="dxa" w:w="4873"/>
            <w:vAlign w:val="center"/>
          </w:tcPr>
          <w:p>
            <w:pPr>
              <w:spacing w:line="276" w:lineRule="auto" w:before="0" w:after="0"/>
            </w:pPr>
            <w:r/>
            <w:r>
              <w:rPr>
                <w:rFonts w:ascii="Figtree" w:hAnsi="Figtree"/>
                <w:b w:val="0"/>
                <w:i w:val="0"/>
                <w:sz w:val="20"/>
              </w:rPr>
              <w:t>Hyperledger Besu</w:t>
            </w:r>
          </w:p>
        </w:tc>
        <w:tc>
          <w:tcPr>
            <w:tcW w:type="dxa" w:w="4873"/>
            <w:vAlign w:val="center"/>
          </w:tcPr>
          <w:p>
            <w:pPr>
              <w:spacing w:line="276" w:lineRule="auto" w:before="0" w:after="0"/>
            </w:pPr>
            <w:r/>
            <w:r>
              <w:rPr>
                <w:rFonts w:ascii="Figtree" w:hAnsi="Figtree"/>
                <w:b w:val="0"/>
                <w:i w:val="0"/>
                <w:sz w:val="20"/>
              </w:rPr>
              <w:t>DALP's recommended network — same platform</w:t>
            </w:r>
          </w:p>
        </w:tc>
      </w:tr>
      <w:tr>
        <w:trPr>
          <w:trHeight w:val="425" w:hRule="atLeast"/>
        </w:trPr>
        <w:tc>
          <w:tcPr>
            <w:tcW w:type="dxa" w:w="4873"/>
            <w:vAlign w:val="center"/>
          </w:tcPr>
          <w:p>
            <w:pPr>
              <w:spacing w:line="276" w:lineRule="auto" w:before="0" w:after="0"/>
            </w:pPr>
            <w:r/>
            <w:r>
              <w:rPr>
                <w:rFonts w:ascii="Figtree" w:hAnsi="Figtree"/>
                <w:b w:val="0"/>
                <w:i w:val="0"/>
                <w:sz w:val="20"/>
              </w:rPr>
              <w:t>IBFT 2.0 consensus</w:t>
            </w:r>
          </w:p>
        </w:tc>
        <w:tc>
          <w:tcPr>
            <w:tcW w:type="dxa" w:w="4873"/>
            <w:vAlign w:val="center"/>
          </w:tcPr>
          <w:p>
            <w:pPr>
              <w:spacing w:line="276" w:lineRule="auto" w:before="0" w:after="0"/>
            </w:pPr>
            <w:r/>
            <w:r>
              <w:rPr>
                <w:rFonts w:ascii="Figtree" w:hAnsi="Figtree"/>
                <w:b w:val="0"/>
                <w:i w:val="0"/>
                <w:sz w:val="20"/>
              </w:rPr>
              <w:t>DALP's default permissioned consensus — deterministic finality</w:t>
            </w:r>
          </w:p>
        </w:tc>
      </w:tr>
      <w:tr>
        <w:trPr>
          <w:trHeight w:val="425" w:hRule="atLeast"/>
        </w:trPr>
        <w:tc>
          <w:tcPr>
            <w:tcW w:type="dxa" w:w="4873"/>
            <w:vAlign w:val="center"/>
          </w:tcPr>
          <w:p>
            <w:pPr>
              <w:spacing w:line="276" w:lineRule="auto" w:before="0" w:after="0"/>
            </w:pPr>
            <w:r/>
            <w:r>
              <w:rPr>
                <w:rFonts w:ascii="Figtree" w:hAnsi="Figtree"/>
                <w:b w:val="0"/>
                <w:i w:val="0"/>
                <w:sz w:val="20"/>
              </w:rPr>
              <w:t>Privacy extensions (Tessera)</w:t>
            </w:r>
          </w:p>
        </w:tc>
        <w:tc>
          <w:tcPr>
            <w:tcW w:type="dxa" w:w="4873"/>
            <w:vAlign w:val="center"/>
          </w:tcPr>
          <w:p>
            <w:pPr>
              <w:spacing w:line="276" w:lineRule="auto" w:before="0" w:after="0"/>
            </w:pPr>
            <w:r/>
            <w:r>
              <w:rPr>
                <w:rFonts w:ascii="Figtree" w:hAnsi="Figtree"/>
                <w:b w:val="0"/>
                <w:i w:val="0"/>
                <w:sz w:val="20"/>
              </w:rPr>
              <w:t>DALP can integrate with Tessera for transaction privacy</w:t>
            </w:r>
          </w:p>
        </w:tc>
      </w:tr>
      <w:tr>
        <w:trPr>
          <w:trHeight w:val="425" w:hRule="atLeast"/>
        </w:trPr>
        <w:tc>
          <w:tcPr>
            <w:tcW w:type="dxa" w:w="4873"/>
            <w:vAlign w:val="center"/>
          </w:tcPr>
          <w:p>
            <w:pPr>
              <w:spacing w:line="276" w:lineRule="auto" w:before="0" w:after="0"/>
            </w:pPr>
            <w:r/>
            <w:r>
              <w:rPr>
                <w:rFonts w:ascii="Figtree" w:hAnsi="Figtree"/>
                <w:b w:val="0"/>
                <w:i w:val="0"/>
                <w:sz w:val="20"/>
              </w:rPr>
              <w:t>DvP settlement pattern</w:t>
            </w:r>
          </w:p>
        </w:tc>
        <w:tc>
          <w:tcPr>
            <w:tcW w:type="dxa" w:w="4873"/>
            <w:vAlign w:val="center"/>
          </w:tcPr>
          <w:p>
            <w:pPr>
              <w:spacing w:line="276" w:lineRule="auto" w:before="0" w:after="0"/>
            </w:pPr>
            <w:r/>
            <w:r>
              <w:rPr>
                <w:rFonts w:ascii="Figtree" w:hAnsi="Figtree"/>
                <w:b w:val="0"/>
                <w:i w:val="0"/>
                <w:sz w:val="20"/>
              </w:rPr>
              <w:t>DALP's XvP Settlement addon — production-grade DvP</w:t>
            </w:r>
          </w:p>
        </w:tc>
      </w:tr>
      <w:tr>
        <w:trPr>
          <w:trHeight w:val="425" w:hRule="atLeast"/>
        </w:trPr>
        <w:tc>
          <w:tcPr>
            <w:tcW w:type="dxa" w:w="4873"/>
            <w:vAlign w:val="center"/>
          </w:tcPr>
          <w:p>
            <w:pPr>
              <w:spacing w:line="276" w:lineRule="auto" w:before="0" w:after="0"/>
            </w:pPr>
            <w:r/>
            <w:r>
              <w:rPr>
                <w:rFonts w:ascii="Figtree" w:hAnsi="Figtree"/>
                <w:b w:val="0"/>
                <w:i w:val="0"/>
                <w:sz w:val="20"/>
              </w:rPr>
              <w:t>Central bank supply control</w:t>
            </w:r>
          </w:p>
        </w:tc>
        <w:tc>
          <w:tcPr>
            <w:tcW w:type="dxa" w:w="4873"/>
            <w:vAlign w:val="center"/>
          </w:tcPr>
          <w:p>
            <w:pPr>
              <w:spacing w:line="276" w:lineRule="auto" w:before="0" w:after="0"/>
            </w:pPr>
            <w:r/>
            <w:r>
              <w:rPr>
                <w:rFonts w:ascii="Figtree" w:hAnsi="Figtree"/>
                <w:b w:val="0"/>
                <w:i w:val="0"/>
                <w:sz w:val="20"/>
              </w:rPr>
              <w:t>DALP GOVERNANCE_ROLE for SARB-exclusive minting</w:t>
            </w:r>
          </w:p>
        </w:tc>
      </w:tr>
      <w:tr>
        <w:trPr>
          <w:trHeight w:val="425" w:hRule="atLeast"/>
        </w:trPr>
        <w:tc>
          <w:tcPr>
            <w:tcW w:type="dxa" w:w="4873"/>
            <w:vAlign w:val="center"/>
          </w:tcPr>
          <w:p>
            <w:pPr>
              <w:spacing w:line="276" w:lineRule="auto" w:before="0" w:after="0"/>
            </w:pPr>
            <w:r/>
            <w:r>
              <w:rPr>
                <w:rFonts w:ascii="Figtree" w:hAnsi="Figtree"/>
                <w:b w:val="0"/>
                <w:i w:val="0"/>
                <w:sz w:val="20"/>
              </w:rPr>
              <w:t>Participant bank role separation</w:t>
            </w:r>
          </w:p>
        </w:tc>
        <w:tc>
          <w:tcPr>
            <w:tcW w:type="dxa" w:w="4873"/>
            <w:vAlign w:val="center"/>
          </w:tcPr>
          <w:p>
            <w:pPr>
              <w:spacing w:line="276" w:lineRule="auto" w:before="0" w:after="0"/>
            </w:pPr>
            <w:r/>
            <w:r>
              <w:rPr>
                <w:rFonts w:ascii="Figtree" w:hAnsi="Figtree"/>
                <w:b w:val="0"/>
                <w:i w:val="0"/>
                <w:sz w:val="20"/>
              </w:rPr>
              <w:t>DALP's 26-role RBAC model</w:t>
            </w:r>
          </w:p>
        </w:tc>
      </w:tr>
    </w:tbl>
    <w:p>
      <w:pPr>
        <w:spacing w:before="0" w:after="0" w:line="120" w:lineRule="exact"/>
      </w:pPr>
    </w:p>
    <w:p>
      <w:pPr>
        <w:pStyle w:val="H2"/>
        <w:numPr>
          <w:ilvl w:val="1"/>
          <w:numId w:val="1"/>
        </w:numPr>
      </w:pPr>
      <w:r>
        <w:t>3.3 Core CBDC Lifecycle Pillars</w:t>
      </w:r>
    </w:p>
    <w:p>
      <w:r>
        <w:rPr>
          <w:rFonts w:ascii="Figtree" w:hAnsi="Figtree"/>
          <w:b/>
          <w:i w:val="0"/>
          <w:sz w:val="22"/>
        </w:rPr>
        <w:t>Supply issuance:</w:t>
      </w:r>
      <w:r>
        <w:rPr>
          <w:rFonts w:ascii="Figtree" w:hAnsi="Figtree"/>
          <w:b w:val="0"/>
          <w:i w:val="0"/>
          <w:sz w:val="22"/>
        </w:rPr>
        <w:t xml:space="preserve"> SARB-exclusive minting for wholesale CBDC (ZAR-denominated). Multi-party SARB authorization required. Complete supply lifecycle audit from issuance through circulation through redemption.</w:t>
      </w:r>
    </w:p>
    <w:p>
      <w:r>
        <w:rPr>
          <w:rFonts w:ascii="Figtree" w:hAnsi="Figtree"/>
          <w:b/>
          <w:i w:val="0"/>
          <w:sz w:val="22"/>
        </w:rPr>
        <w:t>Tokenized money market securities:</w:t>
      </w:r>
      <w:r>
        <w:rPr>
          <w:rFonts w:ascii="Figtree" w:hAnsi="Figtree"/>
          <w:b w:val="0"/>
          <w:i w:val="0"/>
          <w:sz w:val="22"/>
        </w:rPr>
        <w:t xml:space="preserve"> DALP's bond asset type supports tokenized money market instruments with configurable maturity terms, yield calculation, and DvP settlement — extending Project Khokha 2 patterns.</w:t>
      </w:r>
    </w:p>
    <w:p>
      <w:r>
        <w:rPr>
          <w:rFonts w:ascii="Figtree" w:hAnsi="Figtree"/>
          <w:b/>
          <w:i w:val="0"/>
          <w:sz w:val="22"/>
        </w:rPr>
        <w:t>DvP settlement:</w:t>
      </w:r>
      <w:r>
        <w:rPr>
          <w:rFonts w:ascii="Figtree" w:hAnsi="Figtree"/>
          <w:b w:val="0"/>
          <w:i w:val="0"/>
          <w:sz w:val="22"/>
        </w:rPr>
        <w:t xml:space="preserve"> XvP Settlement addon provides atomic delivery-versus-payment. Securities token delivery is locked to SAMOS cash payment confirmation — no partial settlement possible.</w:t>
      </w:r>
    </w:p>
    <w:p>
      <w:r>
        <w:rPr>
          <w:rFonts w:ascii="Figtree" w:hAnsi="Figtree"/>
          <w:b/>
          <w:i w:val="0"/>
          <w:sz w:val="22"/>
        </w:rPr>
        <w:t>SAMOS integration:</w:t>
      </w:r>
      <w:r>
        <w:rPr>
          <w:rFonts w:ascii="Figtree" w:hAnsi="Figtree"/>
          <w:b w:val="0"/>
          <w:i w:val="0"/>
          <w:sz w:val="22"/>
        </w:rPr>
        <w:t xml:space="preserve"> ISO 20022 settlement instruction exchange with SAMOS for cash leg confirmation. Daily reconciliation between DALP positions and SAMOS records.</w:t>
      </w:r>
    </w:p>
    <w:p>
      <w:r>
        <w:rPr>
          <w:rFonts w:ascii="Figtree" w:hAnsi="Figtree"/>
          <w:b/>
          <w:i w:val="0"/>
          <w:sz w:val="22"/>
        </w:rPr>
        <w:t>Strate integration:</w:t>
      </w:r>
      <w:r>
        <w:rPr>
          <w:rFonts w:ascii="Figtree" w:hAnsi="Figtree"/>
          <w:b w:val="0"/>
          <w:i w:val="0"/>
          <w:sz w:val="22"/>
        </w:rPr>
        <w:t xml:space="preserve"> Token position reconciliation against Strate CSD records. Settlement confirmation export in Strate-compatible format.</w:t>
      </w:r>
    </w:p>
    <w:p>
      <w:r>
        <w:br w:type="page"/>
      </w:r>
    </w:p>
    <w:p>
      <w:pPr>
        <w:pStyle w:val="H1"/>
        <w:numPr>
          <w:ilvl w:val="0"/>
          <w:numId w:val="1"/>
        </w:numPr>
      </w:pPr>
      <w:r>
        <w:t>4. Understanding SARB Requirements</w:t>
      </w:r>
    </w:p>
    <w:p>
      <w:pPr>
        <w:pStyle w:val="H2"/>
        <w:numPr>
          <w:ilvl w:val="1"/>
          <w:numId w:val="1"/>
        </w:numPr>
      </w:pPr>
      <w:r>
        <w:t>4.1 SARB's Mandate</w:t>
      </w:r>
    </w:p>
    <w:p>
      <w:r>
        <w:rPr>
          <w:rFonts w:ascii="Figtree" w:hAnsi="Figtree"/>
          <w:b w:val="0"/>
          <w:i w:val="0"/>
          <w:sz w:val="22"/>
        </w:rPr>
        <w:t>SARB's Project Khokha-aligned programme must:</w:t>
      </w:r>
    </w:p>
    <w:p>
      <w:pPr>
        <w:pStyle w:val="ListParagraph"/>
        <w:numPr>
          <w:ilvl w:val="0"/>
          <w:numId w:val="7"/>
        </w:numPr>
      </w:pPr>
      <w:r>
        <w:rPr>
          <w:rFonts w:ascii="Figtree" w:hAnsi="Figtree"/>
          <w:b w:val="0"/>
          <w:i w:val="0"/>
          <w:sz w:val="22"/>
        </w:rPr>
        <w:t>Build on Project Khokha technical foundations (Besu/IBFT 2.0, DvP patterns)</w:t>
      </w:r>
    </w:p>
    <w:p>
      <w:pPr>
        <w:pStyle w:val="ListParagraph"/>
        <w:numPr>
          <w:ilvl w:val="0"/>
          <w:numId w:val="7"/>
        </w:numPr>
      </w:pPr>
      <w:r>
        <w:rPr>
          <w:rFonts w:ascii="Figtree" w:hAnsi="Figtree"/>
          <w:b w:val="0"/>
          <w:i w:val="0"/>
          <w:sz w:val="22"/>
        </w:rPr>
        <w:t>Integrate with SAMOS (RTGS) and Strate (CSD) as authoritative systems</w:t>
      </w:r>
    </w:p>
    <w:p>
      <w:pPr>
        <w:pStyle w:val="ListParagraph"/>
        <w:numPr>
          <w:ilvl w:val="0"/>
          <w:numId w:val="7"/>
        </w:numPr>
      </w:pPr>
      <w:r>
        <w:rPr>
          <w:rFonts w:ascii="Figtree" w:hAnsi="Figtree"/>
          <w:b w:val="0"/>
          <w:i w:val="0"/>
          <w:sz w:val="22"/>
        </w:rPr>
        <w:t>Support SARB's supervisory obligations under NPS Act and Banks Act</w:t>
      </w:r>
    </w:p>
    <w:p>
      <w:pPr>
        <w:pStyle w:val="ListParagraph"/>
        <w:numPr>
          <w:ilvl w:val="0"/>
          <w:numId w:val="7"/>
        </w:numPr>
      </w:pPr>
      <w:r>
        <w:rPr>
          <w:rFonts w:ascii="Figtree" w:hAnsi="Figtree"/>
          <w:b w:val="0"/>
          <w:i w:val="0"/>
          <w:sz w:val="22"/>
        </w:rPr>
        <w:t>Produce evidence for PA, FSCA, and BIS engagement</w:t>
      </w:r>
    </w:p>
    <w:p>
      <w:pPr>
        <w:pStyle w:val="ListParagraph"/>
        <w:numPr>
          <w:ilvl w:val="0"/>
          <w:numId w:val="7"/>
        </w:numPr>
      </w:pPr>
      <w:r>
        <w:rPr>
          <w:rFonts w:ascii="Figtree" w:hAnsi="Figtree"/>
          <w:b w:val="0"/>
          <w:i w:val="0"/>
          <w:sz w:val="22"/>
        </w:rPr>
        <w:t>Maintain full data sovereignty within South Africa</w:t>
      </w:r>
    </w:p>
    <w:p>
      <w:pPr>
        <w:pStyle w:val="H2"/>
        <w:numPr>
          <w:ilvl w:val="1"/>
          <w:numId w:val="1"/>
        </w:numPr>
      </w:pPr>
      <w:r>
        <w:t>4.2 Requirement Domain Mapping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23"/>
        <w:gridCol w:w="3024"/>
        <w:gridCol w:w="312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Domain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SARB 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Coverage</w:t>
            </w:r>
          </w:p>
        </w:tc>
      </w:tr>
      <w:tr>
        <w:trPr>
          <w:trHeight w:val="425" w:hRule="atLeast"/>
        </w:trPr>
        <w:tc>
          <w:tcPr>
            <w:tcW w:type="dxa" w:w="3249"/>
            <w:vAlign w:val="center"/>
          </w:tcPr>
          <w:p>
            <w:pPr>
              <w:spacing w:line="276" w:lineRule="auto" w:before="0" w:after="0"/>
            </w:pPr>
            <w:r/>
            <w:r>
              <w:rPr>
                <w:rFonts w:ascii="Figtree" w:hAnsi="Figtree"/>
                <w:b w:val="0"/>
                <w:i w:val="0"/>
                <w:sz w:val="20"/>
              </w:rPr>
              <w:t>CBDC supply control</w:t>
            </w:r>
          </w:p>
        </w:tc>
        <w:tc>
          <w:tcPr>
            <w:tcW w:type="dxa" w:w="3249"/>
            <w:vAlign w:val="center"/>
          </w:tcPr>
          <w:p>
            <w:pPr>
              <w:spacing w:line="276" w:lineRule="auto" w:before="0" w:after="0"/>
            </w:pPr>
            <w:r/>
            <w:r>
              <w:rPr>
                <w:rFonts w:ascii="Figtree" w:hAnsi="Figtree"/>
                <w:b w:val="0"/>
                <w:i w:val="0"/>
                <w:sz w:val="20"/>
              </w:rPr>
              <w:t>SARB-exclusive ZAR CBDC</w:t>
            </w:r>
          </w:p>
        </w:tc>
        <w:tc>
          <w:tcPr>
            <w:tcW w:type="dxa" w:w="3249"/>
            <w:vAlign w:val="center"/>
          </w:tcPr>
          <w:p>
            <w:pPr>
              <w:spacing w:line="276" w:lineRule="auto" w:before="0" w:after="0"/>
            </w:pPr>
            <w:r/>
            <w:r>
              <w:rPr>
                <w:rFonts w:ascii="Figtree" w:hAnsi="Figtree"/>
                <w:b w:val="0"/>
                <w:i w:val="0"/>
                <w:sz w:val="20"/>
              </w:rPr>
              <w:t>Full — GOVERNANCE_ROLE</w:t>
            </w:r>
          </w:p>
        </w:tc>
      </w:tr>
      <w:tr>
        <w:trPr>
          <w:trHeight w:val="425" w:hRule="atLeast"/>
        </w:trPr>
        <w:tc>
          <w:tcPr>
            <w:tcW w:type="dxa" w:w="3249"/>
            <w:vAlign w:val="center"/>
          </w:tcPr>
          <w:p>
            <w:pPr>
              <w:spacing w:line="276" w:lineRule="auto" w:before="0" w:after="0"/>
            </w:pPr>
            <w:r/>
            <w:r>
              <w:rPr>
                <w:rFonts w:ascii="Figtree" w:hAnsi="Figtree"/>
                <w:b w:val="0"/>
                <w:i w:val="0"/>
                <w:sz w:val="20"/>
              </w:rPr>
              <w:t>Tokenized securities</w:t>
            </w:r>
          </w:p>
        </w:tc>
        <w:tc>
          <w:tcPr>
            <w:tcW w:type="dxa" w:w="3249"/>
            <w:vAlign w:val="center"/>
          </w:tcPr>
          <w:p>
            <w:pPr>
              <w:spacing w:line="276" w:lineRule="auto" w:before="0" w:after="0"/>
            </w:pPr>
            <w:r/>
            <w:r>
              <w:rPr>
                <w:rFonts w:ascii="Figtree" w:hAnsi="Figtree"/>
                <w:b w:val="0"/>
                <w:i w:val="0"/>
                <w:sz w:val="20"/>
              </w:rPr>
              <w:t>Money market instrument DvP</w:t>
            </w:r>
          </w:p>
        </w:tc>
        <w:tc>
          <w:tcPr>
            <w:tcW w:type="dxa" w:w="3249"/>
            <w:vAlign w:val="center"/>
          </w:tcPr>
          <w:p>
            <w:pPr>
              <w:spacing w:line="276" w:lineRule="auto" w:before="0" w:after="0"/>
            </w:pPr>
            <w:r/>
            <w:r>
              <w:rPr>
                <w:rFonts w:ascii="Figtree" w:hAnsi="Figtree"/>
                <w:b w:val="0"/>
                <w:i w:val="0"/>
                <w:sz w:val="20"/>
              </w:rPr>
              <w:t>Full — bond asset type + XvP</w:t>
            </w:r>
          </w:p>
        </w:tc>
      </w:tr>
      <w:tr>
        <w:trPr>
          <w:trHeight w:val="425" w:hRule="atLeast"/>
        </w:trPr>
        <w:tc>
          <w:tcPr>
            <w:tcW w:type="dxa" w:w="3249"/>
            <w:vAlign w:val="center"/>
          </w:tcPr>
          <w:p>
            <w:pPr>
              <w:spacing w:line="276" w:lineRule="auto" w:before="0" w:after="0"/>
            </w:pPr>
            <w:r/>
            <w:r>
              <w:rPr>
                <w:rFonts w:ascii="Figtree" w:hAnsi="Figtree"/>
                <w:b w:val="0"/>
                <w:i w:val="0"/>
                <w:sz w:val="20"/>
              </w:rPr>
              <w:t>SAMOS integration</w:t>
            </w:r>
          </w:p>
        </w:tc>
        <w:tc>
          <w:tcPr>
            <w:tcW w:type="dxa" w:w="3249"/>
            <w:vAlign w:val="center"/>
          </w:tcPr>
          <w:p>
            <w:pPr>
              <w:spacing w:line="276" w:lineRule="auto" w:before="0" w:after="0"/>
            </w:pPr>
            <w:r/>
            <w:r>
              <w:rPr>
                <w:rFonts w:ascii="Figtree" w:hAnsi="Figtree"/>
                <w:b w:val="0"/>
                <w:i w:val="0"/>
                <w:sz w:val="20"/>
              </w:rPr>
              <w:t>ISO 20022 RTGS connectivity</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Strate integration</w:t>
            </w:r>
          </w:p>
        </w:tc>
        <w:tc>
          <w:tcPr>
            <w:tcW w:type="dxa" w:w="3249"/>
            <w:vAlign w:val="center"/>
          </w:tcPr>
          <w:p>
            <w:pPr>
              <w:spacing w:line="276" w:lineRule="auto" w:before="0" w:after="0"/>
            </w:pPr>
            <w:r/>
            <w:r>
              <w:rPr>
                <w:rFonts w:ascii="Figtree" w:hAnsi="Figtree"/>
                <w:b w:val="0"/>
                <w:i w:val="0"/>
                <w:sz w:val="20"/>
              </w:rPr>
              <w:t>CSD position reconciliation</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Participant management</w:t>
            </w:r>
          </w:p>
        </w:tc>
        <w:tc>
          <w:tcPr>
            <w:tcW w:type="dxa" w:w="3249"/>
            <w:vAlign w:val="center"/>
          </w:tcPr>
          <w:p>
            <w:pPr>
              <w:spacing w:line="276" w:lineRule="auto" w:before="0" w:after="0"/>
            </w:pPr>
            <w:r/>
            <w:r>
              <w:rPr>
                <w:rFonts w:ascii="Figtree" w:hAnsi="Figtree"/>
                <w:b w:val="0"/>
                <w:i w:val="0"/>
                <w:sz w:val="20"/>
              </w:rPr>
              <w:t>PA-regulated bank onboarding</w:t>
            </w:r>
          </w:p>
        </w:tc>
        <w:tc>
          <w:tcPr>
            <w:tcW w:type="dxa" w:w="3249"/>
            <w:vAlign w:val="center"/>
          </w:tcPr>
          <w:p>
            <w:pPr>
              <w:spacing w:line="276" w:lineRule="auto" w:before="0" w:after="0"/>
            </w:pPr>
            <w:r/>
            <w:r>
              <w:rPr>
                <w:rFonts w:ascii="Figtree" w:hAnsi="Figtree"/>
                <w:b w:val="0"/>
                <w:i w:val="0"/>
                <w:sz w:val="20"/>
              </w:rPr>
              <w:t>Full — OnchainID</w:t>
            </w:r>
          </w:p>
        </w:tc>
      </w:tr>
      <w:tr>
        <w:trPr>
          <w:trHeight w:val="425" w:hRule="atLeast"/>
        </w:trPr>
        <w:tc>
          <w:tcPr>
            <w:tcW w:type="dxa" w:w="3249"/>
            <w:vAlign w:val="center"/>
          </w:tcPr>
          <w:p>
            <w:pPr>
              <w:spacing w:line="276" w:lineRule="auto" w:before="0" w:after="0"/>
            </w:pPr>
            <w:r/>
            <w:r>
              <w:rPr>
                <w:rFonts w:ascii="Figtree" w:hAnsi="Figtree"/>
                <w:b w:val="0"/>
                <w:i w:val="0"/>
                <w:sz w:val="20"/>
              </w:rPr>
              <w:t>South Africa data sovereignty</w:t>
            </w:r>
          </w:p>
        </w:tc>
        <w:tc>
          <w:tcPr>
            <w:tcW w:type="dxa" w:w="3249"/>
            <w:vAlign w:val="center"/>
          </w:tcPr>
          <w:p>
            <w:pPr>
              <w:spacing w:line="276" w:lineRule="auto" w:before="0" w:after="0"/>
            </w:pPr>
            <w:r/>
            <w:r>
              <w:rPr>
                <w:rFonts w:ascii="Figtree" w:hAnsi="Figtree"/>
                <w:b w:val="0"/>
                <w:i w:val="0"/>
                <w:sz w:val="20"/>
              </w:rPr>
              <w:t>ZA-region cloud</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PA/FSCA evidence</w:t>
            </w:r>
          </w:p>
        </w:tc>
        <w:tc>
          <w:tcPr>
            <w:tcW w:type="dxa" w:w="3249"/>
            <w:vAlign w:val="center"/>
          </w:tcPr>
          <w:p>
            <w:pPr>
              <w:spacing w:line="276" w:lineRule="auto" w:before="0" w:after="0"/>
            </w:pPr>
            <w:r/>
            <w:r>
              <w:rPr>
                <w:rFonts w:ascii="Figtree" w:hAnsi="Figtree"/>
                <w:b w:val="0"/>
                <w:i w:val="0"/>
                <w:sz w:val="20"/>
              </w:rPr>
              <w:t>Twin-peaks regulatory evidence</w:t>
            </w:r>
          </w:p>
        </w:tc>
        <w:tc>
          <w:tcPr>
            <w:tcW w:type="dxa" w:w="3249"/>
            <w:vAlign w:val="center"/>
          </w:tcPr>
          <w:p>
            <w:pPr>
              <w:spacing w:line="276" w:lineRule="auto" w:before="0" w:after="0"/>
            </w:pPr>
            <w:r/>
            <w:r>
              <w:rPr>
                <w:rFonts w:ascii="Figtree" w:hAnsi="Figtree"/>
                <w:b w:val="0"/>
                <w:i w:val="0"/>
                <w:sz w:val="20"/>
              </w:rPr>
              <w:t>Full — dual evidence categories</w:t>
            </w:r>
          </w:p>
        </w:tc>
      </w:tr>
    </w:tbl>
    <w:p>
      <w:pPr>
        <w:spacing w:before="0" w:after="0" w:line="120" w:lineRule="exact"/>
      </w:pPr>
    </w:p>
    <w:p>
      <w:r>
        <w:br w:type="page"/>
      </w:r>
    </w:p>
    <w:p>
      <w:pPr>
        <w:pStyle w:val="H1"/>
        <w:numPr>
          <w:ilvl w:val="0"/>
          <w:numId w:val="1"/>
        </w:numPr>
      </w:pPr>
      <w:r>
        <w:t>5. Proposed Solution: CBDC and Tokenized Settlement Architecture</w:t>
      </w:r>
    </w:p>
    <w:p>
      <w:pPr>
        <w:pStyle w:val="H2"/>
        <w:numPr>
          <w:ilvl w:val="1"/>
          <w:numId w:val="1"/>
        </w:numPr>
      </w:pPr>
      <w:r>
        <w:t>5.1 Wholesale CBDC Design</w:t>
      </w:r>
    </w:p>
    <w:p>
      <w:pPr>
        <w:jc w:val="center"/>
      </w:pPr>
      <w:r>
        <w:drawing>
          <wp:inline xmlns:a="http://schemas.openxmlformats.org/drawingml/2006/main" xmlns:pic="http://schemas.openxmlformats.org/drawingml/2006/picture">
            <wp:extent cx="4478634" cy="8229598"/>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4478634" cy="8229598"/>
                    </a:xfrm>
                    <a:prstGeom prst="rect"/>
                  </pic:spPr>
                </pic:pic>
              </a:graphicData>
            </a:graphic>
          </wp:inline>
        </w:drawing>
      </w:r>
    </w:p>
    <w:p>
      <w:pPr>
        <w:pStyle w:val="H2"/>
        <w:numPr>
          <w:ilvl w:val="1"/>
          <w:numId w:val="1"/>
        </w:numPr>
      </w:pPr>
      <w:r>
        <w:t>5.2 Tokenized Money Market Securities Settlement</w:t>
      </w:r>
    </w:p>
    <w:p>
      <w:pPr>
        <w:jc w:val="center"/>
      </w:pPr>
      <w:r>
        <w:drawing>
          <wp:inline xmlns:a="http://schemas.openxmlformats.org/drawingml/2006/main" xmlns:pic="http://schemas.openxmlformats.org/drawingml/2006/picture">
            <wp:extent cx="5486400" cy="3359021"/>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3359021"/>
                    </a:xfrm>
                    <a:prstGeom prst="rect"/>
                  </pic:spPr>
                </pic:pic>
              </a:graphicData>
            </a:graphic>
          </wp:inline>
        </w:drawing>
      </w:r>
    </w:p>
    <w:p>
      <w:pPr>
        <w:pStyle w:val="H2"/>
        <w:numPr>
          <w:ilvl w:val="1"/>
          <w:numId w:val="1"/>
        </w:numPr>
      </w:pPr>
      <w:r>
        <w:t>5.3 SARB Monitoring Dashboard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97"/>
        <w:gridCol w:w="4425"/>
        <w:gridCol w:w="154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SARB View</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Frequency</w:t>
            </w:r>
          </w:p>
        </w:tc>
      </w:tr>
      <w:tr>
        <w:trPr>
          <w:trHeight w:val="425" w:hRule="atLeast"/>
        </w:trPr>
        <w:tc>
          <w:tcPr>
            <w:tcW w:type="dxa" w:w="3249"/>
            <w:vAlign w:val="center"/>
          </w:tcPr>
          <w:p>
            <w:pPr>
              <w:spacing w:line="276" w:lineRule="auto" w:before="0" w:after="0"/>
            </w:pPr>
            <w:r/>
            <w:r>
              <w:rPr>
                <w:rFonts w:ascii="Figtree" w:hAnsi="Figtree"/>
                <w:b w:val="0"/>
                <w:i w:val="0"/>
                <w:sz w:val="20"/>
              </w:rPr>
              <w:t>Total CBDC in circulation</w:t>
            </w:r>
          </w:p>
        </w:tc>
        <w:tc>
          <w:tcPr>
            <w:tcW w:type="dxa" w:w="3249"/>
            <w:vAlign w:val="center"/>
          </w:tcPr>
          <w:p>
            <w:pPr>
              <w:spacing w:line="276" w:lineRule="auto" w:before="0" w:after="0"/>
            </w:pPr>
            <w:r/>
            <w:r>
              <w:rPr>
                <w:rFonts w:ascii="Figtree" w:hAnsi="Figtree"/>
                <w:b w:val="0"/>
                <w:i w:val="0"/>
                <w:sz w:val="20"/>
              </w:rPr>
              <w:t>ZAR amount vs SARB authorization</w:t>
            </w:r>
          </w:p>
        </w:tc>
        <w:tc>
          <w:tcPr>
            <w:tcW w:type="dxa" w:w="3249"/>
            <w:vAlign w:val="center"/>
          </w:tcPr>
          <w:p>
            <w:pPr>
              <w:spacing w:line="276" w:lineRule="auto" w:before="0" w:after="0"/>
            </w:pPr>
            <w:r/>
            <w:r>
              <w:rPr>
                <w:rFonts w:ascii="Figtree" w:hAnsi="Figtree"/>
                <w:b w:val="0"/>
                <w:i w:val="0"/>
                <w:sz w:val="20"/>
              </w:rPr>
              <w:t>Real-time</w:t>
            </w:r>
          </w:p>
        </w:tc>
      </w:tr>
      <w:tr>
        <w:trPr>
          <w:trHeight w:val="425" w:hRule="atLeast"/>
        </w:trPr>
        <w:tc>
          <w:tcPr>
            <w:tcW w:type="dxa" w:w="3249"/>
            <w:vAlign w:val="center"/>
          </w:tcPr>
          <w:p>
            <w:pPr>
              <w:spacing w:line="276" w:lineRule="auto" w:before="0" w:after="0"/>
            </w:pPr>
            <w:r/>
            <w:r>
              <w:rPr>
                <w:rFonts w:ascii="Figtree" w:hAnsi="Figtree"/>
                <w:b w:val="0"/>
                <w:i w:val="0"/>
                <w:sz w:val="20"/>
              </w:rPr>
              <w:t>Bank positions</w:t>
            </w:r>
          </w:p>
        </w:tc>
        <w:tc>
          <w:tcPr>
            <w:tcW w:type="dxa" w:w="3249"/>
            <w:vAlign w:val="center"/>
          </w:tcPr>
          <w:p>
            <w:pPr>
              <w:spacing w:line="276" w:lineRule="auto" w:before="0" w:after="0"/>
            </w:pPr>
            <w:r/>
            <w:r>
              <w:rPr>
                <w:rFonts w:ascii="Figtree" w:hAnsi="Figtree"/>
                <w:b w:val="0"/>
                <w:i w:val="0"/>
                <w:sz w:val="20"/>
              </w:rPr>
              <w:t>Each bank's CBDC and securities holdings</w:t>
            </w:r>
          </w:p>
        </w:tc>
        <w:tc>
          <w:tcPr>
            <w:tcW w:type="dxa" w:w="3249"/>
            <w:vAlign w:val="center"/>
          </w:tcPr>
          <w:p>
            <w:pPr>
              <w:spacing w:line="276" w:lineRule="auto" w:before="0" w:after="0"/>
            </w:pPr>
            <w:r/>
            <w:r>
              <w:rPr>
                <w:rFonts w:ascii="Figtree" w:hAnsi="Figtree"/>
                <w:b w:val="0"/>
                <w:i w:val="0"/>
                <w:sz w:val="20"/>
              </w:rPr>
              <w:t>Real-time</w:t>
            </w:r>
          </w:p>
        </w:tc>
      </w:tr>
      <w:tr>
        <w:trPr>
          <w:trHeight w:val="425" w:hRule="atLeast"/>
        </w:trPr>
        <w:tc>
          <w:tcPr>
            <w:tcW w:type="dxa" w:w="3249"/>
            <w:vAlign w:val="center"/>
          </w:tcPr>
          <w:p>
            <w:pPr>
              <w:spacing w:line="276" w:lineRule="auto" w:before="0" w:after="0"/>
            </w:pPr>
            <w:r/>
            <w:r>
              <w:rPr>
                <w:rFonts w:ascii="Figtree" w:hAnsi="Figtree"/>
                <w:b w:val="0"/>
                <w:i w:val="0"/>
                <w:sz w:val="20"/>
              </w:rPr>
              <w:t>Settlement velocity</w:t>
            </w:r>
          </w:p>
        </w:tc>
        <w:tc>
          <w:tcPr>
            <w:tcW w:type="dxa" w:w="3249"/>
            <w:vAlign w:val="center"/>
          </w:tcPr>
          <w:p>
            <w:pPr>
              <w:spacing w:line="276" w:lineRule="auto" w:before="0" w:after="0"/>
            </w:pPr>
            <w:r/>
            <w:r>
              <w:rPr>
                <w:rFonts w:ascii="Figtree" w:hAnsi="Figtree"/>
                <w:b w:val="0"/>
                <w:i w:val="0"/>
                <w:sz w:val="20"/>
              </w:rPr>
              <w:t>DvP transaction count and value</w:t>
            </w:r>
          </w:p>
        </w:tc>
        <w:tc>
          <w:tcPr>
            <w:tcW w:type="dxa" w:w="3249"/>
            <w:vAlign w:val="center"/>
          </w:tcPr>
          <w:p>
            <w:pPr>
              <w:spacing w:line="276" w:lineRule="auto" w:before="0" w:after="0"/>
            </w:pPr>
            <w:r/>
            <w:r>
              <w:rPr>
                <w:rFonts w:ascii="Figtree" w:hAnsi="Figtree"/>
                <w:b w:val="0"/>
                <w:i w:val="0"/>
                <w:sz w:val="20"/>
              </w:rPr>
              <w:t>Real-time</w:t>
            </w:r>
          </w:p>
        </w:tc>
      </w:tr>
      <w:tr>
        <w:trPr>
          <w:trHeight w:val="425" w:hRule="atLeast"/>
        </w:trPr>
        <w:tc>
          <w:tcPr>
            <w:tcW w:type="dxa" w:w="3249"/>
            <w:vAlign w:val="center"/>
          </w:tcPr>
          <w:p>
            <w:pPr>
              <w:spacing w:line="276" w:lineRule="auto" w:before="0" w:after="0"/>
            </w:pPr>
            <w:r/>
            <w:r>
              <w:rPr>
                <w:rFonts w:ascii="Figtree" w:hAnsi="Figtree"/>
                <w:b w:val="0"/>
                <w:i w:val="0"/>
                <w:sz w:val="20"/>
              </w:rPr>
              <w:t>Outstanding DvP instructions</w:t>
            </w:r>
          </w:p>
        </w:tc>
        <w:tc>
          <w:tcPr>
            <w:tcW w:type="dxa" w:w="3249"/>
            <w:vAlign w:val="center"/>
          </w:tcPr>
          <w:p>
            <w:pPr>
              <w:spacing w:line="276" w:lineRule="auto" w:before="0" w:after="0"/>
            </w:pPr>
            <w:r/>
            <w:r>
              <w:rPr>
                <w:rFonts w:ascii="Figtree" w:hAnsi="Figtree"/>
                <w:b w:val="0"/>
                <w:i w:val="0"/>
                <w:sz w:val="20"/>
              </w:rPr>
              <w:t>Pending, confirmed, failed</w:t>
            </w:r>
          </w:p>
        </w:tc>
        <w:tc>
          <w:tcPr>
            <w:tcW w:type="dxa" w:w="3249"/>
            <w:vAlign w:val="center"/>
          </w:tcPr>
          <w:p>
            <w:pPr>
              <w:spacing w:line="276" w:lineRule="auto" w:before="0" w:after="0"/>
            </w:pPr>
            <w:r/>
            <w:r>
              <w:rPr>
                <w:rFonts w:ascii="Figtree" w:hAnsi="Figtree"/>
                <w:b w:val="0"/>
                <w:i w:val="0"/>
                <w:sz w:val="20"/>
              </w:rPr>
              <w:t>Real-time</w:t>
            </w:r>
          </w:p>
        </w:tc>
      </w:tr>
      <w:tr>
        <w:trPr>
          <w:trHeight w:val="425" w:hRule="atLeast"/>
        </w:trPr>
        <w:tc>
          <w:tcPr>
            <w:tcW w:type="dxa" w:w="3249"/>
            <w:vAlign w:val="center"/>
          </w:tcPr>
          <w:p>
            <w:pPr>
              <w:spacing w:line="276" w:lineRule="auto" w:before="0" w:after="0"/>
            </w:pPr>
            <w:r/>
            <w:r>
              <w:rPr>
                <w:rFonts w:ascii="Figtree" w:hAnsi="Figtree"/>
                <w:b w:val="0"/>
                <w:i w:val="0"/>
                <w:sz w:val="20"/>
              </w:rPr>
              <w:t>Compliance alerts</w:t>
            </w:r>
          </w:p>
        </w:tc>
        <w:tc>
          <w:tcPr>
            <w:tcW w:type="dxa" w:w="3249"/>
            <w:vAlign w:val="center"/>
          </w:tcPr>
          <w:p>
            <w:pPr>
              <w:spacing w:line="276" w:lineRule="auto" w:before="0" w:after="0"/>
            </w:pPr>
            <w:r/>
            <w:r>
              <w:rPr>
                <w:rFonts w:ascii="Figtree" w:hAnsi="Figtree"/>
                <w:b w:val="0"/>
                <w:i w:val="0"/>
                <w:sz w:val="20"/>
              </w:rPr>
              <w:t>Transfer rejections, limit breaches</w:t>
            </w:r>
          </w:p>
        </w:tc>
        <w:tc>
          <w:tcPr>
            <w:tcW w:type="dxa" w:w="3249"/>
            <w:vAlign w:val="center"/>
          </w:tcPr>
          <w:p>
            <w:pPr>
              <w:spacing w:line="276" w:lineRule="auto" w:before="0" w:after="0"/>
            </w:pPr>
            <w:r/>
            <w:r>
              <w:rPr>
                <w:rFonts w:ascii="Figtree" w:hAnsi="Figtree"/>
                <w:b w:val="0"/>
                <w:i w:val="0"/>
                <w:sz w:val="20"/>
              </w:rPr>
              <w:t>Real-time push</w:t>
            </w:r>
          </w:p>
        </w:tc>
      </w:tr>
      <w:tr>
        <w:trPr>
          <w:trHeight w:val="425" w:hRule="atLeast"/>
        </w:trPr>
        <w:tc>
          <w:tcPr>
            <w:tcW w:type="dxa" w:w="3249"/>
            <w:vAlign w:val="center"/>
          </w:tcPr>
          <w:p>
            <w:pPr>
              <w:spacing w:line="276" w:lineRule="auto" w:before="0" w:after="0"/>
            </w:pPr>
            <w:r/>
            <w:r>
              <w:rPr>
                <w:rFonts w:ascii="Figtree" w:hAnsi="Figtree"/>
                <w:b w:val="0"/>
                <w:i w:val="0"/>
                <w:sz w:val="20"/>
              </w:rPr>
              <w:t>SAMOS reconciliation</w:t>
            </w:r>
          </w:p>
        </w:tc>
        <w:tc>
          <w:tcPr>
            <w:tcW w:type="dxa" w:w="3249"/>
            <w:vAlign w:val="center"/>
          </w:tcPr>
          <w:p>
            <w:pPr>
              <w:spacing w:line="276" w:lineRule="auto" w:before="0" w:after="0"/>
            </w:pPr>
            <w:r/>
            <w:r>
              <w:rPr>
                <w:rFonts w:ascii="Figtree" w:hAnsi="Figtree"/>
                <w:b w:val="0"/>
                <w:i w:val="0"/>
                <w:sz w:val="20"/>
              </w:rPr>
              <w:t>Position match/mismatch</w:t>
            </w:r>
          </w:p>
        </w:tc>
        <w:tc>
          <w:tcPr>
            <w:tcW w:type="dxa" w:w="3249"/>
            <w:vAlign w:val="center"/>
          </w:tcPr>
          <w:p>
            <w:pPr>
              <w:spacing w:line="276" w:lineRule="auto" w:before="0" w:after="0"/>
            </w:pPr>
            <w:r/>
            <w:r>
              <w:rPr>
                <w:rFonts w:ascii="Figtree" w:hAnsi="Figtree"/>
                <w:b w:val="0"/>
                <w:i w:val="0"/>
                <w:sz w:val="20"/>
              </w:rPr>
              <w:t>Daily</w:t>
            </w:r>
          </w:p>
        </w:tc>
      </w:tr>
    </w:tbl>
    <w:p>
      <w:pPr>
        <w:spacing w:before="0" w:after="0" w:line="120" w:lineRule="exact"/>
      </w:pPr>
    </w:p>
    <w:p>
      <w:r>
        <w:br w:type="page"/>
      </w:r>
    </w:p>
    <w:p>
      <w:pPr>
        <w:pStyle w:val="H1"/>
        <w:numPr>
          <w:ilvl w:val="0"/>
          <w:numId w:val="1"/>
        </w:numPr>
      </w:pPr>
      <w:r>
        <w:t>6. Technical Architecture</w:t>
      </w:r>
    </w:p>
    <w:p>
      <w:pPr>
        <w:pStyle w:val="H2"/>
        <w:numPr>
          <w:ilvl w:val="1"/>
          <w:numId w:val="1"/>
        </w:numPr>
      </w:pPr>
      <w:r>
        <w:t>6.1 Architectural Principles</w:t>
      </w:r>
    </w:p>
    <w:p>
      <w:r>
        <w:rPr>
          <w:rFonts w:ascii="Figtree" w:hAnsi="Figtree"/>
          <w:b w:val="0"/>
          <w:i w:val="0"/>
          <w:sz w:val="22"/>
        </w:rPr>
        <w:t>Standard DALP principles plus:</w:t>
      </w:r>
    </w:p>
    <w:p>
      <w:r>
        <w:rPr>
          <w:rFonts w:ascii="Figtree" w:hAnsi="Figtree"/>
          <w:b/>
          <w:i w:val="0"/>
          <w:sz w:val="22"/>
        </w:rPr>
        <w:t>Project Khokha continuity:</w:t>
      </w:r>
      <w:r>
        <w:rPr>
          <w:rFonts w:ascii="Figtree" w:hAnsi="Figtree"/>
          <w:b w:val="0"/>
          <w:i w:val="0"/>
          <w:sz w:val="22"/>
        </w:rPr>
        <w:t xml:space="preserve"> Architecture choices align with Project Khokha's established patterns — Besu, IBFT 2.0, privacy via Tessera — to leverage SARB's existing institutional knowledge.</w:t>
      </w:r>
    </w:p>
    <w:p>
      <w:r>
        <w:rPr>
          <w:rFonts w:ascii="Figtree" w:hAnsi="Figtree"/>
          <w:b/>
          <w:i w:val="0"/>
          <w:sz w:val="22"/>
        </w:rPr>
        <w:t>Regulatory evidence for twin peaks:</w:t>
      </w:r>
      <w:r>
        <w:rPr>
          <w:rFonts w:ascii="Figtree" w:hAnsi="Figtree"/>
          <w:b w:val="0"/>
          <w:i w:val="0"/>
          <w:sz w:val="22"/>
        </w:rPr>
        <w:t xml:space="preserve"> All audit evidence is structured to satisfy both PA (prudential) and FSCA (conduct) regulatory frameworks simultaneously. Evidence categories are tagged by regulatory audience.</w:t>
      </w:r>
    </w:p>
    <w:p>
      <w:pPr>
        <w:pStyle w:val="H2"/>
        <w:numPr>
          <w:ilvl w:val="1"/>
          <w:numId w:val="1"/>
        </w:numPr>
      </w:pPr>
      <w:r>
        <w:t>6.2 Layered Architecture</w:t>
      </w:r>
    </w:p>
    <w:p>
      <w:pPr>
        <w:jc w:val="center"/>
      </w:pPr>
      <w:r>
        <w:drawing>
          <wp:inline xmlns:a="http://schemas.openxmlformats.org/drawingml/2006/main" xmlns:pic="http://schemas.openxmlformats.org/drawingml/2006/picture">
            <wp:extent cx="5486400" cy="1889449"/>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1889449"/>
                    </a:xfrm>
                    <a:prstGeom prst="rect"/>
                  </pic:spPr>
                </pic:pic>
              </a:graphicData>
            </a:graphic>
          </wp:inline>
        </w:drawing>
      </w:r>
    </w:p>
    <w:p>
      <w:pPr>
        <w:pStyle w:val="H2"/>
        <w:numPr>
          <w:ilvl w:val="1"/>
          <w:numId w:val="1"/>
        </w:numPr>
      </w:pPr>
      <w:r>
        <w:t>6.3 Network Topology — South Africa Region</w:t>
      </w:r>
    </w:p>
    <w:p>
      <w:pPr>
        <w:jc w:val="center"/>
      </w:pPr>
      <w:r>
        <w:drawing>
          <wp:inline xmlns:a="http://schemas.openxmlformats.org/drawingml/2006/main" xmlns:pic="http://schemas.openxmlformats.org/drawingml/2006/picture">
            <wp:extent cx="5486400" cy="1602533"/>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1602533"/>
                    </a:xfrm>
                    <a:prstGeom prst="rect"/>
                  </pic:spPr>
                </pic:pic>
              </a:graphicData>
            </a:graphic>
          </wp:inline>
        </w:drawing>
      </w:r>
    </w:p>
    <w:p>
      <w:r>
        <w:rPr>
          <w:rFonts w:ascii="Figtree" w:hAnsi="Figtree"/>
          <w:b/>
          <w:i w:val="0"/>
          <w:sz w:val="22"/>
        </w:rPr>
        <w:t>Performance:</w:t>
      </w:r>
      <w:r>
        <w:rPr>
          <w:rFonts w:ascii="Figtree" w:hAnsi="Figtree"/>
          <w:b w:val="0"/>
          <w:i w:val="0"/>
          <w:sz w:val="22"/>
        </w:rPr>
        <w:t xml:space="preserve"> 200 concurrent DvP instructions: median 2.1s confirmation (IBFT 2.0 deterministic finality). Suitable for South African money market settlement volumes.</w:t>
      </w:r>
    </w:p>
    <w:p>
      <w:pPr>
        <w:pStyle w:val="H2"/>
        <w:numPr>
          <w:ilvl w:val="1"/>
          <w:numId w:val="1"/>
        </w:numPr>
      </w:pPr>
      <w:r>
        <w:t>6.4 Data Architecture</w:t>
      </w:r>
    </w:p>
    <w:p>
      <w:r>
        <w:rPr>
          <w:rFonts w:ascii="Figtree" w:hAnsi="Figtree"/>
          <w:b w:val="0"/>
          <w:i w:val="0"/>
          <w:sz w:val="22"/>
        </w:rPr>
        <w:t>All SARB CBDC and settlement data is classified as national payments infrastructure data:</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54"/>
        <w:gridCol w:w="1387"/>
        <w:gridCol w:w="2241"/>
        <w:gridCol w:w="298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Location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Encryption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Retention</w:t>
            </w:r>
          </w:p>
        </w:tc>
      </w:tr>
      <w:tr>
        <w:trPr>
          <w:trHeight w:val="425" w:hRule="atLeast"/>
        </w:trPr>
        <w:tc>
          <w:tcPr>
            <w:tcW w:type="dxa" w:w="2436"/>
            <w:vAlign w:val="center"/>
          </w:tcPr>
          <w:p>
            <w:pPr>
              <w:spacing w:line="276" w:lineRule="auto" w:before="0" w:after="0"/>
            </w:pPr>
            <w:r/>
            <w:r>
              <w:rPr>
                <w:rFonts w:ascii="Figtree" w:hAnsi="Figtree"/>
                <w:b w:val="0"/>
                <w:i w:val="0"/>
                <w:sz w:val="20"/>
              </w:rPr>
              <w:t>CBDC balances</w:t>
            </w:r>
          </w:p>
        </w:tc>
        <w:tc>
          <w:tcPr>
            <w:tcW w:type="dxa" w:w="2436"/>
            <w:vAlign w:val="center"/>
          </w:tcPr>
          <w:p>
            <w:pPr>
              <w:spacing w:line="276" w:lineRule="auto" w:before="0" w:after="0"/>
            </w:pPr>
            <w:r/>
            <w:r>
              <w:rPr>
                <w:rFonts w:ascii="Figtree" w:hAnsi="Figtree"/>
                <w:b w:val="0"/>
                <w:i w:val="0"/>
                <w:sz w:val="20"/>
              </w:rPr>
              <w:t>ZA blockchain</w:t>
            </w:r>
          </w:p>
        </w:tc>
        <w:tc>
          <w:tcPr>
            <w:tcW w:type="dxa" w:w="2436"/>
            <w:vAlign w:val="center"/>
          </w:tcPr>
          <w:p>
            <w:pPr>
              <w:spacing w:line="276" w:lineRule="auto" w:before="0" w:after="0"/>
            </w:pPr>
            <w:r/>
            <w:r>
              <w:rPr>
                <w:rFonts w:ascii="Figtree" w:hAnsi="Figtree"/>
                <w:b w:val="0"/>
                <w:i w:val="0"/>
                <w:sz w:val="20"/>
              </w:rPr>
              <w:t>EVM native</w:t>
            </w:r>
          </w:p>
        </w:tc>
        <w:tc>
          <w:tcPr>
            <w:tcW w:type="dxa" w:w="2436"/>
            <w:vAlign w:val="center"/>
          </w:tcPr>
          <w:p>
            <w:pPr>
              <w:spacing w:line="276" w:lineRule="auto" w:before="0" w:after="0"/>
            </w:pPr>
            <w:r/>
            <w:r>
              <w:rPr>
                <w:rFonts w:ascii="Figtree" w:hAnsi="Figtree"/>
                <w:b w:val="0"/>
                <w:i w:val="0"/>
                <w:sz w:val="20"/>
              </w:rPr>
              <w:t>Permanent</w:t>
            </w:r>
          </w:p>
        </w:tc>
      </w:tr>
      <w:tr>
        <w:trPr>
          <w:trHeight w:val="425" w:hRule="atLeast"/>
        </w:trPr>
        <w:tc>
          <w:tcPr>
            <w:tcW w:type="dxa" w:w="2436"/>
            <w:vAlign w:val="center"/>
          </w:tcPr>
          <w:p>
            <w:pPr>
              <w:spacing w:line="276" w:lineRule="auto" w:before="0" w:after="0"/>
            </w:pPr>
            <w:r/>
            <w:r>
              <w:rPr>
                <w:rFonts w:ascii="Figtree" w:hAnsi="Figtree"/>
                <w:b w:val="0"/>
                <w:i w:val="0"/>
                <w:sz w:val="20"/>
              </w:rPr>
              <w:t>DvP settlement records</w:t>
            </w:r>
          </w:p>
        </w:tc>
        <w:tc>
          <w:tcPr>
            <w:tcW w:type="dxa" w:w="2436"/>
            <w:vAlign w:val="center"/>
          </w:tcPr>
          <w:p>
            <w:pPr>
              <w:spacing w:line="276" w:lineRule="auto" w:before="0" w:after="0"/>
            </w:pPr>
            <w:r/>
            <w:r>
              <w:rPr>
                <w:rFonts w:ascii="Figtree" w:hAnsi="Figtree"/>
                <w:b w:val="0"/>
                <w:i w:val="0"/>
                <w:sz w:val="20"/>
              </w:rPr>
              <w:t>ZA database</w:t>
            </w:r>
          </w:p>
        </w:tc>
        <w:tc>
          <w:tcPr>
            <w:tcW w:type="dxa" w:w="2436"/>
            <w:vAlign w:val="center"/>
          </w:tcPr>
          <w:p>
            <w:pPr>
              <w:spacing w:line="276" w:lineRule="auto" w:before="0" w:after="0"/>
            </w:pPr>
            <w:r/>
            <w:r>
              <w:rPr>
                <w:rFonts w:ascii="Figtree" w:hAnsi="Figtree"/>
                <w:b w:val="0"/>
                <w:i w:val="0"/>
                <w:sz w:val="20"/>
              </w:rPr>
              <w:t>AES-256</w:t>
            </w:r>
          </w:p>
        </w:tc>
        <w:tc>
          <w:tcPr>
            <w:tcW w:type="dxa" w:w="2436"/>
            <w:vAlign w:val="center"/>
          </w:tcPr>
          <w:p>
            <w:pPr>
              <w:spacing w:line="276" w:lineRule="auto" w:before="0" w:after="0"/>
            </w:pPr>
            <w:r/>
            <w:r>
              <w:rPr>
                <w:rFonts w:ascii="Figtree" w:hAnsi="Figtree"/>
                <w:b w:val="0"/>
                <w:i w:val="0"/>
                <w:sz w:val="20"/>
              </w:rPr>
              <w:t>Permanent (SARB examination)</w:t>
            </w:r>
          </w:p>
        </w:tc>
      </w:tr>
      <w:tr>
        <w:trPr>
          <w:trHeight w:val="425" w:hRule="atLeast"/>
        </w:trPr>
        <w:tc>
          <w:tcPr>
            <w:tcW w:type="dxa" w:w="2436"/>
            <w:vAlign w:val="center"/>
          </w:tcPr>
          <w:p>
            <w:pPr>
              <w:spacing w:line="276" w:lineRule="auto" w:before="0" w:after="0"/>
            </w:pPr>
            <w:r/>
            <w:r>
              <w:rPr>
                <w:rFonts w:ascii="Figtree" w:hAnsi="Figtree"/>
                <w:b w:val="0"/>
                <w:i w:val="0"/>
                <w:sz w:val="20"/>
              </w:rPr>
              <w:t>Bank onboarding records</w:t>
            </w:r>
          </w:p>
        </w:tc>
        <w:tc>
          <w:tcPr>
            <w:tcW w:type="dxa" w:w="2436"/>
            <w:vAlign w:val="center"/>
          </w:tcPr>
          <w:p>
            <w:pPr>
              <w:spacing w:line="276" w:lineRule="auto" w:before="0" w:after="0"/>
            </w:pPr>
            <w:r/>
            <w:r>
              <w:rPr>
                <w:rFonts w:ascii="Figtree" w:hAnsi="Figtree"/>
                <w:b w:val="0"/>
                <w:i w:val="0"/>
                <w:sz w:val="20"/>
              </w:rPr>
              <w:t>ZA database</w:t>
            </w:r>
          </w:p>
        </w:tc>
        <w:tc>
          <w:tcPr>
            <w:tcW w:type="dxa" w:w="2436"/>
            <w:vAlign w:val="center"/>
          </w:tcPr>
          <w:p>
            <w:pPr>
              <w:spacing w:line="276" w:lineRule="auto" w:before="0" w:after="0"/>
            </w:pPr>
            <w:r/>
            <w:r>
              <w:rPr>
                <w:rFonts w:ascii="Figtree" w:hAnsi="Figtree"/>
                <w:b w:val="0"/>
                <w:i w:val="0"/>
                <w:sz w:val="20"/>
              </w:rPr>
              <w:t>AES-256 + field-level</w:t>
            </w:r>
          </w:p>
        </w:tc>
        <w:tc>
          <w:tcPr>
            <w:tcW w:type="dxa" w:w="2436"/>
            <w:vAlign w:val="center"/>
          </w:tcPr>
          <w:p>
            <w:pPr>
              <w:spacing w:line="276" w:lineRule="auto" w:before="0" w:after="0"/>
            </w:pPr>
            <w:r/>
            <w:r>
              <w:rPr>
                <w:rFonts w:ascii="Figtree" w:hAnsi="Figtree"/>
                <w:b w:val="0"/>
                <w:i w:val="0"/>
                <w:sz w:val="20"/>
              </w:rPr>
              <w:t>SARB policy</w:t>
            </w:r>
          </w:p>
        </w:tc>
      </w:tr>
      <w:tr>
        <w:trPr>
          <w:trHeight w:val="425" w:hRule="atLeast"/>
        </w:trPr>
        <w:tc>
          <w:tcPr>
            <w:tcW w:type="dxa" w:w="2436"/>
            <w:vAlign w:val="center"/>
          </w:tcPr>
          <w:p>
            <w:pPr>
              <w:spacing w:line="276" w:lineRule="auto" w:before="0" w:after="0"/>
            </w:pPr>
            <w:r/>
            <w:r>
              <w:rPr>
                <w:rFonts w:ascii="Figtree" w:hAnsi="Figtree"/>
                <w:b w:val="0"/>
                <w:i w:val="0"/>
                <w:sz w:val="20"/>
              </w:rPr>
              <w:t>SARB operations log</w:t>
            </w:r>
          </w:p>
        </w:tc>
        <w:tc>
          <w:tcPr>
            <w:tcW w:type="dxa" w:w="2436"/>
            <w:vAlign w:val="center"/>
          </w:tcPr>
          <w:p>
            <w:pPr>
              <w:spacing w:line="276" w:lineRule="auto" w:before="0" w:after="0"/>
            </w:pPr>
            <w:r/>
            <w:r>
              <w:rPr>
                <w:rFonts w:ascii="Figtree" w:hAnsi="Figtree"/>
                <w:b w:val="0"/>
                <w:i w:val="0"/>
                <w:sz w:val="20"/>
              </w:rPr>
              <w:t>ZA SIEM</w:t>
            </w:r>
          </w:p>
        </w:tc>
        <w:tc>
          <w:tcPr>
            <w:tcW w:type="dxa" w:w="2436"/>
            <w:vAlign w:val="center"/>
          </w:tcPr>
          <w:p>
            <w:pPr>
              <w:spacing w:line="276" w:lineRule="auto" w:before="0" w:after="0"/>
            </w:pPr>
            <w:r/>
            <w:r>
              <w:rPr>
                <w:rFonts w:ascii="Figtree" w:hAnsi="Figtree"/>
                <w:b w:val="0"/>
                <w:i w:val="0"/>
                <w:sz w:val="20"/>
              </w:rPr>
              <w:t>AES-256</w:t>
            </w:r>
          </w:p>
        </w:tc>
        <w:tc>
          <w:tcPr>
            <w:tcW w:type="dxa" w:w="2436"/>
            <w:vAlign w:val="center"/>
          </w:tcPr>
          <w:p>
            <w:pPr>
              <w:spacing w:line="276" w:lineRule="auto" w:before="0" w:after="0"/>
            </w:pPr>
            <w:r/>
            <w:r>
              <w:rPr>
                <w:rFonts w:ascii="Figtree" w:hAnsi="Figtree"/>
                <w:b w:val="0"/>
                <w:i w:val="0"/>
                <w:sz w:val="20"/>
              </w:rPr>
              <w:t>Permanent</w:t>
            </w:r>
          </w:p>
        </w:tc>
      </w:tr>
    </w:tbl>
    <w:p>
      <w:pPr>
        <w:spacing w:before="0" w:after="0" w:line="120" w:lineRule="exact"/>
      </w:pPr>
    </w:p>
    <w:p>
      <w:r>
        <w:rPr>
          <w:rFonts w:ascii="Figtree" w:hAnsi="Figtree"/>
          <w:b w:val="0"/>
          <w:i w:val="0"/>
          <w:sz w:val="22"/>
        </w:rPr>
        <w:t>South Africa's POPIA (Protection of Personal Information Act, Act 4 of 2013) governs personal data. Institutional/bank records are commercial data under SARB's governance framework.</w:t>
      </w:r>
    </w:p>
    <w:p>
      <w:r>
        <w:br w:type="page"/>
      </w:r>
    </w:p>
    <w:p>
      <w:pPr>
        <w:pStyle w:val="H1"/>
        <w:numPr>
          <w:ilvl w:val="0"/>
          <w:numId w:val="1"/>
        </w:numPr>
      </w:pPr>
      <w:r>
        <w:t>7. CBDC Operations and Settlement Infrastructure</w:t>
      </w:r>
    </w:p>
    <w:p>
      <w:pPr>
        <w:pStyle w:val="H2"/>
        <w:numPr>
          <w:ilvl w:val="1"/>
          <w:numId w:val="1"/>
        </w:numPr>
      </w:pPr>
      <w:r>
        <w:t>7.1 ZAR CBDC Supply Lifecycle</w:t>
      </w:r>
    </w:p>
    <w:p>
      <w:pPr>
        <w:jc w:val="center"/>
      </w:pPr>
      <w:r>
        <w:drawing>
          <wp:inline xmlns:a="http://schemas.openxmlformats.org/drawingml/2006/main" xmlns:pic="http://schemas.openxmlformats.org/drawingml/2006/picture">
            <wp:extent cx="5486400" cy="279918"/>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279918"/>
                    </a:xfrm>
                    <a:prstGeom prst="rect"/>
                  </pic:spPr>
                </pic:pic>
              </a:graphicData>
            </a:graphic>
          </wp:inline>
        </w:drawing>
      </w:r>
    </w:p>
    <w:p>
      <w:pPr>
        <w:pStyle w:val="H2"/>
        <w:numPr>
          <w:ilvl w:val="1"/>
          <w:numId w:val="1"/>
        </w:numPr>
      </w:pPr>
      <w:r>
        <w:t>7.2 Participant Bank Lifecycle Management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32"/>
        <w:gridCol w:w="3342"/>
        <w:gridCol w:w="429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Status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Trigger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Effect</w:t>
            </w:r>
          </w:p>
        </w:tc>
      </w:tr>
      <w:tr>
        <w:trPr>
          <w:trHeight w:val="425" w:hRule="atLeast"/>
        </w:trPr>
        <w:tc>
          <w:tcPr>
            <w:tcW w:type="dxa" w:w="3249"/>
            <w:vAlign w:val="center"/>
          </w:tcPr>
          <w:p>
            <w:pPr>
              <w:spacing w:line="276" w:lineRule="auto" w:before="0" w:after="0"/>
            </w:pPr>
            <w:r/>
            <w:r>
              <w:rPr>
                <w:rFonts w:ascii="Figtree" w:hAnsi="Figtree"/>
                <w:b w:val="0"/>
                <w:i w:val="0"/>
                <w:sz w:val="20"/>
              </w:rPr>
              <w:t>Pending</w:t>
            </w:r>
          </w:p>
        </w:tc>
        <w:tc>
          <w:tcPr>
            <w:tcW w:type="dxa" w:w="3249"/>
            <w:vAlign w:val="center"/>
          </w:tcPr>
          <w:p>
            <w:pPr>
              <w:spacing w:line="276" w:lineRule="auto" w:before="0" w:after="0"/>
            </w:pPr>
            <w:r/>
            <w:r>
              <w:rPr>
                <w:rFonts w:ascii="Figtree" w:hAnsi="Figtree"/>
                <w:b w:val="0"/>
                <w:i w:val="0"/>
                <w:sz w:val="20"/>
              </w:rPr>
              <w:t>Bank submits onboarding application</w:t>
            </w:r>
          </w:p>
        </w:tc>
        <w:tc>
          <w:tcPr>
            <w:tcW w:type="dxa" w:w="3249"/>
            <w:vAlign w:val="center"/>
          </w:tcPr>
          <w:p>
            <w:pPr>
              <w:spacing w:line="276" w:lineRule="auto" w:before="0" w:after="0"/>
            </w:pPr>
            <w:r/>
            <w:r>
              <w:rPr>
                <w:rFonts w:ascii="Figtree" w:hAnsi="Figtree"/>
                <w:b w:val="0"/>
                <w:i w:val="0"/>
                <w:sz w:val="20"/>
              </w:rPr>
              <w:t>No settlement access</w:t>
            </w:r>
          </w:p>
        </w:tc>
      </w:tr>
      <w:tr>
        <w:trPr>
          <w:trHeight w:val="425" w:hRule="atLeast"/>
        </w:trPr>
        <w:tc>
          <w:tcPr>
            <w:tcW w:type="dxa" w:w="3249"/>
            <w:vAlign w:val="center"/>
          </w:tcPr>
          <w:p>
            <w:pPr>
              <w:spacing w:line="276" w:lineRule="auto" w:before="0" w:after="0"/>
            </w:pPr>
            <w:r/>
            <w:r>
              <w:rPr>
                <w:rFonts w:ascii="Figtree" w:hAnsi="Figtree"/>
                <w:b w:val="0"/>
                <w:i w:val="0"/>
                <w:sz w:val="20"/>
              </w:rPr>
              <w:t>Active — Tier 1</w:t>
            </w:r>
          </w:p>
        </w:tc>
        <w:tc>
          <w:tcPr>
            <w:tcW w:type="dxa" w:w="3249"/>
            <w:vAlign w:val="center"/>
          </w:tcPr>
          <w:p>
            <w:pPr>
              <w:spacing w:line="276" w:lineRule="auto" w:before="0" w:after="0"/>
            </w:pPr>
            <w:r/>
            <w:r>
              <w:rPr>
                <w:rFonts w:ascii="Figtree" w:hAnsi="Figtree"/>
                <w:b w:val="0"/>
                <w:i w:val="0"/>
                <w:sz w:val="20"/>
              </w:rPr>
              <w:t>SARB/PA approval granted</w:t>
            </w:r>
          </w:p>
        </w:tc>
        <w:tc>
          <w:tcPr>
            <w:tcW w:type="dxa" w:w="3249"/>
            <w:vAlign w:val="center"/>
          </w:tcPr>
          <w:p>
            <w:pPr>
              <w:spacing w:line="276" w:lineRule="auto" w:before="0" w:after="0"/>
            </w:pPr>
            <w:r/>
            <w:r>
              <w:rPr>
                <w:rFonts w:ascii="Figtree" w:hAnsi="Figtree"/>
                <w:b w:val="0"/>
                <w:i w:val="0"/>
                <w:sz w:val="20"/>
              </w:rPr>
              <w:t>Full DvP settlement access</w:t>
            </w:r>
          </w:p>
        </w:tc>
      </w:tr>
      <w:tr>
        <w:trPr>
          <w:trHeight w:val="425" w:hRule="atLeast"/>
        </w:trPr>
        <w:tc>
          <w:tcPr>
            <w:tcW w:type="dxa" w:w="3249"/>
            <w:vAlign w:val="center"/>
          </w:tcPr>
          <w:p>
            <w:pPr>
              <w:spacing w:line="276" w:lineRule="auto" w:before="0" w:after="0"/>
            </w:pPr>
            <w:r/>
            <w:r>
              <w:rPr>
                <w:rFonts w:ascii="Figtree" w:hAnsi="Figtree"/>
                <w:b w:val="0"/>
                <w:i w:val="0"/>
                <w:sz w:val="20"/>
              </w:rPr>
              <w:t>Active — Tier 2</w:t>
            </w:r>
          </w:p>
        </w:tc>
        <w:tc>
          <w:tcPr>
            <w:tcW w:type="dxa" w:w="3249"/>
            <w:vAlign w:val="center"/>
          </w:tcPr>
          <w:p>
            <w:pPr>
              <w:spacing w:line="276" w:lineRule="auto" w:before="0" w:after="0"/>
            </w:pPr>
            <w:r/>
            <w:r>
              <w:rPr>
                <w:rFonts w:ascii="Figtree" w:hAnsi="Figtree"/>
                <w:b w:val="0"/>
                <w:i w:val="0"/>
                <w:sz w:val="20"/>
              </w:rPr>
              <w:t>SARB restricted approval</w:t>
            </w:r>
          </w:p>
        </w:tc>
        <w:tc>
          <w:tcPr>
            <w:tcW w:type="dxa" w:w="3249"/>
            <w:vAlign w:val="center"/>
          </w:tcPr>
          <w:p>
            <w:pPr>
              <w:spacing w:line="276" w:lineRule="auto" w:before="0" w:after="0"/>
            </w:pPr>
            <w:r/>
            <w:r>
              <w:rPr>
                <w:rFonts w:ascii="Figtree" w:hAnsi="Figtree"/>
                <w:b w:val="0"/>
                <w:i w:val="0"/>
                <w:sz w:val="20"/>
              </w:rPr>
              <w:t>Specified instrument types only</w:t>
            </w:r>
          </w:p>
        </w:tc>
      </w:tr>
      <w:tr>
        <w:trPr>
          <w:trHeight w:val="425" w:hRule="atLeast"/>
        </w:trPr>
        <w:tc>
          <w:tcPr>
            <w:tcW w:type="dxa" w:w="3249"/>
            <w:vAlign w:val="center"/>
          </w:tcPr>
          <w:p>
            <w:pPr>
              <w:spacing w:line="276" w:lineRule="auto" w:before="0" w:after="0"/>
            </w:pPr>
            <w:r/>
            <w:r>
              <w:rPr>
                <w:rFonts w:ascii="Figtree" w:hAnsi="Figtree"/>
                <w:b w:val="0"/>
                <w:i w:val="0"/>
                <w:sz w:val="20"/>
              </w:rPr>
              <w:t>Suspended</w:t>
            </w:r>
          </w:p>
        </w:tc>
        <w:tc>
          <w:tcPr>
            <w:tcW w:type="dxa" w:w="3249"/>
            <w:vAlign w:val="center"/>
          </w:tcPr>
          <w:p>
            <w:pPr>
              <w:spacing w:line="276" w:lineRule="auto" w:before="0" w:after="0"/>
            </w:pPr>
            <w:r/>
            <w:r>
              <w:rPr>
                <w:rFonts w:ascii="Figtree" w:hAnsi="Figtree"/>
                <w:b w:val="0"/>
                <w:i w:val="0"/>
                <w:sz w:val="20"/>
              </w:rPr>
              <w:t>PA/FSCA action</w:t>
            </w:r>
          </w:p>
        </w:tc>
        <w:tc>
          <w:tcPr>
            <w:tcW w:type="dxa" w:w="3249"/>
            <w:vAlign w:val="center"/>
          </w:tcPr>
          <w:p>
            <w:pPr>
              <w:spacing w:line="276" w:lineRule="auto" w:before="0" w:after="0"/>
            </w:pPr>
            <w:r/>
            <w:r>
              <w:rPr>
                <w:rFonts w:ascii="Figtree" w:hAnsi="Figtree"/>
                <w:b w:val="0"/>
                <w:i w:val="0"/>
                <w:sz w:val="20"/>
              </w:rPr>
              <w:t>Immediate settlement access suspension</w:t>
            </w:r>
          </w:p>
        </w:tc>
      </w:tr>
      <w:tr>
        <w:trPr>
          <w:trHeight w:val="425" w:hRule="atLeast"/>
        </w:trPr>
        <w:tc>
          <w:tcPr>
            <w:tcW w:type="dxa" w:w="3249"/>
            <w:vAlign w:val="center"/>
          </w:tcPr>
          <w:p>
            <w:pPr>
              <w:spacing w:line="276" w:lineRule="auto" w:before="0" w:after="0"/>
            </w:pPr>
            <w:r/>
            <w:r>
              <w:rPr>
                <w:rFonts w:ascii="Figtree" w:hAnsi="Figtree"/>
                <w:b w:val="0"/>
                <w:i w:val="0"/>
                <w:sz w:val="20"/>
              </w:rPr>
              <w:t>Revoked</w:t>
            </w:r>
          </w:p>
        </w:tc>
        <w:tc>
          <w:tcPr>
            <w:tcW w:type="dxa" w:w="3249"/>
            <w:vAlign w:val="center"/>
          </w:tcPr>
          <w:p>
            <w:pPr>
              <w:spacing w:line="276" w:lineRule="auto" w:before="0" w:after="0"/>
            </w:pPr>
            <w:r/>
            <w:r>
              <w:rPr>
                <w:rFonts w:ascii="Figtree" w:hAnsi="Figtree"/>
                <w:b w:val="0"/>
                <w:i w:val="0"/>
                <w:sz w:val="20"/>
              </w:rPr>
              <w:t>Permanent disqualification</w:t>
            </w:r>
          </w:p>
        </w:tc>
        <w:tc>
          <w:tcPr>
            <w:tcW w:type="dxa" w:w="3249"/>
            <w:vAlign w:val="center"/>
          </w:tcPr>
          <w:p>
            <w:pPr>
              <w:spacing w:line="276" w:lineRule="auto" w:before="0" w:after="0"/>
            </w:pPr>
            <w:r/>
            <w:r>
              <w:rPr>
                <w:rFonts w:ascii="Figtree" w:hAnsi="Figtree"/>
                <w:b w:val="0"/>
                <w:i w:val="0"/>
                <w:sz w:val="20"/>
              </w:rPr>
              <w:t>Forced holdings transfer; permanent exclusion</w:t>
            </w:r>
          </w:p>
        </w:tc>
      </w:tr>
    </w:tbl>
    <w:p>
      <w:pPr>
        <w:spacing w:before="0" w:after="0" w:line="120" w:lineRule="exact"/>
      </w:pPr>
    </w:p>
    <w:p>
      <w:pPr>
        <w:pStyle w:val="H2"/>
        <w:numPr>
          <w:ilvl w:val="1"/>
          <w:numId w:val="1"/>
        </w:numPr>
      </w:pPr>
      <w:r>
        <w:t>7.3 DvP Settlement Mechanics</w:t>
      </w:r>
    </w:p>
    <w:p>
      <w:r>
        <w:rPr>
          <w:rFonts w:ascii="Figtree" w:hAnsi="Figtree"/>
          <w:b w:val="0"/>
          <w:i w:val="0"/>
          <w:sz w:val="22"/>
        </w:rPr>
        <w:t>DALP's XvP Settlement addon ensures that securities token delivery and ZAR cash payment (via SAMOS) are atomic. The settlement flow:</w:t>
      </w:r>
    </w:p>
    <w:p>
      <w:pPr>
        <w:pStyle w:val="ListParagraph"/>
        <w:numPr>
          <w:ilvl w:val="0"/>
          <w:numId w:val="8"/>
        </w:numPr>
      </w:pPr>
      <w:r>
        <w:rPr>
          <w:rFonts w:ascii="Figtree" w:hAnsi="Figtree"/>
          <w:b w:val="0"/>
          <w:i w:val="0"/>
          <w:sz w:val="22"/>
        </w:rPr>
        <w:t>Bank submits DvP instruction (securities + ZAR amount + counterparty)</w:t>
      </w:r>
    </w:p>
    <w:p>
      <w:pPr>
        <w:pStyle w:val="ListParagraph"/>
        <w:numPr>
          <w:ilvl w:val="0"/>
          <w:numId w:val="8"/>
        </w:numPr>
      </w:pPr>
      <w:r>
        <w:rPr>
          <w:rFonts w:ascii="Figtree" w:hAnsi="Figtree"/>
          <w:b w:val="0"/>
          <w:i w:val="0"/>
          <w:sz w:val="22"/>
        </w:rPr>
        <w:t>Compliance pre-check: both parties registered and active in SARB participant registry</w:t>
      </w:r>
    </w:p>
    <w:p>
      <w:pPr>
        <w:pStyle w:val="ListParagraph"/>
        <w:numPr>
          <w:ilvl w:val="0"/>
          <w:numId w:val="8"/>
        </w:numPr>
      </w:pPr>
      <w:r>
        <w:rPr>
          <w:rFonts w:ascii="Figtree" w:hAnsi="Figtree"/>
          <w:b w:val="0"/>
          <w:i w:val="0"/>
          <w:sz w:val="22"/>
        </w:rPr>
        <w:t>SAMOS cash leg instruction generated (ISO 20022 pacs.008)</w:t>
      </w:r>
    </w:p>
    <w:p>
      <w:pPr>
        <w:pStyle w:val="ListParagraph"/>
        <w:numPr>
          <w:ilvl w:val="0"/>
          <w:numId w:val="8"/>
        </w:numPr>
      </w:pPr>
      <w:r>
        <w:rPr>
          <w:rFonts w:ascii="Figtree" w:hAnsi="Figtree"/>
          <w:b w:val="0"/>
          <w:i w:val="0"/>
          <w:sz w:val="22"/>
        </w:rPr>
        <w:t>SAMOS payment confirmation received</w:t>
      </w:r>
    </w:p>
    <w:p>
      <w:pPr>
        <w:pStyle w:val="ListParagraph"/>
        <w:numPr>
          <w:ilvl w:val="0"/>
          <w:numId w:val="8"/>
        </w:numPr>
      </w:pPr>
      <w:r>
        <w:rPr>
          <w:rFonts w:ascii="Figtree" w:hAnsi="Figtree"/>
          <w:b w:val="0"/>
          <w:i w:val="0"/>
          <w:sz w:val="22"/>
        </w:rPr>
        <w:t>Securities token transfer executed on-chain (atomic, IBFT 2.0 deterministic finality)</w:t>
      </w:r>
    </w:p>
    <w:p>
      <w:pPr>
        <w:pStyle w:val="ListParagraph"/>
        <w:numPr>
          <w:ilvl w:val="0"/>
          <w:numId w:val="8"/>
        </w:numPr>
      </w:pPr>
      <w:r>
        <w:rPr>
          <w:rFonts w:ascii="Figtree" w:hAnsi="Figtree"/>
          <w:b w:val="0"/>
          <w:i w:val="0"/>
          <w:sz w:val="22"/>
        </w:rPr>
        <w:t>Strate position update notification (ISO 20022 sese.025)</w:t>
      </w:r>
    </w:p>
    <w:p>
      <w:pPr>
        <w:pStyle w:val="ListParagraph"/>
        <w:numPr>
          <w:ilvl w:val="0"/>
          <w:numId w:val="8"/>
        </w:numPr>
      </w:pPr>
      <w:r>
        <w:rPr>
          <w:rFonts w:ascii="Figtree" w:hAnsi="Figtree"/>
          <w:b w:val="0"/>
          <w:i w:val="0"/>
          <w:sz w:val="22"/>
        </w:rPr>
        <w:t>SARB real-time notification of settlement completion</w:t>
      </w:r>
    </w:p>
    <w:p>
      <w:r>
        <w:rPr>
          <w:rFonts w:ascii="Figtree" w:hAnsi="Figtree"/>
          <w:b/>
          <w:i w:val="0"/>
          <w:sz w:val="22"/>
        </w:rPr>
        <w:t>Settlement failure handling:</w:t>
      </w:r>
      <w:r>
        <w:rPr>
          <w:rFonts w:ascii="Figtree" w:hAnsi="Figtree"/>
          <w:b w:val="0"/>
          <w:i w:val="0"/>
          <w:sz w:val="22"/>
        </w:rPr>
        <w:t xml:space="preserve"> SAMOS payment confirmation timeout (configurable, default 30 minutes) results in instruction cancellation. Securities token transfer does not execute. Bank receives cancellation notice with SAMOS reference. Retry or manual resolution available through SARB operations.</w:t>
      </w:r>
    </w:p>
    <w:p>
      <w:r>
        <w:br w:type="page"/>
      </w:r>
    </w:p>
    <w:p>
      <w:pPr>
        <w:pStyle w:val="H1"/>
        <w:numPr>
          <w:ilvl w:val="0"/>
          <w:numId w:val="1"/>
        </w:numPr>
      </w:pPr>
      <w:r>
        <w:t>8. Security, Governance, and Controls</w:t>
      </w:r>
    </w:p>
    <w:p>
      <w:pPr>
        <w:pStyle w:val="H2"/>
        <w:numPr>
          <w:ilvl w:val="1"/>
          <w:numId w:val="1"/>
        </w:numPr>
      </w:pPr>
      <w:r>
        <w:t>8.1 SARB Cyber Security Framework Alignment</w:t>
      </w:r>
    </w:p>
    <w:p>
      <w:r>
        <w:rPr>
          <w:rFonts w:ascii="Figtree" w:hAnsi="Figtree"/>
          <w:b w:val="0"/>
          <w:i w:val="0"/>
          <w:sz w:val="22"/>
        </w:rPr>
        <w:t>SARB's cybersecurity framework, informed by the Cybercrimes Act (No. 19 of 2020) and SARB Guidance Note 3/2021 on Cyber Resilience, establishes requirements for critical payments infrastructure:</w:t>
      </w:r>
    </w:p>
    <w:p>
      <w:pPr>
        <w:jc w:val="center"/>
      </w:pPr>
      <w:r>
        <w:drawing>
          <wp:inline xmlns:a="http://schemas.openxmlformats.org/drawingml/2006/main" xmlns:pic="http://schemas.openxmlformats.org/drawingml/2006/picture">
            <wp:extent cx="5486400" cy="475861"/>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400" cy="475861"/>
                    </a:xfrm>
                    <a:prstGeom prst="rect"/>
                  </pic:spPr>
                </pic:pic>
              </a:graphicData>
            </a:graphic>
          </wp:inline>
        </w:drawing>
      </w:r>
    </w:p>
    <w:p>
      <w:pPr>
        <w:pStyle w:val="H2"/>
        <w:numPr>
          <w:ilvl w:val="1"/>
          <w:numId w:val="1"/>
        </w:numPr>
      </w:pPr>
      <w:r>
        <w:t>8.2 POPIA Compliance</w:t>
      </w:r>
    </w:p>
    <w:p>
      <w:r>
        <w:rPr>
          <w:rFonts w:ascii="Figtree" w:hAnsi="Figtree"/>
          <w:b w:val="0"/>
          <w:i w:val="0"/>
          <w:sz w:val="22"/>
        </w:rPr>
        <w:t>South Africa's Protection of Personal Information Act (POPIA) requirements for the CBDC programme:</w:t>
      </w:r>
    </w:p>
    <w:p>
      <w:pPr>
        <w:pStyle w:val="ListParagraph"/>
        <w:numPr>
          <w:ilvl w:val="0"/>
          <w:numId w:val="4"/>
        </w:numPr>
      </w:pPr>
      <w:r>
        <w:rPr>
          <w:rFonts w:ascii="Figtree" w:hAnsi="Figtree"/>
          <w:b w:val="0"/>
          <w:i w:val="0"/>
          <w:sz w:val="22"/>
        </w:rPr>
        <w:t>Bank entity data is commercial/institutional data — POPIA applies to individual account holders if retail scope is added in future</w:t>
      </w:r>
    </w:p>
    <w:p>
      <w:pPr>
        <w:pStyle w:val="ListParagraph"/>
        <w:numPr>
          <w:ilvl w:val="0"/>
          <w:numId w:val="4"/>
        </w:numPr>
      </w:pPr>
      <w:r>
        <w:rPr>
          <w:rFonts w:ascii="Figtree" w:hAnsi="Figtree"/>
          <w:b w:val="0"/>
          <w:i w:val="0"/>
          <w:sz w:val="22"/>
        </w:rPr>
        <w:t>Data localization: South Africa-region cloud deployment satisfies POPIA data sovereignty requirement</w:t>
      </w:r>
    </w:p>
    <w:p>
      <w:pPr>
        <w:pStyle w:val="ListParagraph"/>
        <w:numPr>
          <w:ilvl w:val="0"/>
          <w:numId w:val="4"/>
        </w:numPr>
      </w:pPr>
      <w:r>
        <w:rPr>
          <w:rFonts w:ascii="Figtree" w:hAnsi="Figtree"/>
          <w:b w:val="0"/>
          <w:i w:val="0"/>
          <w:sz w:val="22"/>
        </w:rPr>
        <w:t>Data processing agreement: required between SARB and SettleMint covering processing purposes, retention, and security standards</w:t>
      </w:r>
    </w:p>
    <w:p>
      <w:pPr>
        <w:pStyle w:val="ListParagraph"/>
        <w:numPr>
          <w:ilvl w:val="0"/>
          <w:numId w:val="4"/>
        </w:numPr>
      </w:pPr>
      <w:r>
        <w:rPr>
          <w:rFonts w:ascii="Figtree" w:hAnsi="Figtree"/>
          <w:b w:val="0"/>
          <w:i w:val="0"/>
          <w:sz w:val="22"/>
        </w:rPr>
        <w:t>Access logging: all personal data access logged for POPIA accountability</w:t>
      </w:r>
    </w:p>
    <w:p>
      <w:pPr>
        <w:pStyle w:val="H2"/>
        <w:numPr>
          <w:ilvl w:val="1"/>
          <w:numId w:val="1"/>
        </w:numPr>
      </w:pPr>
      <w:r>
        <w:t>8.3 Twin-Peaks Regulatory Evidence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00"/>
        <w:gridCol w:w="2985"/>
        <w:gridCol w:w="298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Evidence Category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PA Relevance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FSCA Relevance</w:t>
            </w:r>
          </w:p>
        </w:tc>
      </w:tr>
      <w:tr>
        <w:trPr>
          <w:trHeight w:val="425" w:hRule="atLeast"/>
        </w:trPr>
        <w:tc>
          <w:tcPr>
            <w:tcW w:type="dxa" w:w="3249"/>
            <w:vAlign w:val="center"/>
          </w:tcPr>
          <w:p>
            <w:pPr>
              <w:spacing w:line="276" w:lineRule="auto" w:before="0" w:after="0"/>
            </w:pPr>
            <w:r/>
            <w:r>
              <w:rPr>
                <w:rFonts w:ascii="Figtree" w:hAnsi="Figtree"/>
                <w:b w:val="0"/>
                <w:i w:val="0"/>
                <w:sz w:val="20"/>
              </w:rPr>
              <w:t>Settlement completeness</w:t>
            </w:r>
          </w:p>
        </w:tc>
        <w:tc>
          <w:tcPr>
            <w:tcW w:type="dxa" w:w="3249"/>
            <w:vAlign w:val="center"/>
          </w:tcPr>
          <w:p>
            <w:pPr>
              <w:spacing w:line="276" w:lineRule="auto" w:before="0" w:after="0"/>
            </w:pPr>
            <w:r/>
            <w:r>
              <w:rPr>
                <w:rFonts w:ascii="Figtree" w:hAnsi="Figtree"/>
                <w:b w:val="0"/>
                <w:i w:val="0"/>
                <w:sz w:val="20"/>
              </w:rPr>
              <w:t>Prudential settlement risk</w:t>
            </w:r>
          </w:p>
        </w:tc>
        <w:tc>
          <w:tcPr>
            <w:tcW w:type="dxa" w:w="3249"/>
            <w:vAlign w:val="center"/>
          </w:tcPr>
          <w:p>
            <w:pPr>
              <w:spacing w:line="276" w:lineRule="auto" w:before="0" w:after="0"/>
            </w:pPr>
            <w:r/>
            <w:r>
              <w:rPr>
                <w:rFonts w:ascii="Figtree" w:hAnsi="Figtree"/>
                <w:b w:val="0"/>
                <w:i w:val="0"/>
                <w:sz w:val="20"/>
              </w:rPr>
              <w:t>Market conduct compliance</w:t>
            </w:r>
          </w:p>
        </w:tc>
      </w:tr>
      <w:tr>
        <w:trPr>
          <w:trHeight w:val="425" w:hRule="atLeast"/>
        </w:trPr>
        <w:tc>
          <w:tcPr>
            <w:tcW w:type="dxa" w:w="3249"/>
            <w:vAlign w:val="center"/>
          </w:tcPr>
          <w:p>
            <w:pPr>
              <w:spacing w:line="276" w:lineRule="auto" w:before="0" w:after="0"/>
            </w:pPr>
            <w:r/>
            <w:r>
              <w:rPr>
                <w:rFonts w:ascii="Figtree" w:hAnsi="Figtree"/>
                <w:b w:val="0"/>
                <w:i w:val="0"/>
                <w:sz w:val="20"/>
              </w:rPr>
              <w:t>Participant status</w:t>
            </w:r>
          </w:p>
        </w:tc>
        <w:tc>
          <w:tcPr>
            <w:tcW w:type="dxa" w:w="3249"/>
            <w:vAlign w:val="center"/>
          </w:tcPr>
          <w:p>
            <w:pPr>
              <w:spacing w:line="276" w:lineRule="auto" w:before="0" w:after="0"/>
            </w:pPr>
            <w:r/>
            <w:r>
              <w:rPr>
                <w:rFonts w:ascii="Figtree" w:hAnsi="Figtree"/>
                <w:b w:val="0"/>
                <w:i w:val="0"/>
                <w:sz w:val="20"/>
              </w:rPr>
              <w:t>PA licensing compliance</w:t>
            </w:r>
          </w:p>
        </w:tc>
        <w:tc>
          <w:tcPr>
            <w:tcW w:type="dxa" w:w="3249"/>
            <w:vAlign w:val="center"/>
          </w:tcPr>
          <w:p>
            <w:pPr>
              <w:spacing w:line="276" w:lineRule="auto" w:before="0" w:after="0"/>
            </w:pPr>
            <w:r/>
            <w:r>
              <w:rPr>
                <w:rFonts w:ascii="Figtree" w:hAnsi="Figtree"/>
                <w:b w:val="0"/>
                <w:i w:val="0"/>
                <w:sz w:val="20"/>
              </w:rPr>
              <w:t>FSCA conduct record</w:t>
            </w:r>
          </w:p>
        </w:tc>
      </w:tr>
      <w:tr>
        <w:trPr>
          <w:trHeight w:val="425" w:hRule="atLeast"/>
        </w:trPr>
        <w:tc>
          <w:tcPr>
            <w:tcW w:type="dxa" w:w="3249"/>
            <w:vAlign w:val="center"/>
          </w:tcPr>
          <w:p>
            <w:pPr>
              <w:spacing w:line="276" w:lineRule="auto" w:before="0" w:after="0"/>
            </w:pPr>
            <w:r/>
            <w:r>
              <w:rPr>
                <w:rFonts w:ascii="Figtree" w:hAnsi="Figtree"/>
                <w:b w:val="0"/>
                <w:i w:val="0"/>
                <w:sz w:val="20"/>
              </w:rPr>
              <w:t>DvP instruction audit</w:t>
            </w:r>
          </w:p>
        </w:tc>
        <w:tc>
          <w:tcPr>
            <w:tcW w:type="dxa" w:w="3249"/>
            <w:vAlign w:val="center"/>
          </w:tcPr>
          <w:p>
            <w:pPr>
              <w:spacing w:line="276" w:lineRule="auto" w:before="0" w:after="0"/>
            </w:pPr>
            <w:r/>
            <w:r>
              <w:rPr>
                <w:rFonts w:ascii="Figtree" w:hAnsi="Figtree"/>
                <w:b w:val="0"/>
                <w:i w:val="0"/>
                <w:sz w:val="20"/>
              </w:rPr>
              <w:t>Risk exposure evidence</w:t>
            </w:r>
          </w:p>
        </w:tc>
        <w:tc>
          <w:tcPr>
            <w:tcW w:type="dxa" w:w="3249"/>
            <w:vAlign w:val="center"/>
          </w:tcPr>
          <w:p>
            <w:pPr>
              <w:spacing w:line="276" w:lineRule="auto" w:before="0" w:after="0"/>
            </w:pPr>
            <w:r/>
            <w:r>
              <w:rPr>
                <w:rFonts w:ascii="Figtree" w:hAnsi="Figtree"/>
                <w:b w:val="0"/>
                <w:i w:val="0"/>
                <w:sz w:val="20"/>
              </w:rPr>
              <w:t>Transaction conduct record</w:t>
            </w:r>
          </w:p>
        </w:tc>
      </w:tr>
      <w:tr>
        <w:trPr>
          <w:trHeight w:val="425" w:hRule="atLeast"/>
        </w:trPr>
        <w:tc>
          <w:tcPr>
            <w:tcW w:type="dxa" w:w="3249"/>
            <w:vAlign w:val="center"/>
          </w:tcPr>
          <w:p>
            <w:pPr>
              <w:spacing w:line="276" w:lineRule="auto" w:before="0" w:after="0"/>
            </w:pPr>
            <w:r/>
            <w:r>
              <w:rPr>
                <w:rFonts w:ascii="Figtree" w:hAnsi="Figtree"/>
                <w:b w:val="0"/>
                <w:i w:val="0"/>
                <w:sz w:val="20"/>
              </w:rPr>
              <w:t>CBDC supply record</w:t>
            </w:r>
          </w:p>
        </w:tc>
        <w:tc>
          <w:tcPr>
            <w:tcW w:type="dxa" w:w="3249"/>
            <w:vAlign w:val="center"/>
          </w:tcPr>
          <w:p>
            <w:pPr>
              <w:spacing w:line="276" w:lineRule="auto" w:before="0" w:after="0"/>
            </w:pPr>
            <w:r/>
            <w:r>
              <w:rPr>
                <w:rFonts w:ascii="Figtree" w:hAnsi="Figtree"/>
                <w:b w:val="0"/>
                <w:i w:val="0"/>
                <w:sz w:val="20"/>
              </w:rPr>
              <w:t>Monetary policy compliance</w:t>
            </w:r>
          </w:p>
        </w:tc>
        <w:tc>
          <w:tcPr>
            <w:tcW w:type="dxa" w:w="3249"/>
            <w:vAlign w:val="center"/>
          </w:tcPr>
          <w:p>
            <w:pPr>
              <w:spacing w:line="276" w:lineRule="auto" w:before="0" w:after="0"/>
            </w:pPr>
            <w:r/>
            <w:r>
              <w:rPr>
                <w:rFonts w:ascii="Figtree" w:hAnsi="Figtree"/>
                <w:b w:val="0"/>
                <w:i w:val="0"/>
                <w:sz w:val="20"/>
              </w:rPr>
              <w:t>Market transparency</w:t>
            </w:r>
          </w:p>
        </w:tc>
      </w:tr>
      <w:tr>
        <w:trPr>
          <w:trHeight w:val="425" w:hRule="atLeast"/>
        </w:trPr>
        <w:tc>
          <w:tcPr>
            <w:tcW w:type="dxa" w:w="3249"/>
            <w:vAlign w:val="center"/>
          </w:tcPr>
          <w:p>
            <w:pPr>
              <w:spacing w:line="276" w:lineRule="auto" w:before="0" w:after="0"/>
            </w:pPr>
            <w:r/>
            <w:r>
              <w:rPr>
                <w:rFonts w:ascii="Figtree" w:hAnsi="Figtree"/>
                <w:b w:val="0"/>
                <w:i w:val="0"/>
                <w:sz w:val="20"/>
              </w:rPr>
              <w:t>Compliance module decisions</w:t>
            </w:r>
          </w:p>
        </w:tc>
        <w:tc>
          <w:tcPr>
            <w:tcW w:type="dxa" w:w="3249"/>
            <w:vAlign w:val="center"/>
          </w:tcPr>
          <w:p>
            <w:pPr>
              <w:spacing w:line="276" w:lineRule="auto" w:before="0" w:after="0"/>
            </w:pPr>
            <w:r/>
            <w:r>
              <w:rPr>
                <w:rFonts w:ascii="Figtree" w:hAnsi="Figtree"/>
                <w:b w:val="0"/>
                <w:i w:val="0"/>
                <w:sz w:val="20"/>
              </w:rPr>
              <w:t>Risk management evidence</w:t>
            </w:r>
          </w:p>
        </w:tc>
        <w:tc>
          <w:tcPr>
            <w:tcW w:type="dxa" w:w="3249"/>
            <w:vAlign w:val="center"/>
          </w:tcPr>
          <w:p>
            <w:pPr>
              <w:spacing w:line="276" w:lineRule="auto" w:before="0" w:after="0"/>
            </w:pPr>
            <w:r/>
            <w:r>
              <w:rPr>
                <w:rFonts w:ascii="Figtree" w:hAnsi="Figtree"/>
                <w:b w:val="0"/>
                <w:i w:val="0"/>
                <w:sz w:val="20"/>
              </w:rPr>
              <w:t>Conduct evidence</w:t>
            </w:r>
          </w:p>
        </w:tc>
      </w:tr>
    </w:tbl>
    <w:p>
      <w:pPr>
        <w:spacing w:before="0" w:after="0" w:line="120" w:lineRule="exact"/>
      </w:pPr>
    </w:p>
    <w:p>
      <w:r>
        <w:br w:type="page"/>
      </w:r>
    </w:p>
    <w:p>
      <w:pPr>
        <w:pStyle w:val="H1"/>
        <w:numPr>
          <w:ilvl w:val="0"/>
          <w:numId w:val="1"/>
        </w:numPr>
      </w:pPr>
      <w:r>
        <w:t>9. Integration with South African Financial Infrastructure</w:t>
      </w:r>
    </w:p>
    <w:p>
      <w:pPr>
        <w:pStyle w:val="H2"/>
        <w:numPr>
          <w:ilvl w:val="1"/>
          <w:numId w:val="1"/>
        </w:numPr>
      </w:pPr>
      <w:r>
        <w:t>9.1 SAMOS Integration</w:t>
      </w:r>
    </w:p>
    <w:p>
      <w:pPr>
        <w:jc w:val="center"/>
      </w:pPr>
      <w:r>
        <w:drawing>
          <wp:inline xmlns:a="http://schemas.openxmlformats.org/drawingml/2006/main" xmlns:pic="http://schemas.openxmlformats.org/drawingml/2006/picture">
            <wp:extent cx="5486400" cy="5278763"/>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5486400" cy="5278763"/>
                    </a:xfrm>
                    <a:prstGeom prst="rect"/>
                  </pic:spPr>
                </pic:pic>
              </a:graphicData>
            </a:graphic>
          </wp:inline>
        </w:drawing>
      </w:r>
    </w:p>
    <w:p>
      <w:r>
        <w:rPr>
          <w:rFonts w:ascii="Figtree" w:hAnsi="Figtree"/>
          <w:b w:val="0"/>
          <w:i w:val="0"/>
          <w:sz w:val="22"/>
        </w:rPr>
        <w:t>SAMOS integration uses ISO 20022 payment initiation (pacs.008) and status (pacs.002) messages. The integration channel (API or SWIFT-based) is determined based on SAMOS technical specifications obtained during Phase 1.</w:t>
      </w:r>
    </w:p>
    <w:p>
      <w:pPr>
        <w:pStyle w:val="H2"/>
        <w:numPr>
          <w:ilvl w:val="1"/>
          <w:numId w:val="1"/>
        </w:numPr>
      </w:pPr>
      <w:r>
        <w:t>9.2 Strate Integration</w:t>
      </w:r>
    </w:p>
    <w:p>
      <w:r>
        <w:rPr>
          <w:rFonts w:ascii="Figtree" w:hAnsi="Figtree"/>
          <w:b w:val="0"/>
          <w:i w:val="0"/>
          <w:sz w:val="22"/>
        </w:rPr>
        <w:t>Strate serves as South Africa's CSD for equity and fixed income securities. DALP's tokenized settlement programme integrates with Strate through:</w:t>
      </w:r>
    </w:p>
    <w:p>
      <w:pPr>
        <w:pStyle w:val="ListParagraph"/>
        <w:numPr>
          <w:ilvl w:val="0"/>
          <w:numId w:val="4"/>
        </w:numPr>
      </w:pPr>
      <w:r>
        <w:rPr>
          <w:rFonts w:ascii="Figtree" w:hAnsi="Figtree"/>
          <w:b w:val="0"/>
          <w:i w:val="0"/>
          <w:sz w:val="22"/>
        </w:rPr>
        <w:t>Settlement confirmation messages (ISO 20022 sese series)</w:t>
      </w:r>
    </w:p>
    <w:p>
      <w:pPr>
        <w:pStyle w:val="ListParagraph"/>
        <w:numPr>
          <w:ilvl w:val="0"/>
          <w:numId w:val="4"/>
        </w:numPr>
      </w:pPr>
      <w:r>
        <w:rPr>
          <w:rFonts w:ascii="Figtree" w:hAnsi="Figtree"/>
          <w:b w:val="0"/>
          <w:i w:val="0"/>
          <w:sz w:val="22"/>
        </w:rPr>
        <w:t>Daily position reconciliation extract (Strate-compatible format)</w:t>
      </w:r>
    </w:p>
    <w:p>
      <w:pPr>
        <w:pStyle w:val="ListParagraph"/>
        <w:numPr>
          <w:ilvl w:val="0"/>
          <w:numId w:val="4"/>
        </w:numPr>
      </w:pPr>
      <w:r>
        <w:rPr>
          <w:rFonts w:ascii="Figtree" w:hAnsi="Figtree"/>
          <w:b w:val="0"/>
          <w:i w:val="0"/>
          <w:sz w:val="22"/>
        </w:rPr>
        <w:t>Corporate action event notification (dividend, maturity, coupon events)</w:t>
      </w:r>
    </w:p>
    <w:p>
      <w:r>
        <w:rPr>
          <w:rFonts w:ascii="Figtree" w:hAnsi="Figtree"/>
          <w:b/>
          <w:i w:val="0"/>
          <w:sz w:val="22"/>
        </w:rPr>
        <w:t>Strate/DALP boundary:</w:t>
      </w:r>
      <w:r>
        <w:rPr>
          <w:rFonts w:ascii="Figtree" w:hAnsi="Figtree"/>
          <w:b w:val="0"/>
          <w:i w:val="0"/>
          <w:sz w:val="22"/>
        </w:rPr>
        <w:t xml:space="preserve"> The critical design principle is that DALP does not seek to replace Strate's authoritative CSD role. DALP's token positions represent the digital asset layer; Strate remains the official registration system. Reconciliation between DALP and Strate is a daily automated process with structured exception management.</w:t>
      </w:r>
    </w:p>
    <w:p>
      <w:r>
        <w:rPr>
          <w:rFonts w:ascii="Figtree" w:hAnsi="Figtree"/>
          <w:b/>
          <w:i w:val="0"/>
          <w:sz w:val="22"/>
        </w:rPr>
        <w:t>Strate reconciliation SLA:</w:t>
      </w:r>
      <w:r>
        <w:rPr>
          <w:rFonts w:ascii="Figtree" w:hAnsi="Figtree"/>
          <w:b w:val="0"/>
          <w:i w:val="0"/>
          <w:sz w:val="22"/>
        </w:rPr>
        <w:t xml:space="preserve"> Reconciliation breaks identified in the daily Strate position comparison are surfaced to SARB operations within 1 business hour of the reconciliation run completing. SARB operations teams are expected to review and classify each break within 1 business day: data quality issue (correction and resubmit), timing issue (pending confirmation), or genuine discrepancy requiring escalation to SARB Financial Markets. Genuine discrepancies are escalated and resolved within 3 business days with mandatory documentation.</w:t>
      </w:r>
    </w:p>
    <w:p>
      <w:r>
        <w:rPr>
          <w:rFonts w:ascii="Figtree" w:hAnsi="Figtree"/>
          <w:b/>
          <w:i w:val="0"/>
          <w:sz w:val="22"/>
        </w:rPr>
        <w:t>Tessera privacy extension:</w:t>
      </w:r>
      <w:r>
        <w:rPr>
          <w:rFonts w:ascii="Figtree" w:hAnsi="Figtree"/>
          <w:b w:val="0"/>
          <w:i w:val="0"/>
          <w:sz w:val="22"/>
        </w:rPr>
        <w:t xml:space="preserve"> For transaction-level privacy requirements — where SARB requires that individual DvP instructions are not visible to all network participants — DALP can integrate with Tessera (Hyperledger Besu's privacy extension, used in Project Khokha I). Tessera-enabled private transactions restrict visibility of transaction details to specified participants only. This integration is optional and is scoped as a Phase 4 integration component if SARB's requirements include transaction-level privacy. Base DvP settlement functions correctly without Tessera.</w:t>
      </w:r>
    </w:p>
    <w:p>
      <w:pPr>
        <w:pStyle w:val="H2"/>
        <w:numPr>
          <w:ilvl w:val="1"/>
          <w:numId w:val="1"/>
        </w:numPr>
      </w:pPr>
      <w:r>
        <w:t>9.3 Integration Architecture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13"/>
        <w:gridCol w:w="2721"/>
        <w:gridCol w:w="2419"/>
        <w:gridCol w:w="2217"/>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System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Protocol</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Frequency</w:t>
            </w:r>
          </w:p>
        </w:tc>
      </w:tr>
      <w:tr>
        <w:trPr>
          <w:trHeight w:val="425" w:hRule="atLeast"/>
        </w:trPr>
        <w:tc>
          <w:tcPr>
            <w:tcW w:type="dxa" w:w="2436"/>
            <w:vAlign w:val="center"/>
          </w:tcPr>
          <w:p>
            <w:pPr>
              <w:spacing w:line="276" w:lineRule="auto" w:before="0" w:after="0"/>
            </w:pPr>
            <w:r/>
            <w:r>
              <w:rPr>
                <w:rFonts w:ascii="Figtree" w:hAnsi="Figtree"/>
                <w:b w:val="0"/>
                <w:i w:val="0"/>
                <w:sz w:val="20"/>
              </w:rPr>
              <w:t>SAMOS RTGS</w:t>
            </w:r>
          </w:p>
        </w:tc>
        <w:tc>
          <w:tcPr>
            <w:tcW w:type="dxa" w:w="2436"/>
            <w:vAlign w:val="center"/>
          </w:tcPr>
          <w:p>
            <w:pPr>
              <w:spacing w:line="276" w:lineRule="auto" w:before="0" w:after="0"/>
            </w:pPr>
            <w:r/>
            <w:r>
              <w:rPr>
                <w:rFonts w:ascii="Figtree" w:hAnsi="Figtree"/>
                <w:b w:val="0"/>
                <w:i w:val="0"/>
                <w:sz w:val="20"/>
              </w:rPr>
              <w:t>ISO 20022 pacs.008/pacs.002</w:t>
            </w:r>
          </w:p>
        </w:tc>
        <w:tc>
          <w:tcPr>
            <w:tcW w:type="dxa" w:w="2436"/>
            <w:vAlign w:val="center"/>
          </w:tcPr>
          <w:p>
            <w:pPr>
              <w:spacing w:line="276" w:lineRule="auto" w:before="0" w:after="0"/>
            </w:pPr>
            <w:r/>
            <w:r>
              <w:rPr>
                <w:rFonts w:ascii="Figtree" w:hAnsi="Figtree"/>
                <w:b w:val="0"/>
                <w:i w:val="0"/>
                <w:sz w:val="20"/>
              </w:rPr>
              <w:t>Cash leg settlement</w:t>
            </w:r>
          </w:p>
        </w:tc>
        <w:tc>
          <w:tcPr>
            <w:tcW w:type="dxa" w:w="2436"/>
            <w:vAlign w:val="center"/>
          </w:tcPr>
          <w:p>
            <w:pPr>
              <w:spacing w:line="276" w:lineRule="auto" w:before="0" w:after="0"/>
            </w:pPr>
            <w:r/>
            <w:r>
              <w:rPr>
                <w:rFonts w:ascii="Figtree" w:hAnsi="Figtree"/>
                <w:b w:val="0"/>
                <w:i w:val="0"/>
                <w:sz w:val="20"/>
              </w:rPr>
              <w:t>Per transaction</w:t>
            </w:r>
          </w:p>
        </w:tc>
      </w:tr>
      <w:tr>
        <w:trPr>
          <w:trHeight w:val="425" w:hRule="atLeast"/>
        </w:trPr>
        <w:tc>
          <w:tcPr>
            <w:tcW w:type="dxa" w:w="2436"/>
            <w:vAlign w:val="center"/>
          </w:tcPr>
          <w:p>
            <w:pPr>
              <w:spacing w:line="276" w:lineRule="auto" w:before="0" w:after="0"/>
            </w:pPr>
            <w:r/>
            <w:r>
              <w:rPr>
                <w:rFonts w:ascii="Figtree" w:hAnsi="Figtree"/>
                <w:b w:val="0"/>
                <w:i w:val="0"/>
                <w:sz w:val="20"/>
              </w:rPr>
              <w:t>Strate CSD</w:t>
            </w:r>
          </w:p>
        </w:tc>
        <w:tc>
          <w:tcPr>
            <w:tcW w:type="dxa" w:w="2436"/>
            <w:vAlign w:val="center"/>
          </w:tcPr>
          <w:p>
            <w:pPr>
              <w:spacing w:line="276" w:lineRule="auto" w:before="0" w:after="0"/>
            </w:pPr>
            <w:r/>
            <w:r>
              <w:rPr>
                <w:rFonts w:ascii="Figtree" w:hAnsi="Figtree"/>
                <w:b w:val="0"/>
                <w:i w:val="0"/>
                <w:sz w:val="20"/>
              </w:rPr>
              <w:t>ISO 20022 sese series</w:t>
            </w:r>
          </w:p>
        </w:tc>
        <w:tc>
          <w:tcPr>
            <w:tcW w:type="dxa" w:w="2436"/>
            <w:vAlign w:val="center"/>
          </w:tcPr>
          <w:p>
            <w:pPr>
              <w:spacing w:line="276" w:lineRule="auto" w:before="0" w:after="0"/>
            </w:pPr>
            <w:r/>
            <w:r>
              <w:rPr>
                <w:rFonts w:ascii="Figtree" w:hAnsi="Figtree"/>
                <w:b w:val="0"/>
                <w:i w:val="0"/>
                <w:sz w:val="20"/>
              </w:rPr>
              <w:t>Position confirmation</w:t>
            </w:r>
          </w:p>
        </w:tc>
        <w:tc>
          <w:tcPr>
            <w:tcW w:type="dxa" w:w="2436"/>
            <w:vAlign w:val="center"/>
          </w:tcPr>
          <w:p>
            <w:pPr>
              <w:spacing w:line="276" w:lineRule="auto" w:before="0" w:after="0"/>
            </w:pPr>
            <w:r/>
            <w:r>
              <w:rPr>
                <w:rFonts w:ascii="Figtree" w:hAnsi="Figtree"/>
                <w:b w:val="0"/>
                <w:i w:val="0"/>
                <w:sz w:val="20"/>
              </w:rPr>
              <w:t>Per settlement + daily</w:t>
            </w:r>
          </w:p>
        </w:tc>
      </w:tr>
      <w:tr>
        <w:trPr>
          <w:trHeight w:val="425" w:hRule="atLeast"/>
        </w:trPr>
        <w:tc>
          <w:tcPr>
            <w:tcW w:type="dxa" w:w="2436"/>
            <w:vAlign w:val="center"/>
          </w:tcPr>
          <w:p>
            <w:pPr>
              <w:spacing w:line="276" w:lineRule="auto" w:before="0" w:after="0"/>
            </w:pPr>
            <w:r/>
            <w:r>
              <w:rPr>
                <w:rFonts w:ascii="Figtree" w:hAnsi="Figtree"/>
                <w:b w:val="0"/>
                <w:i w:val="0"/>
                <w:sz w:val="20"/>
              </w:rPr>
              <w:t>PA/FSCA Reporting</w:t>
            </w:r>
          </w:p>
        </w:tc>
        <w:tc>
          <w:tcPr>
            <w:tcW w:type="dxa" w:w="2436"/>
            <w:vAlign w:val="center"/>
          </w:tcPr>
          <w:p>
            <w:pPr>
              <w:spacing w:line="276" w:lineRule="auto" w:before="0" w:after="0"/>
            </w:pPr>
            <w:r/>
            <w:r>
              <w:rPr>
                <w:rFonts w:ascii="Figtree" w:hAnsi="Figtree"/>
                <w:b w:val="0"/>
                <w:i w:val="0"/>
                <w:sz w:val="20"/>
              </w:rPr>
              <w:t>Structured extract</w:t>
            </w:r>
          </w:p>
        </w:tc>
        <w:tc>
          <w:tcPr>
            <w:tcW w:type="dxa" w:w="2436"/>
            <w:vAlign w:val="center"/>
          </w:tcPr>
          <w:p>
            <w:pPr>
              <w:spacing w:line="276" w:lineRule="auto" w:before="0" w:after="0"/>
            </w:pPr>
            <w:r/>
            <w:r>
              <w:rPr>
                <w:rFonts w:ascii="Figtree" w:hAnsi="Figtree"/>
                <w:b w:val="0"/>
                <w:i w:val="0"/>
                <w:sz w:val="20"/>
              </w:rPr>
              <w:t>Regulatory evidence</w:t>
            </w:r>
          </w:p>
        </w:tc>
        <w:tc>
          <w:tcPr>
            <w:tcW w:type="dxa" w:w="2436"/>
            <w:vAlign w:val="center"/>
          </w:tcPr>
          <w:p>
            <w:pPr>
              <w:spacing w:line="276" w:lineRule="auto" w:before="0" w:after="0"/>
            </w:pPr>
            <w:r/>
            <w:r>
              <w:rPr>
                <w:rFonts w:ascii="Figtree" w:hAnsi="Figtree"/>
                <w:b w:val="0"/>
                <w:i w:val="0"/>
                <w:sz w:val="20"/>
              </w:rPr>
              <w:t>Weekly + on demand</w:t>
            </w:r>
          </w:p>
        </w:tc>
      </w:tr>
      <w:tr>
        <w:trPr>
          <w:trHeight w:val="425" w:hRule="atLeast"/>
        </w:trPr>
        <w:tc>
          <w:tcPr>
            <w:tcW w:type="dxa" w:w="2436"/>
            <w:vAlign w:val="center"/>
          </w:tcPr>
          <w:p>
            <w:pPr>
              <w:spacing w:line="276" w:lineRule="auto" w:before="0" w:after="0"/>
            </w:pPr>
            <w:r/>
            <w:r>
              <w:rPr>
                <w:rFonts w:ascii="Figtree" w:hAnsi="Figtree"/>
                <w:b w:val="0"/>
                <w:i w:val="0"/>
                <w:sz w:val="20"/>
              </w:rPr>
              <w:t>SARB SIEM</w:t>
            </w:r>
          </w:p>
        </w:tc>
        <w:tc>
          <w:tcPr>
            <w:tcW w:type="dxa" w:w="2436"/>
            <w:vAlign w:val="center"/>
          </w:tcPr>
          <w:p>
            <w:pPr>
              <w:spacing w:line="276" w:lineRule="auto" w:before="0" w:after="0"/>
            </w:pPr>
            <w:r/>
            <w:r>
              <w:rPr>
                <w:rFonts w:ascii="Figtree" w:hAnsi="Figtree"/>
                <w:b w:val="0"/>
                <w:i w:val="0"/>
                <w:sz w:val="20"/>
              </w:rPr>
              <w:t>Log stream (CEF/JSON)</w:t>
            </w:r>
          </w:p>
        </w:tc>
        <w:tc>
          <w:tcPr>
            <w:tcW w:type="dxa" w:w="2436"/>
            <w:vAlign w:val="center"/>
          </w:tcPr>
          <w:p>
            <w:pPr>
              <w:spacing w:line="276" w:lineRule="auto" w:before="0" w:after="0"/>
            </w:pPr>
            <w:r/>
            <w:r>
              <w:rPr>
                <w:rFonts w:ascii="Figtree" w:hAnsi="Figtree"/>
                <w:b w:val="0"/>
                <w:i w:val="0"/>
                <w:sz w:val="20"/>
              </w:rPr>
              <w:t>Cybersecurity monitoring</w:t>
            </w:r>
          </w:p>
        </w:tc>
        <w:tc>
          <w:tcPr>
            <w:tcW w:type="dxa" w:w="2436"/>
            <w:vAlign w:val="center"/>
          </w:tcPr>
          <w:p>
            <w:pPr>
              <w:spacing w:line="276" w:lineRule="auto" w:before="0" w:after="0"/>
            </w:pPr>
            <w:r/>
            <w:r>
              <w:rPr>
                <w:rFonts w:ascii="Figtree" w:hAnsi="Figtree"/>
                <w:b w:val="0"/>
                <w:i w:val="0"/>
                <w:sz w:val="20"/>
              </w:rPr>
              <w:t>Real-time</w:t>
            </w:r>
          </w:p>
        </w:tc>
      </w:tr>
      <w:tr>
        <w:trPr>
          <w:trHeight w:val="425" w:hRule="atLeast"/>
        </w:trPr>
        <w:tc>
          <w:tcPr>
            <w:tcW w:type="dxa" w:w="2436"/>
            <w:vAlign w:val="center"/>
          </w:tcPr>
          <w:p>
            <w:pPr>
              <w:spacing w:line="276" w:lineRule="auto" w:before="0" w:after="0"/>
            </w:pPr>
            <w:r/>
            <w:r>
              <w:rPr>
                <w:rFonts w:ascii="Figtree" w:hAnsi="Figtree"/>
                <w:b w:val="0"/>
                <w:i w:val="0"/>
                <w:sz w:val="20"/>
              </w:rPr>
              <w:t>Bank API Gateway</w:t>
            </w:r>
          </w:p>
        </w:tc>
        <w:tc>
          <w:tcPr>
            <w:tcW w:type="dxa" w:w="2436"/>
            <w:vAlign w:val="center"/>
          </w:tcPr>
          <w:p>
            <w:pPr>
              <w:spacing w:line="276" w:lineRule="auto" w:before="0" w:after="0"/>
            </w:pPr>
            <w:r/>
            <w:r>
              <w:rPr>
                <w:rFonts w:ascii="Figtree" w:hAnsi="Figtree"/>
                <w:b w:val="0"/>
                <w:i w:val="0"/>
                <w:sz w:val="20"/>
              </w:rPr>
              <w:t>OpenAPI 3.1</w:t>
            </w:r>
          </w:p>
        </w:tc>
        <w:tc>
          <w:tcPr>
            <w:tcW w:type="dxa" w:w="2436"/>
            <w:vAlign w:val="center"/>
          </w:tcPr>
          <w:p>
            <w:pPr>
              <w:spacing w:line="276" w:lineRule="auto" w:before="0" w:after="0"/>
            </w:pPr>
            <w:r/>
            <w:r>
              <w:rPr>
                <w:rFonts w:ascii="Figtree" w:hAnsi="Figtree"/>
                <w:b w:val="0"/>
                <w:i w:val="0"/>
                <w:sz w:val="20"/>
              </w:rPr>
              <w:t>Settlement instructions</w:t>
            </w:r>
          </w:p>
        </w:tc>
        <w:tc>
          <w:tcPr>
            <w:tcW w:type="dxa" w:w="2436"/>
            <w:vAlign w:val="center"/>
          </w:tcPr>
          <w:p>
            <w:pPr>
              <w:spacing w:line="276" w:lineRule="auto" w:before="0" w:after="0"/>
            </w:pPr>
            <w:r/>
            <w:r>
              <w:rPr>
                <w:rFonts w:ascii="Figtree" w:hAnsi="Figtree"/>
                <w:b w:val="0"/>
                <w:i w:val="0"/>
                <w:sz w:val="20"/>
              </w:rPr>
              <w:t>Per transaction</w:t>
            </w:r>
          </w:p>
        </w:tc>
      </w:tr>
    </w:tbl>
    <w:p>
      <w:pPr>
        <w:spacing w:before="0" w:after="0" w:line="120" w:lineRule="exact"/>
      </w:pPr>
    </w:p>
    <w:p>
      <w:r>
        <w:br w:type="page"/>
      </w:r>
    </w:p>
    <w:p>
      <w:pPr>
        <w:pStyle w:val="H1"/>
        <w:numPr>
          <w:ilvl w:val="0"/>
          <w:numId w:val="1"/>
        </w:numPr>
      </w:pPr>
      <w:r>
        <w:t>10. Deployment Model — South Africa</w:t>
      </w:r>
    </w:p>
    <w:p>
      <w:pPr>
        <w:pStyle w:val="H2"/>
        <w:numPr>
          <w:ilvl w:val="1"/>
          <w:numId w:val="1"/>
        </w:numPr>
      </w:pPr>
      <w:r>
        <w:t>10.1 Recommended: South Africa Cloud Region</w:t>
      </w:r>
    </w:p>
    <w:p>
      <w:r>
        <w:rPr>
          <w:rFonts w:ascii="Figtree" w:hAnsi="Figtree"/>
          <w:b w:val="0"/>
          <w:i w:val="0"/>
          <w:sz w:val="22"/>
        </w:rPr>
        <w:t>Recommended cloud deployment: AWS af-south-1 (Cape Town) or Azure South Africa North (Johannesburg). Both provide South African data residency, POPIA alignment, and financial services security certification.</w:t>
      </w:r>
    </w:p>
    <w:p>
      <w:r>
        <w:rPr>
          <w:rFonts w:ascii="Figtree" w:hAnsi="Figtree"/>
          <w:i/>
          <w:sz w:val="22"/>
        </w:rPr>
        <w:t>[Diagram 9 — render failed, see markdown source]</w:t>
      </w:r>
    </w:p>
    <w:p>
      <w:pPr>
        <w:pStyle w:val="H2"/>
        <w:numPr>
          <w:ilvl w:val="1"/>
          <w:numId w:val="1"/>
        </w:numPr>
      </w:pPr>
      <w:r>
        <w:t>10.2 Availability Targets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380"/>
        <w:gridCol w:w="2366"/>
        <w:gridCol w:w="532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Target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3249"/>
            <w:vAlign w:val="center"/>
          </w:tcPr>
          <w:p>
            <w:pPr>
              <w:spacing w:line="276" w:lineRule="auto" w:before="0" w:after="0"/>
            </w:pPr>
            <w:r/>
            <w:r>
              <w:rPr>
                <w:rFonts w:ascii="Figtree" w:hAnsi="Figtree"/>
                <w:b w:val="0"/>
                <w:i w:val="0"/>
                <w:sz w:val="20"/>
              </w:rPr>
              <w:t>Uptime</w:t>
            </w:r>
          </w:p>
        </w:tc>
        <w:tc>
          <w:tcPr>
            <w:tcW w:type="dxa" w:w="3249"/>
            <w:vAlign w:val="center"/>
          </w:tcPr>
          <w:p>
            <w:pPr>
              <w:spacing w:line="276" w:lineRule="auto" w:before="0" w:after="0"/>
            </w:pPr>
            <w:r/>
            <w:r>
              <w:rPr>
                <w:rFonts w:ascii="Figtree" w:hAnsi="Figtree"/>
                <w:b w:val="0"/>
                <w:i w:val="0"/>
                <w:sz w:val="20"/>
              </w:rPr>
              <w:t>99.95%</w:t>
            </w:r>
          </w:p>
        </w:tc>
        <w:tc>
          <w:tcPr>
            <w:tcW w:type="dxa" w:w="3249"/>
            <w:vAlign w:val="center"/>
          </w:tcPr>
          <w:p>
            <w:pPr>
              <w:spacing w:line="276" w:lineRule="auto" w:before="0" w:after="0"/>
            </w:pPr>
            <w:r/>
            <w:r>
              <w:rPr>
                <w:rFonts w:ascii="Figtree" w:hAnsi="Figtree"/>
                <w:b w:val="0"/>
                <w:i w:val="0"/>
                <w:sz w:val="20"/>
              </w:rPr>
              <w:t>Critical NPS infrastructure</w:t>
            </w:r>
          </w:p>
        </w:tc>
      </w:tr>
      <w:tr>
        <w:trPr>
          <w:trHeight w:val="425" w:hRule="atLeast"/>
        </w:trPr>
        <w:tc>
          <w:tcPr>
            <w:tcW w:type="dxa" w:w="3249"/>
            <w:vAlign w:val="center"/>
          </w:tcPr>
          <w:p>
            <w:pPr>
              <w:spacing w:line="276" w:lineRule="auto" w:before="0" w:after="0"/>
            </w:pPr>
            <w:r/>
            <w:r>
              <w:rPr>
                <w:rFonts w:ascii="Figtree" w:hAnsi="Figtree"/>
                <w:b w:val="0"/>
                <w:i w:val="0"/>
                <w:sz w:val="20"/>
              </w:rPr>
              <w:t>RTO</w:t>
            </w:r>
          </w:p>
        </w:tc>
        <w:tc>
          <w:tcPr>
            <w:tcW w:type="dxa" w:w="3249"/>
            <w:vAlign w:val="center"/>
          </w:tcPr>
          <w:p>
            <w:pPr>
              <w:spacing w:line="276" w:lineRule="auto" w:before="0" w:after="0"/>
            </w:pPr>
            <w:r/>
            <w:r>
              <w:rPr>
                <w:rFonts w:ascii="Figtree" w:hAnsi="Figtree"/>
                <w:b w:val="0"/>
                <w:i w:val="0"/>
                <w:sz w:val="20"/>
              </w:rPr>
              <w:t>&lt; 2 hours</w:t>
            </w:r>
          </w:p>
        </w:tc>
        <w:tc>
          <w:tcPr>
            <w:tcW w:type="dxa" w:w="3249"/>
            <w:vAlign w:val="center"/>
          </w:tcPr>
          <w:p>
            <w:pPr>
              <w:spacing w:line="276" w:lineRule="auto" w:before="0" w:after="0"/>
            </w:pPr>
            <w:r/>
            <w:r>
              <w:rPr>
                <w:rFonts w:ascii="Figtree" w:hAnsi="Figtree"/>
                <w:b w:val="0"/>
                <w:i w:val="0"/>
                <w:sz w:val="20"/>
              </w:rPr>
              <w:t>SAMOS settlement continuity</w:t>
            </w:r>
          </w:p>
        </w:tc>
      </w:tr>
      <w:tr>
        <w:trPr>
          <w:trHeight w:val="425" w:hRule="atLeast"/>
        </w:trPr>
        <w:tc>
          <w:tcPr>
            <w:tcW w:type="dxa" w:w="3249"/>
            <w:vAlign w:val="center"/>
          </w:tcPr>
          <w:p>
            <w:pPr>
              <w:spacing w:line="276" w:lineRule="auto" w:before="0" w:after="0"/>
            </w:pPr>
            <w:r/>
            <w:r>
              <w:rPr>
                <w:rFonts w:ascii="Figtree" w:hAnsi="Figtree"/>
                <w:b w:val="0"/>
                <w:i w:val="0"/>
                <w:sz w:val="20"/>
              </w:rPr>
              <w:t>RPO</w:t>
            </w:r>
          </w:p>
        </w:tc>
        <w:tc>
          <w:tcPr>
            <w:tcW w:type="dxa" w:w="3249"/>
            <w:vAlign w:val="center"/>
          </w:tcPr>
          <w:p>
            <w:pPr>
              <w:spacing w:line="276" w:lineRule="auto" w:before="0" w:after="0"/>
            </w:pPr>
            <w:r/>
            <w:r>
              <w:rPr>
                <w:rFonts w:ascii="Figtree" w:hAnsi="Figtree"/>
                <w:b w:val="0"/>
                <w:i w:val="0"/>
                <w:sz w:val="20"/>
              </w:rPr>
              <w:t>&lt; 15 minutes</w:t>
            </w:r>
          </w:p>
        </w:tc>
        <w:tc>
          <w:tcPr>
            <w:tcW w:type="dxa" w:w="3249"/>
            <w:vAlign w:val="center"/>
          </w:tcPr>
          <w:p>
            <w:pPr>
              <w:spacing w:line="276" w:lineRule="auto" w:before="0" w:after="0"/>
            </w:pPr>
            <w:r/>
            <w:r>
              <w:rPr>
                <w:rFonts w:ascii="Figtree" w:hAnsi="Figtree"/>
                <w:b w:val="0"/>
                <w:i w:val="0"/>
                <w:sz w:val="20"/>
              </w:rPr>
              <w:t>Near-zero data loss</w:t>
            </w:r>
          </w:p>
        </w:tc>
      </w:tr>
      <w:tr>
        <w:trPr>
          <w:trHeight w:val="425" w:hRule="atLeast"/>
        </w:trPr>
        <w:tc>
          <w:tcPr>
            <w:tcW w:type="dxa" w:w="3249"/>
            <w:vAlign w:val="center"/>
          </w:tcPr>
          <w:p>
            <w:pPr>
              <w:spacing w:line="276" w:lineRule="auto" w:before="0" w:after="0"/>
            </w:pPr>
            <w:r/>
            <w:r>
              <w:rPr>
                <w:rFonts w:ascii="Figtree" w:hAnsi="Figtree"/>
                <w:b w:val="0"/>
                <w:i w:val="0"/>
                <w:sz w:val="20"/>
              </w:rPr>
              <w:t>DR test</w:t>
            </w:r>
          </w:p>
        </w:tc>
        <w:tc>
          <w:tcPr>
            <w:tcW w:type="dxa" w:w="3249"/>
            <w:vAlign w:val="center"/>
          </w:tcPr>
          <w:p>
            <w:pPr>
              <w:spacing w:line="276" w:lineRule="auto" w:before="0" w:after="0"/>
            </w:pPr>
            <w:r/>
            <w:r>
              <w:rPr>
                <w:rFonts w:ascii="Figtree" w:hAnsi="Figtree"/>
                <w:b w:val="0"/>
                <w:i w:val="0"/>
                <w:sz w:val="20"/>
              </w:rPr>
              <w:t>Monthly</w:t>
            </w:r>
          </w:p>
        </w:tc>
        <w:tc>
          <w:tcPr>
            <w:tcW w:type="dxa" w:w="3249"/>
            <w:vAlign w:val="center"/>
          </w:tcPr>
          <w:p>
            <w:pPr>
              <w:spacing w:line="276" w:lineRule="auto" w:before="0" w:after="0"/>
            </w:pPr>
            <w:r/>
            <w:r>
              <w:rPr>
                <w:rFonts w:ascii="Figtree" w:hAnsi="Figtree"/>
                <w:b w:val="0"/>
                <w:i w:val="0"/>
                <w:sz w:val="20"/>
              </w:rPr>
              <w:t>SARB-witnessed testing</w:t>
            </w:r>
          </w:p>
        </w:tc>
      </w:tr>
    </w:tbl>
    <w:p>
      <w:pPr>
        <w:spacing w:before="0" w:after="0" w:line="120" w:lineRule="exact"/>
      </w:pPr>
    </w:p>
    <w:p>
      <w:r>
        <w:br w:type="page"/>
      </w:r>
    </w:p>
    <w:p>
      <w:pPr>
        <w:pStyle w:val="H1"/>
        <w:numPr>
          <w:ilvl w:val="0"/>
          <w:numId w:val="1"/>
        </w:numPr>
      </w:pPr>
      <w:r>
        <w:t>11. Implementation Methodology</w:t>
      </w:r>
    </w:p>
    <w:p>
      <w:pPr>
        <w:jc w:val="center"/>
      </w:pPr>
      <w:r>
        <w:drawing>
          <wp:inline xmlns:a="http://schemas.openxmlformats.org/drawingml/2006/main" xmlns:pic="http://schemas.openxmlformats.org/drawingml/2006/picture">
            <wp:extent cx="5486400" cy="1875453"/>
            <wp:docPr id="9" name="Picture 9"/>
            <wp:cNvGraphicFramePr>
              <a:graphicFrameLocks noChangeAspect="1"/>
            </wp:cNvGraphicFramePr>
            <a:graphic>
              <a:graphicData uri="http://schemas.openxmlformats.org/drawingml/2006/picture">
                <pic:pic>
                  <pic:nvPicPr>
                    <pic:cNvPr id="0" name="_diagram-010.png"/>
                    <pic:cNvPicPr/>
                  </pic:nvPicPr>
                  <pic:blipFill>
                    <a:blip r:embed="rId21"/>
                    <a:stretch>
                      <a:fillRect/>
                    </a:stretch>
                  </pic:blipFill>
                  <pic:spPr>
                    <a:xfrm>
                      <a:off x="0" y="0"/>
                      <a:ext cx="5486400" cy="1875453"/>
                    </a:xfrm>
                    <a:prstGeom prst="rect"/>
                  </pic:spPr>
                </pic:pic>
              </a:graphicData>
            </a:graphic>
          </wp:inline>
        </w:drawing>
      </w:r>
    </w:p>
    <w:p>
      <w:pPr>
        <w:pStyle w:val="H2"/>
        <w:numPr>
          <w:ilvl w:val="1"/>
          <w:numId w:val="1"/>
        </w:numPr>
      </w:pPr>
      <w:r>
        <w:t>11.1 Phase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98"/>
        <w:gridCol w:w="698"/>
        <w:gridCol w:w="5028"/>
        <w:gridCol w:w="264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Key Deliverables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Gate</w:t>
            </w:r>
          </w:p>
        </w:tc>
      </w:tr>
      <w:tr>
        <w:trPr>
          <w:trHeight w:val="425" w:hRule="atLeast"/>
        </w:trPr>
        <w:tc>
          <w:tcPr>
            <w:tcW w:type="dxa" w:w="2436"/>
            <w:vAlign w:val="center"/>
          </w:tcPr>
          <w:p>
            <w:pPr>
              <w:spacing w:line="276" w:lineRule="auto" w:before="0" w:after="0"/>
            </w:pPr>
            <w:r/>
            <w:r>
              <w:rPr>
                <w:rFonts w:ascii="Figtree" w:hAnsi="Figtree"/>
                <w:b w:val="0"/>
                <w:i w:val="0"/>
                <w:sz w:val="20"/>
              </w:rPr>
              <w:t>Phase 1</w:t>
            </w:r>
          </w:p>
        </w:tc>
        <w:tc>
          <w:tcPr>
            <w:tcW w:type="dxa" w:w="2436"/>
            <w:vAlign w:val="center"/>
          </w:tcPr>
          <w:p>
            <w:pPr>
              <w:spacing w:line="276" w:lineRule="auto" w:before="0" w:after="0"/>
            </w:pPr>
            <w:r/>
            <w:r>
              <w:rPr>
                <w:rFonts w:ascii="Figtree" w:hAnsi="Figtree"/>
                <w:b w:val="0"/>
                <w:i w:val="0"/>
                <w:sz w:val="20"/>
              </w:rPr>
              <w:t>2 weeks</w:t>
            </w:r>
          </w:p>
        </w:tc>
        <w:tc>
          <w:tcPr>
            <w:tcW w:type="dxa" w:w="2436"/>
            <w:vAlign w:val="center"/>
          </w:tcPr>
          <w:p>
            <w:pPr>
              <w:spacing w:line="276" w:lineRule="auto" w:before="0" w:after="0"/>
            </w:pPr>
            <w:r/>
            <w:r>
              <w:rPr>
                <w:rFonts w:ascii="Figtree" w:hAnsi="Figtree"/>
                <w:b w:val="0"/>
                <w:i w:val="0"/>
                <w:sz w:val="20"/>
              </w:rPr>
              <w:t>CBDC architecture, SAMOS/Strate integration spec, PA/FSCA evidence framework</w:t>
            </w:r>
          </w:p>
        </w:tc>
        <w:tc>
          <w:tcPr>
            <w:tcW w:type="dxa" w:w="2436"/>
            <w:vAlign w:val="center"/>
          </w:tcPr>
          <w:p>
            <w:pPr>
              <w:spacing w:line="276" w:lineRule="auto" w:before="0" w:after="0"/>
            </w:pPr>
            <w:r/>
            <w:r>
              <w:rPr>
                <w:rFonts w:ascii="Figtree" w:hAnsi="Figtree"/>
                <w:b w:val="0"/>
                <w:i w:val="0"/>
                <w:sz w:val="20"/>
              </w:rPr>
              <w:t>SARB Programme Director sign-off</w:t>
            </w:r>
          </w:p>
        </w:tc>
      </w:tr>
      <w:tr>
        <w:trPr>
          <w:trHeight w:val="425" w:hRule="atLeast"/>
        </w:trPr>
        <w:tc>
          <w:tcPr>
            <w:tcW w:type="dxa" w:w="2436"/>
            <w:vAlign w:val="center"/>
          </w:tcPr>
          <w:p>
            <w:pPr>
              <w:spacing w:line="276" w:lineRule="auto" w:before="0" w:after="0"/>
            </w:pPr>
            <w:r/>
            <w:r>
              <w:rPr>
                <w:rFonts w:ascii="Figtree" w:hAnsi="Figtree"/>
                <w:b w:val="0"/>
                <w:i w:val="0"/>
                <w:sz w:val="20"/>
              </w:rPr>
              <w:t>Phase 2</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ZA cloud infrastructure, HSM commissioning, base platform</w:t>
            </w:r>
          </w:p>
        </w:tc>
        <w:tc>
          <w:tcPr>
            <w:tcW w:type="dxa" w:w="2436"/>
            <w:vAlign w:val="center"/>
          </w:tcPr>
          <w:p>
            <w:pPr>
              <w:spacing w:line="276" w:lineRule="auto" w:before="0" w:after="0"/>
            </w:pPr>
            <w:r/>
            <w:r>
              <w:rPr>
                <w:rFonts w:ascii="Figtree" w:hAnsi="Figtree"/>
                <w:b w:val="0"/>
                <w:i w:val="0"/>
                <w:sz w:val="20"/>
              </w:rPr>
              <w:t>SARB IS sign-off</w:t>
            </w:r>
          </w:p>
        </w:tc>
      </w:tr>
      <w:tr>
        <w:trPr>
          <w:trHeight w:val="425" w:hRule="atLeast"/>
        </w:trPr>
        <w:tc>
          <w:tcPr>
            <w:tcW w:type="dxa" w:w="2436"/>
            <w:vAlign w:val="center"/>
          </w:tcPr>
          <w:p>
            <w:pPr>
              <w:spacing w:line="276" w:lineRule="auto" w:before="0" w:after="0"/>
            </w:pPr>
            <w:r/>
            <w:r>
              <w:rPr>
                <w:rFonts w:ascii="Figtree" w:hAnsi="Figtree"/>
                <w:b w:val="0"/>
                <w:i w:val="0"/>
                <w:sz w:val="20"/>
              </w:rPr>
              <w:t>Phase 2b</w:t>
            </w:r>
          </w:p>
        </w:tc>
        <w:tc>
          <w:tcPr>
            <w:tcW w:type="dxa" w:w="2436"/>
            <w:vAlign w:val="center"/>
          </w:tcPr>
          <w:p>
            <w:pPr>
              <w:spacing w:line="276" w:lineRule="auto" w:before="0" w:after="0"/>
            </w:pPr>
            <w:r/>
            <w:r>
              <w:rPr>
                <w:rFonts w:ascii="Figtree" w:hAnsi="Figtree"/>
                <w:b w:val="0"/>
                <w:i w:val="0"/>
                <w:sz w:val="20"/>
              </w:rPr>
              <w:t>2 weeks</w:t>
            </w:r>
          </w:p>
        </w:tc>
        <w:tc>
          <w:tcPr>
            <w:tcW w:type="dxa" w:w="2436"/>
            <w:vAlign w:val="center"/>
          </w:tcPr>
          <w:p>
            <w:pPr>
              <w:spacing w:line="276" w:lineRule="auto" w:before="0" w:after="0"/>
            </w:pPr>
            <w:r/>
            <w:r>
              <w:rPr>
                <w:rFonts w:ascii="Figtree" w:hAnsi="Figtree"/>
                <w:b w:val="0"/>
                <w:i w:val="0"/>
                <w:sz w:val="20"/>
              </w:rPr>
              <w:t>SARB cybersecurity review + Cybercrimes Act compliance verification</w:t>
            </w:r>
          </w:p>
        </w:tc>
        <w:tc>
          <w:tcPr>
            <w:tcW w:type="dxa" w:w="2436"/>
            <w:vAlign w:val="center"/>
          </w:tcPr>
          <w:p>
            <w:pPr>
              <w:spacing w:line="276" w:lineRule="auto" w:before="0" w:after="0"/>
            </w:pPr>
            <w:r/>
            <w:r>
              <w:rPr>
                <w:rFonts w:ascii="Figtree" w:hAnsi="Figtree"/>
                <w:b w:val="0"/>
                <w:i w:val="0"/>
                <w:sz w:val="20"/>
              </w:rPr>
              <w:t>SARB CISO approval</w:t>
            </w:r>
          </w:p>
        </w:tc>
      </w:tr>
      <w:tr>
        <w:trPr>
          <w:trHeight w:val="425" w:hRule="atLeast"/>
        </w:trPr>
        <w:tc>
          <w:tcPr>
            <w:tcW w:type="dxa" w:w="2436"/>
            <w:vAlign w:val="center"/>
          </w:tcPr>
          <w:p>
            <w:pPr>
              <w:spacing w:line="276" w:lineRule="auto" w:before="0" w:after="0"/>
            </w:pPr>
            <w:r/>
            <w:r>
              <w:rPr>
                <w:rFonts w:ascii="Figtree" w:hAnsi="Figtree"/>
                <w:b w:val="0"/>
                <w:i w:val="0"/>
                <w:sz w:val="20"/>
              </w:rPr>
              <w:t>Phase 3</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CBDC token, money market securities, DvP settlement, participant management</w:t>
            </w:r>
          </w:p>
        </w:tc>
        <w:tc>
          <w:tcPr>
            <w:tcW w:type="dxa" w:w="2436"/>
            <w:vAlign w:val="center"/>
          </w:tcPr>
          <w:p>
            <w:pPr>
              <w:spacing w:line="276" w:lineRule="auto" w:before="0" w:after="0"/>
            </w:pPr>
            <w:r/>
            <w:r>
              <w:rPr>
                <w:rFonts w:ascii="Figtree" w:hAnsi="Figtree"/>
                <w:b w:val="0"/>
                <w:i w:val="0"/>
                <w:sz w:val="20"/>
              </w:rPr>
              <w:t>SARB Compliance/Monetary Policy sign-off</w:t>
            </w:r>
          </w:p>
        </w:tc>
      </w:tr>
      <w:tr>
        <w:trPr>
          <w:trHeight w:val="425" w:hRule="atLeast"/>
        </w:trPr>
        <w:tc>
          <w:tcPr>
            <w:tcW w:type="dxa" w:w="2436"/>
            <w:vAlign w:val="center"/>
          </w:tcPr>
          <w:p>
            <w:pPr>
              <w:spacing w:line="276" w:lineRule="auto" w:before="0" w:after="0"/>
            </w:pPr>
            <w:r/>
            <w:r>
              <w:rPr>
                <w:rFonts w:ascii="Figtree" w:hAnsi="Figtree"/>
                <w:b w:val="0"/>
                <w:i w:val="0"/>
                <w:sz w:val="20"/>
              </w:rPr>
              <w:t>Phase 4</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SAMOS integration tested, Strate integration tested, SARB dashboard live</w:t>
            </w:r>
          </w:p>
        </w:tc>
        <w:tc>
          <w:tcPr>
            <w:tcW w:type="dxa" w:w="2436"/>
            <w:vAlign w:val="center"/>
          </w:tcPr>
          <w:p>
            <w:pPr>
              <w:spacing w:line="276" w:lineRule="auto" w:before="0" w:after="0"/>
            </w:pPr>
            <w:r/>
            <w:r>
              <w:rPr>
                <w:rFonts w:ascii="Figtree" w:hAnsi="Figtree"/>
                <w:b w:val="0"/>
                <w:i w:val="0"/>
                <w:sz w:val="20"/>
              </w:rPr>
              <w:t>SARB Technology sign-off</w:t>
            </w:r>
          </w:p>
        </w:tc>
      </w:tr>
      <w:tr>
        <w:trPr>
          <w:trHeight w:val="425" w:hRule="atLeast"/>
        </w:trPr>
        <w:tc>
          <w:tcPr>
            <w:tcW w:type="dxa" w:w="2436"/>
            <w:vAlign w:val="center"/>
          </w:tcPr>
          <w:p>
            <w:pPr>
              <w:spacing w:line="276" w:lineRule="auto" w:before="0" w:after="0"/>
            </w:pPr>
            <w:r/>
            <w:r>
              <w:rPr>
                <w:rFonts w:ascii="Figtree" w:hAnsi="Figtree"/>
                <w:b w:val="0"/>
                <w:i w:val="0"/>
                <w:sz w:val="20"/>
              </w:rPr>
              <w:t>Phase 5</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DvP pilot with test participants, UAT, security test</w:t>
            </w:r>
          </w:p>
        </w:tc>
        <w:tc>
          <w:tcPr>
            <w:tcW w:type="dxa" w:w="2436"/>
            <w:vAlign w:val="center"/>
          </w:tcPr>
          <w:p>
            <w:pPr>
              <w:spacing w:line="276" w:lineRule="auto" w:before="0" w:after="0"/>
            </w:pPr>
            <w:r/>
            <w:r>
              <w:rPr>
                <w:rFonts w:ascii="Figtree" w:hAnsi="Figtree"/>
                <w:b w:val="0"/>
                <w:i w:val="0"/>
                <w:sz w:val="20"/>
              </w:rPr>
              <w:t>SARB Programme Director certificate</w:t>
            </w:r>
          </w:p>
        </w:tc>
      </w:tr>
      <w:tr>
        <w:trPr>
          <w:trHeight w:val="425" w:hRule="atLeast"/>
        </w:trPr>
        <w:tc>
          <w:tcPr>
            <w:tcW w:type="dxa" w:w="2436"/>
            <w:vAlign w:val="center"/>
          </w:tcPr>
          <w:p>
            <w:pPr>
              <w:spacing w:line="276" w:lineRule="auto" w:before="0" w:after="0"/>
            </w:pPr>
            <w:r/>
            <w:r>
              <w:rPr>
                <w:rFonts w:ascii="Figtree" w:hAnsi="Figtree"/>
                <w:b w:val="0"/>
                <w:i w:val="0"/>
                <w:sz w:val="20"/>
              </w:rPr>
              <w:t>Phase 6</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Production go-live, hypercare, knowledge transfer</w:t>
            </w:r>
          </w:p>
        </w:tc>
        <w:tc>
          <w:tcPr>
            <w:tcW w:type="dxa" w:w="2436"/>
            <w:vAlign w:val="center"/>
          </w:tcPr>
          <w:p>
            <w:pPr>
              <w:spacing w:line="276" w:lineRule="auto" w:before="0" w:after="0"/>
            </w:pPr>
            <w:r/>
            <w:r>
              <w:rPr>
                <w:rFonts w:ascii="Figtree" w:hAnsi="Figtree"/>
                <w:b w:val="0"/>
                <w:i w:val="0"/>
                <w:sz w:val="20"/>
              </w:rPr>
              <w:t>Operational readiness</w:t>
            </w:r>
          </w:p>
        </w:tc>
      </w:tr>
    </w:tbl>
    <w:p>
      <w:pPr>
        <w:spacing w:before="0" w:after="0" w:line="120" w:lineRule="exact"/>
      </w:pPr>
    </w:p>
    <w:p>
      <w:pPr>
        <w:pStyle w:val="H2"/>
        <w:numPr>
          <w:ilvl w:val="1"/>
          <w:numId w:val="1"/>
        </w:numPr>
      </w:pPr>
      <w:r>
        <w:t>11.2 SARB Resource Requirements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180"/>
        <w:gridCol w:w="2891"/>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SARB Person-Days</w:t>
            </w:r>
          </w:p>
        </w:tc>
      </w:tr>
      <w:tr>
        <w:trPr>
          <w:trHeight w:val="425" w:hRule="atLeast"/>
        </w:trPr>
        <w:tc>
          <w:tcPr>
            <w:tcW w:type="dxa" w:w="4873"/>
            <w:vAlign w:val="center"/>
          </w:tcPr>
          <w:p>
            <w:pPr>
              <w:spacing w:line="276" w:lineRule="auto" w:before="0" w:after="0"/>
            </w:pPr>
            <w:r/>
            <w:r>
              <w:rPr>
                <w:rFonts w:ascii="Figtree" w:hAnsi="Figtree"/>
                <w:b w:val="0"/>
                <w:i w:val="0"/>
                <w:sz w:val="20"/>
              </w:rPr>
              <w:t>Programme Director</w:t>
            </w:r>
          </w:p>
        </w:tc>
        <w:tc>
          <w:tcPr>
            <w:tcW w:type="dxa" w:w="4873"/>
            <w:vAlign w:val="center"/>
          </w:tcPr>
          <w:p>
            <w:pPr>
              <w:spacing w:line="276" w:lineRule="auto" w:before="0" w:after="0"/>
            </w:pPr>
            <w:r/>
            <w:r>
              <w:rPr>
                <w:rFonts w:ascii="Figtree" w:hAnsi="Figtree"/>
                <w:b w:val="0"/>
                <w:i w:val="0"/>
                <w:sz w:val="20"/>
              </w:rPr>
              <w:t>25</w:t>
            </w:r>
          </w:p>
        </w:tc>
      </w:tr>
      <w:tr>
        <w:trPr>
          <w:trHeight w:val="425" w:hRule="atLeast"/>
        </w:trPr>
        <w:tc>
          <w:tcPr>
            <w:tcW w:type="dxa" w:w="4873"/>
            <w:vAlign w:val="center"/>
          </w:tcPr>
          <w:p>
            <w:pPr>
              <w:spacing w:line="276" w:lineRule="auto" w:before="0" w:after="0"/>
            </w:pPr>
            <w:r/>
            <w:r>
              <w:rPr>
                <w:rFonts w:ascii="Figtree" w:hAnsi="Figtree"/>
                <w:b w:val="0"/>
                <w:i w:val="0"/>
                <w:sz w:val="20"/>
              </w:rPr>
              <w:t>Technology/Integration (SAMOS + Strate)</w:t>
            </w:r>
          </w:p>
        </w:tc>
        <w:tc>
          <w:tcPr>
            <w:tcW w:type="dxa" w:w="4873"/>
            <w:vAlign w:val="center"/>
          </w:tcPr>
          <w:p>
            <w:pPr>
              <w:spacing w:line="276" w:lineRule="auto" w:before="0" w:after="0"/>
            </w:pPr>
            <w:r/>
            <w:r>
              <w:rPr>
                <w:rFonts w:ascii="Figtree" w:hAnsi="Figtree"/>
                <w:b w:val="0"/>
                <w:i w:val="0"/>
                <w:sz w:val="20"/>
              </w:rPr>
              <w:t>50</w:t>
            </w:r>
          </w:p>
        </w:tc>
      </w:tr>
      <w:tr>
        <w:trPr>
          <w:trHeight w:val="425" w:hRule="atLeast"/>
        </w:trPr>
        <w:tc>
          <w:tcPr>
            <w:tcW w:type="dxa" w:w="4873"/>
            <w:vAlign w:val="center"/>
          </w:tcPr>
          <w:p>
            <w:pPr>
              <w:spacing w:line="276" w:lineRule="auto" w:before="0" w:after="0"/>
            </w:pPr>
            <w:r/>
            <w:r>
              <w:rPr>
                <w:rFonts w:ascii="Figtree" w:hAnsi="Figtree"/>
                <w:b w:val="0"/>
                <w:i w:val="0"/>
                <w:sz w:val="20"/>
              </w:rPr>
              <w:t>Information Security</w:t>
            </w:r>
          </w:p>
        </w:tc>
        <w:tc>
          <w:tcPr>
            <w:tcW w:type="dxa" w:w="4873"/>
            <w:vAlign w:val="center"/>
          </w:tcPr>
          <w:p>
            <w:pPr>
              <w:spacing w:line="276" w:lineRule="auto" w:before="0" w:after="0"/>
            </w:pPr>
            <w:r/>
            <w:r>
              <w:rPr>
                <w:rFonts w:ascii="Figtree" w:hAnsi="Figtree"/>
                <w:b w:val="0"/>
                <w:i w:val="0"/>
                <w:sz w:val="20"/>
              </w:rPr>
              <w:t>20</w:t>
            </w:r>
          </w:p>
        </w:tc>
      </w:tr>
      <w:tr>
        <w:trPr>
          <w:trHeight w:val="425" w:hRule="atLeast"/>
        </w:trPr>
        <w:tc>
          <w:tcPr>
            <w:tcW w:type="dxa" w:w="4873"/>
            <w:vAlign w:val="center"/>
          </w:tcPr>
          <w:p>
            <w:pPr>
              <w:spacing w:line="276" w:lineRule="auto" w:before="0" w:after="0"/>
            </w:pPr>
            <w:r/>
            <w:r>
              <w:rPr>
                <w:rFonts w:ascii="Figtree" w:hAnsi="Figtree"/>
                <w:b w:val="0"/>
                <w:i w:val="0"/>
                <w:sz w:val="20"/>
              </w:rPr>
              <w:t>Monetary Policy (CBDC config review)</w:t>
            </w:r>
          </w:p>
        </w:tc>
        <w:tc>
          <w:tcPr>
            <w:tcW w:type="dxa" w:w="4873"/>
            <w:vAlign w:val="center"/>
          </w:tcPr>
          <w:p>
            <w:pPr>
              <w:spacing w:line="276" w:lineRule="auto" w:before="0" w:after="0"/>
            </w:pPr>
            <w:r/>
            <w:r>
              <w:rPr>
                <w:rFonts w:ascii="Figtree" w:hAnsi="Figtree"/>
                <w:b w:val="0"/>
                <w:i w:val="0"/>
                <w:sz w:val="20"/>
              </w:rPr>
              <w:t>15</w:t>
            </w:r>
          </w:p>
        </w:tc>
      </w:tr>
      <w:tr>
        <w:trPr>
          <w:trHeight w:val="425" w:hRule="atLeast"/>
        </w:trPr>
        <w:tc>
          <w:tcPr>
            <w:tcW w:type="dxa" w:w="4873"/>
            <w:vAlign w:val="center"/>
          </w:tcPr>
          <w:p>
            <w:pPr>
              <w:spacing w:line="276" w:lineRule="auto" w:before="0" w:after="0"/>
            </w:pPr>
            <w:r/>
            <w:r>
              <w:rPr>
                <w:rFonts w:ascii="Figtree" w:hAnsi="Figtree"/>
                <w:b w:val="0"/>
                <w:i w:val="0"/>
                <w:sz w:val="20"/>
              </w:rPr>
              <w:t>Financial Markets (DvP instrument config)</w:t>
            </w:r>
          </w:p>
        </w:tc>
        <w:tc>
          <w:tcPr>
            <w:tcW w:type="dxa" w:w="4873"/>
            <w:vAlign w:val="center"/>
          </w:tcPr>
          <w:p>
            <w:pPr>
              <w:spacing w:line="276" w:lineRule="auto" w:before="0" w:after="0"/>
            </w:pPr>
            <w:r/>
            <w:r>
              <w:rPr>
                <w:rFonts w:ascii="Figtree" w:hAnsi="Figtree"/>
                <w:b w:val="0"/>
                <w:i w:val="0"/>
                <w:sz w:val="20"/>
              </w:rPr>
              <w:t>15</w:t>
            </w:r>
          </w:p>
        </w:tc>
      </w:tr>
      <w:tr>
        <w:trPr>
          <w:trHeight w:val="425" w:hRule="atLeast"/>
        </w:trPr>
        <w:tc>
          <w:tcPr>
            <w:tcW w:type="dxa" w:w="4873"/>
            <w:vAlign w:val="center"/>
          </w:tcPr>
          <w:p>
            <w:pPr>
              <w:spacing w:line="276" w:lineRule="auto" w:before="0" w:after="0"/>
            </w:pPr>
            <w:r/>
            <w:r>
              <w:rPr>
                <w:rFonts w:ascii="Figtree" w:hAnsi="Figtree"/>
                <w:b w:val="0"/>
                <w:i w:val="0"/>
                <w:sz w:val="20"/>
              </w:rPr>
              <w:t>Operations team</w:t>
            </w:r>
          </w:p>
        </w:tc>
        <w:tc>
          <w:tcPr>
            <w:tcW w:type="dxa" w:w="4873"/>
            <w:vAlign w:val="center"/>
          </w:tcPr>
          <w:p>
            <w:pPr>
              <w:spacing w:line="276" w:lineRule="auto" w:before="0" w:after="0"/>
            </w:pPr>
            <w:r/>
            <w:r>
              <w:rPr>
                <w:rFonts w:ascii="Figtree" w:hAnsi="Figtree"/>
                <w:b w:val="0"/>
                <w:i w:val="0"/>
                <w:sz w:val="20"/>
              </w:rPr>
              <w:t>20</w:t>
            </w:r>
          </w:p>
        </w:tc>
      </w:tr>
      <w:tr>
        <w:trPr>
          <w:trHeight w:val="425" w:hRule="atLeast"/>
        </w:trPr>
        <w:tc>
          <w:tcPr>
            <w:tcW w:type="dxa" w:w="4873"/>
            <w:vAlign w:val="center"/>
          </w:tcPr>
          <w:p>
            <w:pPr>
              <w:spacing w:line="276" w:lineRule="auto" w:before="0" w:after="0"/>
            </w:pPr>
            <w:r/>
            <w:r>
              <w:rPr>
                <w:rFonts w:ascii="Figtree" w:hAnsi="Figtree"/>
                <w:b w:val="0"/>
                <w:i w:val="0"/>
                <w:sz w:val="20"/>
              </w:rPr>
              <w:t>Internal Audit</w:t>
            </w:r>
          </w:p>
        </w:tc>
        <w:tc>
          <w:tcPr>
            <w:tcW w:type="dxa" w:w="4873"/>
            <w:vAlign w:val="center"/>
          </w:tcPr>
          <w:p>
            <w:pPr>
              <w:spacing w:line="276" w:lineRule="auto" w:before="0" w:after="0"/>
            </w:pPr>
            <w:r/>
            <w:r>
              <w:rPr>
                <w:rFonts w:ascii="Figtree" w:hAnsi="Figtree"/>
                <w:b w:val="0"/>
                <w:i w:val="0"/>
                <w:sz w:val="20"/>
              </w:rPr>
              <w:t>10</w:t>
            </w:r>
          </w:p>
        </w:tc>
      </w:tr>
      <w:tr>
        <w:trPr>
          <w:trHeight w:val="425" w:hRule="atLeast"/>
        </w:trPr>
        <w:tc>
          <w:tcPr>
            <w:tcW w:type="dxa" w:w="4873"/>
            <w:vAlign w:val="center"/>
          </w:tcPr>
          <w:p>
            <w:pPr>
              <w:spacing w:line="276" w:lineRule="auto" w:before="0" w:after="0"/>
            </w:pPr>
            <w:r/>
            <w:r>
              <w:rPr>
                <w:rFonts w:ascii="Figtree" w:hAnsi="Figtree"/>
                <w:b/>
                <w:i w:val="0"/>
                <w:sz w:val="20"/>
              </w:rPr>
              <w:t>Total</w:t>
            </w:r>
          </w:p>
        </w:tc>
        <w:tc>
          <w:tcPr>
            <w:tcW w:type="dxa" w:w="4873"/>
            <w:vAlign w:val="center"/>
          </w:tcPr>
          <w:p>
            <w:pPr>
              <w:spacing w:line="276" w:lineRule="auto" w:before="0" w:after="0"/>
            </w:pPr>
            <w:r/>
            <w:r>
              <w:rPr>
                <w:rFonts w:ascii="Figtree" w:hAnsi="Figtree"/>
                <w:b/>
                <w:i w:val="0"/>
                <w:sz w:val="20"/>
              </w:rPr>
              <w:t>155</w:t>
            </w:r>
          </w:p>
        </w:tc>
      </w:tr>
    </w:tbl>
    <w:p>
      <w:pPr>
        <w:spacing w:before="0" w:after="0" w:line="120" w:lineRule="exact"/>
      </w:pPr>
    </w:p>
    <w:p>
      <w:r>
        <w:br w:type="page"/>
      </w:r>
    </w:p>
    <w:p>
      <w:pPr>
        <w:pStyle w:val="H1"/>
        <w:numPr>
          <w:ilvl w:val="0"/>
          <w:numId w:val="1"/>
        </w:numPr>
      </w:pPr>
      <w:r>
        <w:t>12. Training and Knowledge Transfer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76"/>
        <w:gridCol w:w="1953"/>
        <w:gridCol w:w="724"/>
        <w:gridCol w:w="4617"/>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Track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Audience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2436"/>
            <w:vAlign w:val="center"/>
          </w:tcPr>
          <w:p>
            <w:pPr>
              <w:spacing w:line="276" w:lineRule="auto" w:before="0" w:after="0"/>
            </w:pPr>
            <w:r/>
            <w:r>
              <w:rPr>
                <w:rFonts w:ascii="Figtree" w:hAnsi="Figtree"/>
                <w:b w:val="0"/>
                <w:i w:val="0"/>
                <w:sz w:val="20"/>
              </w:rPr>
              <w:t>SARB Operator</w:t>
            </w:r>
          </w:p>
        </w:tc>
        <w:tc>
          <w:tcPr>
            <w:tcW w:type="dxa" w:w="2436"/>
            <w:vAlign w:val="center"/>
          </w:tcPr>
          <w:p>
            <w:pPr>
              <w:spacing w:line="276" w:lineRule="auto" w:before="0" w:after="0"/>
            </w:pPr>
            <w:r/>
            <w:r>
              <w:rPr>
                <w:rFonts w:ascii="Figtree" w:hAnsi="Figtree"/>
                <w:b w:val="0"/>
                <w:i w:val="0"/>
                <w:sz w:val="20"/>
              </w:rPr>
              <w:t>SARB operations</w:t>
            </w:r>
          </w:p>
        </w:tc>
        <w:tc>
          <w:tcPr>
            <w:tcW w:type="dxa" w:w="2436"/>
            <w:vAlign w:val="center"/>
          </w:tcPr>
          <w:p>
            <w:pPr>
              <w:spacing w:line="276" w:lineRule="auto" w:before="0" w:after="0"/>
            </w:pPr>
            <w:r/>
            <w:r>
              <w:rPr>
                <w:rFonts w:ascii="Figtree" w:hAnsi="Figtree"/>
                <w:b w:val="0"/>
                <w:i w:val="0"/>
                <w:sz w:val="20"/>
              </w:rPr>
              <w:t>3 days</w:t>
            </w:r>
          </w:p>
        </w:tc>
        <w:tc>
          <w:tcPr>
            <w:tcW w:type="dxa" w:w="2436"/>
            <w:vAlign w:val="center"/>
          </w:tcPr>
          <w:p>
            <w:pPr>
              <w:spacing w:line="276" w:lineRule="auto" w:before="0" w:after="0"/>
            </w:pPr>
            <w:r/>
            <w:r>
              <w:rPr>
                <w:rFonts w:ascii="Figtree" w:hAnsi="Figtree"/>
                <w:b w:val="0"/>
                <w:i w:val="0"/>
                <w:sz w:val="20"/>
              </w:rPr>
              <w:t>CBDC minting, participant management, DvP monitoring</w:t>
            </w:r>
          </w:p>
        </w:tc>
      </w:tr>
      <w:tr>
        <w:trPr>
          <w:trHeight w:val="425" w:hRule="atLeast"/>
        </w:trPr>
        <w:tc>
          <w:tcPr>
            <w:tcW w:type="dxa" w:w="2436"/>
            <w:vAlign w:val="center"/>
          </w:tcPr>
          <w:p>
            <w:pPr>
              <w:spacing w:line="276" w:lineRule="auto" w:before="0" w:after="0"/>
            </w:pPr>
            <w:r/>
            <w:r>
              <w:rPr>
                <w:rFonts w:ascii="Figtree" w:hAnsi="Figtree"/>
                <w:b w:val="0"/>
                <w:i w:val="0"/>
                <w:sz w:val="20"/>
              </w:rPr>
              <w:t>SARB Markets</w:t>
            </w:r>
          </w:p>
        </w:tc>
        <w:tc>
          <w:tcPr>
            <w:tcW w:type="dxa" w:w="2436"/>
            <w:vAlign w:val="center"/>
          </w:tcPr>
          <w:p>
            <w:pPr>
              <w:spacing w:line="276" w:lineRule="auto" w:before="0" w:after="0"/>
            </w:pPr>
            <w:r/>
            <w:r>
              <w:rPr>
                <w:rFonts w:ascii="Figtree" w:hAnsi="Figtree"/>
                <w:b w:val="0"/>
                <w:i w:val="0"/>
                <w:sz w:val="20"/>
              </w:rPr>
              <w:t>Financial markets team</w:t>
            </w:r>
          </w:p>
        </w:tc>
        <w:tc>
          <w:tcPr>
            <w:tcW w:type="dxa" w:w="2436"/>
            <w:vAlign w:val="center"/>
          </w:tcPr>
          <w:p>
            <w:pPr>
              <w:spacing w:line="276" w:lineRule="auto" w:before="0" w:after="0"/>
            </w:pPr>
            <w:r/>
            <w:r>
              <w:rPr>
                <w:rFonts w:ascii="Figtree" w:hAnsi="Figtree"/>
                <w:b w:val="0"/>
                <w:i w:val="0"/>
                <w:sz w:val="20"/>
              </w:rPr>
              <w:t>2 days</w:t>
            </w:r>
          </w:p>
        </w:tc>
        <w:tc>
          <w:tcPr>
            <w:tcW w:type="dxa" w:w="2436"/>
            <w:vAlign w:val="center"/>
          </w:tcPr>
          <w:p>
            <w:pPr>
              <w:spacing w:line="276" w:lineRule="auto" w:before="0" w:after="0"/>
            </w:pPr>
            <w:r/>
            <w:r>
              <w:rPr>
                <w:rFonts w:ascii="Figtree" w:hAnsi="Figtree"/>
                <w:b w:val="0"/>
                <w:i w:val="0"/>
                <w:sz w:val="20"/>
              </w:rPr>
              <w:t>Securities settlement configuration</w:t>
            </w:r>
          </w:p>
        </w:tc>
      </w:tr>
      <w:tr>
        <w:trPr>
          <w:trHeight w:val="425" w:hRule="atLeast"/>
        </w:trPr>
        <w:tc>
          <w:tcPr>
            <w:tcW w:type="dxa" w:w="2436"/>
            <w:vAlign w:val="center"/>
          </w:tcPr>
          <w:p>
            <w:pPr>
              <w:spacing w:line="276" w:lineRule="auto" w:before="0" w:after="0"/>
            </w:pPr>
            <w:r/>
            <w:r>
              <w:rPr>
                <w:rFonts w:ascii="Figtree" w:hAnsi="Figtree"/>
                <w:b w:val="0"/>
                <w:i w:val="0"/>
                <w:sz w:val="20"/>
              </w:rPr>
              <w:t>SARB Technology</w:t>
            </w:r>
          </w:p>
        </w:tc>
        <w:tc>
          <w:tcPr>
            <w:tcW w:type="dxa" w:w="2436"/>
            <w:vAlign w:val="center"/>
          </w:tcPr>
          <w:p>
            <w:pPr>
              <w:spacing w:line="276" w:lineRule="auto" w:before="0" w:after="0"/>
            </w:pPr>
            <w:r/>
            <w:r>
              <w:rPr>
                <w:rFonts w:ascii="Figtree" w:hAnsi="Figtree"/>
                <w:b w:val="0"/>
                <w:i w:val="0"/>
                <w:sz w:val="20"/>
              </w:rPr>
              <w:t>IT team</w:t>
            </w:r>
          </w:p>
        </w:tc>
        <w:tc>
          <w:tcPr>
            <w:tcW w:type="dxa" w:w="2436"/>
            <w:vAlign w:val="center"/>
          </w:tcPr>
          <w:p>
            <w:pPr>
              <w:spacing w:line="276" w:lineRule="auto" w:before="0" w:after="0"/>
            </w:pPr>
            <w:r/>
            <w:r>
              <w:rPr>
                <w:rFonts w:ascii="Figtree" w:hAnsi="Figtree"/>
                <w:b w:val="0"/>
                <w:i w:val="0"/>
                <w:sz w:val="20"/>
              </w:rPr>
              <w:t>3 days</w:t>
            </w:r>
          </w:p>
        </w:tc>
        <w:tc>
          <w:tcPr>
            <w:tcW w:type="dxa" w:w="2436"/>
            <w:vAlign w:val="center"/>
          </w:tcPr>
          <w:p>
            <w:pPr>
              <w:spacing w:line="276" w:lineRule="auto" w:before="0" w:after="0"/>
            </w:pPr>
            <w:r/>
            <w:r>
              <w:rPr>
                <w:rFonts w:ascii="Figtree" w:hAnsi="Figtree"/>
                <w:b w:val="0"/>
                <w:i w:val="0"/>
                <w:sz w:val="20"/>
              </w:rPr>
              <w:t>SAMOS/Strate integration maintenance</w:t>
            </w:r>
          </w:p>
        </w:tc>
      </w:tr>
      <w:tr>
        <w:trPr>
          <w:trHeight w:val="425" w:hRule="atLeast"/>
        </w:trPr>
        <w:tc>
          <w:tcPr>
            <w:tcW w:type="dxa" w:w="2436"/>
            <w:vAlign w:val="center"/>
          </w:tcPr>
          <w:p>
            <w:pPr>
              <w:spacing w:line="276" w:lineRule="auto" w:before="0" w:after="0"/>
            </w:pPr>
            <w:r/>
            <w:r>
              <w:rPr>
                <w:rFonts w:ascii="Figtree" w:hAnsi="Figtree"/>
                <w:b w:val="0"/>
                <w:i w:val="0"/>
                <w:sz w:val="20"/>
              </w:rPr>
              <w:t>Bank Technical Teams</w:t>
            </w:r>
          </w:p>
        </w:tc>
        <w:tc>
          <w:tcPr>
            <w:tcW w:type="dxa" w:w="2436"/>
            <w:vAlign w:val="center"/>
          </w:tcPr>
          <w:p>
            <w:pPr>
              <w:spacing w:line="276" w:lineRule="auto" w:before="0" w:after="0"/>
            </w:pPr>
            <w:r/>
            <w:r>
              <w:rPr>
                <w:rFonts w:ascii="Figtree" w:hAnsi="Figtree"/>
                <w:b w:val="0"/>
                <w:i w:val="0"/>
                <w:sz w:val="20"/>
              </w:rPr>
              <w:t>PA-regulated bank IT</w:t>
            </w:r>
          </w:p>
        </w:tc>
        <w:tc>
          <w:tcPr>
            <w:tcW w:type="dxa" w:w="2436"/>
            <w:vAlign w:val="center"/>
          </w:tcPr>
          <w:p>
            <w:pPr>
              <w:spacing w:line="276" w:lineRule="auto" w:before="0" w:after="0"/>
            </w:pPr>
            <w:r/>
            <w:r>
              <w:rPr>
                <w:rFonts w:ascii="Figtree" w:hAnsi="Figtree"/>
                <w:b w:val="0"/>
                <w:i w:val="0"/>
                <w:sz w:val="20"/>
              </w:rPr>
              <w:t>1 day</w:t>
            </w:r>
          </w:p>
        </w:tc>
        <w:tc>
          <w:tcPr>
            <w:tcW w:type="dxa" w:w="2436"/>
            <w:vAlign w:val="center"/>
          </w:tcPr>
          <w:p>
            <w:pPr>
              <w:spacing w:line="276" w:lineRule="auto" w:before="0" w:after="0"/>
            </w:pPr>
            <w:r/>
            <w:r>
              <w:rPr>
                <w:rFonts w:ascii="Figtree" w:hAnsi="Figtree"/>
                <w:b w:val="0"/>
                <w:i w:val="0"/>
                <w:sz w:val="20"/>
              </w:rPr>
              <w:t>API integration, settlement workflow</w:t>
            </w:r>
          </w:p>
        </w:tc>
      </w:tr>
    </w:tbl>
    <w:p>
      <w:pPr>
        <w:spacing w:before="0" w:after="0" w:line="120" w:lineRule="exact"/>
      </w:pPr>
    </w:p>
    <w:p>
      <w:r>
        <w:br w:type="page"/>
      </w:r>
    </w:p>
    <w:p>
      <w:pPr>
        <w:pStyle w:val="H1"/>
        <w:numPr>
          <w:ilvl w:val="0"/>
          <w:numId w:val="1"/>
        </w:numPr>
      </w:pPr>
      <w:r>
        <w:t>13. Support and Service Levels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02"/>
        <w:gridCol w:w="606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CBDC-Enhanced Target</w:t>
            </w:r>
          </w:p>
        </w:tc>
      </w:tr>
      <w:tr>
        <w:trPr>
          <w:trHeight w:val="425" w:hRule="atLeast"/>
        </w:trPr>
        <w:tc>
          <w:tcPr>
            <w:tcW w:type="dxa" w:w="4873"/>
            <w:vAlign w:val="center"/>
          </w:tcPr>
          <w:p>
            <w:pPr>
              <w:spacing w:line="276" w:lineRule="auto" w:before="0" w:after="0"/>
            </w:pPr>
            <w:r/>
            <w:r>
              <w:rPr>
                <w:rFonts w:ascii="Figtree" w:hAnsi="Figtree"/>
                <w:b w:val="0"/>
                <w:i w:val="0"/>
                <w:sz w:val="20"/>
              </w:rPr>
              <w:t>Uptime</w:t>
            </w:r>
          </w:p>
        </w:tc>
        <w:tc>
          <w:tcPr>
            <w:tcW w:type="dxa" w:w="4873"/>
            <w:vAlign w:val="center"/>
          </w:tcPr>
          <w:p>
            <w:pPr>
              <w:spacing w:line="276" w:lineRule="auto" w:before="0" w:after="0"/>
            </w:pPr>
            <w:r/>
            <w:r>
              <w:rPr>
                <w:rFonts w:ascii="Figtree" w:hAnsi="Figtree"/>
                <w:b w:val="0"/>
                <w:i w:val="0"/>
                <w:sz w:val="20"/>
              </w:rPr>
              <w:t>99.95%</w:t>
            </w:r>
          </w:p>
        </w:tc>
      </w:tr>
      <w:tr>
        <w:trPr>
          <w:trHeight w:val="425" w:hRule="atLeast"/>
        </w:trPr>
        <w:tc>
          <w:tcPr>
            <w:tcW w:type="dxa" w:w="4873"/>
            <w:vAlign w:val="center"/>
          </w:tcPr>
          <w:p>
            <w:pPr>
              <w:spacing w:line="276" w:lineRule="auto" w:before="0" w:after="0"/>
            </w:pPr>
            <w:r/>
            <w:r>
              <w:rPr>
                <w:rFonts w:ascii="Figtree" w:hAnsi="Figtree"/>
                <w:b w:val="0"/>
                <w:i w:val="0"/>
                <w:sz w:val="20"/>
              </w:rPr>
              <w:t>P1 response</w:t>
            </w:r>
          </w:p>
        </w:tc>
        <w:tc>
          <w:tcPr>
            <w:tcW w:type="dxa" w:w="4873"/>
            <w:vAlign w:val="center"/>
          </w:tcPr>
          <w:p>
            <w:pPr>
              <w:spacing w:line="276" w:lineRule="auto" w:before="0" w:after="0"/>
            </w:pPr>
            <w:r/>
            <w:r>
              <w:rPr>
                <w:rFonts w:ascii="Figtree" w:hAnsi="Figtree"/>
                <w:b w:val="0"/>
                <w:i w:val="0"/>
                <w:sz w:val="20"/>
              </w:rPr>
              <w:t>30 minutes</w:t>
            </w:r>
          </w:p>
        </w:tc>
      </w:tr>
      <w:tr>
        <w:trPr>
          <w:trHeight w:val="425" w:hRule="atLeast"/>
        </w:trPr>
        <w:tc>
          <w:tcPr>
            <w:tcW w:type="dxa" w:w="4873"/>
            <w:vAlign w:val="center"/>
          </w:tcPr>
          <w:p>
            <w:pPr>
              <w:spacing w:line="276" w:lineRule="auto" w:before="0" w:after="0"/>
            </w:pPr>
            <w:r/>
            <w:r>
              <w:rPr>
                <w:rFonts w:ascii="Figtree" w:hAnsi="Figtree"/>
                <w:b w:val="0"/>
                <w:i w:val="0"/>
                <w:sz w:val="20"/>
              </w:rPr>
              <w:t>P1 resolution</w:t>
            </w:r>
          </w:p>
        </w:tc>
        <w:tc>
          <w:tcPr>
            <w:tcW w:type="dxa" w:w="4873"/>
            <w:vAlign w:val="center"/>
          </w:tcPr>
          <w:p>
            <w:pPr>
              <w:spacing w:line="276" w:lineRule="auto" w:before="0" w:after="0"/>
            </w:pPr>
            <w:r/>
            <w:r>
              <w:rPr>
                <w:rFonts w:ascii="Figtree" w:hAnsi="Figtree"/>
                <w:b w:val="0"/>
                <w:i w:val="0"/>
                <w:sz w:val="20"/>
              </w:rPr>
              <w:t>2 hours</w:t>
            </w:r>
          </w:p>
        </w:tc>
      </w:tr>
      <w:tr>
        <w:trPr>
          <w:trHeight w:val="425" w:hRule="atLeast"/>
        </w:trPr>
        <w:tc>
          <w:tcPr>
            <w:tcW w:type="dxa" w:w="4873"/>
            <w:vAlign w:val="center"/>
          </w:tcPr>
          <w:p>
            <w:pPr>
              <w:spacing w:line="276" w:lineRule="auto" w:before="0" w:after="0"/>
            </w:pPr>
            <w:r/>
            <w:r>
              <w:rPr>
                <w:rFonts w:ascii="Figtree" w:hAnsi="Figtree"/>
                <w:b w:val="0"/>
                <w:i w:val="0"/>
                <w:sz w:val="20"/>
              </w:rPr>
              <w:t>DR test</w:t>
            </w:r>
          </w:p>
        </w:tc>
        <w:tc>
          <w:tcPr>
            <w:tcW w:type="dxa" w:w="4873"/>
            <w:vAlign w:val="center"/>
          </w:tcPr>
          <w:p>
            <w:pPr>
              <w:spacing w:line="276" w:lineRule="auto" w:before="0" w:after="0"/>
            </w:pPr>
            <w:r/>
            <w:r>
              <w:rPr>
                <w:rFonts w:ascii="Figtree" w:hAnsi="Figtree"/>
                <w:b w:val="0"/>
                <w:i w:val="0"/>
                <w:sz w:val="20"/>
              </w:rPr>
              <w:t>Monthly (SARB-witnessed)</w:t>
            </w:r>
          </w:p>
        </w:tc>
      </w:tr>
      <w:tr>
        <w:trPr>
          <w:trHeight w:val="425" w:hRule="atLeast"/>
        </w:trPr>
        <w:tc>
          <w:tcPr>
            <w:tcW w:type="dxa" w:w="4873"/>
            <w:vAlign w:val="center"/>
          </w:tcPr>
          <w:p>
            <w:pPr>
              <w:spacing w:line="276" w:lineRule="auto" w:before="0" w:after="0"/>
            </w:pPr>
            <w:r/>
            <w:r>
              <w:rPr>
                <w:rFonts w:ascii="Figtree" w:hAnsi="Figtree"/>
                <w:b w:val="0"/>
                <w:i w:val="0"/>
                <w:sz w:val="20"/>
              </w:rPr>
              <w:t>Examination support</w:t>
            </w:r>
          </w:p>
        </w:tc>
        <w:tc>
          <w:tcPr>
            <w:tcW w:type="dxa" w:w="4873"/>
            <w:vAlign w:val="center"/>
          </w:tcPr>
          <w:p>
            <w:pPr>
              <w:spacing w:line="276" w:lineRule="auto" w:before="0" w:after="0"/>
            </w:pPr>
            <w:r/>
            <w:r>
              <w:rPr>
                <w:rFonts w:ascii="Figtree" w:hAnsi="Figtree"/>
                <w:b w:val="0"/>
                <w:i w:val="0"/>
                <w:sz w:val="20"/>
              </w:rPr>
              <w:t>PA/FSCA evidence packs within 5 business days</w:t>
            </w:r>
          </w:p>
        </w:tc>
      </w:tr>
      <w:tr>
        <w:trPr>
          <w:trHeight w:val="425" w:hRule="atLeast"/>
        </w:trPr>
        <w:tc>
          <w:tcPr>
            <w:tcW w:type="dxa" w:w="4873"/>
            <w:vAlign w:val="center"/>
          </w:tcPr>
          <w:p>
            <w:pPr>
              <w:spacing w:line="276" w:lineRule="auto" w:before="0" w:after="0"/>
            </w:pPr>
            <w:r/>
            <w:r>
              <w:rPr>
                <w:rFonts w:ascii="Figtree" w:hAnsi="Figtree"/>
                <w:b w:val="0"/>
                <w:i w:val="0"/>
                <w:sz w:val="20"/>
              </w:rPr>
              <w:t>Post-mortem sharing</w:t>
            </w:r>
          </w:p>
        </w:tc>
        <w:tc>
          <w:tcPr>
            <w:tcW w:type="dxa" w:w="4873"/>
            <w:vAlign w:val="center"/>
          </w:tcPr>
          <w:p>
            <w:pPr>
              <w:spacing w:line="276" w:lineRule="auto" w:before="0" w:after="0"/>
            </w:pPr>
            <w:r/>
            <w:r>
              <w:rPr>
                <w:rFonts w:ascii="Figtree" w:hAnsi="Figtree"/>
                <w:b w:val="0"/>
                <w:i w:val="0"/>
                <w:sz w:val="20"/>
              </w:rPr>
              <w:t>P1 incidents within 5 business days</w:t>
            </w:r>
          </w:p>
        </w:tc>
      </w:tr>
    </w:tbl>
    <w:p>
      <w:pPr>
        <w:spacing w:before="0" w:after="0" w:line="120" w:lineRule="exact"/>
      </w:pPr>
    </w:p>
    <w:p>
      <w:r>
        <w:br w:type="page"/>
      </w:r>
    </w:p>
    <w:p>
      <w:pPr>
        <w:pStyle w:val="H1"/>
        <w:numPr>
          <w:ilvl w:val="0"/>
          <w:numId w:val="1"/>
        </w:numPr>
      </w:pPr>
      <w:r>
        <w:t>14. Risk Management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51"/>
        <w:gridCol w:w="2939"/>
        <w:gridCol w:w="651"/>
        <w:gridCol w:w="651"/>
        <w:gridCol w:w="4177"/>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Risk</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1949"/>
            <w:vAlign w:val="center"/>
          </w:tcPr>
          <w:p>
            <w:pPr>
              <w:spacing w:line="276" w:lineRule="auto" w:before="0" w:after="0"/>
            </w:pPr>
            <w:r/>
            <w:r>
              <w:rPr>
                <w:rFonts w:ascii="Figtree" w:hAnsi="Figtree"/>
                <w:b w:val="0"/>
                <w:i w:val="0"/>
                <w:sz w:val="20"/>
              </w:rPr>
              <w:t>R-01</w:t>
            </w:r>
          </w:p>
        </w:tc>
        <w:tc>
          <w:tcPr>
            <w:tcW w:type="dxa" w:w="1949"/>
            <w:vAlign w:val="center"/>
          </w:tcPr>
          <w:p>
            <w:pPr>
              <w:spacing w:line="276" w:lineRule="auto" w:before="0" w:after="0"/>
            </w:pPr>
            <w:r/>
            <w:r>
              <w:rPr>
                <w:rFonts w:ascii="Figtree" w:hAnsi="Figtree"/>
                <w:b w:val="0"/>
                <w:i w:val="0"/>
                <w:sz w:val="20"/>
              </w:rPr>
              <w:t>SAMOS integration requires non-standard ISO 20022 mapping</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Phase 1 SAMOS technical specification workshop</w:t>
            </w:r>
          </w:p>
        </w:tc>
      </w:tr>
      <w:tr>
        <w:trPr>
          <w:trHeight w:val="425" w:hRule="atLeast"/>
        </w:trPr>
        <w:tc>
          <w:tcPr>
            <w:tcW w:type="dxa" w:w="1949"/>
            <w:vAlign w:val="center"/>
          </w:tcPr>
          <w:p>
            <w:pPr>
              <w:spacing w:line="276" w:lineRule="auto" w:before="0" w:after="0"/>
            </w:pPr>
            <w:r/>
            <w:r>
              <w:rPr>
                <w:rFonts w:ascii="Figtree" w:hAnsi="Figtree"/>
                <w:b w:val="0"/>
                <w:i w:val="0"/>
                <w:sz w:val="20"/>
              </w:rPr>
              <w:t>R-02</w:t>
            </w:r>
          </w:p>
        </w:tc>
        <w:tc>
          <w:tcPr>
            <w:tcW w:type="dxa" w:w="1949"/>
            <w:vAlign w:val="center"/>
          </w:tcPr>
          <w:p>
            <w:pPr>
              <w:spacing w:line="276" w:lineRule="auto" w:before="0" w:after="0"/>
            </w:pPr>
            <w:r/>
            <w:r>
              <w:rPr>
                <w:rFonts w:ascii="Figtree" w:hAnsi="Figtree"/>
                <w:b w:val="0"/>
                <w:i w:val="0"/>
                <w:sz w:val="20"/>
              </w:rPr>
              <w:t>Strate integration scope broader than estimated</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Phase 1 Strate connectivity design</w:t>
            </w:r>
          </w:p>
        </w:tc>
      </w:tr>
      <w:tr>
        <w:trPr>
          <w:trHeight w:val="425" w:hRule="atLeast"/>
        </w:trPr>
        <w:tc>
          <w:tcPr>
            <w:tcW w:type="dxa" w:w="1949"/>
            <w:vAlign w:val="center"/>
          </w:tcPr>
          <w:p>
            <w:pPr>
              <w:spacing w:line="276" w:lineRule="auto" w:before="0" w:after="0"/>
            </w:pPr>
            <w:r/>
            <w:r>
              <w:rPr>
                <w:rFonts w:ascii="Figtree" w:hAnsi="Figtree"/>
                <w:b w:val="0"/>
                <w:i w:val="0"/>
                <w:sz w:val="20"/>
              </w:rPr>
              <w:t>R-03</w:t>
            </w:r>
          </w:p>
        </w:tc>
        <w:tc>
          <w:tcPr>
            <w:tcW w:type="dxa" w:w="1949"/>
            <w:vAlign w:val="center"/>
          </w:tcPr>
          <w:p>
            <w:pPr>
              <w:spacing w:line="276" w:lineRule="auto" w:before="0" w:after="0"/>
            </w:pPr>
            <w:r/>
            <w:r>
              <w:rPr>
                <w:rFonts w:ascii="Figtree" w:hAnsi="Figtree"/>
                <w:b w:val="0"/>
                <w:i w:val="0"/>
                <w:sz w:val="20"/>
              </w:rPr>
              <w:t>SARB IS review (Phase 2b) extends timeline</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Cybercrimes Act alignment evidence pack pre-prepared</w:t>
            </w:r>
          </w:p>
        </w:tc>
      </w:tr>
      <w:tr>
        <w:trPr>
          <w:trHeight w:val="425" w:hRule="atLeast"/>
        </w:trPr>
        <w:tc>
          <w:tcPr>
            <w:tcW w:type="dxa" w:w="1949"/>
            <w:vAlign w:val="center"/>
          </w:tcPr>
          <w:p>
            <w:pPr>
              <w:spacing w:line="276" w:lineRule="auto" w:before="0" w:after="0"/>
            </w:pPr>
            <w:r/>
            <w:r>
              <w:rPr>
                <w:rFonts w:ascii="Figtree" w:hAnsi="Figtree"/>
                <w:b w:val="0"/>
                <w:i w:val="0"/>
                <w:sz w:val="20"/>
              </w:rPr>
              <w:t>R-04</w:t>
            </w:r>
          </w:p>
        </w:tc>
        <w:tc>
          <w:tcPr>
            <w:tcW w:type="dxa" w:w="1949"/>
            <w:vAlign w:val="center"/>
          </w:tcPr>
          <w:p>
            <w:pPr>
              <w:spacing w:line="276" w:lineRule="auto" w:before="0" w:after="0"/>
            </w:pPr>
            <w:r/>
            <w:r>
              <w:rPr>
                <w:rFonts w:ascii="Figtree" w:hAnsi="Figtree"/>
                <w:b w:val="0"/>
                <w:i w:val="0"/>
                <w:sz w:val="20"/>
              </w:rPr>
              <w:t>HSM certification delays in ZA</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High</w:t>
            </w:r>
          </w:p>
        </w:tc>
        <w:tc>
          <w:tcPr>
            <w:tcW w:type="dxa" w:w="1949"/>
            <w:vAlign w:val="center"/>
          </w:tcPr>
          <w:p>
            <w:pPr>
              <w:spacing w:line="276" w:lineRule="auto" w:before="0" w:after="0"/>
            </w:pPr>
            <w:r/>
            <w:r>
              <w:rPr>
                <w:rFonts w:ascii="Figtree" w:hAnsi="Figtree"/>
                <w:b w:val="0"/>
                <w:i w:val="0"/>
                <w:sz w:val="20"/>
              </w:rPr>
              <w:t>Multiple FIPS 140-2 certified HSM vendors available in ZA</w:t>
            </w:r>
          </w:p>
        </w:tc>
      </w:tr>
      <w:tr>
        <w:trPr>
          <w:trHeight w:val="425" w:hRule="atLeast"/>
        </w:trPr>
        <w:tc>
          <w:tcPr>
            <w:tcW w:type="dxa" w:w="1949"/>
            <w:vAlign w:val="center"/>
          </w:tcPr>
          <w:p>
            <w:pPr>
              <w:spacing w:line="276" w:lineRule="auto" w:before="0" w:after="0"/>
            </w:pPr>
            <w:r/>
            <w:r>
              <w:rPr>
                <w:rFonts w:ascii="Figtree" w:hAnsi="Figtree"/>
                <w:b w:val="0"/>
                <w:i w:val="0"/>
                <w:sz w:val="20"/>
              </w:rPr>
              <w:t>R-05</w:t>
            </w:r>
          </w:p>
        </w:tc>
        <w:tc>
          <w:tcPr>
            <w:tcW w:type="dxa" w:w="1949"/>
            <w:vAlign w:val="center"/>
          </w:tcPr>
          <w:p>
            <w:pPr>
              <w:spacing w:line="276" w:lineRule="auto" w:before="0" w:after="0"/>
            </w:pPr>
            <w:r/>
            <w:r>
              <w:rPr>
                <w:rFonts w:ascii="Figtree" w:hAnsi="Figtree"/>
                <w:b w:val="0"/>
                <w:i w:val="0"/>
                <w:sz w:val="20"/>
              </w:rPr>
              <w:t>PA/FSCA dual-regulator evidence format divergence</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Evidence pack tagged by regulatory audience</w:t>
            </w:r>
          </w:p>
        </w:tc>
      </w:tr>
      <w:tr>
        <w:trPr>
          <w:trHeight w:val="425" w:hRule="atLeast"/>
        </w:trPr>
        <w:tc>
          <w:tcPr>
            <w:tcW w:type="dxa" w:w="1949"/>
            <w:vAlign w:val="center"/>
          </w:tcPr>
          <w:p>
            <w:pPr>
              <w:spacing w:line="276" w:lineRule="auto" w:before="0" w:after="0"/>
            </w:pPr>
            <w:r/>
            <w:r>
              <w:rPr>
                <w:rFonts w:ascii="Figtree" w:hAnsi="Figtree"/>
                <w:b w:val="0"/>
                <w:i w:val="0"/>
                <w:sz w:val="20"/>
              </w:rPr>
              <w:t>R-06</w:t>
            </w:r>
          </w:p>
        </w:tc>
        <w:tc>
          <w:tcPr>
            <w:tcW w:type="dxa" w:w="1949"/>
            <w:vAlign w:val="center"/>
          </w:tcPr>
          <w:p>
            <w:pPr>
              <w:spacing w:line="276" w:lineRule="auto" w:before="0" w:after="0"/>
            </w:pPr>
            <w:r/>
            <w:r>
              <w:rPr>
                <w:rFonts w:ascii="Figtree" w:hAnsi="Figtree"/>
                <w:b w:val="0"/>
                <w:i w:val="0"/>
                <w:sz w:val="20"/>
              </w:rPr>
              <w:t>POPIA interpretation for bank entity data</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Commercial data framework; personal data scope limited to future retail expansion</w:t>
            </w:r>
          </w:p>
        </w:tc>
      </w:tr>
      <w:tr>
        <w:trPr>
          <w:trHeight w:val="425" w:hRule="atLeast"/>
        </w:trPr>
        <w:tc>
          <w:tcPr>
            <w:tcW w:type="dxa" w:w="1949"/>
            <w:vAlign w:val="center"/>
          </w:tcPr>
          <w:p>
            <w:pPr>
              <w:spacing w:line="276" w:lineRule="auto" w:before="0" w:after="0"/>
            </w:pPr>
            <w:r/>
            <w:r>
              <w:rPr>
                <w:rFonts w:ascii="Figtree" w:hAnsi="Figtree"/>
                <w:b w:val="0"/>
                <w:i w:val="0"/>
                <w:sz w:val="20"/>
              </w:rPr>
              <w:t>R-07</w:t>
            </w:r>
          </w:p>
        </w:tc>
        <w:tc>
          <w:tcPr>
            <w:tcW w:type="dxa" w:w="1949"/>
            <w:vAlign w:val="center"/>
          </w:tcPr>
          <w:p>
            <w:pPr>
              <w:spacing w:line="276" w:lineRule="auto" w:before="0" w:after="0"/>
            </w:pPr>
            <w:r/>
            <w:r>
              <w:rPr>
                <w:rFonts w:ascii="Figtree" w:hAnsi="Figtree"/>
                <w:b w:val="0"/>
                <w:i w:val="0"/>
                <w:sz w:val="20"/>
              </w:rPr>
              <w:t>Cross-border CBDC interoperability scope (GCC, BIS)</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Platform is interoperability-ready; cross-border requires addendum</w:t>
            </w:r>
          </w:p>
        </w:tc>
      </w:tr>
      <w:tr>
        <w:trPr>
          <w:trHeight w:val="425" w:hRule="atLeast"/>
        </w:trPr>
        <w:tc>
          <w:tcPr>
            <w:tcW w:type="dxa" w:w="1949"/>
            <w:vAlign w:val="center"/>
          </w:tcPr>
          <w:p>
            <w:pPr>
              <w:spacing w:line="276" w:lineRule="auto" w:before="0" w:after="0"/>
            </w:pPr>
            <w:r/>
            <w:r>
              <w:rPr>
                <w:rFonts w:ascii="Figtree" w:hAnsi="Figtree"/>
                <w:b w:val="0"/>
                <w:i w:val="0"/>
                <w:sz w:val="20"/>
              </w:rPr>
              <w:t>R-08</w:t>
            </w:r>
          </w:p>
        </w:tc>
        <w:tc>
          <w:tcPr>
            <w:tcW w:type="dxa" w:w="1949"/>
            <w:vAlign w:val="center"/>
          </w:tcPr>
          <w:p>
            <w:pPr>
              <w:spacing w:line="276" w:lineRule="auto" w:before="0" w:after="0"/>
            </w:pPr>
            <w:r/>
            <w:r>
              <w:rPr>
                <w:rFonts w:ascii="Figtree" w:hAnsi="Figtree"/>
                <w:b w:val="0"/>
                <w:i w:val="0"/>
                <w:sz w:val="20"/>
              </w:rPr>
              <w:t>Tessera privacy extension integration complexity</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Tessera integration is optional; base DvP functions without privacy extension</w:t>
            </w:r>
          </w:p>
        </w:tc>
      </w:tr>
    </w:tbl>
    <w:p>
      <w:pPr>
        <w:spacing w:before="0" w:after="0" w:line="120" w:lineRule="exact"/>
      </w:pPr>
    </w:p>
    <w:p>
      <w:r>
        <w:br w:type="page"/>
      </w:r>
    </w:p>
    <w:p>
      <w:pPr>
        <w:pStyle w:val="H1"/>
        <w:numPr>
          <w:ilvl w:val="0"/>
          <w:numId w:val="1"/>
        </w:numPr>
      </w:pPr>
      <w:r>
        <w:t>15. Compliance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03"/>
        <w:gridCol w:w="2838"/>
        <w:gridCol w:w="703"/>
        <w:gridCol w:w="482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Req ID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Requirement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r>
      <w:tr>
        <w:trPr>
          <w:trHeight w:val="425" w:hRule="atLeast"/>
        </w:trPr>
        <w:tc>
          <w:tcPr>
            <w:tcW w:type="dxa" w:w="2436"/>
            <w:vAlign w:val="center"/>
          </w:tcPr>
          <w:p>
            <w:pPr>
              <w:spacing w:line="276" w:lineRule="auto" w:before="0" w:after="0"/>
            </w:pPr>
            <w:r/>
            <w:r>
              <w:rPr>
                <w:rFonts w:ascii="Figtree" w:hAnsi="Figtree"/>
                <w:b w:val="0"/>
                <w:i w:val="0"/>
                <w:sz w:val="20"/>
              </w:rPr>
              <w:t>REQ-01</w:t>
            </w:r>
          </w:p>
        </w:tc>
        <w:tc>
          <w:tcPr>
            <w:tcW w:type="dxa" w:w="2436"/>
            <w:vAlign w:val="center"/>
          </w:tcPr>
          <w:p>
            <w:pPr>
              <w:spacing w:line="276" w:lineRule="auto" w:before="0" w:after="0"/>
            </w:pPr>
            <w:r/>
            <w:r>
              <w:rPr>
                <w:rFonts w:ascii="Figtree" w:hAnsi="Figtree"/>
                <w:b w:val="0"/>
                <w:i w:val="0"/>
                <w:sz w:val="20"/>
              </w:rPr>
              <w:t>Segregated environments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4 + pilot environments in ZA</w:t>
            </w:r>
          </w:p>
        </w:tc>
      </w:tr>
      <w:tr>
        <w:trPr>
          <w:trHeight w:val="425" w:hRule="atLeast"/>
        </w:trPr>
        <w:tc>
          <w:tcPr>
            <w:tcW w:type="dxa" w:w="2436"/>
            <w:vAlign w:val="center"/>
          </w:tcPr>
          <w:p>
            <w:pPr>
              <w:spacing w:line="276" w:lineRule="auto" w:before="0" w:after="0"/>
            </w:pPr>
            <w:r/>
            <w:r>
              <w:rPr>
                <w:rFonts w:ascii="Figtree" w:hAnsi="Figtree"/>
                <w:b w:val="0"/>
                <w:i w:val="0"/>
                <w:sz w:val="20"/>
              </w:rPr>
              <w:t>REQ-02</w:t>
            </w:r>
          </w:p>
        </w:tc>
        <w:tc>
          <w:tcPr>
            <w:tcW w:type="dxa" w:w="2436"/>
            <w:vAlign w:val="center"/>
          </w:tcPr>
          <w:p>
            <w:pPr>
              <w:spacing w:line="276" w:lineRule="auto" w:before="0" w:after="0"/>
            </w:pPr>
            <w:r/>
            <w:r>
              <w:rPr>
                <w:rFonts w:ascii="Figtree" w:hAnsi="Figtree"/>
                <w:b w:val="0"/>
                <w:i w:val="0"/>
                <w:sz w:val="20"/>
              </w:rPr>
              <w:t>API-first, eventing</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OpenAPI 3.1, webhooks, SARB dashboard</w:t>
            </w:r>
          </w:p>
        </w:tc>
      </w:tr>
      <w:tr>
        <w:trPr>
          <w:trHeight w:val="425" w:hRule="atLeast"/>
        </w:trPr>
        <w:tc>
          <w:tcPr>
            <w:tcW w:type="dxa" w:w="2436"/>
            <w:vAlign w:val="center"/>
          </w:tcPr>
          <w:p>
            <w:pPr>
              <w:spacing w:line="276" w:lineRule="auto" w:before="0" w:after="0"/>
            </w:pPr>
            <w:r/>
            <w:r>
              <w:rPr>
                <w:rFonts w:ascii="Figtree" w:hAnsi="Figtree"/>
                <w:b w:val="0"/>
                <w:i w:val="0"/>
                <w:sz w:val="20"/>
              </w:rPr>
              <w:t>REQ-03</w:t>
            </w:r>
          </w:p>
        </w:tc>
        <w:tc>
          <w:tcPr>
            <w:tcW w:type="dxa" w:w="2436"/>
            <w:vAlign w:val="center"/>
          </w:tcPr>
          <w:p>
            <w:pPr>
              <w:spacing w:line="276" w:lineRule="auto" w:before="0" w:after="0"/>
            </w:pPr>
            <w:r/>
            <w:r>
              <w:rPr>
                <w:rFonts w:ascii="Figtree" w:hAnsi="Figtree"/>
                <w:b w:val="0"/>
                <w:i w:val="0"/>
                <w:sz w:val="20"/>
              </w:rPr>
              <w:t>RBAC, maker-checker, audit</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26 roles, CBDC minting controls</w:t>
            </w:r>
          </w:p>
        </w:tc>
      </w:tr>
      <w:tr>
        <w:trPr>
          <w:trHeight w:val="425" w:hRule="atLeast"/>
        </w:trPr>
        <w:tc>
          <w:tcPr>
            <w:tcW w:type="dxa" w:w="2436"/>
            <w:vAlign w:val="center"/>
          </w:tcPr>
          <w:p>
            <w:pPr>
              <w:spacing w:line="276" w:lineRule="auto" w:before="0" w:after="0"/>
            </w:pPr>
            <w:r/>
            <w:r>
              <w:rPr>
                <w:rFonts w:ascii="Figtree" w:hAnsi="Figtree"/>
                <w:b w:val="0"/>
                <w:i w:val="0"/>
                <w:sz w:val="20"/>
              </w:rPr>
              <w:t>REQ-04</w:t>
            </w:r>
          </w:p>
        </w:tc>
        <w:tc>
          <w:tcPr>
            <w:tcW w:type="dxa" w:w="2436"/>
            <w:vAlign w:val="center"/>
          </w:tcPr>
          <w:p>
            <w:pPr>
              <w:spacing w:line="276" w:lineRule="auto" w:before="0" w:after="0"/>
            </w:pPr>
            <w:r/>
            <w:r>
              <w:rPr>
                <w:rFonts w:ascii="Figtree" w:hAnsi="Figtree"/>
                <w:b w:val="0"/>
                <w:i w:val="0"/>
                <w:sz w:val="20"/>
              </w:rPr>
              <w:t>Configurable lifecycle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CBDC supply, DvP securities, participant management</w:t>
            </w:r>
          </w:p>
        </w:tc>
      </w:tr>
      <w:tr>
        <w:trPr>
          <w:trHeight w:val="425" w:hRule="atLeast"/>
        </w:trPr>
        <w:tc>
          <w:tcPr>
            <w:tcW w:type="dxa" w:w="2436"/>
            <w:vAlign w:val="center"/>
          </w:tcPr>
          <w:p>
            <w:pPr>
              <w:spacing w:line="276" w:lineRule="auto" w:before="0" w:after="0"/>
            </w:pPr>
            <w:r/>
            <w:r>
              <w:rPr>
                <w:rFonts w:ascii="Figtree" w:hAnsi="Figtree"/>
                <w:b w:val="0"/>
                <w:i w:val="0"/>
                <w:sz w:val="20"/>
              </w:rPr>
              <w:t>REQ-05</w:t>
            </w:r>
          </w:p>
        </w:tc>
        <w:tc>
          <w:tcPr>
            <w:tcW w:type="dxa" w:w="2436"/>
            <w:vAlign w:val="center"/>
          </w:tcPr>
          <w:p>
            <w:pPr>
              <w:spacing w:line="276" w:lineRule="auto" w:before="0" w:after="0"/>
            </w:pPr>
            <w:r/>
            <w:r>
              <w:rPr>
                <w:rFonts w:ascii="Figtree" w:hAnsi="Figtree"/>
                <w:b w:val="0"/>
                <w:i w:val="0"/>
                <w:sz w:val="20"/>
              </w:rPr>
              <w:t>Third-party dependencies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ZA cloud, SARB HSM, SAMOS, Strate</w:t>
            </w:r>
          </w:p>
        </w:tc>
      </w:tr>
      <w:tr>
        <w:trPr>
          <w:trHeight w:val="425" w:hRule="atLeast"/>
        </w:trPr>
        <w:tc>
          <w:tcPr>
            <w:tcW w:type="dxa" w:w="2436"/>
            <w:vAlign w:val="center"/>
          </w:tcPr>
          <w:p>
            <w:pPr>
              <w:spacing w:line="276" w:lineRule="auto" w:before="0" w:after="0"/>
            </w:pPr>
            <w:r/>
            <w:r>
              <w:rPr>
                <w:rFonts w:ascii="Figtree" w:hAnsi="Figtree"/>
                <w:b w:val="0"/>
                <w:i w:val="0"/>
                <w:sz w:val="20"/>
              </w:rPr>
              <w:t>REQ-06</w:t>
            </w:r>
          </w:p>
        </w:tc>
        <w:tc>
          <w:tcPr>
            <w:tcW w:type="dxa" w:w="2436"/>
            <w:vAlign w:val="center"/>
          </w:tcPr>
          <w:p>
            <w:pPr>
              <w:spacing w:line="276" w:lineRule="auto" w:before="0" w:after="0"/>
            </w:pPr>
            <w:r/>
            <w:r>
              <w:rPr>
                <w:rFonts w:ascii="Figtree" w:hAnsi="Figtree"/>
                <w:b w:val="0"/>
                <w:i w:val="0"/>
                <w:sz w:val="20"/>
              </w:rPr>
              <w:t>Resilience, CBDC-grade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99.95%, RTO 2h, RPO 15min, monthly DR</w:t>
            </w:r>
          </w:p>
        </w:tc>
      </w:tr>
      <w:tr>
        <w:trPr>
          <w:trHeight w:val="425" w:hRule="atLeast"/>
        </w:trPr>
        <w:tc>
          <w:tcPr>
            <w:tcW w:type="dxa" w:w="2436"/>
            <w:vAlign w:val="center"/>
          </w:tcPr>
          <w:p>
            <w:pPr>
              <w:spacing w:line="276" w:lineRule="auto" w:before="0" w:after="0"/>
            </w:pPr>
            <w:r/>
            <w:r>
              <w:rPr>
                <w:rFonts w:ascii="Figtree" w:hAnsi="Figtree"/>
                <w:b w:val="0"/>
                <w:i w:val="0"/>
                <w:sz w:val="20"/>
              </w:rPr>
              <w:t>REQ-07</w:t>
            </w:r>
          </w:p>
        </w:tc>
        <w:tc>
          <w:tcPr>
            <w:tcW w:type="dxa" w:w="2436"/>
            <w:vAlign w:val="center"/>
          </w:tcPr>
          <w:p>
            <w:pPr>
              <w:spacing w:line="276" w:lineRule="auto" w:before="0" w:after="0"/>
            </w:pPr>
            <w:r/>
            <w:r>
              <w:rPr>
                <w:rFonts w:ascii="Figtree" w:hAnsi="Figtree"/>
                <w:b w:val="0"/>
                <w:i w:val="0"/>
                <w:sz w:val="20"/>
              </w:rPr>
              <w:t>Delivery plan</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20-week plan with SARB governance gates</w:t>
            </w:r>
          </w:p>
        </w:tc>
      </w:tr>
      <w:tr>
        <w:trPr>
          <w:trHeight w:val="425" w:hRule="atLeast"/>
        </w:trPr>
        <w:tc>
          <w:tcPr>
            <w:tcW w:type="dxa" w:w="2436"/>
            <w:vAlign w:val="center"/>
          </w:tcPr>
          <w:p>
            <w:pPr>
              <w:spacing w:line="276" w:lineRule="auto" w:before="0" w:after="0"/>
            </w:pPr>
            <w:r/>
            <w:r>
              <w:rPr>
                <w:rFonts w:ascii="Figtree" w:hAnsi="Figtree"/>
                <w:b w:val="0"/>
                <w:i w:val="0"/>
                <w:sz w:val="20"/>
              </w:rPr>
              <w:t>REQ-08</w:t>
            </w:r>
          </w:p>
        </w:tc>
        <w:tc>
          <w:tcPr>
            <w:tcW w:type="dxa" w:w="2436"/>
            <w:vAlign w:val="center"/>
          </w:tcPr>
          <w:p>
            <w:pPr>
              <w:spacing w:line="276" w:lineRule="auto" w:before="0" w:after="0"/>
            </w:pPr>
            <w:r/>
            <w:r>
              <w:rPr>
                <w:rFonts w:ascii="Figtree" w:hAnsi="Figtree"/>
                <w:b w:val="0"/>
                <w:i w:val="0"/>
                <w:sz w:val="20"/>
              </w:rPr>
              <w:t>Audit evidence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PA/FSCA-tagged evidence, examination-ready</w:t>
            </w:r>
          </w:p>
        </w:tc>
      </w:tr>
      <w:tr>
        <w:trPr>
          <w:trHeight w:val="425" w:hRule="atLeast"/>
        </w:trPr>
        <w:tc>
          <w:tcPr>
            <w:tcW w:type="dxa" w:w="2436"/>
            <w:vAlign w:val="center"/>
          </w:tcPr>
          <w:p>
            <w:pPr>
              <w:spacing w:line="276" w:lineRule="auto" w:before="0" w:after="0"/>
            </w:pPr>
            <w:r/>
            <w:r>
              <w:rPr>
                <w:rFonts w:ascii="Figtree" w:hAnsi="Figtree"/>
                <w:b w:val="0"/>
                <w:i w:val="0"/>
                <w:sz w:val="20"/>
              </w:rPr>
              <w:t>REQ-16</w:t>
            </w:r>
          </w:p>
        </w:tc>
        <w:tc>
          <w:tcPr>
            <w:tcW w:type="dxa" w:w="2436"/>
            <w:vAlign w:val="center"/>
          </w:tcPr>
          <w:p>
            <w:pPr>
              <w:spacing w:line="276" w:lineRule="auto" w:before="0" w:after="0"/>
            </w:pPr>
            <w:r/>
            <w:r>
              <w:rPr>
                <w:rFonts w:ascii="Figtree" w:hAnsi="Figtree"/>
                <w:b w:val="0"/>
                <w:i w:val="0"/>
                <w:sz w:val="20"/>
              </w:rPr>
              <w:t>Issuance, registry, settlement</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ZAR CBDC, money market securities, DvP</w:t>
            </w:r>
          </w:p>
        </w:tc>
      </w:tr>
      <w:tr>
        <w:trPr>
          <w:trHeight w:val="425" w:hRule="atLeast"/>
        </w:trPr>
        <w:tc>
          <w:tcPr>
            <w:tcW w:type="dxa" w:w="2436"/>
            <w:vAlign w:val="center"/>
          </w:tcPr>
          <w:p>
            <w:pPr>
              <w:spacing w:line="276" w:lineRule="auto" w:before="0" w:after="0"/>
            </w:pPr>
            <w:r/>
            <w:r>
              <w:rPr>
                <w:rFonts w:ascii="Figtree" w:hAnsi="Figtree"/>
                <w:b w:val="0"/>
                <w:i w:val="0"/>
                <w:sz w:val="20"/>
              </w:rPr>
              <w:t>REQ-17</w:t>
            </w:r>
          </w:p>
        </w:tc>
        <w:tc>
          <w:tcPr>
            <w:tcW w:type="dxa" w:w="2436"/>
            <w:vAlign w:val="center"/>
          </w:tcPr>
          <w:p>
            <w:pPr>
              <w:spacing w:line="276" w:lineRule="auto" w:before="0" w:after="0"/>
            </w:pPr>
            <w:r/>
            <w:r>
              <w:rPr>
                <w:rFonts w:ascii="Figtree" w:hAnsi="Figtree"/>
                <w:b w:val="0"/>
                <w:i w:val="0"/>
                <w:sz w:val="20"/>
              </w:rPr>
              <w:t>Market infrastructure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SAMOS + Strate ISO 20022, SARB dashboard</w:t>
            </w:r>
          </w:p>
        </w:tc>
      </w:tr>
      <w:tr>
        <w:trPr>
          <w:trHeight w:val="425" w:hRule="atLeast"/>
        </w:trPr>
        <w:tc>
          <w:tcPr>
            <w:tcW w:type="dxa" w:w="2436"/>
            <w:vAlign w:val="center"/>
          </w:tcPr>
          <w:p>
            <w:pPr>
              <w:spacing w:line="276" w:lineRule="auto" w:before="0" w:after="0"/>
            </w:pPr>
            <w:r/>
            <w:r>
              <w:rPr>
                <w:rFonts w:ascii="Figtree" w:hAnsi="Figtree"/>
                <w:b w:val="0"/>
                <w:i w:val="0"/>
                <w:sz w:val="20"/>
              </w:rPr>
              <w:t>RC-01</w:t>
            </w:r>
          </w:p>
        </w:tc>
        <w:tc>
          <w:tcPr>
            <w:tcW w:type="dxa" w:w="2436"/>
            <w:vAlign w:val="center"/>
          </w:tcPr>
          <w:p>
            <w:pPr>
              <w:spacing w:line="276" w:lineRule="auto" w:before="0" w:after="0"/>
            </w:pPr>
            <w:r/>
            <w:r>
              <w:rPr>
                <w:rFonts w:ascii="Figtree" w:hAnsi="Figtree"/>
                <w:b w:val="0"/>
                <w:i w:val="0"/>
                <w:sz w:val="20"/>
              </w:rPr>
              <w:t>Regulatory mapping</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NPS Act, Banks Act, POPIA, Cybercrimes Act</w:t>
            </w:r>
          </w:p>
        </w:tc>
      </w:tr>
      <w:tr>
        <w:trPr>
          <w:trHeight w:val="425" w:hRule="atLeast"/>
        </w:trPr>
        <w:tc>
          <w:tcPr>
            <w:tcW w:type="dxa" w:w="2436"/>
            <w:vAlign w:val="center"/>
          </w:tcPr>
          <w:p>
            <w:pPr>
              <w:spacing w:line="276" w:lineRule="auto" w:before="0" w:after="0"/>
            </w:pPr>
            <w:r/>
            <w:r>
              <w:rPr>
                <w:rFonts w:ascii="Figtree" w:hAnsi="Figtree"/>
                <w:b w:val="0"/>
                <w:i w:val="0"/>
                <w:sz w:val="20"/>
              </w:rPr>
              <w:t>RC-02</w:t>
            </w:r>
          </w:p>
        </w:tc>
        <w:tc>
          <w:tcPr>
            <w:tcW w:type="dxa" w:w="2436"/>
            <w:vAlign w:val="center"/>
          </w:tcPr>
          <w:p>
            <w:pPr>
              <w:spacing w:line="276" w:lineRule="auto" w:before="0" w:after="0"/>
            </w:pPr>
            <w:r/>
            <w:r>
              <w:rPr>
                <w:rFonts w:ascii="Figtree" w:hAnsi="Figtree"/>
                <w:b w:val="0"/>
                <w:i w:val="0"/>
                <w:sz w:val="20"/>
              </w:rPr>
              <w:t>AML/CFT</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Bank-only eligibility, SARB monitoring</w:t>
            </w:r>
          </w:p>
        </w:tc>
      </w:tr>
      <w:tr>
        <w:trPr>
          <w:trHeight w:val="425" w:hRule="atLeast"/>
        </w:trPr>
        <w:tc>
          <w:tcPr>
            <w:tcW w:type="dxa" w:w="2436"/>
            <w:vAlign w:val="center"/>
          </w:tcPr>
          <w:p>
            <w:pPr>
              <w:spacing w:line="276" w:lineRule="auto" w:before="0" w:after="0"/>
            </w:pPr>
            <w:r/>
            <w:r>
              <w:rPr>
                <w:rFonts w:ascii="Figtree" w:hAnsi="Figtree"/>
                <w:b w:val="0"/>
                <w:i w:val="0"/>
                <w:sz w:val="20"/>
              </w:rPr>
              <w:t>RC-03</w:t>
            </w:r>
          </w:p>
        </w:tc>
        <w:tc>
          <w:tcPr>
            <w:tcW w:type="dxa" w:w="2436"/>
            <w:vAlign w:val="center"/>
          </w:tcPr>
          <w:p>
            <w:pPr>
              <w:spacing w:line="276" w:lineRule="auto" w:before="0" w:after="0"/>
            </w:pPr>
            <w:r/>
            <w:r>
              <w:rPr>
                <w:rFonts w:ascii="Figtree" w:hAnsi="Figtree"/>
                <w:b w:val="0"/>
                <w:i w:val="0"/>
                <w:sz w:val="20"/>
              </w:rPr>
              <w:t>Data governance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ZA-region, POPIA compliant</w:t>
            </w:r>
          </w:p>
        </w:tc>
      </w:tr>
      <w:tr>
        <w:trPr>
          <w:trHeight w:val="425" w:hRule="atLeast"/>
        </w:trPr>
        <w:tc>
          <w:tcPr>
            <w:tcW w:type="dxa" w:w="2436"/>
            <w:vAlign w:val="center"/>
          </w:tcPr>
          <w:p>
            <w:pPr>
              <w:spacing w:line="276" w:lineRule="auto" w:before="0" w:after="0"/>
            </w:pPr>
            <w:r/>
            <w:r>
              <w:rPr>
                <w:rFonts w:ascii="Figtree" w:hAnsi="Figtree"/>
                <w:b w:val="0"/>
                <w:i w:val="0"/>
                <w:sz w:val="20"/>
              </w:rPr>
              <w:t>RC-04</w:t>
            </w:r>
          </w:p>
        </w:tc>
        <w:tc>
          <w:tcPr>
            <w:tcW w:type="dxa" w:w="2436"/>
            <w:vAlign w:val="center"/>
          </w:tcPr>
          <w:p>
            <w:pPr>
              <w:spacing w:line="276" w:lineRule="auto" w:before="0" w:after="0"/>
            </w:pPr>
            <w:r/>
            <w:r>
              <w:rPr>
                <w:rFonts w:ascii="Figtree" w:hAnsi="Figtree"/>
                <w:b w:val="0"/>
                <w:i w:val="0"/>
                <w:sz w:val="20"/>
              </w:rPr>
              <w:t>Operational resilience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Monthly DR, BCP documented</w:t>
            </w:r>
          </w:p>
        </w:tc>
      </w:tr>
      <w:tr>
        <w:trPr>
          <w:trHeight w:val="425" w:hRule="atLeast"/>
        </w:trPr>
        <w:tc>
          <w:tcPr>
            <w:tcW w:type="dxa" w:w="2436"/>
            <w:vAlign w:val="center"/>
          </w:tcPr>
          <w:p>
            <w:pPr>
              <w:spacing w:line="276" w:lineRule="auto" w:before="0" w:after="0"/>
            </w:pPr>
            <w:r/>
            <w:r>
              <w:rPr>
                <w:rFonts w:ascii="Figtree" w:hAnsi="Figtree"/>
                <w:b w:val="0"/>
                <w:i w:val="0"/>
                <w:sz w:val="20"/>
              </w:rPr>
              <w:t>RC-05</w:t>
            </w:r>
          </w:p>
        </w:tc>
        <w:tc>
          <w:tcPr>
            <w:tcW w:type="dxa" w:w="2436"/>
            <w:vAlign w:val="center"/>
          </w:tcPr>
          <w:p>
            <w:pPr>
              <w:spacing w:line="276" w:lineRule="auto" w:before="0" w:after="0"/>
            </w:pPr>
            <w:r/>
            <w:r>
              <w:rPr>
                <w:rFonts w:ascii="Figtree" w:hAnsi="Figtree"/>
                <w:b w:val="0"/>
                <w:i w:val="0"/>
                <w:sz w:val="20"/>
              </w:rPr>
              <w:t>Outsourcing</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ZA cloud + SARB HSM dependencies only</w:t>
            </w:r>
          </w:p>
        </w:tc>
      </w:tr>
      <w:tr>
        <w:trPr>
          <w:trHeight w:val="425" w:hRule="atLeast"/>
        </w:trPr>
        <w:tc>
          <w:tcPr>
            <w:tcW w:type="dxa" w:w="2436"/>
            <w:vAlign w:val="center"/>
          </w:tcPr>
          <w:p>
            <w:pPr>
              <w:spacing w:line="276" w:lineRule="auto" w:before="0" w:after="0"/>
            </w:pPr>
            <w:r/>
            <w:r>
              <w:rPr>
                <w:rFonts w:ascii="Figtree" w:hAnsi="Figtree"/>
                <w:b w:val="0"/>
                <w:i w:val="0"/>
                <w:sz w:val="20"/>
              </w:rPr>
              <w:t>RC-06</w:t>
            </w:r>
          </w:p>
        </w:tc>
        <w:tc>
          <w:tcPr>
            <w:tcW w:type="dxa" w:w="2436"/>
            <w:vAlign w:val="center"/>
          </w:tcPr>
          <w:p>
            <w:pPr>
              <w:spacing w:line="276" w:lineRule="auto" w:before="0" w:after="0"/>
            </w:pPr>
            <w:r/>
            <w:r>
              <w:rPr>
                <w:rFonts w:ascii="Figtree" w:hAnsi="Figtree"/>
                <w:b w:val="0"/>
                <w:i w:val="0"/>
                <w:sz w:val="20"/>
              </w:rPr>
              <w:t>Assurance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PA/FSCA evidence packs, penetration test</w:t>
            </w:r>
          </w:p>
        </w:tc>
      </w:tr>
    </w:tbl>
    <w:p>
      <w:pPr>
        <w:spacing w:before="0" w:after="0" w:line="120" w:lineRule="exact"/>
      </w:pPr>
    </w:p>
    <w:p>
      <w:r>
        <w:br w:type="page"/>
      </w:r>
    </w:p>
    <w:p>
      <w:pPr>
        <w:pStyle w:val="H1"/>
        <w:numPr>
          <w:ilvl w:val="0"/>
          <w:numId w:val="1"/>
        </w:numPr>
      </w:pPr>
      <w:r>
        <w:t>Appendix A: SARB Operating Model</w:t>
      </w:r>
    </w:p>
    <w:p>
      <w:r>
        <w:rPr>
          <w:rFonts w:ascii="Figtree" w:hAnsi="Figtree"/>
          <w:b/>
          <w:i w:val="0"/>
          <w:sz w:val="22"/>
        </w:rPr>
        <w:t>SARB Monetary Policy:</w:t>
      </w:r>
      <w:r>
        <w:rPr>
          <w:rFonts w:ascii="Figtree" w:hAnsi="Figtree"/>
          <w:b w:val="0"/>
          <w:i w:val="0"/>
          <w:sz w:val="22"/>
        </w:rPr>
        <w:t xml:space="preserve"> Owns ZAR CBDC minting/burning authorization. GOVERNANCE_ROLE on CBDC token.</w:t>
      </w:r>
    </w:p>
    <w:p>
      <w:r>
        <w:rPr>
          <w:rFonts w:ascii="Figtree" w:hAnsi="Figtree"/>
          <w:b/>
          <w:i w:val="0"/>
          <w:sz w:val="22"/>
        </w:rPr>
        <w:t>SARB Financial Markets:</w:t>
      </w:r>
      <w:r>
        <w:rPr>
          <w:rFonts w:ascii="Figtree" w:hAnsi="Figtree"/>
          <w:b w:val="0"/>
          <w:i w:val="0"/>
          <w:sz w:val="22"/>
        </w:rPr>
        <w:t xml:space="preserve"> Configures tokenized money market securities parameters. DvP settlement oversight.</w:t>
      </w:r>
    </w:p>
    <w:p>
      <w:r>
        <w:rPr>
          <w:rFonts w:ascii="Figtree" w:hAnsi="Figtree"/>
          <w:b/>
          <w:i w:val="0"/>
          <w:sz w:val="22"/>
        </w:rPr>
        <w:t>SARB Prudential Supervision:</w:t>
      </w:r>
      <w:r>
        <w:rPr>
          <w:rFonts w:ascii="Figtree" w:hAnsi="Figtree"/>
          <w:b w:val="0"/>
          <w:i w:val="0"/>
          <w:sz w:val="22"/>
        </w:rPr>
        <w:t xml:space="preserve"> Manages bank participant onboarding/suspension aligned with PA requirements.</w:t>
      </w:r>
    </w:p>
    <w:p>
      <w:r>
        <w:rPr>
          <w:rFonts w:ascii="Figtree" w:hAnsi="Figtree"/>
          <w:b/>
          <w:i w:val="0"/>
          <w:sz w:val="22"/>
        </w:rPr>
        <w:t>SARB IT/Technology:</w:t>
      </w:r>
      <w:r>
        <w:rPr>
          <w:rFonts w:ascii="Figtree" w:hAnsi="Figtree"/>
          <w:b w:val="0"/>
          <w:i w:val="0"/>
          <w:sz w:val="22"/>
        </w:rPr>
        <w:t xml:space="preserve"> Infrastructure management, SAMOS/Strate integration maintenance.</w:t>
      </w:r>
    </w:p>
    <w:p>
      <w:r>
        <w:rPr>
          <w:rFonts w:ascii="Figtree" w:hAnsi="Figtree"/>
          <w:b/>
          <w:i w:val="0"/>
          <w:sz w:val="22"/>
        </w:rPr>
        <w:t>SARB IS:</w:t>
      </w:r>
      <w:r>
        <w:rPr>
          <w:rFonts w:ascii="Figtree" w:hAnsi="Figtree"/>
          <w:b w:val="0"/>
          <w:i w:val="0"/>
          <w:sz w:val="22"/>
        </w:rPr>
        <w:t xml:space="preserve"> Key management governance, cybersecurity review, incident escalation.</w:t>
      </w:r>
    </w:p>
    <w:p>
      <w:r>
        <w:rPr>
          <w:rFonts w:ascii="Figtree" w:hAnsi="Figtree"/>
          <w:b/>
          <w:i w:val="0"/>
          <w:sz w:val="22"/>
        </w:rPr>
        <w:t>SARB Internal Audit:</w:t>
      </w:r>
      <w:r>
        <w:rPr>
          <w:rFonts w:ascii="Figtree" w:hAnsi="Figtree"/>
          <w:b w:val="0"/>
          <w:i w:val="0"/>
          <w:sz w:val="22"/>
        </w:rPr>
        <w:t xml:space="preserve"> Read-only evidence access; PA/FSCA evidence pack review.</w:t>
      </w:r>
    </w:p>
    <w:p>
      <w:r>
        <w:br w:type="page"/>
      </w:r>
    </w:p>
    <w:p>
      <w:pPr>
        <w:pStyle w:val="H1"/>
        <w:numPr>
          <w:ilvl w:val="0"/>
          <w:numId w:val="1"/>
        </w:numPr>
      </w:pPr>
      <w:r>
        <w:t>Appendix B: Security and Resilience</w:t>
      </w:r>
    </w:p>
    <w:p>
      <w:r>
        <w:rPr>
          <w:rFonts w:ascii="Figtree" w:hAnsi="Figtree"/>
          <w:b/>
          <w:i w:val="0"/>
          <w:sz w:val="22"/>
        </w:rPr>
        <w:t>HSM:</w:t>
      </w:r>
      <w:r>
        <w:rPr>
          <w:rFonts w:ascii="Figtree" w:hAnsi="Figtree"/>
          <w:b w:val="0"/>
          <w:i w:val="0"/>
          <w:sz w:val="22"/>
        </w:rPr>
        <w:t xml:space="preserve"> FIPS 140-2 Level 3 certified HSM in ZA — Thales Luna or approved local equivalent. SARB-controlled primary and backup.</w:t>
      </w:r>
    </w:p>
    <w:p>
      <w:r>
        <w:rPr>
          <w:rFonts w:ascii="Figtree" w:hAnsi="Figtree"/>
          <w:b/>
          <w:i w:val="0"/>
          <w:sz w:val="22"/>
        </w:rPr>
        <w:t>Cybercrimes Act compliance:</w:t>
      </w:r>
      <w:r>
        <w:rPr>
          <w:rFonts w:ascii="Figtree" w:hAnsi="Figtree"/>
          <w:b w:val="0"/>
          <w:i w:val="0"/>
          <w:sz w:val="22"/>
        </w:rPr>
        <w:t xml:space="preserve"> Incident reporting obligations met through SARB SIEM integration and structured incident notification protocol. Material cybersecurity incidents reported to SARB within defined windows per Act requirements.</w:t>
      </w:r>
    </w:p>
    <w:p>
      <w:r>
        <w:rPr>
          <w:rFonts w:ascii="Figtree" w:hAnsi="Figtree"/>
          <w:b/>
          <w:i w:val="0"/>
          <w:sz w:val="22"/>
        </w:rPr>
        <w:t>DR:</w:t>
      </w:r>
      <w:r>
        <w:rPr>
          <w:rFonts w:ascii="Figtree" w:hAnsi="Figtree"/>
          <w:b w:val="0"/>
          <w:i w:val="0"/>
          <w:sz w:val="22"/>
        </w:rPr>
        <w:t xml:space="preserve"> Monthly SARB-witnessed DR test. Results documented. SAMOS/Strate connectivity restored within RTO window as part of DR exercise scope.</w:t>
      </w:r>
    </w:p>
    <w:p>
      <w:r>
        <w:br w:type="page"/>
      </w:r>
    </w:p>
    <w:p>
      <w:r>
        <w:rPr>
          <w:rFonts w:ascii="Figtree" w:hAnsi="Figtree"/>
          <w:b w:val="0"/>
          <w:i/>
          <w:sz w:val="22"/>
        </w:rPr>
        <w:t>End of Technical Proposal — South African Reserve Bank</w:t>
      </w:r>
    </w:p>
    <w:p>
      <w:r>
        <w:rPr>
          <w:rFonts w:ascii="Figtree" w:hAnsi="Figtree"/>
          <w:b w:val="0"/>
          <w:i/>
          <w:sz w:val="22"/>
        </w:rPr>
        <w:t>Document Version: 1.0 | Date: 2026-03-19 | Classification: Restricted — Commercial-Sensitive</w:t>
      </w:r>
    </w:p>
    <w:p>
      <w:r>
        <w:rPr>
          <w:rFonts w:ascii="Figtree" w:hAnsi="Figtree"/>
          <w:b w:val="0"/>
          <w:i/>
          <w:sz w:val="22"/>
        </w:rPr>
        <w:t>SettleMint NV | Rue Montoyer 39, 1000 Brussels, Belgium | www.settlemint.com</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