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commercial</w:t>
      </w:r>
    </w:p>
    <w:p>
      <w:r>
        <w:rPr>
          <w:rFonts w:ascii="Figtree" w:hAnsi="Figtree"/>
          <w:b w:val="0"/>
          <w:i w:val="0"/>
          <w:sz w:val="22"/>
        </w:rPr>
        <w:t>variant: full</w:t>
      </w:r>
    </w:p>
    <w:p>
      <w:r>
        <w:rPr>
          <w:rFonts w:ascii="Figtree" w:hAnsi="Figtree"/>
          <w:b w:val="0"/>
          <w:i w:val="0"/>
          <w:sz w:val="22"/>
        </w:rPr>
        <w:t>target-pages: "60-80"</w:t>
      </w:r>
    </w:p>
    <w:p>
      <w:r>
        <w:rPr>
          <w:rFonts w:ascii="Figtree" w:hAnsi="Figtree"/>
          <w:b w:val="0"/>
          <w:i w:val="0"/>
          <w:sz w:val="22"/>
        </w:rPr>
        <w:t>target-words: "18000-24000"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Commercial Proposal Blueprint — Full</w:t>
      </w:r>
    </w:p>
    <w:p>
      <w:pPr>
        <w:pStyle w:val="H2"/>
        <w:numPr>
          <w:ilvl w:val="1"/>
          <w:numId w:val="1"/>
        </w:numPr>
      </w:pPr>
      <w:r>
        <w:t>Blueprint Rules</w:t>
      </w:r>
    </w:p>
    <w:p>
      <w:pPr>
        <w:pStyle w:val="ListParagraph"/>
        <w:numPr>
          <w:ilvl w:val="0"/>
          <w:numId w:val="4"/>
        </w:numPr>
      </w:pPr>
      <w:r>
        <w:rPr>
          <w:rFonts w:ascii="Figtree" w:hAnsi="Figtree"/>
          <w:b w:val="0"/>
          <w:i w:val="0"/>
          <w:sz w:val="22"/>
        </w:rPr>
        <w:t>Purpose: structural blueprint for proposal drafting only.</w:t>
      </w:r>
    </w:p>
    <w:p>
      <w:pPr>
        <w:pStyle w:val="ListParagraph"/>
        <w:numPr>
          <w:ilvl w:val="0"/>
          <w:numId w:val="4"/>
        </w:numPr>
      </w:pPr>
      <w:r>
        <w:rPr>
          <w:rFonts w:ascii="Figtree" w:hAnsi="Figtree"/>
          <w:b w:val="0"/>
          <w:i w:val="0"/>
          <w:sz w:val="22"/>
        </w:rPr>
        <w:t>Output contains zero client-facing prose.</w:t>
      </w:r>
    </w:p>
    <w:p>
      <w:pPr>
        <w:pStyle w:val="ListParagraph"/>
        <w:numPr>
          <w:ilvl w:val="0"/>
          <w:numId w:val="4"/>
        </w:numPr>
      </w:pPr>
      <w:r>
        <w:rPr>
          <w:rFonts w:ascii="Figtree" w:hAnsi="Figtree"/>
          <w:b w:val="0"/>
          <w:i w:val="0"/>
          <w:sz w:val="22"/>
        </w:rPr>
        <w:t>Use heading hierarchy only; no manual numbering in headings.</w:t>
      </w:r>
    </w:p>
    <w:p>
      <w:pPr>
        <w:pStyle w:val="ListParagraph"/>
        <w:numPr>
          <w:ilvl w:val="0"/>
          <w:numId w:val="4"/>
        </w:numPr>
      </w:pPr>
      <w:r>
        <w:rPr>
          <w:rFonts w:ascii="Figtree" w:hAnsi="Figtree"/>
          <w:b w:val="0"/>
          <w:i w:val="0"/>
          <w:sz w:val="22"/>
        </w:rPr>
        <w:t>Every major section must translate source material into client-specific commercial positioning.</w:t>
      </w:r>
    </w:p>
    <w:p>
      <w:pPr>
        <w:pStyle w:val="ListParagraph"/>
        <w:numPr>
          <w:ilvl w:val="0"/>
          <w:numId w:val="4"/>
        </w:numPr>
      </w:pPr>
      <w:r>
        <w:rPr>
          <w:rFonts w:ascii="Figtree" w:hAnsi="Figtree"/>
          <w:b w:val="0"/>
          <w:i w:val="0"/>
          <w:sz w:val="22"/>
        </w:rPr>
        <w:t>Replace placeholders with deal-specific facts, numbers, assumptions, and approvals.</w:t>
      </w:r>
    </w:p>
    <w:p>
      <w:pPr>
        <w:pStyle w:val="ListParagraph"/>
        <w:numPr>
          <w:ilvl w:val="0"/>
          <w:numId w:val="4"/>
        </w:numPr>
      </w:pPr>
      <w:r>
        <w:rPr>
          <w:rFonts w:ascii="Figtree" w:hAnsi="Figtree"/>
          <w:b w:val="0"/>
          <w:i w:val="0"/>
          <w:sz w:val="22"/>
        </w:rPr>
        <w:t>Keep terminology consistent: DALP, digital asset lifecycle, regulated institutions, production deployment.</w:t>
      </w:r>
    </w:p>
    <w:p>
      <w:pPr>
        <w:pStyle w:val="ListParagraph"/>
        <w:numPr>
          <w:ilvl w:val="0"/>
          <w:numId w:val="4"/>
        </w:numPr>
      </w:pPr>
      <w:r>
        <w:rPr>
          <w:rFonts w:ascii="Figtree" w:hAnsi="Figtree"/>
          <w:b w:val="0"/>
          <w:i w:val="0"/>
          <w:sz w:val="22"/>
        </w:rPr>
        <w:t>Convert descriptive source content into concise commercial narrative, tables, and decision-support exhibits.</w:t>
      </w:r>
    </w:p>
    <w:p>
      <w:pPr>
        <w:pStyle w:val="H2"/>
        <w:numPr>
          <w:ilvl w:val="1"/>
          <w:numId w:val="1"/>
        </w:numPr>
      </w:pPr>
      <w:r>
        <w:t>Global Writer Instructions</w:t>
      </w:r>
    </w:p>
    <w:p>
      <w:pPr>
        <w:pStyle w:val="ListParagraph"/>
        <w:numPr>
          <w:ilvl w:val="0"/>
          <w:numId w:val="4"/>
        </w:numPr>
      </w:pPr>
      <w:r>
        <w:rPr>
          <w:rFonts w:ascii="Figtree" w:hAnsi="Figtree"/>
          <w:b w:val="0"/>
          <w:i w:val="0"/>
          <w:sz w:val="22"/>
        </w:rPr>
        <w:t>[Target: 400-700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Commercial proposal must justify buy-vs-build and single-platform economics.</w:t>
      </w:r>
    </w:p>
    <w:p>
      <w:pPr>
        <w:pStyle w:val="ListParagraph"/>
        <w:numPr>
          <w:ilvl w:val="1"/>
          <w:numId w:val="4"/>
        </w:numPr>
      </w:pPr>
      <w:r>
        <w:rPr>
          <w:rFonts w:ascii="Figtree" w:hAnsi="Figtree"/>
          <w:b w:val="0"/>
          <w:i w:val="0"/>
          <w:sz w:val="22"/>
        </w:rPr>
        <w:t>Pricing structure must feel predictable, institutional, and defensible.</w:t>
      </w:r>
    </w:p>
    <w:p>
      <w:pPr>
        <w:pStyle w:val="ListParagraph"/>
        <w:numPr>
          <w:ilvl w:val="1"/>
          <w:numId w:val="4"/>
        </w:numPr>
      </w:pPr>
      <w:r>
        <w:rPr>
          <w:rFonts w:ascii="Figtree" w:hAnsi="Figtree"/>
          <w:b w:val="0"/>
          <w:i w:val="0"/>
          <w:sz w:val="22"/>
        </w:rPr>
        <w:t>All client-specific figures, assumptions, and legal terms must be clearly marked until validated.</w:t>
      </w:r>
    </w:p>
    <w:p>
      <w:pPr>
        <w:pStyle w:val="ListParagraph"/>
        <w:numPr>
          <w:ilvl w:val="1"/>
          <w:numId w:val="4"/>
        </w:numPr>
      </w:pPr>
      <w:r>
        <w:rPr>
          <w:rFonts w:ascii="Figtree" w:hAnsi="Figtree"/>
          <w:b w:val="0"/>
          <w:i w:val="0"/>
          <w:sz w:val="22"/>
        </w:rPr>
        <w:t>The document should support procurement, business sponsors, architecture, operations, and legal review.</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commercial architecture diagram showing license + deployment + implementation + support + TCO relationship.</w:t>
      </w:r>
    </w:p>
    <w:p>
      <w:pPr>
        <w:pStyle w:val="ListParagraph"/>
        <w:numPr>
          <w:ilvl w:val="1"/>
          <w:numId w:val="4"/>
        </w:numPr>
      </w:pPr>
      <w:r>
        <w:rPr>
          <w:rFonts w:ascii="Figtree" w:hAnsi="Figtree"/>
          <w:b w:val="0"/>
          <w:i w:val="0"/>
          <w:sz w:val="22"/>
        </w:rPr>
        <w:t>One document map/table showing sections, purpose, and primary buyer audience.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this section only to define how the proposal is assembled.</w:t>
      </w:r>
    </w:p>
    <w:p>
      <w:pPr>
        <w:pStyle w:val="ListParagraph"/>
        <w:numPr>
          <w:ilvl w:val="1"/>
          <w:numId w:val="4"/>
        </w:numPr>
      </w:pPr>
      <w:r>
        <w:rPr>
          <w:rFonts w:ascii="Figtree" w:hAnsi="Figtree"/>
          <w:b w:val="0"/>
          <w:i w:val="0"/>
          <w:sz w:val="22"/>
        </w:rPr>
        <w:t>State assumptions, placeholders, and evidence requirements.</w:t>
      </w:r>
    </w:p>
    <w:p>
      <w:pPr>
        <w:pStyle w:val="ListParagraph"/>
        <w:numPr>
          <w:ilvl w:val="1"/>
          <w:numId w:val="4"/>
        </w:numPr>
      </w:pPr>
      <w:r>
        <w:rPr>
          <w:rFonts w:ascii="Figtree" w:hAnsi="Figtree"/>
          <w:b w:val="0"/>
          <w:i w:val="0"/>
          <w:sz w:val="22"/>
        </w:rPr>
        <w:t>Set a consistent instruction pattern across all sections.</w:t>
      </w:r>
    </w:p>
    <w:p>
      <w:pPr>
        <w:pStyle w:val="ListParagraph"/>
        <w:numPr>
          <w:ilvl w:val="1"/>
          <w:numId w:val="4"/>
        </w:numPr>
      </w:pPr>
      <w:r>
        <w:rPr>
          <w:rFonts w:ascii="Figtree" w:hAnsi="Figtree"/>
          <w:b w:val="0"/>
          <w:i w:val="0"/>
          <w:sz w:val="22"/>
        </w:rPr>
        <w:t>Use tables, bullets, and callout boxes instead of narrative filler.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any actual proposal copy.</w:t>
      </w:r>
    </w:p>
    <w:p>
      <w:pPr>
        <w:pStyle w:val="ListParagraph"/>
        <w:numPr>
          <w:ilvl w:val="1"/>
          <w:numId w:val="4"/>
        </w:numPr>
      </w:pPr>
      <w:r>
        <w:rPr>
          <w:rFonts w:ascii="Figtree" w:hAnsi="Figtree"/>
          <w:b w:val="0"/>
          <w:i w:val="0"/>
          <w:sz w:val="22"/>
        </w:rPr>
        <w:t>Leave unmarked commercial assumptions.</w:t>
      </w:r>
    </w:p>
    <w:p>
      <w:pPr>
        <w:pStyle w:val="ListParagraph"/>
        <w:numPr>
          <w:ilvl w:val="1"/>
          <w:numId w:val="4"/>
        </w:numPr>
      </w:pPr>
      <w:r>
        <w:rPr>
          <w:rFonts w:ascii="Figtree" w:hAnsi="Figtree"/>
          <w:b w:val="0"/>
          <w:i w:val="0"/>
          <w:sz w:val="22"/>
        </w:rPr>
        <w:t>Introduce capabilities not present in approved sources.</w:t>
      </w:r>
    </w:p>
    <w:p>
      <w:pPr>
        <w:pStyle w:val="ListParagraph"/>
        <w:numPr>
          <w:ilvl w:val="1"/>
          <w:numId w:val="4"/>
        </w:numPr>
      </w:pPr>
      <w:r>
        <w:rPr>
          <w:rFonts w:ascii="Figtree" w:hAnsi="Figtree"/>
          <w:b w:val="0"/>
          <w:i w:val="0"/>
          <w:sz w:val="22"/>
        </w:rPr>
        <w:t>Treat this as a legal contract template.</w:t>
      </w:r>
    </w:p>
    <w:p>
      <w:r>
        <w:rPr>
          <w:rFonts w:ascii="Figtree" w:hAnsi="Figtree"/>
          <w:b w:val="0"/>
          <w:i w:val="0"/>
          <w:sz w:val="22"/>
        </w:rPr>
        <w:t>]</w:t>
      </w:r>
    </w:p>
    <w:p>
      <w:pPr>
        <w:pStyle w:val="H2"/>
        <w:numPr>
          <w:ilvl w:val="1"/>
          <w:numId w:val="1"/>
        </w:numPr>
      </w:pPr>
      <w:r>
        <w:t>Executive Summary</w:t>
      </w:r>
    </w:p>
    <w:p>
      <w:pPr>
        <w:pStyle w:val="ListParagraph"/>
        <w:numPr>
          <w:ilvl w:val="0"/>
          <w:numId w:val="4"/>
        </w:numPr>
      </w:pPr>
      <w:r>
        <w:rPr>
          <w:rFonts w:ascii="Figtree" w:hAnsi="Figtree"/>
          <w:b w:val="0"/>
          <w:i w:val="0"/>
          <w:sz w:val="22"/>
        </w:rPr>
        <w:t>[Target: 1200-1600 words]</w:t>
      </w:r>
    </w:p>
    <w:p>
      <w:pPr>
        <w:pStyle w:val="ListParagraph"/>
        <w:numPr>
          <w:ilvl w:val="0"/>
          <w:numId w:val="4"/>
        </w:numPr>
      </w:pPr>
      <w:r>
        <w:rPr>
          <w:rFonts w:ascii="Figtree" w:hAnsi="Figtree"/>
          <w:b w:val="0"/>
          <w:i w:val="0"/>
          <w:sz w:val="22"/>
        </w:rPr>
        <w:t>[Source: master-template/commercial-proposal.md; content/07-commercial-proposal/main.md; reusable/about-settlemint.md;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the client situation, urgency, and commercial decision.</w:t>
      </w:r>
    </w:p>
    <w:p>
      <w:pPr>
        <w:pStyle w:val="ListParagraph"/>
        <w:numPr>
          <w:ilvl w:val="1"/>
          <w:numId w:val="4"/>
        </w:numPr>
      </w:pPr>
      <w:r>
        <w:rPr>
          <w:rFonts w:ascii="Figtree" w:hAnsi="Figtree"/>
          <w:b w:val="0"/>
          <w:i w:val="0"/>
          <w:sz w:val="22"/>
        </w:rPr>
        <w:t>Frame DALP as the lower-risk, lower-fragmentation path versus internal build or multi-vendor assembly.</w:t>
      </w:r>
    </w:p>
    <w:p>
      <w:pPr>
        <w:pStyle w:val="ListParagraph"/>
        <w:numPr>
          <w:ilvl w:val="1"/>
          <w:numId w:val="4"/>
        </w:numPr>
      </w:pPr>
      <w:r>
        <w:rPr>
          <w:rFonts w:ascii="Figtree" w:hAnsi="Figtree"/>
          <w:b w:val="0"/>
          <w:i w:val="0"/>
          <w:sz w:val="22"/>
        </w:rPr>
        <w:t>Preview recommended license tier, deployment model, implementation path, support tier, and TCO outcome.</w:t>
      </w:r>
    </w:p>
    <w:p>
      <w:pPr>
        <w:pStyle w:val="ListParagraph"/>
        <w:numPr>
          <w:ilvl w:val="1"/>
          <w:numId w:val="4"/>
        </w:numPr>
      </w:pPr>
      <w:r>
        <w:rPr>
          <w:rFonts w:ascii="Figtree" w:hAnsi="Figtree"/>
          <w:b w:val="0"/>
          <w:i w:val="0"/>
          <w:sz w:val="22"/>
        </w:rPr>
        <w:t>Clarify that detailed figures are scoped and finalized through commercial validation.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1-page decision snapshot with client objective, recommended model, timeline, and commercial headline.</w:t>
      </w:r>
    </w:p>
    <w:p>
      <w:pPr>
        <w:pStyle w:val="ListParagraph"/>
        <w:numPr>
          <w:ilvl w:val="1"/>
          <w:numId w:val="4"/>
        </w:numPr>
      </w:pPr>
      <w:r>
        <w:rPr>
          <w:rFonts w:ascii="Figtree" w:hAnsi="Figtree"/>
          <w:b w:val="0"/>
          <w:i w:val="0"/>
          <w:sz w:val="22"/>
        </w:rPr>
        <w:t>Executive comparison table: current approach vs DALP.</w:t>
      </w:r>
    </w:p>
    <w:p>
      <w:pPr>
        <w:pStyle w:val="ListParagraph"/>
        <w:numPr>
          <w:ilvl w:val="1"/>
          <w:numId w:val="4"/>
        </w:numPr>
      </w:pPr>
      <w:r>
        <w:rPr>
          <w:rFonts w:ascii="Figtree" w:hAnsi="Figtree"/>
          <w:b w:val="0"/>
          <w:i w:val="0"/>
          <w:sz w:val="22"/>
        </w:rPr>
        <w:t>Optional procurement summary box with contract components and decision gates.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Write for executive sponsors and procurement first.</w:t>
      </w:r>
    </w:p>
    <w:p>
      <w:pPr>
        <w:pStyle w:val="ListParagraph"/>
        <w:numPr>
          <w:ilvl w:val="1"/>
          <w:numId w:val="4"/>
        </w:numPr>
      </w:pPr>
      <w:r>
        <w:rPr>
          <w:rFonts w:ascii="Figtree" w:hAnsi="Figtree"/>
          <w:b w:val="0"/>
          <w:i w:val="0"/>
          <w:sz w:val="22"/>
        </w:rPr>
        <w:t>Lead with business context, then commercial answer, then quantified implication.</w:t>
      </w:r>
    </w:p>
    <w:p>
      <w:pPr>
        <w:pStyle w:val="ListParagraph"/>
        <w:numPr>
          <w:ilvl w:val="1"/>
          <w:numId w:val="4"/>
        </w:numPr>
      </w:pPr>
      <w:r>
        <w:rPr>
          <w:rFonts w:ascii="Figtree" w:hAnsi="Figtree"/>
          <w:b w:val="0"/>
          <w:i w:val="0"/>
          <w:sz w:val="22"/>
        </w:rPr>
        <w:t>Keep client-specific urgency explicit: regulatory deadline, go-live target, competitive pressure, pilot-to-production gap, or cost pressure.</w:t>
      </w:r>
    </w:p>
    <w:p>
      <w:pPr>
        <w:pStyle w:val="ListParagraph"/>
        <w:numPr>
          <w:ilvl w:val="1"/>
          <w:numId w:val="4"/>
        </w:numPr>
      </w:pPr>
      <w:r>
        <w:rPr>
          <w:rFonts w:ascii="Figtree" w:hAnsi="Figtree"/>
          <w:b w:val="0"/>
          <w:i w:val="0"/>
          <w:sz w:val="22"/>
        </w:rPr>
        <w:t>Make the recommendation unmistakable.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Open with generic digital transformation language.</w:t>
      </w:r>
    </w:p>
    <w:p>
      <w:pPr>
        <w:pStyle w:val="ListParagraph"/>
        <w:numPr>
          <w:ilvl w:val="1"/>
          <w:numId w:val="4"/>
        </w:numPr>
      </w:pPr>
      <w:r>
        <w:rPr>
          <w:rFonts w:ascii="Figtree" w:hAnsi="Figtree"/>
          <w:b w:val="0"/>
          <w:i w:val="0"/>
          <w:sz w:val="22"/>
        </w:rPr>
        <w:t>Overload with technical detail better handled later.</w:t>
      </w:r>
    </w:p>
    <w:p>
      <w:pPr>
        <w:pStyle w:val="ListParagraph"/>
        <w:numPr>
          <w:ilvl w:val="1"/>
          <w:numId w:val="4"/>
        </w:numPr>
      </w:pPr>
      <w:r>
        <w:rPr>
          <w:rFonts w:ascii="Figtree" w:hAnsi="Figtree"/>
          <w:b w:val="0"/>
          <w:i w:val="0"/>
          <w:sz w:val="22"/>
        </w:rPr>
        <w:t>Promise fixed pricing unless approved.</w:t>
      </w:r>
    </w:p>
    <w:p>
      <w:pPr>
        <w:pStyle w:val="ListParagraph"/>
        <w:numPr>
          <w:ilvl w:val="1"/>
          <w:numId w:val="4"/>
        </w:numPr>
      </w:pPr>
      <w:r>
        <w:rPr>
          <w:rFonts w:ascii="Figtree" w:hAnsi="Figtree"/>
          <w:b w:val="0"/>
          <w:i w:val="0"/>
          <w:sz w:val="22"/>
        </w:rPr>
        <w:t>Sound like a marketing brochure.</w:t>
      </w:r>
    </w:p>
    <w:p>
      <w:r>
        <w:rPr>
          <w:rFonts w:ascii="Figtree" w:hAnsi="Figtree"/>
          <w:b w:val="0"/>
          <w:i w:val="0"/>
          <w:sz w:val="22"/>
        </w:rPr>
        <w:t>]</w:t>
      </w:r>
    </w:p>
    <w:p>
      <w:pPr>
        <w:pStyle w:val="H2"/>
        <w:numPr>
          <w:ilvl w:val="1"/>
          <w:numId w:val="1"/>
        </w:numPr>
      </w:pPr>
      <w:r>
        <w:t>About SettleMint</w:t>
      </w:r>
    </w:p>
    <w:p>
      <w:pPr>
        <w:pStyle w:val="ListParagraph"/>
        <w:numPr>
          <w:ilvl w:val="0"/>
          <w:numId w:val="4"/>
        </w:numPr>
      </w:pPr>
      <w:r>
        <w:rPr>
          <w:rFonts w:ascii="Figtree" w:hAnsi="Figtree"/>
          <w:b w:val="0"/>
          <w:i w:val="0"/>
          <w:sz w:val="22"/>
        </w:rPr>
        <w:t>[Target: 1400-1900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Establish company credibility, institutional focus, and production track record.</w:t>
      </w:r>
    </w:p>
    <w:p>
      <w:pPr>
        <w:pStyle w:val="ListParagraph"/>
        <w:numPr>
          <w:ilvl w:val="1"/>
          <w:numId w:val="4"/>
        </w:numPr>
      </w:pPr>
      <w:r>
        <w:rPr>
          <w:rFonts w:ascii="Figtree" w:hAnsi="Figtree"/>
          <w:b w:val="0"/>
          <w:i w:val="0"/>
          <w:sz w:val="22"/>
        </w:rPr>
        <w:t>Emphasize regulated-market experience, sovereign credibility, and delivery maturity.</w:t>
      </w:r>
    </w:p>
    <w:p>
      <w:pPr>
        <w:pStyle w:val="ListParagraph"/>
        <w:numPr>
          <w:ilvl w:val="1"/>
          <w:numId w:val="4"/>
        </w:numPr>
      </w:pPr>
      <w:r>
        <w:rPr>
          <w:rFonts w:ascii="Figtree" w:hAnsi="Figtree"/>
          <w:b w:val="0"/>
          <w:i w:val="0"/>
          <w:sz w:val="22"/>
        </w:rPr>
        <w:t>Reinforce that SettleMint is a platform company with repeatable infrastructure, not a bespoke project vendor.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Company profile sidebar.</w:t>
      </w:r>
    </w:p>
    <w:p>
      <w:pPr>
        <w:pStyle w:val="ListParagraph"/>
        <w:numPr>
          <w:ilvl w:val="1"/>
          <w:numId w:val="4"/>
        </w:numPr>
      </w:pPr>
      <w:r>
        <w:rPr>
          <w:rFonts w:ascii="Figtree" w:hAnsi="Figtree"/>
          <w:b w:val="0"/>
          <w:i w:val="0"/>
          <w:sz w:val="22"/>
        </w:rPr>
        <w:t>Proof-point matrix: years, deployments, regions, customer types.</w:t>
      </w:r>
    </w:p>
    <w:p>
      <w:pPr>
        <w:pStyle w:val="ListParagraph"/>
        <w:numPr>
          <w:ilvl w:val="1"/>
          <w:numId w:val="4"/>
        </w:numPr>
      </w:pPr>
      <w:r>
        <w:rPr>
          <w:rFonts w:ascii="Figtree" w:hAnsi="Figtree"/>
          <w:b w:val="0"/>
          <w:i w:val="0"/>
          <w:sz w:val="22"/>
        </w:rPr>
        <w:t>Timeline from enterprise blockchain roots to DALP platform focus.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Condense source content into buyer-relevant credibility signals.</w:t>
      </w:r>
    </w:p>
    <w:p>
      <w:pPr>
        <w:pStyle w:val="ListParagraph"/>
        <w:numPr>
          <w:ilvl w:val="1"/>
          <w:numId w:val="4"/>
        </w:numPr>
      </w:pPr>
      <w:r>
        <w:rPr>
          <w:rFonts w:ascii="Figtree" w:hAnsi="Figtree"/>
          <w:b w:val="0"/>
          <w:i w:val="0"/>
          <w:sz w:val="22"/>
        </w:rPr>
        <w:t>Prioritize evidence that reduces delivery and vendor risk.</w:t>
      </w:r>
    </w:p>
    <w:p>
      <w:pPr>
        <w:pStyle w:val="ListParagraph"/>
        <w:numPr>
          <w:ilvl w:val="1"/>
          <w:numId w:val="4"/>
        </w:numPr>
      </w:pPr>
      <w:r>
        <w:rPr>
          <w:rFonts w:ascii="Figtree" w:hAnsi="Figtree"/>
          <w:b w:val="0"/>
          <w:i w:val="0"/>
          <w:sz w:val="22"/>
        </w:rPr>
        <w:t>Include only claims supported by reusable source material.</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DALP product detail extensively.</w:t>
      </w:r>
    </w:p>
    <w:p>
      <w:pPr>
        <w:pStyle w:val="ListParagraph"/>
        <w:numPr>
          <w:ilvl w:val="1"/>
          <w:numId w:val="4"/>
        </w:numPr>
      </w:pPr>
      <w:r>
        <w:rPr>
          <w:rFonts w:ascii="Figtree" w:hAnsi="Figtree"/>
          <w:b w:val="0"/>
          <w:i w:val="0"/>
          <w:sz w:val="22"/>
        </w:rPr>
        <w:t>Drift into founder story or culture narrative.</w:t>
      </w:r>
    </w:p>
    <w:p>
      <w:pPr>
        <w:pStyle w:val="ListParagraph"/>
        <w:numPr>
          <w:ilvl w:val="1"/>
          <w:numId w:val="4"/>
        </w:numPr>
      </w:pPr>
      <w:r>
        <w:rPr>
          <w:rFonts w:ascii="Figtree" w:hAnsi="Figtree"/>
          <w:b w:val="0"/>
          <w:i w:val="0"/>
          <w:sz w:val="22"/>
        </w:rPr>
        <w:t>Overclaim customer outcomes beyond stated references.</w:t>
      </w:r>
    </w:p>
    <w:p>
      <w:r>
        <w:rPr>
          <w:rFonts w:ascii="Figtree" w:hAnsi="Figtree"/>
          <w:b w:val="0"/>
          <w:i w:val="0"/>
          <w:sz w:val="22"/>
        </w:rPr>
        <w:t>]</w:t>
      </w:r>
    </w:p>
    <w:p>
      <w:pPr>
        <w:pStyle w:val="H2"/>
        <w:numPr>
          <w:ilvl w:val="1"/>
          <w:numId w:val="1"/>
        </w:numPr>
      </w:pPr>
      <w:r>
        <w:t>About DALP</w:t>
      </w:r>
    </w:p>
    <w:p>
      <w:pPr>
        <w:pStyle w:val="ListParagraph"/>
        <w:numPr>
          <w:ilvl w:val="0"/>
          <w:numId w:val="4"/>
        </w:numPr>
      </w:pPr>
      <w:r>
        <w:rPr>
          <w:rFonts w:ascii="Figtree" w:hAnsi="Figtree"/>
          <w:b w:val="0"/>
          <w:i w:val="0"/>
          <w:sz w:val="22"/>
        </w:rPr>
        <w:t>[Target: 1800-2400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Define DALP as the production-grade digital asset lifecycle platform.</w:t>
      </w:r>
    </w:p>
    <w:p>
      <w:pPr>
        <w:pStyle w:val="ListParagraph"/>
        <w:numPr>
          <w:ilvl w:val="1"/>
          <w:numId w:val="4"/>
        </w:numPr>
      </w:pPr>
      <w:r>
        <w:rPr>
          <w:rFonts w:ascii="Figtree" w:hAnsi="Figtree"/>
          <w:b w:val="0"/>
          <w:i w:val="0"/>
          <w:sz w:val="22"/>
        </w:rPr>
        <w:t>Show lifecycle breadth: issuance, compliance, custody integration, settlement, servicing, and platform foundations.</w:t>
      </w:r>
    </w:p>
    <w:p>
      <w:pPr>
        <w:pStyle w:val="ListParagraph"/>
        <w:numPr>
          <w:ilvl w:val="1"/>
          <w:numId w:val="4"/>
        </w:numPr>
      </w:pPr>
      <w:r>
        <w:rPr>
          <w:rFonts w:ascii="Figtree" w:hAnsi="Figtree"/>
          <w:b w:val="0"/>
          <w:i w:val="0"/>
          <w:sz w:val="22"/>
        </w:rPr>
        <w:t>Position DALP as the commercial answer to integration tax, control gaps, and scale limitations.</w:t>
      </w:r>
    </w:p>
    <w:p>
      <w:pPr>
        <w:pStyle w:val="ListParagraph"/>
        <w:numPr>
          <w:ilvl w:val="1"/>
          <w:numId w:val="4"/>
        </w:numPr>
      </w:pPr>
      <w:r>
        <w:rPr>
          <w:rFonts w:ascii="Figtree" w:hAnsi="Figtree"/>
          <w:b w:val="0"/>
          <w:i w:val="0"/>
          <w:sz w:val="22"/>
        </w:rPr>
        <w:t>Highlight asset-class breadth, deployment flexibility, and compliance-by-design.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Full-lifecycle diagram.</w:t>
      </w:r>
    </w:p>
    <w:p>
      <w:pPr>
        <w:pStyle w:val="ListParagraph"/>
        <w:numPr>
          <w:ilvl w:val="1"/>
          <w:numId w:val="4"/>
        </w:numPr>
      </w:pPr>
      <w:r>
        <w:rPr>
          <w:rFonts w:ascii="Figtree" w:hAnsi="Figtree"/>
          <w:b w:val="0"/>
          <w:i w:val="0"/>
          <w:sz w:val="22"/>
        </w:rPr>
        <w:t>Pillar + foundation matrix.</w:t>
      </w:r>
    </w:p>
    <w:p>
      <w:pPr>
        <w:pStyle w:val="ListParagraph"/>
        <w:numPr>
          <w:ilvl w:val="1"/>
          <w:numId w:val="4"/>
        </w:numPr>
      </w:pPr>
      <w:r>
        <w:rPr>
          <w:rFonts w:ascii="Figtree" w:hAnsi="Figtree"/>
          <w:b w:val="0"/>
          <w:i w:val="0"/>
          <w:sz w:val="22"/>
        </w:rPr>
        <w:t>Supported asset classes table.</w:t>
      </w:r>
    </w:p>
    <w:p>
      <w:pPr>
        <w:pStyle w:val="ListParagraph"/>
        <w:numPr>
          <w:ilvl w:val="1"/>
          <w:numId w:val="4"/>
        </w:numPr>
      </w:pPr>
      <w:r>
        <w:rPr>
          <w:rFonts w:ascii="Figtree" w:hAnsi="Figtree"/>
          <w:b w:val="0"/>
          <w:i w:val="0"/>
          <w:sz w:val="22"/>
        </w:rPr>
        <w:t>Differentiator table: DALP vs custom build / point solutions.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Translate platform capability into buying relevance.</w:t>
      </w:r>
    </w:p>
    <w:p>
      <w:pPr>
        <w:pStyle w:val="ListParagraph"/>
        <w:numPr>
          <w:ilvl w:val="1"/>
          <w:numId w:val="4"/>
        </w:numPr>
      </w:pPr>
      <w:r>
        <w:rPr>
          <w:rFonts w:ascii="Figtree" w:hAnsi="Figtree"/>
          <w:b w:val="0"/>
          <w:i w:val="0"/>
          <w:sz w:val="22"/>
        </w:rPr>
        <w:t>Use section subsections mirroring lifecycle pillars and platform foundations.</w:t>
      </w:r>
    </w:p>
    <w:p>
      <w:pPr>
        <w:pStyle w:val="ListParagraph"/>
        <w:numPr>
          <w:ilvl w:val="1"/>
          <w:numId w:val="4"/>
        </w:numPr>
      </w:pPr>
      <w:r>
        <w:rPr>
          <w:rFonts w:ascii="Figtree" w:hAnsi="Figtree"/>
          <w:b w:val="0"/>
          <w:i w:val="0"/>
          <w:sz w:val="22"/>
        </w:rPr>
        <w:t>Show why breadth matters commercially: reuse, lower marginal launch cost, fewer vendors, faster expansion.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this into developer documentation.</w:t>
      </w:r>
    </w:p>
    <w:p>
      <w:pPr>
        <w:pStyle w:val="ListParagraph"/>
        <w:numPr>
          <w:ilvl w:val="1"/>
          <w:numId w:val="4"/>
        </w:numPr>
      </w:pPr>
      <w:r>
        <w:rPr>
          <w:rFonts w:ascii="Figtree" w:hAnsi="Figtree"/>
          <w:b w:val="0"/>
          <w:i w:val="0"/>
          <w:sz w:val="22"/>
        </w:rPr>
        <w:t>Invent product roadmap items.</w:t>
      </w:r>
    </w:p>
    <w:p>
      <w:pPr>
        <w:pStyle w:val="ListParagraph"/>
        <w:numPr>
          <w:ilvl w:val="1"/>
          <w:numId w:val="4"/>
        </w:numPr>
      </w:pPr>
      <w:r>
        <w:rPr>
          <w:rFonts w:ascii="Figtree" w:hAnsi="Figtree"/>
          <w:b w:val="0"/>
          <w:i w:val="0"/>
          <w:sz w:val="22"/>
        </w:rPr>
        <w:t>Use unexplained acronyms without first reference.</w:t>
      </w:r>
    </w:p>
    <w:p>
      <w:r>
        <w:rPr>
          <w:rFonts w:ascii="Figtree" w:hAnsi="Figtree"/>
          <w:b w:val="0"/>
          <w:i w:val="0"/>
          <w:sz w:val="22"/>
        </w:rPr>
        <w:t>]</w:t>
      </w:r>
    </w:p>
    <w:p>
      <w:pPr>
        <w:pStyle w:val="H2"/>
        <w:numPr>
          <w:ilvl w:val="1"/>
          <w:numId w:val="1"/>
        </w:numPr>
      </w:pPr>
      <w:r>
        <w:t>Investment Rationale</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master-template/commercial-proposal.md; content/07-commercial-proposal/main.md;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The status quo has hidden cost, coordination, and control burdens.</w:t>
      </w:r>
    </w:p>
    <w:p>
      <w:pPr>
        <w:pStyle w:val="ListParagraph"/>
        <w:numPr>
          <w:ilvl w:val="1"/>
          <w:numId w:val="4"/>
        </w:numPr>
      </w:pPr>
      <w:r>
        <w:rPr>
          <w:rFonts w:ascii="Figtree" w:hAnsi="Figtree"/>
          <w:b w:val="0"/>
          <w:i w:val="0"/>
          <w:sz w:val="22"/>
        </w:rPr>
        <w:t>DALP changes the economics by collapsing multiple lifecycle capabilities into one platform.</w:t>
      </w:r>
    </w:p>
    <w:p>
      <w:pPr>
        <w:pStyle w:val="ListParagraph"/>
        <w:numPr>
          <w:ilvl w:val="1"/>
          <w:numId w:val="4"/>
        </w:numPr>
      </w:pPr>
      <w:r>
        <w:rPr>
          <w:rFonts w:ascii="Figtree" w:hAnsi="Figtree"/>
          <w:b w:val="0"/>
          <w:i w:val="0"/>
          <w:sz w:val="22"/>
        </w:rPr>
        <w:t>ROI should combine cost avoidance, operational efficiency, revenue enablement, and risk reduction.</w:t>
      </w:r>
    </w:p>
    <w:p>
      <w:pPr>
        <w:pStyle w:val="ListParagraph"/>
        <w:numPr>
          <w:ilvl w:val="1"/>
          <w:numId w:val="4"/>
        </w:numPr>
      </w:pPr>
      <w:r>
        <w:rPr>
          <w:rFonts w:ascii="Figtree" w:hAnsi="Figtree"/>
          <w:b w:val="0"/>
          <w:i w:val="0"/>
          <w:sz w:val="22"/>
        </w:rPr>
        <w:t>The buying decision is infrastructure economics, not feature shopping.</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Cost of current approach comparison table.</w:t>
      </w:r>
    </w:p>
    <w:p>
      <w:pPr>
        <w:pStyle w:val="ListParagraph"/>
        <w:numPr>
          <w:ilvl w:val="1"/>
          <w:numId w:val="4"/>
        </w:numPr>
      </w:pPr>
      <w:r>
        <w:rPr>
          <w:rFonts w:ascii="Figtree" w:hAnsi="Figtree"/>
          <w:b w:val="0"/>
          <w:i w:val="0"/>
          <w:sz w:val="22"/>
        </w:rPr>
        <w:t>DALP economics table by cost driver.</w:t>
      </w:r>
    </w:p>
    <w:p>
      <w:pPr>
        <w:pStyle w:val="ListParagraph"/>
        <w:numPr>
          <w:ilvl w:val="1"/>
          <w:numId w:val="4"/>
        </w:numPr>
      </w:pPr>
      <w:r>
        <w:rPr>
          <w:rFonts w:ascii="Figtree" w:hAnsi="Figtree"/>
          <w:b w:val="0"/>
          <w:i w:val="0"/>
          <w:sz w:val="22"/>
        </w:rPr>
        <w:t>ROI framework table with baseline, DALP-enabled impact, method, and owner.</w:t>
      </w:r>
    </w:p>
    <w:p>
      <w:pPr>
        <w:pStyle w:val="ListParagraph"/>
        <w:numPr>
          <w:ilvl w:val="1"/>
          <w:numId w:val="4"/>
        </w:numPr>
      </w:pPr>
      <w:r>
        <w:rPr>
          <w:rFonts w:ascii="Figtree" w:hAnsi="Figtree"/>
          <w:b w:val="0"/>
          <w:i w:val="0"/>
          <w:sz w:val="22"/>
        </w:rPr>
        <w:t>Optional waterfall chart from current-state cost to projected savings.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Build the business case in three sub-sections.</w:t>
      </w:r>
    </w:p>
    <w:p>
      <w:pPr>
        <w:pStyle w:val="ListParagraph"/>
        <w:numPr>
          <w:ilvl w:val="1"/>
          <w:numId w:val="4"/>
        </w:numPr>
      </w:pPr>
      <w:r>
        <w:rPr>
          <w:rFonts w:ascii="Figtree" w:hAnsi="Figtree"/>
          <w:b w:val="0"/>
          <w:i w:val="0"/>
          <w:sz w:val="22"/>
        </w:rPr>
        <w:t>Use client-specific assumptions and sources wherever available.</w:t>
      </w:r>
    </w:p>
    <w:p>
      <w:pPr>
        <w:pStyle w:val="ListParagraph"/>
        <w:numPr>
          <w:ilvl w:val="1"/>
          <w:numId w:val="4"/>
        </w:numPr>
      </w:pPr>
      <w:r>
        <w:rPr>
          <w:rFonts w:ascii="Figtree" w:hAnsi="Figtree"/>
          <w:b w:val="0"/>
          <w:i w:val="0"/>
          <w:sz w:val="22"/>
        </w:rPr>
        <w:t>Explicitly state assumptions that still require workshop validation.</w:t>
      </w:r>
    </w:p>
    <w:p>
      <w:pPr>
        <w:pStyle w:val="ListParagraph"/>
        <w:numPr>
          <w:ilvl w:val="1"/>
          <w:numId w:val="4"/>
        </w:numPr>
      </w:pPr>
      <w:r>
        <w:rPr>
          <w:rFonts w:ascii="Figtree" w:hAnsi="Figtree"/>
          <w:b w:val="0"/>
          <w:i w:val="0"/>
          <w:sz w:val="22"/>
        </w:rPr>
        <w:t>Tie every claimed value driver to a DALP mechanism.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generic ROI percentages without context.</w:t>
      </w:r>
    </w:p>
    <w:p>
      <w:pPr>
        <w:pStyle w:val="ListParagraph"/>
        <w:numPr>
          <w:ilvl w:val="1"/>
          <w:numId w:val="4"/>
        </w:numPr>
      </w:pPr>
      <w:r>
        <w:rPr>
          <w:rFonts w:ascii="Figtree" w:hAnsi="Figtree"/>
          <w:b w:val="0"/>
          <w:i w:val="0"/>
          <w:sz w:val="22"/>
        </w:rPr>
        <w:t>Conflate avoided future build cost with booked savings unless qualified.</w:t>
      </w:r>
    </w:p>
    <w:p>
      <w:pPr>
        <w:pStyle w:val="ListParagraph"/>
        <w:numPr>
          <w:ilvl w:val="1"/>
          <w:numId w:val="4"/>
        </w:numPr>
      </w:pPr>
      <w:r>
        <w:rPr>
          <w:rFonts w:ascii="Figtree" w:hAnsi="Figtree"/>
          <w:b w:val="0"/>
          <w:i w:val="0"/>
          <w:sz w:val="22"/>
        </w:rPr>
        <w:t>Ignore the organizational cost of multi-vendor governance.</w:t>
      </w:r>
    </w:p>
    <w:p>
      <w:r>
        <w:rPr>
          <w:rFonts w:ascii="Figtree" w:hAnsi="Figtree"/>
          <w:b w:val="0"/>
          <w:i w:val="0"/>
          <w:sz w:val="22"/>
        </w:rPr>
        <w:t>]</w:t>
      </w:r>
    </w:p>
    <w:p>
      <w:pPr>
        <w:pStyle w:val="H3"/>
        <w:numPr>
          <w:ilvl w:val="2"/>
          <w:numId w:val="1"/>
        </w:numPr>
      </w:pPr>
      <w:r>
        <w:t>Cost of Current Approach</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Identify whether the client is on a build, multi-vendor, or pilot-that-cannot-scale path.</w:t>
      </w:r>
    </w:p>
    <w:p>
      <w:pPr>
        <w:pStyle w:val="ListParagraph"/>
        <w:numPr>
          <w:ilvl w:val="1"/>
          <w:numId w:val="4"/>
        </w:numPr>
      </w:pPr>
      <w:r>
        <w:rPr>
          <w:rFonts w:ascii="Figtree" w:hAnsi="Figtree"/>
          <w:b w:val="0"/>
          <w:i w:val="0"/>
          <w:sz w:val="22"/>
        </w:rPr>
        <w:t>Quantify procurement, integration, maintenance, and operational complexity.</w:t>
      </w:r>
    </w:p>
    <w:p>
      <w:pPr>
        <w:pStyle w:val="ListParagraph"/>
        <w:numPr>
          <w:ilvl w:val="1"/>
          <w:numId w:val="4"/>
        </w:numPr>
      </w:pPr>
      <w:r>
        <w:rPr>
          <w:rFonts w:ascii="Figtree" w:hAnsi="Figtree"/>
          <w:b w:val="0"/>
          <w:i w:val="0"/>
          <w:sz w:val="22"/>
        </w:rPr>
        <w:t>Expose hidden costs: timeline delay, duplicated controls, SLA gaps, audit friction, vendor coordination.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Current-state operating model map.</w:t>
      </w:r>
    </w:p>
    <w:p>
      <w:pPr>
        <w:pStyle w:val="ListParagraph"/>
        <w:numPr>
          <w:ilvl w:val="1"/>
          <w:numId w:val="4"/>
        </w:numPr>
      </w:pPr>
      <w:r>
        <w:rPr>
          <w:rFonts w:ascii="Figtree" w:hAnsi="Figtree"/>
          <w:b w:val="0"/>
          <w:i w:val="0"/>
          <w:sz w:val="22"/>
        </w:rPr>
        <w:t>Hidden-cost checklist or heatmap.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Anchor to discovery outputs.</w:t>
      </w:r>
    </w:p>
    <w:p>
      <w:pPr>
        <w:pStyle w:val="ListParagraph"/>
        <w:numPr>
          <w:ilvl w:val="1"/>
          <w:numId w:val="4"/>
        </w:numPr>
      </w:pPr>
      <w:r>
        <w:rPr>
          <w:rFonts w:ascii="Figtree" w:hAnsi="Figtree"/>
          <w:b w:val="0"/>
          <w:i w:val="0"/>
          <w:sz w:val="22"/>
        </w:rPr>
        <w:t>Use the client's own language for pain points where possible.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Attack named competitors without evidence.</w:t>
      </w:r>
    </w:p>
    <w:p>
      <w:pPr>
        <w:pStyle w:val="ListParagraph"/>
        <w:numPr>
          <w:ilvl w:val="1"/>
          <w:numId w:val="4"/>
        </w:numPr>
      </w:pPr>
      <w:r>
        <w:rPr>
          <w:rFonts w:ascii="Figtree" w:hAnsi="Figtree"/>
          <w:b w:val="0"/>
          <w:i w:val="0"/>
          <w:sz w:val="22"/>
        </w:rPr>
        <w:t>Assume all three problem patterns apply equally.</w:t>
      </w:r>
    </w:p>
    <w:p>
      <w:r>
        <w:rPr>
          <w:rFonts w:ascii="Figtree" w:hAnsi="Figtree"/>
          <w:b w:val="0"/>
          <w:i w:val="0"/>
          <w:sz w:val="22"/>
        </w:rPr>
        <w:t>]</w:t>
      </w:r>
    </w:p>
    <w:p>
      <w:pPr>
        <w:pStyle w:val="H3"/>
        <w:numPr>
          <w:ilvl w:val="2"/>
          <w:numId w:val="1"/>
        </w:numPr>
      </w:pPr>
      <w:r>
        <w:t>Why DALP Changes Economics</w:t>
      </w:r>
    </w:p>
    <w:p>
      <w:pPr>
        <w:pStyle w:val="ListParagraph"/>
        <w:numPr>
          <w:ilvl w:val="0"/>
          <w:numId w:val="4"/>
        </w:numPr>
      </w:pPr>
      <w:r>
        <w:rPr>
          <w:rFonts w:ascii="Figtree" w:hAnsi="Figtree"/>
          <w:b w:val="0"/>
          <w:i w:val="0"/>
          <w:sz w:val="22"/>
        </w:rPr>
        <w:t>[Target: 700-900 words]</w:t>
      </w:r>
    </w:p>
    <w:p>
      <w:pPr>
        <w:pStyle w:val="ListParagraph"/>
        <w:numPr>
          <w:ilvl w:val="0"/>
          <w:numId w:val="4"/>
        </w:numPr>
      </w:pPr>
      <w:r>
        <w:rPr>
          <w:rFonts w:ascii="Figtree" w:hAnsi="Figtree"/>
          <w:b w:val="0"/>
          <w:i w:val="0"/>
          <w:sz w:val="22"/>
        </w:rPr>
        <w:t>[Source: master-template/commercial-proposal.md;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One governed platform lowers fragmentation and cost-to-scale.</w:t>
      </w:r>
    </w:p>
    <w:p>
      <w:pPr>
        <w:pStyle w:val="ListParagraph"/>
        <w:numPr>
          <w:ilvl w:val="1"/>
          <w:numId w:val="4"/>
        </w:numPr>
      </w:pPr>
      <w:r>
        <w:rPr>
          <w:rFonts w:ascii="Figtree" w:hAnsi="Figtree"/>
          <w:b w:val="0"/>
          <w:i w:val="0"/>
          <w:sz w:val="22"/>
        </w:rPr>
        <w:t>Included capabilities reduce repeated procurement and integration effort.</w:t>
      </w:r>
    </w:p>
    <w:p>
      <w:pPr>
        <w:pStyle w:val="ListParagraph"/>
        <w:numPr>
          <w:ilvl w:val="1"/>
          <w:numId w:val="4"/>
        </w:numPr>
      </w:pPr>
      <w:r>
        <w:rPr>
          <w:rFonts w:ascii="Figtree" w:hAnsi="Figtree"/>
          <w:b w:val="0"/>
          <w:i w:val="0"/>
          <w:sz w:val="22"/>
        </w:rPr>
        <w:t>Reuse across asset classes and jurisdictions improves long-term economics.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Included capability map against cost drivers.</w:t>
      </w:r>
    </w:p>
    <w:p>
      <w:pPr>
        <w:pStyle w:val="ListParagraph"/>
        <w:numPr>
          <w:ilvl w:val="1"/>
          <w:numId w:val="4"/>
        </w:numPr>
      </w:pPr>
      <w:r>
        <w:rPr>
          <w:rFonts w:ascii="Figtree" w:hAnsi="Figtree"/>
          <w:b w:val="0"/>
          <w:i w:val="0"/>
          <w:sz w:val="22"/>
        </w:rPr>
        <w:t>Before/after operating model comparison.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platform economics, not generic product benefits.</w:t>
      </w:r>
    </w:p>
    <w:p>
      <w:pPr>
        <w:pStyle w:val="ListParagraph"/>
        <w:numPr>
          <w:ilvl w:val="1"/>
          <w:numId w:val="4"/>
        </w:numPr>
      </w:pPr>
      <w:r>
        <w:rPr>
          <w:rFonts w:ascii="Figtree" w:hAnsi="Figtree"/>
          <w:b w:val="0"/>
          <w:i w:val="0"/>
          <w:sz w:val="22"/>
        </w:rPr>
        <w:t>Show how bundled lifecycle coverage changes spend profile over time.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DALP as a narrow token issuance tool.</w:t>
      </w:r>
    </w:p>
    <w:p>
      <w:r>
        <w:rPr>
          <w:rFonts w:ascii="Figtree" w:hAnsi="Figtree"/>
          <w:b w:val="0"/>
          <w:i w:val="0"/>
          <w:sz w:val="22"/>
        </w:rPr>
        <w:t>]</w:t>
      </w:r>
    </w:p>
    <w:p>
      <w:pPr>
        <w:pStyle w:val="H3"/>
        <w:numPr>
          <w:ilvl w:val="2"/>
          <w:numId w:val="1"/>
        </w:numPr>
      </w:pPr>
      <w:r>
        <w:t>ROI Framework</w:t>
      </w:r>
    </w:p>
    <w:p>
      <w:pPr>
        <w:pStyle w:val="ListParagraph"/>
        <w:numPr>
          <w:ilvl w:val="0"/>
          <w:numId w:val="4"/>
        </w:numPr>
      </w:pPr>
      <w:r>
        <w:rPr>
          <w:rFonts w:ascii="Figtree" w:hAnsi="Figtree"/>
          <w:b w:val="0"/>
          <w:i w:val="0"/>
          <w:sz w:val="22"/>
        </w:rPr>
        <w:t>[Target: 700-1100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ROI has four buckets: operational efficiency, revenue enablement, cost avoidance, risk reduction.</w:t>
      </w:r>
    </w:p>
    <w:p>
      <w:pPr>
        <w:pStyle w:val="ListParagraph"/>
        <w:numPr>
          <w:ilvl w:val="1"/>
          <w:numId w:val="4"/>
        </w:numPr>
      </w:pPr>
      <w:r>
        <w:rPr>
          <w:rFonts w:ascii="Figtree" w:hAnsi="Figtree"/>
          <w:b w:val="0"/>
          <w:i w:val="0"/>
          <w:sz w:val="22"/>
        </w:rPr>
        <w:t>Payback logic should be explicit and calculation-ready.</w:t>
      </w:r>
    </w:p>
    <w:p>
      <w:pPr>
        <w:pStyle w:val="ListParagraph"/>
        <w:numPr>
          <w:ilvl w:val="1"/>
          <w:numId w:val="4"/>
        </w:numPr>
      </w:pPr>
      <w:r>
        <w:rPr>
          <w:rFonts w:ascii="Figtree" w:hAnsi="Figtree"/>
          <w:b w:val="0"/>
          <w:i w:val="0"/>
          <w:sz w:val="22"/>
        </w:rPr>
        <w:t>The model should be adjustable by procurement/finance without changing narrative logic.</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ROI driver table.</w:t>
      </w:r>
    </w:p>
    <w:p>
      <w:pPr>
        <w:pStyle w:val="ListParagraph"/>
        <w:numPr>
          <w:ilvl w:val="1"/>
          <w:numId w:val="4"/>
        </w:numPr>
      </w:pPr>
      <w:r>
        <w:rPr>
          <w:rFonts w:ascii="Figtree" w:hAnsi="Figtree"/>
          <w:b w:val="0"/>
          <w:i w:val="0"/>
          <w:sz w:val="22"/>
        </w:rPr>
        <w:t>Sensitivity table: conservative / expected / upside case.</w:t>
      </w:r>
    </w:p>
    <w:p>
      <w:pPr>
        <w:pStyle w:val="ListParagraph"/>
        <w:numPr>
          <w:ilvl w:val="1"/>
          <w:numId w:val="4"/>
        </w:numPr>
      </w:pPr>
      <w:r>
        <w:rPr>
          <w:rFonts w:ascii="Figtree" w:hAnsi="Figtree"/>
          <w:b w:val="0"/>
          <w:i w:val="0"/>
          <w:sz w:val="22"/>
        </w:rPr>
        <w:t>Payback-period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Provide formulas, inputs, and ownership of each assumption.</w:t>
      </w:r>
    </w:p>
    <w:p>
      <w:pPr>
        <w:pStyle w:val="ListParagraph"/>
        <w:numPr>
          <w:ilvl w:val="1"/>
          <w:numId w:val="4"/>
        </w:numPr>
      </w:pPr>
      <w:r>
        <w:rPr>
          <w:rFonts w:ascii="Figtree" w:hAnsi="Figtree"/>
          <w:b w:val="0"/>
          <w:i w:val="0"/>
          <w:sz w:val="22"/>
        </w:rPr>
        <w:t>Use placeholders for unvalidated numbers.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a fake precision model.</w:t>
      </w:r>
    </w:p>
    <w:p>
      <w:pPr>
        <w:pStyle w:val="ListParagraph"/>
        <w:numPr>
          <w:ilvl w:val="1"/>
          <w:numId w:val="4"/>
        </w:numPr>
      </w:pPr>
      <w:r>
        <w:rPr>
          <w:rFonts w:ascii="Figtree" w:hAnsi="Figtree"/>
          <w:b w:val="0"/>
          <w:i w:val="0"/>
          <w:sz w:val="22"/>
        </w:rPr>
        <w:t>Hide assumptions in footnotes.</w:t>
      </w:r>
    </w:p>
    <w:p>
      <w:r>
        <w:rPr>
          <w:rFonts w:ascii="Figtree" w:hAnsi="Figtree"/>
          <w:b w:val="0"/>
          <w:i w:val="0"/>
          <w:sz w:val="22"/>
        </w:rPr>
        <w:t>]</w:t>
      </w:r>
    </w:p>
    <w:p>
      <w:pPr>
        <w:pStyle w:val="H2"/>
        <w:numPr>
          <w:ilvl w:val="1"/>
          <w:numId w:val="1"/>
        </w:numPr>
      </w:pPr>
      <w:r>
        <w:t>Licensing Model</w:t>
      </w:r>
    </w:p>
    <w:p>
      <w:pPr>
        <w:pStyle w:val="ListParagraph"/>
        <w:numPr>
          <w:ilvl w:val="0"/>
          <w:numId w:val="4"/>
        </w:numPr>
      </w:pPr>
      <w:r>
        <w:rPr>
          <w:rFonts w:ascii="Figtree" w:hAnsi="Figtree"/>
          <w:b w:val="0"/>
          <w:i w:val="0"/>
          <w:sz w:val="22"/>
        </w:rPr>
        <w:t>[Target: 1800-2400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licensing is platform-based, not transaction-tax based.</w:t>
      </w:r>
    </w:p>
    <w:p>
      <w:pPr>
        <w:pStyle w:val="ListParagraph"/>
        <w:numPr>
          <w:ilvl w:val="1"/>
          <w:numId w:val="4"/>
        </w:numPr>
      </w:pPr>
      <w:r>
        <w:rPr>
          <w:rFonts w:ascii="Figtree" w:hAnsi="Figtree"/>
          <w:b w:val="0"/>
          <w:i w:val="0"/>
          <w:sz w:val="22"/>
        </w:rPr>
        <w:t>The license includes broad lifecycle capabilities, asset classes, APIs, observability, and updates.</w:t>
      </w:r>
    </w:p>
    <w:p>
      <w:pPr>
        <w:pStyle w:val="ListParagraph"/>
        <w:numPr>
          <w:ilvl w:val="1"/>
          <w:numId w:val="4"/>
        </w:numPr>
      </w:pPr>
      <w:r>
        <w:rPr>
          <w:rFonts w:ascii="Figtree" w:hAnsi="Figtree"/>
          <w:b w:val="0"/>
          <w:i w:val="0"/>
          <w:sz w:val="22"/>
        </w:rPr>
        <w:t>Engagement-specific scope varies by environment, deployment, network, custody, support, and implementation.</w:t>
      </w:r>
    </w:p>
    <w:p>
      <w:pPr>
        <w:pStyle w:val="ListParagraph"/>
        <w:numPr>
          <w:ilvl w:val="1"/>
          <w:numId w:val="4"/>
        </w:numPr>
      </w:pPr>
      <w:r>
        <w:rPr>
          <w:rFonts w:ascii="Figtree" w:hAnsi="Figtree"/>
          <w:b w:val="0"/>
          <w:i w:val="0"/>
          <w:sz w:val="22"/>
        </w:rPr>
        <w:t>Tiering reflects operational complexity and institutional requirement level.</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Licensing philosophy callout.</w:t>
      </w:r>
    </w:p>
    <w:p>
      <w:pPr>
        <w:pStyle w:val="ListParagraph"/>
        <w:numPr>
          <w:ilvl w:val="1"/>
          <w:numId w:val="4"/>
        </w:numPr>
      </w:pPr>
      <w:r>
        <w:rPr>
          <w:rFonts w:ascii="Figtree" w:hAnsi="Figtree"/>
          <w:b w:val="0"/>
          <w:i w:val="0"/>
          <w:sz w:val="22"/>
        </w:rPr>
        <w:t>Included-versus-variable table.</w:t>
      </w:r>
    </w:p>
    <w:p>
      <w:pPr>
        <w:pStyle w:val="ListParagraph"/>
        <w:numPr>
          <w:ilvl w:val="1"/>
          <w:numId w:val="4"/>
        </w:numPr>
      </w:pPr>
      <w:r>
        <w:rPr>
          <w:rFonts w:ascii="Figtree" w:hAnsi="Figtree"/>
          <w:b w:val="0"/>
          <w:i w:val="0"/>
          <w:sz w:val="22"/>
        </w:rPr>
        <w:t>Tier comparison table: Foundation / Enterprise / Sovereign.</w:t>
      </w:r>
    </w:p>
    <w:p>
      <w:pPr>
        <w:pStyle w:val="ListParagraph"/>
        <w:numPr>
          <w:ilvl w:val="1"/>
          <w:numId w:val="4"/>
        </w:numPr>
      </w:pPr>
      <w:r>
        <w:rPr>
          <w:rFonts w:ascii="Figtree" w:hAnsi="Figtree"/>
          <w:b w:val="0"/>
          <w:i w:val="0"/>
          <w:sz w:val="22"/>
        </w:rPr>
        <w:t>Optional decision tree for tier selection.</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this section crisp, structured, and procurement-friendly.</w:t>
      </w:r>
    </w:p>
    <w:p>
      <w:pPr>
        <w:pStyle w:val="ListParagraph"/>
        <w:numPr>
          <w:ilvl w:val="1"/>
          <w:numId w:val="4"/>
        </w:numPr>
      </w:pPr>
      <w:r>
        <w:rPr>
          <w:rFonts w:ascii="Figtree" w:hAnsi="Figtree"/>
          <w:b w:val="0"/>
          <w:i w:val="0"/>
          <w:sz w:val="22"/>
        </w:rPr>
        <w:t>Make the economic logic behind annual subscription explicit.</w:t>
      </w:r>
    </w:p>
    <w:p>
      <w:pPr>
        <w:pStyle w:val="ListParagraph"/>
        <w:numPr>
          <w:ilvl w:val="1"/>
          <w:numId w:val="4"/>
        </w:numPr>
      </w:pPr>
      <w:r>
        <w:rPr>
          <w:rFonts w:ascii="Figtree" w:hAnsi="Figtree"/>
          <w:b w:val="0"/>
          <w:i w:val="0"/>
          <w:sz w:val="22"/>
        </w:rPr>
        <w:t>Separate fixed platform inclusions from scoped items.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per-transaction logic.</w:t>
      </w:r>
    </w:p>
    <w:p>
      <w:pPr>
        <w:pStyle w:val="ListParagraph"/>
        <w:numPr>
          <w:ilvl w:val="1"/>
          <w:numId w:val="4"/>
        </w:numPr>
      </w:pPr>
      <w:r>
        <w:rPr>
          <w:rFonts w:ascii="Figtree" w:hAnsi="Figtree"/>
          <w:b w:val="0"/>
          <w:i w:val="0"/>
          <w:sz w:val="22"/>
        </w:rPr>
        <w:t>Blur license scope with implementation scope.</w:t>
      </w:r>
    </w:p>
    <w:p>
      <w:pPr>
        <w:pStyle w:val="ListParagraph"/>
        <w:numPr>
          <w:ilvl w:val="1"/>
          <w:numId w:val="4"/>
        </w:numPr>
      </w:pPr>
      <w:r>
        <w:rPr>
          <w:rFonts w:ascii="Figtree" w:hAnsi="Figtree"/>
          <w:b w:val="0"/>
          <w:i w:val="0"/>
          <w:sz w:val="22"/>
        </w:rPr>
        <w:t>Create new tiers or package names.</w:t>
      </w:r>
    </w:p>
    <w:p>
      <w:r>
        <w:rPr>
          <w:rFonts w:ascii="Figtree" w:hAnsi="Figtree"/>
          <w:b w:val="0"/>
          <w:i w:val="0"/>
          <w:sz w:val="22"/>
        </w:rPr>
        <w:t>]</w:t>
      </w:r>
    </w:p>
    <w:p>
      <w:pPr>
        <w:pStyle w:val="H3"/>
        <w:numPr>
          <w:ilvl w:val="2"/>
          <w:numId w:val="1"/>
        </w:numPr>
      </w:pPr>
      <w:r>
        <w:t>Philosophy</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Predictability, scale alignment, and no penalty on growth or compliance usage.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Simple comparison box: platform license vs transaction-fee model.</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why this model fits regulated institutions.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Sound defensive about pricing.</w:t>
      </w:r>
    </w:p>
    <w:p>
      <w:r>
        <w:rPr>
          <w:rFonts w:ascii="Figtree" w:hAnsi="Figtree"/>
          <w:b w:val="0"/>
          <w:i w:val="0"/>
          <w:sz w:val="22"/>
        </w:rPr>
        <w:t>]</w:t>
      </w:r>
    </w:p>
    <w:p>
      <w:pPr>
        <w:pStyle w:val="H3"/>
        <w:numPr>
          <w:ilvl w:val="2"/>
          <w:numId w:val="1"/>
        </w:numPr>
      </w:pPr>
      <w:r>
        <w:t>What's Included</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master-template/commercial-proposal.md;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Lifecycle pillars, asset classes, compliance modules, APIs, add-ons, observability, and updates are included.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Inclusion grid.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Organize by capability family, not by feature sprawl.</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ambiguity around included platform scope.</w:t>
      </w:r>
    </w:p>
    <w:p>
      <w:r>
        <w:rPr>
          <w:rFonts w:ascii="Figtree" w:hAnsi="Figtree"/>
          <w:b w:val="0"/>
          <w:i w:val="0"/>
          <w:sz w:val="22"/>
        </w:rPr>
        <w:t>]</w:t>
      </w:r>
    </w:p>
    <w:p>
      <w:pPr>
        <w:pStyle w:val="H3"/>
        <w:numPr>
          <w:ilvl w:val="2"/>
          <w:numId w:val="1"/>
        </w:numPr>
      </w:pPr>
      <w:r>
        <w:t>What Varies</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Deployment model, environment count, network setup, custody integration, support tier, and implementation services are engagement-specific.</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Scoped dimensions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Mark every variable dimension clearly.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variables as afterthoughts.</w:t>
      </w:r>
    </w:p>
    <w:p>
      <w:r>
        <w:rPr>
          <w:rFonts w:ascii="Figtree" w:hAnsi="Figtree"/>
          <w:b w:val="0"/>
          <w:i w:val="0"/>
          <w:sz w:val="22"/>
        </w:rPr>
        <w:t>]</w:t>
      </w:r>
    </w:p>
    <w:p>
      <w:pPr>
        <w:pStyle w:val="H3"/>
        <w:numPr>
          <w:ilvl w:val="2"/>
          <w:numId w:val="1"/>
        </w:numPr>
      </w:pPr>
      <w:r>
        <w:t>Platform Tiers</w:t>
      </w:r>
    </w:p>
    <w:p>
      <w:pPr>
        <w:pStyle w:val="ListParagraph"/>
        <w:numPr>
          <w:ilvl w:val="0"/>
          <w:numId w:val="4"/>
        </w:numPr>
      </w:pPr>
      <w:r>
        <w:rPr>
          <w:rFonts w:ascii="Figtree" w:hAnsi="Figtree"/>
          <w:b w:val="0"/>
          <w:i w:val="0"/>
          <w:sz w:val="22"/>
        </w:rPr>
        <w:t>[Target: 700-900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Foundation fits focused first production use cases.</w:t>
      </w:r>
    </w:p>
    <w:p>
      <w:pPr>
        <w:pStyle w:val="ListParagraph"/>
        <w:numPr>
          <w:ilvl w:val="1"/>
          <w:numId w:val="4"/>
        </w:numPr>
      </w:pPr>
      <w:r>
        <w:rPr>
          <w:rFonts w:ascii="Figtree" w:hAnsi="Figtree"/>
          <w:b w:val="0"/>
          <w:i w:val="0"/>
          <w:sz w:val="22"/>
        </w:rPr>
        <w:t>Enterprise fits scaling institutions across more environments and integrations.</w:t>
      </w:r>
    </w:p>
    <w:p>
      <w:pPr>
        <w:pStyle w:val="ListParagraph"/>
        <w:numPr>
          <w:ilvl w:val="1"/>
          <w:numId w:val="4"/>
        </w:numPr>
      </w:pPr>
      <w:r>
        <w:rPr>
          <w:rFonts w:ascii="Figtree" w:hAnsi="Figtree"/>
          <w:b w:val="0"/>
          <w:i w:val="0"/>
          <w:sz w:val="22"/>
        </w:rPr>
        <w:t>Sovereign fits strategic or national-scale control requirements.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Detailed tier comparison table.</w:t>
      </w:r>
    </w:p>
    <w:p>
      <w:pPr>
        <w:pStyle w:val="ListParagraph"/>
        <w:numPr>
          <w:ilvl w:val="1"/>
          <w:numId w:val="4"/>
        </w:numPr>
      </w:pPr>
      <w:r>
        <w:rPr>
          <w:rFonts w:ascii="Figtree" w:hAnsi="Figtree"/>
          <w:b w:val="0"/>
          <w:i w:val="0"/>
          <w:sz w:val="22"/>
        </w:rPr>
        <w:t>Recommended-tier callout.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For each tier, specify fit, included profile, and buyer trigger.</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usage-volume language as the primary tier differentiator.</w:t>
      </w:r>
    </w:p>
    <w:p>
      <w:r>
        <w:rPr>
          <w:rFonts w:ascii="Figtree" w:hAnsi="Figtree"/>
          <w:b w:val="0"/>
          <w:i w:val="0"/>
          <w:sz w:val="22"/>
        </w:rPr>
        <w:t>]</w:t>
      </w:r>
    </w:p>
    <w:p>
      <w:pPr>
        <w:pStyle w:val="H2"/>
        <w:numPr>
          <w:ilvl w:val="1"/>
          <w:numId w:val="1"/>
        </w:numPr>
      </w:pPr>
      <w:r>
        <w:t>Deployment Options and Pricing</w:t>
      </w:r>
    </w:p>
    <w:p>
      <w:pPr>
        <w:pStyle w:val="ListParagraph"/>
        <w:numPr>
          <w:ilvl w:val="0"/>
          <w:numId w:val="4"/>
        </w:numPr>
      </w:pPr>
      <w:r>
        <w:rPr>
          <w:rFonts w:ascii="Figtree" w:hAnsi="Figtree"/>
          <w:b w:val="0"/>
          <w:i w:val="0"/>
          <w:sz w:val="22"/>
        </w:rPr>
        <w:t>[Target: 1800-2400 words]</w:t>
      </w:r>
    </w:p>
    <w:p>
      <w:pPr>
        <w:pStyle w:val="ListParagraph"/>
        <w:numPr>
          <w:ilvl w:val="0"/>
          <w:numId w:val="4"/>
        </w:numPr>
      </w:pPr>
      <w:r>
        <w:rPr>
          <w:rFonts w:ascii="Figtree" w:hAnsi="Figtree"/>
          <w:b w:val="0"/>
          <w:i w:val="0"/>
          <w:sz w:val="22"/>
        </w:rPr>
        <w:t>[Source: reusable/deployment-options.md;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All deployment models deliver the same platform capability set.</w:t>
      </w:r>
    </w:p>
    <w:p>
      <w:pPr>
        <w:pStyle w:val="ListParagraph"/>
        <w:numPr>
          <w:ilvl w:val="1"/>
          <w:numId w:val="4"/>
        </w:numPr>
      </w:pPr>
      <w:r>
        <w:rPr>
          <w:rFonts w:ascii="Figtree" w:hAnsi="Figtree"/>
          <w:b w:val="0"/>
          <w:i w:val="0"/>
          <w:sz w:val="22"/>
        </w:rPr>
        <w:t>The real choice is operational ownership, data residency, security posture, and time-to-deploy.</w:t>
      </w:r>
    </w:p>
    <w:p>
      <w:pPr>
        <w:pStyle w:val="ListParagraph"/>
        <w:numPr>
          <w:ilvl w:val="1"/>
          <w:numId w:val="4"/>
        </w:numPr>
      </w:pPr>
      <w:r>
        <w:rPr>
          <w:rFonts w:ascii="Figtree" w:hAnsi="Figtree"/>
          <w:b w:val="0"/>
          <w:i w:val="0"/>
          <w:sz w:val="22"/>
        </w:rPr>
        <w:t>Pricing must be shown as a structured commercial model with clear cost categories and drivers.</w:t>
      </w:r>
    </w:p>
    <w:p>
      <w:pPr>
        <w:pStyle w:val="ListParagraph"/>
        <w:numPr>
          <w:ilvl w:val="1"/>
          <w:numId w:val="4"/>
        </w:numPr>
      </w:pPr>
      <w:r>
        <w:rPr>
          <w:rFonts w:ascii="Figtree" w:hAnsi="Figtree"/>
          <w:b w:val="0"/>
          <w:i w:val="0"/>
          <w:sz w:val="22"/>
        </w:rPr>
        <w:t>Recommend a deployment model and explain why.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Deployment model comparison table.</w:t>
      </w:r>
    </w:p>
    <w:p>
      <w:pPr>
        <w:pStyle w:val="ListParagraph"/>
        <w:numPr>
          <w:ilvl w:val="1"/>
          <w:numId w:val="4"/>
        </w:numPr>
      </w:pPr>
      <w:r>
        <w:rPr>
          <w:rFonts w:ascii="Figtree" w:hAnsi="Figtree"/>
          <w:b w:val="0"/>
          <w:i w:val="0"/>
          <w:sz w:val="22"/>
        </w:rPr>
        <w:t>Recommended deployment architecture diagram.</w:t>
      </w:r>
    </w:p>
    <w:p>
      <w:pPr>
        <w:pStyle w:val="ListParagraph"/>
        <w:numPr>
          <w:ilvl w:val="1"/>
          <w:numId w:val="4"/>
        </w:numPr>
      </w:pPr>
      <w:r>
        <w:rPr>
          <w:rFonts w:ascii="Figtree" w:hAnsi="Figtree"/>
          <w:b w:val="0"/>
          <w:i w:val="0"/>
          <w:sz w:val="22"/>
        </w:rPr>
        <w:t>Cost structure table by model.</w:t>
      </w:r>
    </w:p>
    <w:p>
      <w:pPr>
        <w:pStyle w:val="ListParagraph"/>
        <w:numPr>
          <w:ilvl w:val="1"/>
          <w:numId w:val="4"/>
        </w:numPr>
      </w:pPr>
      <w:r>
        <w:rPr>
          <w:rFonts w:ascii="Figtree" w:hAnsi="Figtree"/>
          <w:b w:val="0"/>
          <w:i w:val="0"/>
          <w:sz w:val="22"/>
        </w:rPr>
        <w:t>Cost-driver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Build this as a decision section, not a catalogue.</w:t>
      </w:r>
    </w:p>
    <w:p>
      <w:pPr>
        <w:pStyle w:val="ListParagraph"/>
        <w:numPr>
          <w:ilvl w:val="1"/>
          <w:numId w:val="4"/>
        </w:numPr>
      </w:pPr>
      <w:r>
        <w:rPr>
          <w:rFonts w:ascii="Figtree" w:hAnsi="Figtree"/>
          <w:b w:val="0"/>
          <w:i w:val="0"/>
          <w:sz w:val="22"/>
        </w:rPr>
        <w:t>Start with recommended model, then compare alternatives.</w:t>
      </w:r>
    </w:p>
    <w:p>
      <w:pPr>
        <w:pStyle w:val="ListParagraph"/>
        <w:numPr>
          <w:ilvl w:val="1"/>
          <w:numId w:val="4"/>
        </w:numPr>
      </w:pPr>
      <w:r>
        <w:rPr>
          <w:rFonts w:ascii="Figtree" w:hAnsi="Figtree"/>
          <w:b w:val="0"/>
          <w:i w:val="0"/>
          <w:sz w:val="22"/>
        </w:rPr>
        <w:t>Tie pricing structure to operational consequences.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platform capability differs by deployment model.</w:t>
      </w:r>
    </w:p>
    <w:p>
      <w:pPr>
        <w:pStyle w:val="ListParagraph"/>
        <w:numPr>
          <w:ilvl w:val="1"/>
          <w:numId w:val="4"/>
        </w:numPr>
      </w:pPr>
      <w:r>
        <w:rPr>
          <w:rFonts w:ascii="Figtree" w:hAnsi="Figtree"/>
          <w:b w:val="0"/>
          <w:i w:val="0"/>
          <w:sz w:val="22"/>
        </w:rPr>
        <w:t>Leave infrastructure responsibility unclear.</w:t>
      </w:r>
    </w:p>
    <w:p>
      <w:r>
        <w:rPr>
          <w:rFonts w:ascii="Figtree" w:hAnsi="Figtree"/>
          <w:b w:val="0"/>
          <w:i w:val="0"/>
          <w:sz w:val="22"/>
        </w:rPr>
        <w:t>]</w:t>
      </w:r>
    </w:p>
    <w:p>
      <w:pPr>
        <w:pStyle w:val="H3"/>
        <w:numPr>
          <w:ilvl w:val="2"/>
          <w:numId w:val="1"/>
        </w:numPr>
      </w:pPr>
      <w:r>
        <w:t>Model Overview</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Managed SaaS, private cloud, on-premises, and hybrid are all viable under different constraints.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4-model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State selection criteria up front.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Overexplain technical prerequisites here.</w:t>
      </w:r>
    </w:p>
    <w:p>
      <w:r>
        <w:rPr>
          <w:rFonts w:ascii="Figtree" w:hAnsi="Figtree"/>
          <w:b w:val="0"/>
          <w:i w:val="0"/>
          <w:sz w:val="22"/>
        </w:rPr>
        <w:t>]</w:t>
      </w:r>
    </w:p>
    <w:p>
      <w:pPr>
        <w:pStyle w:val="H3"/>
        <w:numPr>
          <w:ilvl w:val="2"/>
          <w:numId w:val="1"/>
        </w:numPr>
      </w:pPr>
      <w:r>
        <w:t>Comparison</w:t>
      </w:r>
    </w:p>
    <w:p>
      <w:pPr>
        <w:pStyle w:val="ListParagraph"/>
        <w:numPr>
          <w:ilvl w:val="0"/>
          <w:numId w:val="4"/>
        </w:numPr>
      </w:pPr>
      <w:r>
        <w:rPr>
          <w:rFonts w:ascii="Figtree" w:hAnsi="Figtree"/>
          <w:b w:val="0"/>
          <w:i w:val="0"/>
          <w:sz w:val="22"/>
        </w:rPr>
        <w:t>[Target: 400-600 words]</w:t>
      </w:r>
    </w:p>
    <w:p>
      <w:pPr>
        <w:pStyle w:val="ListParagraph"/>
        <w:numPr>
          <w:ilvl w:val="0"/>
          <w:numId w:val="4"/>
        </w:numPr>
      </w:pPr>
      <w:r>
        <w:rPr>
          <w:rFonts w:ascii="Figtree" w:hAnsi="Figtree"/>
          <w:b w:val="0"/>
          <w:i w:val="0"/>
          <w:sz w:val="22"/>
        </w:rPr>
        <w:t>[Source: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Compare management, residency, connectivity, scaling, deployment speed, and overhead.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Side-by-side comparison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consistent criteria across all models.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objective facts with unsupported preference.</w:t>
      </w:r>
    </w:p>
    <w:p>
      <w:r>
        <w:rPr>
          <w:rFonts w:ascii="Figtree" w:hAnsi="Figtree"/>
          <w:b w:val="0"/>
          <w:i w:val="0"/>
          <w:sz w:val="22"/>
        </w:rPr>
        <w:t>]</w:t>
      </w:r>
    </w:p>
    <w:p>
      <w:pPr>
        <w:pStyle w:val="H3"/>
        <w:numPr>
          <w:ilvl w:val="2"/>
          <w:numId w:val="1"/>
        </w:numPr>
      </w:pPr>
      <w:r>
        <w:t>Cost Structure</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master-template/commercial-proposal.md;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license, environment, infrastructure, implementation, and support cost categories.</w:t>
      </w:r>
    </w:p>
    <w:p>
      <w:pPr>
        <w:pStyle w:val="ListParagraph"/>
        <w:numPr>
          <w:ilvl w:val="1"/>
          <w:numId w:val="4"/>
        </w:numPr>
      </w:pPr>
      <w:r>
        <w:rPr>
          <w:rFonts w:ascii="Figtree" w:hAnsi="Figtree"/>
          <w:b w:val="0"/>
          <w:i w:val="0"/>
          <w:sz w:val="22"/>
        </w:rPr>
        <w:t>Clarify pass-through vs SettleMint-managed vs client-borne costs.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Cost stack table.</w:t>
      </w:r>
    </w:p>
    <w:p>
      <w:pPr>
        <w:pStyle w:val="ListParagraph"/>
        <w:numPr>
          <w:ilvl w:val="1"/>
          <w:numId w:val="4"/>
        </w:numPr>
      </w:pPr>
      <w:r>
        <w:rPr>
          <w:rFonts w:ascii="Figtree" w:hAnsi="Figtree"/>
          <w:b w:val="0"/>
          <w:i w:val="0"/>
          <w:sz w:val="22"/>
        </w:rPr>
        <w:t>Optional stacked-bar exhibit by model.</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pricing placeholders with labels and assumptions.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Merge recurring and one-time costs without labeling.</w:t>
      </w:r>
    </w:p>
    <w:p>
      <w:r>
        <w:rPr>
          <w:rFonts w:ascii="Figtree" w:hAnsi="Figtree"/>
          <w:b w:val="0"/>
          <w:i w:val="0"/>
          <w:sz w:val="22"/>
        </w:rPr>
        <w:t>]</w:t>
      </w:r>
    </w:p>
    <w:p>
      <w:pPr>
        <w:pStyle w:val="H3"/>
        <w:numPr>
          <w:ilvl w:val="2"/>
          <w:numId w:val="1"/>
        </w:numPr>
      </w:pPr>
      <w:r>
        <w:t>Cost Drivers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Multi-region, multi-environment, HSM/on-prem, integration complexity, custom support, and phased rollout drive cost upward.</w:t>
      </w:r>
    </w:p>
    <w:p>
      <w:pPr>
        <w:pStyle w:val="ListParagraph"/>
        <w:numPr>
          <w:ilvl w:val="1"/>
          <w:numId w:val="4"/>
        </w:numPr>
      </w:pPr>
      <w:r>
        <w:rPr>
          <w:rFonts w:ascii="Figtree" w:hAnsi="Figtree"/>
          <w:b w:val="0"/>
          <w:i w:val="0"/>
          <w:sz w:val="22"/>
        </w:rPr>
        <w:t>Simpler cloud-managed profiles, limited integrations, and multi-year commitments reduce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Up/down cost-driver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negotiation levers explicit without turning this into discounting guidance.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cost can be determined without scope.</w:t>
      </w:r>
    </w:p>
    <w:p>
      <w:r>
        <w:rPr>
          <w:rFonts w:ascii="Figtree" w:hAnsi="Figtree"/>
          <w:b w:val="0"/>
          <w:i w:val="0"/>
          <w:sz w:val="22"/>
        </w:rPr>
        <w:t>]</w:t>
      </w:r>
    </w:p>
    <w:p>
      <w:pPr>
        <w:pStyle w:val="H2"/>
        <w:numPr>
          <w:ilvl w:val="1"/>
          <w:numId w:val="1"/>
        </w:numPr>
      </w:pPr>
      <w:r>
        <w:t>Support and SLA Framework</w:t>
      </w:r>
    </w:p>
    <w:p>
      <w:pPr>
        <w:pStyle w:val="ListParagraph"/>
        <w:numPr>
          <w:ilvl w:val="0"/>
          <w:numId w:val="4"/>
        </w:numPr>
      </w:pPr>
      <w:r>
        <w:rPr>
          <w:rFonts w:ascii="Figtree" w:hAnsi="Figtree"/>
          <w:b w:val="0"/>
          <w:i w:val="0"/>
          <w:sz w:val="22"/>
        </w:rPr>
        <w:t>[Target: 1500-2100 words]</w:t>
      </w:r>
    </w:p>
    <w:p>
      <w:pPr>
        <w:pStyle w:val="ListParagraph"/>
        <w:numPr>
          <w:ilvl w:val="0"/>
          <w:numId w:val="4"/>
        </w:numPr>
      </w:pPr>
      <w:r>
        <w:rPr>
          <w:rFonts w:ascii="Figtree" w:hAnsi="Figtree"/>
          <w:b w:val="0"/>
          <w:i w:val="0"/>
          <w:sz w:val="22"/>
        </w:rPr>
        <w:t>[Source: reusable/support-sla.md;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Support is tiered to operational criticality.</w:t>
      </w:r>
    </w:p>
    <w:p>
      <w:pPr>
        <w:pStyle w:val="ListParagraph"/>
        <w:numPr>
          <w:ilvl w:val="1"/>
          <w:numId w:val="4"/>
        </w:numPr>
      </w:pPr>
      <w:r>
        <w:rPr>
          <w:rFonts w:ascii="Figtree" w:hAnsi="Figtree"/>
          <w:b w:val="0"/>
          <w:i w:val="0"/>
          <w:sz w:val="22"/>
        </w:rPr>
        <w:t>Severity definitions, response times, uptime commitments, maintenance, and escalation are core commercial differentiators.</w:t>
      </w:r>
    </w:p>
    <w:p>
      <w:pPr>
        <w:pStyle w:val="ListParagraph"/>
        <w:numPr>
          <w:ilvl w:val="1"/>
          <w:numId w:val="4"/>
        </w:numPr>
      </w:pPr>
      <w:r>
        <w:rPr>
          <w:rFonts w:ascii="Figtree" w:hAnsi="Figtree"/>
          <w:b w:val="0"/>
          <w:i w:val="0"/>
          <w:sz w:val="22"/>
        </w:rPr>
        <w:t>Recommended support tier should match deployment criticality and client internal capability.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table.</w:t>
      </w:r>
    </w:p>
    <w:p>
      <w:pPr>
        <w:pStyle w:val="ListParagraph"/>
        <w:numPr>
          <w:ilvl w:val="1"/>
          <w:numId w:val="4"/>
        </w:numPr>
      </w:pPr>
      <w:r>
        <w:rPr>
          <w:rFonts w:ascii="Figtree" w:hAnsi="Figtree"/>
          <w:b w:val="0"/>
          <w:i w:val="0"/>
          <w:sz w:val="22"/>
        </w:rPr>
        <w:t>Severity matrix.</w:t>
      </w:r>
    </w:p>
    <w:p>
      <w:pPr>
        <w:pStyle w:val="ListParagraph"/>
        <w:numPr>
          <w:ilvl w:val="1"/>
          <w:numId w:val="4"/>
        </w:numPr>
      </w:pPr>
      <w:r>
        <w:rPr>
          <w:rFonts w:ascii="Figtree" w:hAnsi="Figtree"/>
          <w:b w:val="0"/>
          <w:i w:val="0"/>
          <w:sz w:val="22"/>
        </w:rPr>
        <w:t>Response/resolution SLA table.</w:t>
      </w:r>
    </w:p>
    <w:p>
      <w:pPr>
        <w:pStyle w:val="ListParagraph"/>
        <w:numPr>
          <w:ilvl w:val="1"/>
          <w:numId w:val="4"/>
        </w:numPr>
      </w:pPr>
      <w:r>
        <w:rPr>
          <w:rFonts w:ascii="Figtree" w:hAnsi="Figtree"/>
          <w:b w:val="0"/>
          <w:i w:val="0"/>
          <w:sz w:val="22"/>
        </w:rPr>
        <w:t>Escalation ladder graphic.</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this easy for operations, procurement, and risk teams to scan.</w:t>
      </w:r>
    </w:p>
    <w:p>
      <w:pPr>
        <w:pStyle w:val="ListParagraph"/>
        <w:numPr>
          <w:ilvl w:val="1"/>
          <w:numId w:val="4"/>
        </w:numPr>
      </w:pPr>
      <w:r>
        <w:rPr>
          <w:rFonts w:ascii="Figtree" w:hAnsi="Figtree"/>
          <w:b w:val="0"/>
          <w:i w:val="0"/>
          <w:sz w:val="22"/>
        </w:rPr>
        <w:t>Keep language precise and operational.</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informal service promises outside tabled SLA logic.</w:t>
      </w:r>
    </w:p>
    <w:p>
      <w:pPr>
        <w:pStyle w:val="ListParagraph"/>
        <w:numPr>
          <w:ilvl w:val="1"/>
          <w:numId w:val="4"/>
        </w:numPr>
      </w:pPr>
      <w:r>
        <w:rPr>
          <w:rFonts w:ascii="Figtree" w:hAnsi="Figtree"/>
          <w:b w:val="0"/>
          <w:i w:val="0"/>
          <w:sz w:val="22"/>
        </w:rPr>
        <w:t>Hide exclusions.</w:t>
      </w:r>
    </w:p>
    <w:p>
      <w:r>
        <w:rPr>
          <w:rFonts w:ascii="Figtree" w:hAnsi="Figtree"/>
          <w:b w:val="0"/>
          <w:i w:val="0"/>
          <w:sz w:val="22"/>
        </w:rPr>
        <w:t>]</w:t>
      </w:r>
    </w:p>
    <w:p>
      <w:pPr>
        <w:pStyle w:val="H3"/>
        <w:numPr>
          <w:ilvl w:val="2"/>
          <w:numId w:val="1"/>
        </w:numPr>
      </w:pPr>
      <w:r>
        <w:t>Tiers</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Standard, Premium, and Enterprise reflect coverage, channels, named resources, and review cadence.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Tier detail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Add a recommended-tier rationale callout.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all tiers as equally suitable.</w:t>
      </w:r>
    </w:p>
    <w:p>
      <w:r>
        <w:rPr>
          <w:rFonts w:ascii="Figtree" w:hAnsi="Figtree"/>
          <w:b w:val="0"/>
          <w:i w:val="0"/>
          <w:sz w:val="22"/>
        </w:rPr>
        <w:t>]</w:t>
      </w:r>
    </w:p>
    <w:p>
      <w:pPr>
        <w:pStyle w:val="H3"/>
        <w:numPr>
          <w:ilvl w:val="2"/>
          <w:numId w:val="1"/>
        </w:numPr>
      </w:pPr>
      <w:r>
        <w:t>Severity Levels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P1-P4 definitions must tie to business impact and workarounds.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Severity definitions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Preserve operational precision.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Rewrite severity logic loosely.</w:t>
      </w:r>
    </w:p>
    <w:p>
      <w:r>
        <w:rPr>
          <w:rFonts w:ascii="Figtree" w:hAnsi="Figtree"/>
          <w:b w:val="0"/>
          <w:i w:val="0"/>
          <w:sz w:val="22"/>
        </w:rPr>
        <w:t>]</w:t>
      </w:r>
    </w:p>
    <w:p>
      <w:pPr>
        <w:pStyle w:val="H3"/>
        <w:numPr>
          <w:ilvl w:val="2"/>
          <w:numId w:val="1"/>
        </w:numPr>
      </w:pPr>
      <w:r>
        <w:t>Uptime SLA</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Monthly uptime targets and maximum downtime should be explicit.</w:t>
      </w:r>
    </w:p>
    <w:p>
      <w:pPr>
        <w:pStyle w:val="ListParagraph"/>
        <w:numPr>
          <w:ilvl w:val="1"/>
          <w:numId w:val="4"/>
        </w:numPr>
      </w:pPr>
      <w:r>
        <w:rPr>
          <w:rFonts w:ascii="Figtree" w:hAnsi="Figtree"/>
          <w:b w:val="0"/>
          <w:i w:val="0"/>
          <w:sz w:val="22"/>
        </w:rPr>
        <w:t>Service credit mechanics belong here if included.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Uptime target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contractual mechanics concise.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Bury measurement basis.</w:t>
      </w:r>
    </w:p>
    <w:p>
      <w:r>
        <w:rPr>
          <w:rFonts w:ascii="Figtree" w:hAnsi="Figtree"/>
          <w:b w:val="0"/>
          <w:i w:val="0"/>
          <w:sz w:val="22"/>
        </w:rPr>
        <w:t>]</w:t>
      </w:r>
    </w:p>
    <w:p>
      <w:pPr>
        <w:pStyle w:val="H3"/>
        <w:numPr>
          <w:ilvl w:val="2"/>
          <w:numId w:val="1"/>
        </w:numPr>
      </w:pPr>
      <w:r>
        <w:t>Escalation</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Automatic and client-initiated escalation paths are defined and auditable.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Escalation path flow.</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numbered levels in body text if needed, but not in headings.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escalation with renewal/account governance.</w:t>
      </w:r>
    </w:p>
    <w:p>
      <w:r>
        <w:rPr>
          <w:rFonts w:ascii="Figtree" w:hAnsi="Figtree"/>
          <w:b w:val="0"/>
          <w:i w:val="0"/>
          <w:sz w:val="22"/>
        </w:rPr>
        <w:t>]</w:t>
      </w:r>
    </w:p>
    <w:p>
      <w:pPr>
        <w:pStyle w:val="H3"/>
        <w:numPr>
          <w:ilvl w:val="2"/>
          <w:numId w:val="1"/>
        </w:numPr>
      </w:pPr>
      <w:r>
        <w:t>Maintenance</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Scheduled windows, update cadence, security patches, and rollout model depend on tier.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Release cadence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Distinguish planned maintenance from emergency security action.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notice periods undefined.</w:t>
      </w:r>
    </w:p>
    <w:p>
      <w:r>
        <w:rPr>
          <w:rFonts w:ascii="Figtree" w:hAnsi="Figtree"/>
          <w:b w:val="0"/>
          <w:i w:val="0"/>
          <w:sz w:val="22"/>
        </w:rPr>
        <w:t>]</w:t>
      </w:r>
    </w:p>
    <w:p>
      <w:pPr>
        <w:pStyle w:val="H2"/>
        <w:numPr>
          <w:ilvl w:val="1"/>
          <w:numId w:val="1"/>
        </w:numPr>
      </w:pPr>
      <w:r>
        <w:t>Implementation Investment</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reusable/implementation-plan.md;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Delivery follows a structured phase-gated model.</w:t>
      </w:r>
    </w:p>
    <w:p>
      <w:pPr>
        <w:pStyle w:val="ListParagraph"/>
        <w:numPr>
          <w:ilvl w:val="1"/>
          <w:numId w:val="4"/>
        </w:numPr>
      </w:pPr>
      <w:r>
        <w:rPr>
          <w:rFonts w:ascii="Figtree" w:hAnsi="Figtree"/>
          <w:b w:val="0"/>
          <w:i w:val="0"/>
          <w:sz w:val="22"/>
        </w:rPr>
        <w:t>Timeline, deliverables, and price should feel controllable and procurement-ready.</w:t>
      </w:r>
    </w:p>
    <w:p>
      <w:pPr>
        <w:pStyle w:val="ListParagraph"/>
        <w:numPr>
          <w:ilvl w:val="1"/>
          <w:numId w:val="4"/>
        </w:numPr>
      </w:pPr>
      <w:r>
        <w:rPr>
          <w:rFonts w:ascii="Figtree" w:hAnsi="Figtree"/>
          <w:b w:val="0"/>
          <w:i w:val="0"/>
          <w:sz w:val="22"/>
        </w:rPr>
        <w:t>Implementation cost is justified by reduced risk and faster production readiness.</w:t>
      </w:r>
    </w:p>
    <w:p>
      <w:pPr>
        <w:pStyle w:val="ListParagraph"/>
        <w:numPr>
          <w:ilvl w:val="1"/>
          <w:numId w:val="4"/>
        </w:numPr>
      </w:pPr>
      <w:r>
        <w:rPr>
          <w:rFonts w:ascii="Figtree" w:hAnsi="Figtree"/>
          <w:b w:val="0"/>
          <w:i w:val="0"/>
          <w:sz w:val="22"/>
        </w:rPr>
        <w:t>Accelerators and risks should be explicit.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implementation timeline.</w:t>
      </w:r>
    </w:p>
    <w:p>
      <w:pPr>
        <w:pStyle w:val="ListParagraph"/>
        <w:numPr>
          <w:ilvl w:val="1"/>
          <w:numId w:val="4"/>
        </w:numPr>
      </w:pPr>
      <w:r>
        <w:rPr>
          <w:rFonts w:ascii="Figtree" w:hAnsi="Figtree"/>
          <w:b w:val="0"/>
          <w:i w:val="0"/>
          <w:sz w:val="22"/>
        </w:rPr>
        <w:t>6-phase summary table.</w:t>
      </w:r>
    </w:p>
    <w:p>
      <w:pPr>
        <w:pStyle w:val="ListParagraph"/>
        <w:numPr>
          <w:ilvl w:val="1"/>
          <w:numId w:val="4"/>
        </w:numPr>
      </w:pPr>
      <w:r>
        <w:rPr>
          <w:rFonts w:ascii="Figtree" w:hAnsi="Figtree"/>
          <w:b w:val="0"/>
          <w:i w:val="0"/>
          <w:sz w:val="22"/>
        </w:rPr>
        <w:t>Pricing summary table.</w:t>
      </w:r>
    </w:p>
    <w:p>
      <w:pPr>
        <w:pStyle w:val="ListParagraph"/>
        <w:numPr>
          <w:ilvl w:val="1"/>
          <w:numId w:val="4"/>
        </w:numPr>
      </w:pPr>
      <w:r>
        <w:rPr>
          <w:rFonts w:ascii="Figtree" w:hAnsi="Figtree"/>
          <w:b w:val="0"/>
          <w:i w:val="0"/>
          <w:sz w:val="22"/>
        </w:rPr>
        <w:t>Accelerator/risk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each phase commercially interpretable: objective, activities, deliverables, and investment logic.</w:t>
      </w:r>
    </w:p>
    <w:p>
      <w:pPr>
        <w:pStyle w:val="ListParagraph"/>
        <w:numPr>
          <w:ilvl w:val="1"/>
          <w:numId w:val="4"/>
        </w:numPr>
      </w:pPr>
      <w:r>
        <w:rPr>
          <w:rFonts w:ascii="Figtree" w:hAnsi="Figtree"/>
          <w:b w:val="0"/>
          <w:i w:val="0"/>
          <w:sz w:val="22"/>
        </w:rPr>
        <w:t>Reflect client responsibilities and assumptions where relevant.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implementation as an open-ended services engagement.</w:t>
      </w:r>
    </w:p>
    <w:p>
      <w:pPr>
        <w:pStyle w:val="ListParagraph"/>
        <w:numPr>
          <w:ilvl w:val="1"/>
          <w:numId w:val="4"/>
        </w:numPr>
      </w:pPr>
      <w:r>
        <w:rPr>
          <w:rFonts w:ascii="Figtree" w:hAnsi="Figtree"/>
          <w:b w:val="0"/>
          <w:i w:val="0"/>
          <w:sz w:val="22"/>
        </w:rPr>
        <w:t>Hide client dependencies.</w:t>
      </w:r>
    </w:p>
    <w:p>
      <w:r>
        <w:rPr>
          <w:rFonts w:ascii="Figtree" w:hAnsi="Figtree"/>
          <w:b w:val="0"/>
          <w:i w:val="0"/>
          <w:sz w:val="22"/>
        </w:rPr>
        <w:t>]</w:t>
      </w:r>
    </w:p>
    <w:p>
      <w:pPr>
        <w:pStyle w:val="H3"/>
        <w:numPr>
          <w:ilvl w:val="2"/>
          <w:numId w:val="1"/>
        </w:numPr>
      </w:pPr>
      <w:r>
        <w:t>Methodology</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Phase gates reduce delivery risk and keep scope governed.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Methodology strip or gated timeline.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Establish overall timeline and acceptance logic.</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Dive into phase detail here.</w:t>
      </w:r>
    </w:p>
    <w:p>
      <w:r>
        <w:rPr>
          <w:rFonts w:ascii="Figtree" w:hAnsi="Figtree"/>
          <w:b w:val="0"/>
          <w:i w:val="0"/>
          <w:sz w:val="22"/>
        </w:rPr>
        <w:t>]</w:t>
      </w:r>
    </w:p>
    <w:p>
      <w:pPr>
        <w:pStyle w:val="H3"/>
        <w:numPr>
          <w:ilvl w:val="2"/>
          <w:numId w:val="1"/>
        </w:numPr>
      </w:pPr>
      <w:r>
        <w:t>Discovery and Requirements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Align objectives, scope, systems landscape, regulatory requirements, and delivery plan.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Phase card.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deliverables and approval gate.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as optional.</w:t>
      </w:r>
    </w:p>
    <w:p>
      <w:r>
        <w:rPr>
          <w:rFonts w:ascii="Figtree" w:hAnsi="Figtree"/>
          <w:b w:val="0"/>
          <w:i w:val="0"/>
          <w:sz w:val="22"/>
        </w:rPr>
        <w:t>]</w:t>
      </w:r>
    </w:p>
    <w:p>
      <w:pPr>
        <w:pStyle w:val="H3"/>
        <w:numPr>
          <w:ilvl w:val="2"/>
          <w:numId w:val="1"/>
        </w:numPr>
      </w:pPr>
      <w:r>
        <w:t>Configuration and Setup</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Environments, asset config, compliance modules, IAM, and key management are established here.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Phase card.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Highlight what becomes production-ready versus draft.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Blur with integration phase.</w:t>
      </w:r>
    </w:p>
    <w:p>
      <w:r>
        <w:rPr>
          <w:rFonts w:ascii="Figtree" w:hAnsi="Figtree"/>
          <w:b w:val="0"/>
          <w:i w:val="0"/>
          <w:sz w:val="22"/>
        </w:rPr>
        <w:t>]</w:t>
      </w:r>
    </w:p>
    <w:p>
      <w:pPr>
        <w:pStyle w:val="H3"/>
        <w:numPr>
          <w:ilvl w:val="2"/>
          <w:numId w:val="1"/>
        </w:numPr>
      </w:pPr>
      <w:r>
        <w:t>Integration</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Connect custody, identity, core systems, payment rails, reporting, and data feeds.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landscape diagram.</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Emphasize end-to-end workflow outcomes.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this to API setup only.</w:t>
      </w:r>
    </w:p>
    <w:p>
      <w:r>
        <w:rPr>
          <w:rFonts w:ascii="Figtree" w:hAnsi="Figtree"/>
          <w:b w:val="0"/>
          <w:i w:val="0"/>
          <w:sz w:val="22"/>
        </w:rPr>
        <w:t>]</w:t>
      </w:r>
    </w:p>
    <w:p>
      <w:pPr>
        <w:pStyle w:val="H3"/>
        <w:numPr>
          <w:ilvl w:val="2"/>
          <w:numId w:val="1"/>
        </w:numPr>
      </w:pPr>
      <w:r>
        <w:t>Testing and User Acceptance</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Functional, security, performance, compliance, DR, and UAT all matter.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Test coverage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outputs to go-live readiness.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Overindex on QA jargon.</w:t>
      </w:r>
    </w:p>
    <w:p>
      <w:r>
        <w:rPr>
          <w:rFonts w:ascii="Figtree" w:hAnsi="Figtree"/>
          <w:b w:val="0"/>
          <w:i w:val="0"/>
          <w:sz w:val="22"/>
        </w:rPr>
        <w:t>]</w:t>
      </w:r>
    </w:p>
    <w:p>
      <w:pPr>
        <w:pStyle w:val="H3"/>
        <w:numPr>
          <w:ilvl w:val="2"/>
          <w:numId w:val="1"/>
        </w:numPr>
      </w:pPr>
      <w:r>
        <w:t>Go-Live</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Controlled cutover, smoke test, migration validation, and live support.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Go-live checklist or runbook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focus on risk-managed transition.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Make go-live sound instantaneous or trivial.</w:t>
      </w:r>
    </w:p>
    <w:p>
      <w:r>
        <w:rPr>
          <w:rFonts w:ascii="Figtree" w:hAnsi="Figtree"/>
          <w:b w:val="0"/>
          <w:i w:val="0"/>
          <w:sz w:val="22"/>
        </w:rPr>
        <w:t>]</w:t>
      </w:r>
    </w:p>
    <w:p>
      <w:pPr>
        <w:pStyle w:val="H3"/>
        <w:numPr>
          <w:ilvl w:val="2"/>
          <w:numId w:val="1"/>
        </w:numPr>
      </w:pPr>
      <w:r>
        <w:t>Hypercare and Optimization</w:t>
      </w:r>
    </w:p>
    <w:p>
      <w:pPr>
        <w:pStyle w:val="ListParagraph"/>
        <w:numPr>
          <w:ilvl w:val="0"/>
          <w:numId w:val="4"/>
        </w:numPr>
      </w:pPr>
      <w:r>
        <w:rPr>
          <w:rFonts w:ascii="Figtree" w:hAnsi="Figtree"/>
          <w:b w:val="0"/>
          <w:i w:val="0"/>
          <w:sz w:val="22"/>
        </w:rPr>
        <w:t>[Target: 220-320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Intensive monitoring, optimization, issue resolution, and support transition.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Hypercare dashboard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Show stabilization and handover logic.</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hypercare as indefinite support.</w:t>
      </w:r>
    </w:p>
    <w:p>
      <w:r>
        <w:rPr>
          <w:rFonts w:ascii="Figtree" w:hAnsi="Figtree"/>
          <w:b w:val="0"/>
          <w:i w:val="0"/>
          <w:sz w:val="22"/>
        </w:rPr>
        <w:t>]</w:t>
      </w:r>
    </w:p>
    <w:p>
      <w:pPr>
        <w:pStyle w:val="H3"/>
        <w:numPr>
          <w:ilvl w:val="2"/>
          <w:numId w:val="1"/>
        </w:numPr>
      </w:pPr>
      <w:r>
        <w:t>Pricing Summary</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reusable/implementation-plan.md;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One table should summarize phase, duration, and investment.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Pricing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total line and note pricing basis.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Scatter implementation figures across the section without summary.</w:t>
      </w:r>
    </w:p>
    <w:p>
      <w:r>
        <w:rPr>
          <w:rFonts w:ascii="Figtree" w:hAnsi="Figtree"/>
          <w:b w:val="0"/>
          <w:i w:val="0"/>
          <w:sz w:val="22"/>
        </w:rPr>
        <w:t>]</w:t>
      </w:r>
    </w:p>
    <w:p>
      <w:pPr>
        <w:pStyle w:val="H3"/>
        <w:numPr>
          <w:ilvl w:val="2"/>
          <w:numId w:val="1"/>
        </w:numPr>
      </w:pPr>
      <w:r>
        <w:t>Accelerators and Risks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Prebuilt templates, compliance templates, SDK/CLI, and reference architectures accelerate delivery.</w:t>
      </w:r>
    </w:p>
    <w:p>
      <w:pPr>
        <w:pStyle w:val="ListParagraph"/>
        <w:numPr>
          <w:ilvl w:val="1"/>
          <w:numId w:val="4"/>
        </w:numPr>
      </w:pPr>
      <w:r>
        <w:rPr>
          <w:rFonts w:ascii="Figtree" w:hAnsi="Figtree"/>
          <w:b w:val="0"/>
          <w:i w:val="0"/>
          <w:sz w:val="22"/>
        </w:rPr>
        <w:t>On-prem, HSM, heavy integration, and slow governance extend timelines.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Two-column accelerators/risks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Present as delivery realism, not caveat dumping.</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risk factors until legal review.</w:t>
      </w:r>
    </w:p>
    <w:p>
      <w:r>
        <w:rPr>
          <w:rFonts w:ascii="Figtree" w:hAnsi="Figtree"/>
          <w:b w:val="0"/>
          <w:i w:val="0"/>
          <w:sz w:val="22"/>
        </w:rPr>
        <w:t>]</w:t>
      </w:r>
    </w:p>
    <w:p>
      <w:pPr>
        <w:pStyle w:val="H3"/>
        <w:numPr>
          <w:ilvl w:val="2"/>
          <w:numId w:val="1"/>
        </w:numPr>
      </w:pPr>
      <w:r>
        <w:t>Training</w:t>
      </w:r>
    </w:p>
    <w:p>
      <w:pPr>
        <w:pStyle w:val="ListParagraph"/>
        <w:numPr>
          <w:ilvl w:val="0"/>
          <w:numId w:val="4"/>
        </w:numPr>
      </w:pPr>
      <w:r>
        <w:rPr>
          <w:rFonts w:ascii="Figtree" w:hAnsi="Figtree"/>
          <w:b w:val="0"/>
          <w:i w:val="0"/>
          <w:sz w:val="22"/>
        </w:rPr>
        <w:t>[Target: 120-220 words]</w:t>
      </w:r>
    </w:p>
    <w:p>
      <w:pPr>
        <w:pStyle w:val="ListParagraph"/>
        <w:numPr>
          <w:ilvl w:val="0"/>
          <w:numId w:val="4"/>
        </w:numPr>
      </w:pPr>
      <w:r>
        <w:rPr>
          <w:rFonts w:ascii="Figtree" w:hAnsi="Figtree"/>
          <w:b w:val="0"/>
          <w:i w:val="0"/>
          <w:sz w:val="22"/>
        </w:rPr>
        <w:t>[Source: master-template/commercial-proposal.md;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Training scope should map to platform administration, compliance operations, monitoring, and integration use.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Training audience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optional extra sessions clearly marked.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Describe training as generic enablement fluff.</w:t>
      </w:r>
    </w:p>
    <w:p>
      <w:r>
        <w:rPr>
          <w:rFonts w:ascii="Figtree" w:hAnsi="Figtree"/>
          <w:b w:val="0"/>
          <w:i w:val="0"/>
          <w:sz w:val="22"/>
        </w:rPr>
        <w:t>]</w:t>
      </w:r>
    </w:p>
    <w:p>
      <w:pPr>
        <w:pStyle w:val="H2"/>
        <w:numPr>
          <w:ilvl w:val="1"/>
          <w:numId w:val="1"/>
        </w:numPr>
      </w:pPr>
      <w:r>
        <w:t>Commercial Terms</w:t>
      </w:r>
    </w:p>
    <w:p>
      <w:pPr>
        <w:pStyle w:val="ListParagraph"/>
        <w:numPr>
          <w:ilvl w:val="0"/>
          <w:numId w:val="4"/>
        </w:numPr>
      </w:pPr>
      <w:r>
        <w:rPr>
          <w:rFonts w:ascii="Figtree" w:hAnsi="Figtree"/>
          <w:b w:val="0"/>
          <w:i w:val="0"/>
          <w:sz w:val="22"/>
        </w:rPr>
        <w:t>[Target: 1800-2500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Contracting model must be clear, institutional, and balanced.</w:t>
      </w:r>
    </w:p>
    <w:p>
      <w:pPr>
        <w:pStyle w:val="ListParagraph"/>
        <w:numPr>
          <w:ilvl w:val="1"/>
          <w:numId w:val="4"/>
        </w:numPr>
      </w:pPr>
      <w:r>
        <w:rPr>
          <w:rFonts w:ascii="Figtree" w:hAnsi="Figtree"/>
          <w:b w:val="0"/>
          <w:i w:val="0"/>
          <w:sz w:val="22"/>
        </w:rPr>
        <w:t>Payment, duration, renewal, termination, IP, liability, confidentiality, and escrow require explicit structure.</w:t>
      </w:r>
    </w:p>
    <w:p>
      <w:pPr>
        <w:pStyle w:val="ListParagraph"/>
        <w:numPr>
          <w:ilvl w:val="1"/>
          <w:numId w:val="4"/>
        </w:numPr>
      </w:pPr>
      <w:r>
        <w:rPr>
          <w:rFonts w:ascii="Figtree" w:hAnsi="Figtree"/>
          <w:b w:val="0"/>
          <w:i w:val="0"/>
          <w:sz w:val="22"/>
        </w:rPr>
        <w:t>This section should support legal and procurement review without replacing full legal agreements.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Contract structure table.</w:t>
      </w:r>
    </w:p>
    <w:p>
      <w:pPr>
        <w:pStyle w:val="ListParagraph"/>
        <w:numPr>
          <w:ilvl w:val="1"/>
          <w:numId w:val="4"/>
        </w:numPr>
      </w:pPr>
      <w:r>
        <w:rPr>
          <w:rFonts w:ascii="Figtree" w:hAnsi="Figtree"/>
          <w:b w:val="0"/>
          <w:i w:val="0"/>
          <w:sz w:val="22"/>
        </w:rPr>
        <w:t>Payment schedule table.</w:t>
      </w:r>
    </w:p>
    <w:p>
      <w:pPr>
        <w:pStyle w:val="ListParagraph"/>
        <w:numPr>
          <w:ilvl w:val="1"/>
          <w:numId w:val="4"/>
        </w:numPr>
      </w:pPr>
      <w:r>
        <w:rPr>
          <w:rFonts w:ascii="Figtree" w:hAnsi="Figtree"/>
          <w:b w:val="0"/>
          <w:i w:val="0"/>
          <w:sz w:val="22"/>
        </w:rPr>
        <w:t>Key terms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concise plain-language summaries.</w:t>
      </w:r>
    </w:p>
    <w:p>
      <w:pPr>
        <w:pStyle w:val="ListParagraph"/>
        <w:numPr>
          <w:ilvl w:val="1"/>
          <w:numId w:val="4"/>
        </w:numPr>
      </w:pPr>
      <w:r>
        <w:rPr>
          <w:rFonts w:ascii="Figtree" w:hAnsi="Figtree"/>
          <w:b w:val="0"/>
          <w:i w:val="0"/>
          <w:sz w:val="22"/>
        </w:rPr>
        <w:t>Flag client-specific negotiables.</w:t>
      </w:r>
    </w:p>
    <w:p>
      <w:pPr>
        <w:pStyle w:val="ListParagraph"/>
        <w:numPr>
          <w:ilvl w:val="1"/>
          <w:numId w:val="4"/>
        </w:numPr>
      </w:pPr>
      <w:r>
        <w:rPr>
          <w:rFonts w:ascii="Figtree" w:hAnsi="Figtree"/>
          <w:b w:val="0"/>
          <w:i w:val="0"/>
          <w:sz w:val="22"/>
        </w:rPr>
        <w:t>Keep defined-term style consistent.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binding legal language unless instructed.</w:t>
      </w:r>
    </w:p>
    <w:p>
      <w:pPr>
        <w:pStyle w:val="ListParagraph"/>
        <w:numPr>
          <w:ilvl w:val="1"/>
          <w:numId w:val="4"/>
        </w:numPr>
      </w:pPr>
      <w:r>
        <w:rPr>
          <w:rFonts w:ascii="Figtree" w:hAnsi="Figtree"/>
          <w:b w:val="0"/>
          <w:i w:val="0"/>
          <w:sz w:val="22"/>
        </w:rPr>
        <w:t>Leave commercial remedies or limits ambiguous.</w:t>
      </w:r>
    </w:p>
    <w:p>
      <w:r>
        <w:rPr>
          <w:rFonts w:ascii="Figtree" w:hAnsi="Figtree"/>
          <w:b w:val="0"/>
          <w:i w:val="0"/>
          <w:sz w:val="22"/>
        </w:rPr>
        <w:t>]</w:t>
      </w:r>
    </w:p>
    <w:p>
      <w:pPr>
        <w:pStyle w:val="H3"/>
        <w:numPr>
          <w:ilvl w:val="2"/>
          <w:numId w:val="1"/>
        </w:numPr>
      </w:pPr>
      <w:r>
        <w:t>Contract Structure</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Separate license, implementation, support, and any scoped addenda.</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Agreement stack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Clarify co-termination logic where relevant.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Blend all services into one vague agreement.</w:t>
      </w:r>
    </w:p>
    <w:p>
      <w:r>
        <w:rPr>
          <w:rFonts w:ascii="Figtree" w:hAnsi="Figtree"/>
          <w:b w:val="0"/>
          <w:i w:val="0"/>
          <w:sz w:val="22"/>
        </w:rPr>
        <w:t>]</w:t>
      </w:r>
    </w:p>
    <w:p>
      <w:pPr>
        <w:pStyle w:val="H3"/>
        <w:numPr>
          <w:ilvl w:val="2"/>
          <w:numId w:val="1"/>
        </w:numPr>
      </w:pPr>
      <w:r>
        <w:t>Payment Schedule</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License and support recurring; implementation milestone-based.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Payment milestone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Label invoicing cadence and trigger clearly.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acceptance dependencies.</w:t>
      </w:r>
    </w:p>
    <w:p>
      <w:r>
        <w:rPr>
          <w:rFonts w:ascii="Figtree" w:hAnsi="Figtree"/>
          <w:b w:val="0"/>
          <w:i w:val="0"/>
          <w:sz w:val="22"/>
        </w:rPr>
        <w:t>]</w:t>
      </w:r>
    </w:p>
    <w:p>
      <w:pPr>
        <w:pStyle w:val="H3"/>
        <w:numPr>
          <w:ilvl w:val="2"/>
          <w:numId w:val="1"/>
        </w:numPr>
      </w:pPr>
      <w:r>
        <w:t>Duration</w:t>
      </w:r>
    </w:p>
    <w:p>
      <w:pPr>
        <w:pStyle w:val="ListParagraph"/>
        <w:numPr>
          <w:ilvl w:val="0"/>
          <w:numId w:val="4"/>
        </w:numPr>
      </w:pPr>
      <w:r>
        <w:rPr>
          <w:rFonts w:ascii="Figtree" w:hAnsi="Figtree"/>
          <w:b w:val="0"/>
          <w:i w:val="0"/>
          <w:sz w:val="22"/>
        </w:rPr>
        <w:t>[Target: 120-180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Initial term, activation/go-live trigger, and multi-year options.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Term options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commercial duration mechanics simple.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Confuse implementation timeline with license term.</w:t>
      </w:r>
    </w:p>
    <w:p>
      <w:r>
        <w:rPr>
          <w:rFonts w:ascii="Figtree" w:hAnsi="Figtree"/>
          <w:b w:val="0"/>
          <w:i w:val="0"/>
          <w:sz w:val="22"/>
        </w:rPr>
        <w:t>]</w:t>
      </w:r>
    </w:p>
    <w:p>
      <w:pPr>
        <w:pStyle w:val="H3"/>
        <w:numPr>
          <w:ilvl w:val="2"/>
          <w:numId w:val="1"/>
        </w:numPr>
      </w:pPr>
      <w:r>
        <w:t>Renewal</w:t>
      </w:r>
    </w:p>
    <w:p>
      <w:pPr>
        <w:pStyle w:val="ListParagraph"/>
        <w:numPr>
          <w:ilvl w:val="0"/>
          <w:numId w:val="4"/>
        </w:numPr>
      </w:pPr>
      <w:r>
        <w:rPr>
          <w:rFonts w:ascii="Figtree" w:hAnsi="Figtree"/>
          <w:b w:val="0"/>
          <w:i w:val="0"/>
          <w:sz w:val="22"/>
        </w:rPr>
        <w:t>[Target: 120-180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Renewal notice, pricing basis, and early-renewal incentives if approved.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Renewal timeline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Mark all negotiables.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fixed future pricing without approval.</w:t>
      </w:r>
    </w:p>
    <w:p>
      <w:r>
        <w:rPr>
          <w:rFonts w:ascii="Figtree" w:hAnsi="Figtree"/>
          <w:b w:val="0"/>
          <w:i w:val="0"/>
          <w:sz w:val="22"/>
        </w:rPr>
        <w:t>]</w:t>
      </w:r>
    </w:p>
    <w:p>
      <w:pPr>
        <w:pStyle w:val="H3"/>
        <w:numPr>
          <w:ilvl w:val="2"/>
          <w:numId w:val="1"/>
        </w:numPr>
      </w:pPr>
      <w:r>
        <w:t>Termination</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Material breach, convenience if offered, cure period, and data export support.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Termination conditions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Separate cause-based from convenience-based mechanics.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post-termination data access undefined.</w:t>
      </w:r>
    </w:p>
    <w:p>
      <w:r>
        <w:rPr>
          <w:rFonts w:ascii="Figtree" w:hAnsi="Figtree"/>
          <w:b w:val="0"/>
          <w:i w:val="0"/>
          <w:sz w:val="22"/>
        </w:rPr>
        <w:t>]</w:t>
      </w:r>
    </w:p>
    <w:p>
      <w:pPr>
        <w:pStyle w:val="H3"/>
        <w:numPr>
          <w:ilvl w:val="2"/>
          <w:numId w:val="1"/>
        </w:numPr>
      </w:pPr>
      <w:r>
        <w:t>Intellectual Property</w:t>
      </w:r>
    </w:p>
    <w:p>
      <w:pPr>
        <w:pStyle w:val="ListParagraph"/>
        <w:numPr>
          <w:ilvl w:val="0"/>
          <w:numId w:val="4"/>
        </w:numPr>
      </w:pPr>
      <w:r>
        <w:rPr>
          <w:rFonts w:ascii="Figtree" w:hAnsi="Figtree"/>
          <w:b w:val="0"/>
          <w:i w:val="0"/>
          <w:sz w:val="22"/>
        </w:rPr>
        <w:t>[Target: 180-260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platform IP remains SettleMint's.</w:t>
      </w:r>
    </w:p>
    <w:p>
      <w:pPr>
        <w:pStyle w:val="ListParagraph"/>
        <w:numPr>
          <w:ilvl w:val="1"/>
          <w:numId w:val="4"/>
        </w:numPr>
      </w:pPr>
      <w:r>
        <w:rPr>
          <w:rFonts w:ascii="Figtree" w:hAnsi="Figtree"/>
          <w:b w:val="0"/>
          <w:i w:val="0"/>
          <w:sz w:val="22"/>
        </w:rPr>
        <w:t>Client data remains client-owned.</w:t>
      </w:r>
    </w:p>
    <w:p>
      <w:pPr>
        <w:pStyle w:val="ListParagraph"/>
        <w:numPr>
          <w:ilvl w:val="1"/>
          <w:numId w:val="4"/>
        </w:numPr>
      </w:pPr>
      <w:r>
        <w:rPr>
          <w:rFonts w:ascii="Figtree" w:hAnsi="Figtree"/>
          <w:b w:val="0"/>
          <w:i w:val="0"/>
          <w:sz w:val="22"/>
        </w:rPr>
        <w:t>Client-built integrations and scoped custom work need clear ownership statements.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IP ownership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Distinguish platform, configuration, integration, and data.</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transfer of core platform ownership.</w:t>
      </w:r>
    </w:p>
    <w:p>
      <w:r>
        <w:rPr>
          <w:rFonts w:ascii="Figtree" w:hAnsi="Figtree"/>
          <w:b w:val="0"/>
          <w:i w:val="0"/>
          <w:sz w:val="22"/>
        </w:rPr>
        <w:t>]</w:t>
      </w:r>
    </w:p>
    <w:p>
      <w:pPr>
        <w:pStyle w:val="H3"/>
        <w:numPr>
          <w:ilvl w:val="2"/>
          <w:numId w:val="1"/>
        </w:numPr>
      </w:pPr>
      <w:r>
        <w:t>Liability</w:t>
      </w:r>
    </w:p>
    <w:p>
      <w:pPr>
        <w:pStyle w:val="ListParagraph"/>
        <w:numPr>
          <w:ilvl w:val="0"/>
          <w:numId w:val="4"/>
        </w:numPr>
      </w:pPr>
      <w:r>
        <w:rPr>
          <w:rFonts w:ascii="Figtree" w:hAnsi="Figtree"/>
          <w:b w:val="0"/>
          <w:i w:val="0"/>
          <w:sz w:val="22"/>
        </w:rPr>
        <w:t>[Target: 140-220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Liability cap and exclusion categories should be summarized cleanly.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Liability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it commercial, not litigative.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legal carve-outs not approved in source.</w:t>
      </w:r>
    </w:p>
    <w:p>
      <w:r>
        <w:rPr>
          <w:rFonts w:ascii="Figtree" w:hAnsi="Figtree"/>
          <w:b w:val="0"/>
          <w:i w:val="0"/>
          <w:sz w:val="22"/>
        </w:rPr>
        <w:t>]</w:t>
      </w:r>
    </w:p>
    <w:p>
      <w:pPr>
        <w:pStyle w:val="H3"/>
        <w:numPr>
          <w:ilvl w:val="2"/>
          <w:numId w:val="1"/>
        </w:numPr>
      </w:pPr>
      <w:r>
        <w:t>Confidentiality</w:t>
      </w:r>
    </w:p>
    <w:p>
      <w:pPr>
        <w:pStyle w:val="ListParagraph"/>
        <w:numPr>
          <w:ilvl w:val="0"/>
          <w:numId w:val="4"/>
        </w:numPr>
      </w:pPr>
      <w:r>
        <w:rPr>
          <w:rFonts w:ascii="Figtree" w:hAnsi="Figtree"/>
          <w:b w:val="0"/>
          <w:i w:val="0"/>
          <w:sz w:val="22"/>
        </w:rPr>
        <w:t>[Target: 100-160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Mutual confidentiality, duration, and standard exceptions.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Confidentiality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concise.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Overlawyer the section.</w:t>
      </w:r>
    </w:p>
    <w:p>
      <w:r>
        <w:rPr>
          <w:rFonts w:ascii="Figtree" w:hAnsi="Figtree"/>
          <w:b w:val="0"/>
          <w:i w:val="0"/>
          <w:sz w:val="22"/>
        </w:rPr>
        <w:t>]</w:t>
      </w:r>
    </w:p>
    <w:p>
      <w:pPr>
        <w:pStyle w:val="H3"/>
        <w:numPr>
          <w:ilvl w:val="2"/>
          <w:numId w:val="1"/>
        </w:numPr>
      </w:pPr>
      <w:r>
        <w:t>Escrow</w:t>
      </w:r>
    </w:p>
    <w:p>
      <w:pPr>
        <w:pStyle w:val="ListParagraph"/>
        <w:numPr>
          <w:ilvl w:val="0"/>
          <w:numId w:val="4"/>
        </w:numPr>
      </w:pPr>
      <w:r>
        <w:rPr>
          <w:rFonts w:ascii="Figtree" w:hAnsi="Figtree"/>
          <w:b w:val="0"/>
          <w:i w:val="0"/>
          <w:sz w:val="22"/>
        </w:rPr>
        <w:t>[Target: 120-180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Escrow can be offered where continuity assurance is required; terms are separately negotiated.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Escrow option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Position as optional assurance mechanism.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State escrow is automatic.</w:t>
      </w:r>
    </w:p>
    <w:p>
      <w:r>
        <w:rPr>
          <w:rFonts w:ascii="Figtree" w:hAnsi="Figtree"/>
          <w:b w:val="0"/>
          <w:i w:val="0"/>
          <w:sz w:val="22"/>
        </w:rPr>
        <w:t>]</w:t>
      </w:r>
    </w:p>
    <w:p>
      <w:pPr>
        <w:pStyle w:val="H2"/>
        <w:numPr>
          <w:ilvl w:val="1"/>
          <w:numId w:val="1"/>
        </w:numPr>
      </w:pPr>
      <w:r>
        <w:t>Total Cost of Ownership</w:t>
      </w:r>
    </w:p>
    <w:p>
      <w:pPr>
        <w:pStyle w:val="ListParagraph"/>
        <w:numPr>
          <w:ilvl w:val="0"/>
          <w:numId w:val="4"/>
        </w:numPr>
      </w:pPr>
      <w:r>
        <w:rPr>
          <w:rFonts w:ascii="Figtree" w:hAnsi="Figtree"/>
          <w:b w:val="0"/>
          <w:i w:val="0"/>
          <w:sz w:val="22"/>
        </w:rPr>
        <w:t>[Target: 2200-3000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TCO must compare DALP against realistic alternatives over multi-year horizons.</w:t>
      </w:r>
    </w:p>
    <w:p>
      <w:pPr>
        <w:pStyle w:val="ListParagraph"/>
        <w:numPr>
          <w:ilvl w:val="1"/>
          <w:numId w:val="4"/>
        </w:numPr>
      </w:pPr>
      <w:r>
        <w:rPr>
          <w:rFonts w:ascii="Figtree" w:hAnsi="Figtree"/>
          <w:b w:val="0"/>
          <w:i w:val="0"/>
          <w:sz w:val="22"/>
        </w:rPr>
        <w:t>The comparison must include hidden integration and maintenance costs, not just software fees.</w:t>
      </w:r>
    </w:p>
    <w:p>
      <w:pPr>
        <w:pStyle w:val="ListParagraph"/>
        <w:numPr>
          <w:ilvl w:val="1"/>
          <w:numId w:val="4"/>
        </w:numPr>
      </w:pPr>
      <w:r>
        <w:rPr>
          <w:rFonts w:ascii="Figtree" w:hAnsi="Figtree"/>
          <w:b w:val="0"/>
          <w:i w:val="0"/>
          <w:sz w:val="22"/>
        </w:rPr>
        <w:t>DALP value compounds as additional programs launch on the same platform.</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TCO framework graphic.</w:t>
      </w:r>
    </w:p>
    <w:p>
      <w:pPr>
        <w:pStyle w:val="ListParagraph"/>
        <w:numPr>
          <w:ilvl w:val="1"/>
          <w:numId w:val="4"/>
        </w:numPr>
      </w:pPr>
      <w:r>
        <w:rPr>
          <w:rFonts w:ascii="Figtree" w:hAnsi="Figtree"/>
          <w:b w:val="0"/>
          <w:i w:val="0"/>
          <w:sz w:val="22"/>
        </w:rPr>
        <w:t>3-year model table.</w:t>
      </w:r>
    </w:p>
    <w:p>
      <w:pPr>
        <w:pStyle w:val="ListParagraph"/>
        <w:numPr>
          <w:ilvl w:val="1"/>
          <w:numId w:val="4"/>
        </w:numPr>
      </w:pPr>
      <w:r>
        <w:rPr>
          <w:rFonts w:ascii="Figtree" w:hAnsi="Figtree"/>
          <w:b w:val="0"/>
          <w:i w:val="0"/>
          <w:sz w:val="22"/>
        </w:rPr>
        <w:t>5-year model table.</w:t>
      </w:r>
    </w:p>
    <w:p>
      <w:pPr>
        <w:pStyle w:val="ListParagraph"/>
        <w:numPr>
          <w:ilvl w:val="1"/>
          <w:numId w:val="4"/>
        </w:numPr>
      </w:pPr>
      <w:r>
        <w:rPr>
          <w:rFonts w:ascii="Figtree" w:hAnsi="Figtree"/>
          <w:b w:val="0"/>
          <w:i w:val="0"/>
          <w:sz w:val="22"/>
        </w:rPr>
        <w:t>Comparative table: DALP vs build vs multi-vendor.</w:t>
      </w:r>
    </w:p>
    <w:p>
      <w:pPr>
        <w:pStyle w:val="ListParagraph"/>
        <w:numPr>
          <w:ilvl w:val="1"/>
          <w:numId w:val="4"/>
        </w:numPr>
      </w:pPr>
      <w:r>
        <w:rPr>
          <w:rFonts w:ascii="Figtree" w:hAnsi="Figtree"/>
          <w:b w:val="0"/>
          <w:i w:val="0"/>
          <w:sz w:val="22"/>
        </w:rPr>
        <w:t>Optional cumulative-cost line chart.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procurement-ready structure: assumptions, categories, model, comparison, interpretation.</w:t>
      </w:r>
    </w:p>
    <w:p>
      <w:pPr>
        <w:pStyle w:val="ListParagraph"/>
        <w:numPr>
          <w:ilvl w:val="1"/>
          <w:numId w:val="4"/>
        </w:numPr>
      </w:pPr>
      <w:r>
        <w:rPr>
          <w:rFonts w:ascii="Figtree" w:hAnsi="Figtree"/>
          <w:b w:val="0"/>
          <w:i w:val="0"/>
          <w:sz w:val="22"/>
        </w:rPr>
        <w:t>Make every category traceable to an assumption source.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Compare DALP only to a single software subscription.</w:t>
      </w:r>
    </w:p>
    <w:p>
      <w:pPr>
        <w:pStyle w:val="ListParagraph"/>
        <w:numPr>
          <w:ilvl w:val="1"/>
          <w:numId w:val="4"/>
        </w:numPr>
      </w:pPr>
      <w:r>
        <w:rPr>
          <w:rFonts w:ascii="Figtree" w:hAnsi="Figtree"/>
          <w:b w:val="0"/>
          <w:i w:val="0"/>
          <w:sz w:val="22"/>
        </w:rPr>
        <w:t>Ignore infrastructure and support.</w:t>
      </w:r>
    </w:p>
    <w:p>
      <w:pPr>
        <w:pStyle w:val="ListParagraph"/>
        <w:numPr>
          <w:ilvl w:val="1"/>
          <w:numId w:val="4"/>
        </w:numPr>
      </w:pPr>
      <w:r>
        <w:rPr>
          <w:rFonts w:ascii="Figtree" w:hAnsi="Figtree"/>
          <w:b w:val="0"/>
          <w:i w:val="0"/>
          <w:sz w:val="22"/>
        </w:rPr>
        <w:t>Mix one-time and recurring costs without clear labels.</w:t>
      </w:r>
    </w:p>
    <w:p>
      <w:r>
        <w:rPr>
          <w:rFonts w:ascii="Figtree" w:hAnsi="Figtree"/>
          <w:b w:val="0"/>
          <w:i w:val="0"/>
          <w:sz w:val="22"/>
        </w:rPr>
        <w:t>]</w:t>
      </w:r>
    </w:p>
    <w:p>
      <w:pPr>
        <w:pStyle w:val="H3"/>
        <w:numPr>
          <w:ilvl w:val="2"/>
          <w:numId w:val="1"/>
        </w:numPr>
      </w:pPr>
      <w:r>
        <w:t>TCO Framework</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Proper comparison is platform economics versus assembled operating model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Framework diagram or category 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Define comparison boundary and included categories.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Jump straight to tables without framing assumptions.</w:t>
      </w:r>
    </w:p>
    <w:p>
      <w:r>
        <w:rPr>
          <w:rFonts w:ascii="Figtree" w:hAnsi="Figtree"/>
          <w:b w:val="0"/>
          <w:i w:val="0"/>
          <w:sz w:val="22"/>
        </w:rPr>
        <w:t>]</w:t>
      </w:r>
    </w:p>
    <w:p>
      <w:pPr>
        <w:pStyle w:val="H3"/>
        <w:numPr>
          <w:ilvl w:val="2"/>
          <w:numId w:val="1"/>
        </w:numPr>
      </w:pPr>
      <w:r>
        <w:t>3-Year Model</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year-by-year DALP cost profile with implementation front-load and recurring run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3-year TCO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notes for license, implementation, support, infra, training, integration.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Skip note fields for assumptions.</w:t>
      </w:r>
    </w:p>
    <w:p>
      <w:r>
        <w:rPr>
          <w:rFonts w:ascii="Figtree" w:hAnsi="Figtree"/>
          <w:b w:val="0"/>
          <w:i w:val="0"/>
          <w:sz w:val="22"/>
        </w:rPr>
        <w:t>]</w:t>
      </w:r>
    </w:p>
    <w:p>
      <w:pPr>
        <w:pStyle w:val="H3"/>
        <w:numPr>
          <w:ilvl w:val="2"/>
          <w:numId w:val="1"/>
        </w:numPr>
      </w:pPr>
      <w:r>
        <w:t>5-Year Model</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Longer horizon shows reuse and lower marginal expansion cost.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5-year TCO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Reflect likely expansion or tier evolution.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Treat years 4-5 as copy-paste of year 3 without explanation.</w:t>
      </w:r>
    </w:p>
    <w:p>
      <w:r>
        <w:rPr>
          <w:rFonts w:ascii="Figtree" w:hAnsi="Figtree"/>
          <w:b w:val="0"/>
          <w:i w:val="0"/>
          <w:sz w:val="22"/>
        </w:rPr>
        <w:t>]</w:t>
      </w:r>
    </w:p>
    <w:p>
      <w:pPr>
        <w:pStyle w:val="H3"/>
        <w:numPr>
          <w:ilvl w:val="2"/>
          <w:numId w:val="1"/>
        </w:numPr>
      </w:pPr>
      <w:r>
        <w:t>Comparative Analysis</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Build in-house carries heavy permanent engineering burden.</w:t>
      </w:r>
    </w:p>
    <w:p>
      <w:pPr>
        <w:pStyle w:val="ListParagraph"/>
        <w:numPr>
          <w:ilvl w:val="1"/>
          <w:numId w:val="4"/>
        </w:numPr>
      </w:pPr>
      <w:r>
        <w:rPr>
          <w:rFonts w:ascii="Figtree" w:hAnsi="Figtree"/>
          <w:b w:val="0"/>
          <w:i w:val="0"/>
          <w:sz w:val="22"/>
        </w:rPr>
        <w:t>Multi-vendor assembly creates operational and contractual fragmentation.</w:t>
      </w:r>
    </w:p>
    <w:p>
      <w:pPr>
        <w:pStyle w:val="ListParagraph"/>
        <w:numPr>
          <w:ilvl w:val="1"/>
          <w:numId w:val="4"/>
        </w:numPr>
      </w:pPr>
      <w:r>
        <w:rPr>
          <w:rFonts w:ascii="Figtree" w:hAnsi="Figtree"/>
          <w:b w:val="0"/>
          <w:i w:val="0"/>
          <w:sz w:val="22"/>
        </w:rPr>
        <w:t>DALP offers lower coordination cost and faster path to institutional scale.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DALP vs build table.</w:t>
      </w:r>
    </w:p>
    <w:p>
      <w:pPr>
        <w:pStyle w:val="ListParagraph"/>
        <w:numPr>
          <w:ilvl w:val="1"/>
          <w:numId w:val="4"/>
        </w:numPr>
      </w:pPr>
      <w:r>
        <w:rPr>
          <w:rFonts w:ascii="Figtree" w:hAnsi="Figtree"/>
          <w:b w:val="0"/>
          <w:i w:val="0"/>
          <w:sz w:val="22"/>
        </w:rPr>
        <w:t>DALP vs multi-vendor table.</w:t>
      </w:r>
    </w:p>
    <w:p>
      <w:pPr>
        <w:pStyle w:val="ListParagraph"/>
        <w:numPr>
          <w:ilvl w:val="1"/>
          <w:numId w:val="4"/>
        </w:numPr>
      </w:pPr>
      <w:r>
        <w:rPr>
          <w:rFonts w:ascii="Figtree" w:hAnsi="Figtree"/>
          <w:b w:val="0"/>
          <w:i w:val="0"/>
          <w:sz w:val="22"/>
        </w:rPr>
        <w:t>Optional radar or scorecard exhibit.</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Compare on time, teams, maintenance, compliance, audit, incident handling, and scalability.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comparison into competitor mudslinging.</w:t>
      </w:r>
    </w:p>
    <w:p>
      <w:r>
        <w:rPr>
          <w:rFonts w:ascii="Figtree" w:hAnsi="Figtree"/>
          <w:b w:val="0"/>
          <w:i w:val="0"/>
          <w:sz w:val="22"/>
        </w:rPr>
        <w:t>]</w:t>
      </w:r>
    </w:p>
    <w:p>
      <w:pPr>
        <w:pStyle w:val="H2"/>
        <w:numPr>
          <w:ilvl w:val="1"/>
          <w:numId w:val="1"/>
        </w:numPr>
      </w:pPr>
      <w:r>
        <w:t>Reference Clients</w:t>
      </w:r>
    </w:p>
    <w:p>
      <w:pPr>
        <w:pStyle w:val="ListParagraph"/>
        <w:numPr>
          <w:ilvl w:val="0"/>
          <w:numId w:val="4"/>
        </w:numPr>
      </w:pPr>
      <w:r>
        <w:rPr>
          <w:rFonts w:ascii="Figtree" w:hAnsi="Figtree"/>
          <w:b w:val="0"/>
          <w:i w:val="0"/>
          <w:sz w:val="22"/>
        </w:rPr>
        <w:t>[Target: 1500-2200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SettleMint has relevant production and strategic track record across institutions and geographies.</w:t>
      </w:r>
    </w:p>
    <w:p>
      <w:pPr>
        <w:pStyle w:val="ListParagraph"/>
        <w:numPr>
          <w:ilvl w:val="1"/>
          <w:numId w:val="4"/>
        </w:numPr>
      </w:pPr>
      <w:r>
        <w:rPr>
          <w:rFonts w:ascii="Figtree" w:hAnsi="Figtree"/>
          <w:b w:val="0"/>
          <w:i w:val="0"/>
          <w:sz w:val="22"/>
        </w:rPr>
        <w:t>The proposal should include all references in a summary table, then expand 2-3 most relevant cases.</w:t>
      </w:r>
    </w:p>
    <w:p>
      <w:pPr>
        <w:pStyle w:val="ListParagraph"/>
        <w:numPr>
          <w:ilvl w:val="1"/>
          <w:numId w:val="4"/>
        </w:numPr>
      </w:pPr>
      <w:r>
        <w:rPr>
          <w:rFonts w:ascii="Figtree" w:hAnsi="Figtree"/>
          <w:b w:val="0"/>
          <w:i w:val="0"/>
          <w:sz w:val="22"/>
        </w:rPr>
        <w:t>Reference selection should mirror the prospect's use case, geography, and buying concerns.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reference table with all 14 references.</w:t>
      </w:r>
    </w:p>
    <w:p>
      <w:pPr>
        <w:pStyle w:val="ListParagraph"/>
        <w:numPr>
          <w:ilvl w:val="1"/>
          <w:numId w:val="4"/>
        </w:numPr>
      </w:pPr>
      <w:r>
        <w:rPr>
          <w:rFonts w:ascii="Figtree" w:hAnsi="Figtree"/>
          <w:b w:val="0"/>
          <w:i w:val="0"/>
          <w:sz w:val="22"/>
        </w:rPr>
        <w:t>Relevance-tagged case study summary cards.</w:t>
      </w:r>
    </w:p>
    <w:p>
      <w:pPr>
        <w:pStyle w:val="ListParagraph"/>
        <w:numPr>
          <w:ilvl w:val="1"/>
          <w:numId w:val="4"/>
        </w:numPr>
      </w:pPr>
      <w:r>
        <w:rPr>
          <w:rFonts w:ascii="Figtree" w:hAnsi="Figtree"/>
          <w:b w:val="0"/>
          <w:i w:val="0"/>
          <w:sz w:val="22"/>
        </w:rPr>
        <w:t>Optional geography/use-case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all named references in summary form.</w:t>
      </w:r>
    </w:p>
    <w:p>
      <w:pPr>
        <w:pStyle w:val="ListParagraph"/>
        <w:numPr>
          <w:ilvl w:val="1"/>
          <w:numId w:val="4"/>
        </w:numPr>
      </w:pPr>
      <w:r>
        <w:rPr>
          <w:rFonts w:ascii="Figtree" w:hAnsi="Figtree"/>
          <w:b w:val="0"/>
          <w:i w:val="0"/>
          <w:sz w:val="22"/>
        </w:rPr>
        <w:t>Expand only those that strengthen this deal.</w:t>
      </w:r>
    </w:p>
    <w:p>
      <w:pPr>
        <w:pStyle w:val="ListParagraph"/>
        <w:numPr>
          <w:ilvl w:val="1"/>
          <w:numId w:val="4"/>
        </w:numPr>
      </w:pPr>
      <w:r>
        <w:rPr>
          <w:rFonts w:ascii="Figtree" w:hAnsi="Figtree"/>
          <w:b w:val="0"/>
          <w:i w:val="0"/>
          <w:sz w:val="22"/>
        </w:rPr>
        <w:t>Use only approved claims from source file.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Infer results not stated.</w:t>
      </w:r>
    </w:p>
    <w:p>
      <w:pPr>
        <w:pStyle w:val="ListParagraph"/>
        <w:numPr>
          <w:ilvl w:val="1"/>
          <w:numId w:val="4"/>
        </w:numPr>
      </w:pPr>
      <w:r>
        <w:rPr>
          <w:rFonts w:ascii="Figtree" w:hAnsi="Figtree"/>
          <w:b w:val="0"/>
          <w:i w:val="0"/>
          <w:sz w:val="22"/>
        </w:rPr>
        <w:t>Expand irrelevant case studies just to fill space.</w:t>
      </w:r>
    </w:p>
    <w:p>
      <w:r>
        <w:rPr>
          <w:rFonts w:ascii="Figtree" w:hAnsi="Figtree"/>
          <w:b w:val="0"/>
          <w:i w:val="0"/>
          <w:sz w:val="22"/>
        </w:rPr>
        <w:t>]</w:t>
      </w:r>
    </w:p>
    <w:p>
      <w:pPr>
        <w:pStyle w:val="H3"/>
        <w:numPr>
          <w:ilvl w:val="2"/>
          <w:numId w:val="1"/>
        </w:numPr>
      </w:pPr>
      <w:r>
        <w:t>Track Record</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Breadth across banks, sovereign entities, market infrastructure, and regulated use cases.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All-reference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Add filter tags by geography, asset class, and program type.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required references.</w:t>
      </w:r>
    </w:p>
    <w:p>
      <w:r>
        <w:rPr>
          <w:rFonts w:ascii="Figtree" w:hAnsi="Figtree"/>
          <w:b w:val="0"/>
          <w:i w:val="0"/>
          <w:sz w:val="22"/>
        </w:rPr>
        <w:t>]</w:t>
      </w:r>
    </w:p>
    <w:p>
      <w:pPr>
        <w:pStyle w:val="H3"/>
        <w:numPr>
          <w:ilvl w:val="2"/>
          <w:numId w:val="1"/>
        </w:numPr>
      </w:pPr>
      <w:r>
        <w:t>Case Studies</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Use 2-3 expanded examples to reduce perceived execution risk for this buyer.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One-page case study cards with challenge / solution / outcome structure.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Select by strongest fit to the deal.</w:t>
      </w:r>
    </w:p>
    <w:p>
      <w:pPr>
        <w:pStyle w:val="ListParagraph"/>
        <w:numPr>
          <w:ilvl w:val="1"/>
          <w:numId w:val="4"/>
        </w:numPr>
      </w:pPr>
      <w:r>
        <w:rPr>
          <w:rFonts w:ascii="Figtree" w:hAnsi="Figtree"/>
          <w:b w:val="0"/>
          <w:i w:val="0"/>
          <w:sz w:val="22"/>
        </w:rPr>
        <w:t>Keep challenge, solution, and outcome tightly structured.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unnamed projects or confidential anecdotes.</w:t>
      </w:r>
    </w:p>
    <w:p>
      <w:r>
        <w:rPr>
          <w:rFonts w:ascii="Figtree" w:hAnsi="Figtree"/>
          <w:b w:val="0"/>
          <w:i w:val="0"/>
          <w:sz w:val="22"/>
        </w:rPr>
        <w:t>]</w:t>
      </w:r>
    </w:p>
    <w:p>
      <w:pPr>
        <w:pStyle w:val="H2"/>
        <w:numPr>
          <w:ilvl w:val="1"/>
          <w:numId w:val="1"/>
        </w:numPr>
      </w:pPr>
      <w:r>
        <w:t>Next Steps</w:t>
      </w:r>
    </w:p>
    <w:p>
      <w:pPr>
        <w:pStyle w:val="ListParagraph"/>
        <w:numPr>
          <w:ilvl w:val="0"/>
          <w:numId w:val="4"/>
        </w:numPr>
      </w:pPr>
      <w:r>
        <w:rPr>
          <w:rFonts w:ascii="Figtree" w:hAnsi="Figtree"/>
          <w:b w:val="0"/>
          <w:i w:val="0"/>
          <w:sz w:val="22"/>
        </w:rPr>
        <w:t>[Target: 500-800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Provide a practical path from proposal to validated commercial agreement.</w:t>
      </w:r>
    </w:p>
    <w:p>
      <w:pPr>
        <w:pStyle w:val="ListParagraph"/>
        <w:numPr>
          <w:ilvl w:val="1"/>
          <w:numId w:val="4"/>
        </w:numPr>
      </w:pPr>
      <w:r>
        <w:rPr>
          <w:rFonts w:ascii="Figtree" w:hAnsi="Figtree"/>
          <w:b w:val="0"/>
          <w:i w:val="0"/>
          <w:sz w:val="22"/>
        </w:rPr>
        <w:t>Recommend specific near-term actions: review, scoping workshop, refined commercial offer, optional proof of value, contract execution.</w:t>
      </w:r>
    </w:p>
    <w:p>
      <w:pPr>
        <w:pStyle w:val="ListParagraph"/>
        <w:numPr>
          <w:ilvl w:val="1"/>
          <w:numId w:val="4"/>
        </w:numPr>
      </w:pPr>
      <w:r>
        <w:rPr>
          <w:rFonts w:ascii="Figtree" w:hAnsi="Figtree"/>
          <w:b w:val="0"/>
          <w:i w:val="0"/>
          <w:sz w:val="22"/>
        </w:rPr>
        <w:t>Align to the client's procurement rhythm and governance gates.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Next-steps timeline.</w:t>
      </w:r>
    </w:p>
    <w:p>
      <w:pPr>
        <w:pStyle w:val="ListParagraph"/>
        <w:numPr>
          <w:ilvl w:val="1"/>
          <w:numId w:val="4"/>
        </w:numPr>
      </w:pPr>
      <w:r>
        <w:rPr>
          <w:rFonts w:ascii="Figtree" w:hAnsi="Figtree"/>
          <w:b w:val="0"/>
          <w:i w:val="0"/>
          <w:sz w:val="22"/>
        </w:rPr>
        <w:t>Responsibility table with target dates.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Make this section action-oriented and time-bound.</w:t>
      </w:r>
    </w:p>
    <w:p>
      <w:pPr>
        <w:pStyle w:val="ListParagraph"/>
        <w:numPr>
          <w:ilvl w:val="1"/>
          <w:numId w:val="4"/>
        </w:numPr>
      </w:pPr>
      <w:r>
        <w:rPr>
          <w:rFonts w:ascii="Figtree" w:hAnsi="Figtree"/>
          <w:b w:val="0"/>
          <w:i w:val="0"/>
          <w:sz w:val="22"/>
        </w:rPr>
        <w:t>Assign owner, purpose, output, and indicative timing for each step.</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End vaguely.</w:t>
      </w:r>
    </w:p>
    <w:p>
      <w:pPr>
        <w:pStyle w:val="ListParagraph"/>
        <w:numPr>
          <w:ilvl w:val="1"/>
          <w:numId w:val="4"/>
        </w:numPr>
      </w:pPr>
      <w:r>
        <w:rPr>
          <w:rFonts w:ascii="Figtree" w:hAnsi="Figtree"/>
          <w:b w:val="0"/>
          <w:i w:val="0"/>
          <w:sz w:val="22"/>
        </w:rPr>
        <w:t>Introduce new commercial terms here.</w:t>
      </w:r>
    </w:p>
    <w:p>
      <w:r>
        <w:rPr>
          <w:rFonts w:ascii="Figtree" w:hAnsi="Figtree"/>
          <w:b w:val="0"/>
          <w:i w:val="0"/>
          <w:sz w:val="22"/>
        </w:rPr>
        <w: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