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rfi</w:t>
      </w:r>
    </w:p>
    <w:p>
      <w:r>
        <w:rPr>
          <w:rFonts w:ascii="Figtree" w:hAnsi="Figtree"/>
          <w:b w:val="0"/>
          <w:i w:val="0"/>
          <w:sz w:val="22"/>
        </w:rPr>
        <w:t>variant: compact</w:t>
      </w:r>
    </w:p>
    <w:p>
      <w:r>
        <w:rPr>
          <w:rFonts w:ascii="Figtree" w:hAnsi="Figtree"/>
          <w:b w:val="0"/>
          <w:i w:val="0"/>
          <w:sz w:val="22"/>
        </w:rPr>
        <w:t>target-pages: "20-30"</w:t>
      </w:r>
    </w:p>
    <w:p>
      <w:r>
        <w:rPr>
          <w:rFonts w:ascii="Figtree" w:hAnsi="Figtree"/>
          <w:b w:val="0"/>
          <w:i w:val="0"/>
          <w:sz w:val="22"/>
        </w:rPr>
        <w:t>target-words: "6000-9000"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RFI Response Blueprint — Compact</w:t>
      </w:r>
    </w:p>
    <w:p>
      <w:pPr>
        <w:pStyle w:val="H2"/>
        <w:numPr>
          <w:ilvl w:val="1"/>
          <w:numId w:val="1"/>
        </w:numPr>
      </w:pPr>
      <w:r>
        <w:t>Global Blueprint Rules</w:t>
      </w:r>
    </w:p>
    <w:p>
      <w:pPr>
        <w:pStyle w:val="ListParagraph"/>
        <w:numPr>
          <w:ilvl w:val="0"/>
          <w:numId w:val="4"/>
        </w:numPr>
      </w:pPr>
      <w:r>
        <w:rPr>
          <w:rFonts w:ascii="Figtree" w:hAnsi="Figtree"/>
          <w:b w:val="0"/>
          <w:i w:val="0"/>
          <w:sz w:val="22"/>
        </w:rPr>
        <w:t>[Target: 180-300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Essential decision-support only</w:t>
      </w:r>
    </w:p>
    <w:p>
      <w:pPr>
        <w:pStyle w:val="ListParagraph"/>
        <w:numPr>
          <w:ilvl w:val="1"/>
          <w:numId w:val="4"/>
        </w:numPr>
      </w:pPr>
      <w:r>
        <w:rPr>
          <w:rFonts w:ascii="Figtree" w:hAnsi="Figtree"/>
          <w:b w:val="0"/>
          <w:i w:val="0"/>
          <w:sz w:val="22"/>
        </w:rPr>
        <w:t>Tight, skimmable, executive-friendly structure</w:t>
      </w:r>
    </w:p>
    <w:p>
      <w:pPr>
        <w:pStyle w:val="ListParagraph"/>
        <w:numPr>
          <w:ilvl w:val="1"/>
          <w:numId w:val="4"/>
        </w:numPr>
      </w:pPr>
      <w:r>
        <w:rPr>
          <w:rFonts w:ascii="Figtree" w:hAnsi="Figtree"/>
          <w:b w:val="0"/>
          <w:i w:val="0"/>
          <w:sz w:val="22"/>
        </w:rPr>
        <w:t>Focus on capability, credibility, security, delivery, and boundaries]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4-6 visuals total</w:t>
      </w:r>
    </w:p>
    <w:p>
      <w:pPr>
        <w:pStyle w:val="ListParagraph"/>
        <w:numPr>
          <w:ilvl w:val="1"/>
          <w:numId w:val="4"/>
        </w:numPr>
      </w:pPr>
      <w:r>
        <w:rPr>
          <w:rFonts w:ascii="Figtree" w:hAnsi="Figtree"/>
          <w:b w:val="0"/>
          <w:i w:val="0"/>
          <w:sz w:val="22"/>
        </w:rPr>
        <w:t>Prefer summary tables and one architecture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all sections lean</w:t>
      </w:r>
    </w:p>
    <w:p>
      <w:pPr>
        <w:pStyle w:val="ListParagraph"/>
        <w:numPr>
          <w:ilvl w:val="1"/>
          <w:numId w:val="4"/>
        </w:numPr>
      </w:pPr>
      <w:r>
        <w:rPr>
          <w:rFonts w:ascii="Figtree" w:hAnsi="Figtree"/>
          <w:b w:val="0"/>
          <w:i w:val="0"/>
          <w:sz w:val="22"/>
        </w:rPr>
        <w:t>Merge related topics aggressively where reader value improves</w:t>
      </w:r>
    </w:p>
    <w:p>
      <w:pPr>
        <w:pStyle w:val="ListParagraph"/>
        <w:numPr>
          <w:ilvl w:val="1"/>
          <w:numId w:val="4"/>
        </w:numPr>
      </w:pPr>
      <w:r>
        <w:rPr>
          <w:rFonts w:ascii="Figtree" w:hAnsi="Figtree"/>
          <w:b w:val="0"/>
          <w:i w:val="0"/>
          <w:sz w:val="22"/>
        </w:rPr>
        <w:t>Every section still needs source references, key messages, visual instructions, writer guidance, and exclusions]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Write prose content in this blueprint</w:t>
      </w:r>
    </w:p>
    <w:p>
      <w:pPr>
        <w:pStyle w:val="ListParagraph"/>
        <w:numPr>
          <w:ilvl w:val="1"/>
          <w:numId w:val="4"/>
        </w:numPr>
      </w:pPr>
      <w:r>
        <w:rPr>
          <w:rFonts w:ascii="Figtree" w:hAnsi="Figtree"/>
          <w:b w:val="0"/>
          <w:i w:val="0"/>
          <w:sz w:val="22"/>
        </w:rPr>
        <w:t>Manually number headings</w:t>
      </w:r>
    </w:p>
    <w:p>
      <w:pPr>
        <w:pStyle w:val="ListParagraph"/>
        <w:numPr>
          <w:ilvl w:val="1"/>
          <w:numId w:val="4"/>
        </w:numPr>
      </w:pPr>
      <w:r>
        <w:rPr>
          <w:rFonts w:ascii="Figtree" w:hAnsi="Figtree"/>
          <w:b w:val="0"/>
          <w:i w:val="0"/>
          <w:sz w:val="22"/>
        </w:rPr>
        <w:t>Expand into deep technical appendix territory]</w:t>
      </w:r>
    </w:p>
    <w:p>
      <w:pPr>
        <w:pStyle w:val="H2"/>
        <w:numPr>
          <w:ilvl w:val="1"/>
          <w:numId w:val="1"/>
        </w:numPr>
      </w:pPr>
      <w:r>
        <w:t>Cover Letter</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master-template/rfi-response.md; reusable/about-settlemint.md;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Why SettleMint is responding</w:t>
      </w:r>
    </w:p>
    <w:p>
      <w:pPr>
        <w:pStyle w:val="ListParagraph"/>
        <w:numPr>
          <w:ilvl w:val="1"/>
          <w:numId w:val="4"/>
        </w:numPr>
      </w:pPr>
      <w:r>
        <w:rPr>
          <w:rFonts w:ascii="Figtree" w:hAnsi="Figtree"/>
          <w:b w:val="0"/>
          <w:i w:val="0"/>
          <w:sz w:val="22"/>
        </w:rPr>
        <w:t>Why DALP is relevant</w:t>
      </w:r>
    </w:p>
    <w:p>
      <w:pPr>
        <w:pStyle w:val="ListParagraph"/>
        <w:numPr>
          <w:ilvl w:val="1"/>
          <w:numId w:val="4"/>
        </w:numPr>
      </w:pPr>
      <w:r>
        <w:rPr>
          <w:rFonts w:ascii="Figtree" w:hAnsi="Figtree"/>
          <w:b w:val="0"/>
          <w:i w:val="0"/>
          <w:sz w:val="22"/>
        </w:rPr>
        <w:t>Why this response should be taken seriously]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No visual]</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One page max</w:t>
      </w:r>
    </w:p>
    <w:p>
      <w:pPr>
        <w:pStyle w:val="ListParagraph"/>
        <w:numPr>
          <w:ilvl w:val="1"/>
          <w:numId w:val="4"/>
        </w:numPr>
      </w:pPr>
      <w:r>
        <w:rPr>
          <w:rFonts w:ascii="Figtree" w:hAnsi="Figtree"/>
          <w:b w:val="0"/>
          <w:i w:val="0"/>
          <w:sz w:val="22"/>
        </w:rPr>
        <w:t>Mention initiative, primary use case, and strongest credibility angle]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Duplicate the body section structure in paragraph form]</w:t>
      </w:r>
    </w:p>
    <w:p>
      <w:pPr>
        <w:pStyle w:val="H2"/>
        <w:numPr>
          <w:ilvl w:val="1"/>
          <w:numId w:val="1"/>
        </w:numPr>
      </w:pPr>
      <w:r>
        <w:t>Company Overview</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Production-grade platform company for regulated markets</w:t>
      </w:r>
    </w:p>
    <w:p>
      <w:pPr>
        <w:pStyle w:val="ListParagraph"/>
        <w:numPr>
          <w:ilvl w:val="1"/>
          <w:numId w:val="4"/>
        </w:numPr>
      </w:pPr>
      <w:r>
        <w:rPr>
          <w:rFonts w:ascii="Figtree" w:hAnsi="Figtree"/>
          <w:b w:val="0"/>
          <w:i w:val="0"/>
          <w:sz w:val="22"/>
        </w:rPr>
        <w:t>Mission and market position</w:t>
      </w:r>
    </w:p>
    <w:p>
      <w:pPr>
        <w:pStyle w:val="ListParagraph"/>
        <w:numPr>
          <w:ilvl w:val="1"/>
          <w:numId w:val="4"/>
        </w:numPr>
      </w:pPr>
      <w:r>
        <w:rPr>
          <w:rFonts w:ascii="Figtree" w:hAnsi="Figtree"/>
          <w:b w:val="0"/>
          <w:i w:val="0"/>
          <w:sz w:val="22"/>
        </w:rPr>
        <w:t>Fast proof points and sector relevance]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Company facts/proof-points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to three blocks: who we are, proof points, vertical relevance]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Expand into full history narrative]</w:t>
      </w:r>
    </w:p>
    <w:p>
      <w:pPr>
        <w:pStyle w:val="H3"/>
        <w:numPr>
          <w:ilvl w:val="2"/>
          <w:numId w:val="1"/>
        </w:numPr>
      </w:pPr>
      <w:r>
        <w:t>Who SettleMint Is</w:t>
      </w:r>
    </w:p>
    <w:p>
      <w:pPr>
        <w:pStyle w:val="ListParagraph"/>
        <w:numPr>
          <w:ilvl w:val="0"/>
          <w:numId w:val="4"/>
        </w:numPr>
      </w:pPr>
      <w:r>
        <w:rPr>
          <w:rFonts w:ascii="Figtree" w:hAnsi="Figtree"/>
          <w:b w:val="0"/>
          <w:i w:val="0"/>
          <w:sz w:val="22"/>
        </w:rPr>
        <w:t>[Target: 220-320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Regulated-market focus</w:t>
      </w:r>
    </w:p>
    <w:p>
      <w:pPr>
        <w:pStyle w:val="ListParagraph"/>
        <w:numPr>
          <w:ilvl w:val="1"/>
          <w:numId w:val="4"/>
        </w:numPr>
      </w:pPr>
      <w:r>
        <w:rPr>
          <w:rFonts w:ascii="Figtree" w:hAnsi="Figtree"/>
          <w:b w:val="0"/>
          <w:i w:val="0"/>
          <w:sz w:val="22"/>
        </w:rPr>
        <w:t>Platform company, not operator]</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None]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Define category clearly in first lines]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generic blockchain-company framing]</w:t>
      </w:r>
    </w:p>
    <w:p>
      <w:pPr>
        <w:pStyle w:val="H3"/>
        <w:numPr>
          <w:ilvl w:val="2"/>
          <w:numId w:val="1"/>
        </w:numPr>
      </w:pPr>
      <w:r>
        <w:t>Proof Points and Relevance</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reusable/about-settlemint.md;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Production deployments</w:t>
      </w:r>
    </w:p>
    <w:p>
      <w:pPr>
        <w:pStyle w:val="ListParagraph"/>
        <w:numPr>
          <w:ilvl w:val="1"/>
          <w:numId w:val="4"/>
        </w:numPr>
      </w:pPr>
      <w:r>
        <w:rPr>
          <w:rFonts w:ascii="Figtree" w:hAnsi="Figtree"/>
          <w:b w:val="0"/>
          <w:i w:val="0"/>
          <w:sz w:val="22"/>
        </w:rPr>
        <w:t>Regulatory readiness</w:t>
      </w:r>
    </w:p>
    <w:p>
      <w:pPr>
        <w:pStyle w:val="ListParagraph"/>
        <w:numPr>
          <w:ilvl w:val="1"/>
          <w:numId w:val="4"/>
        </w:numPr>
      </w:pPr>
      <w:r>
        <w:rPr>
          <w:rFonts w:ascii="Figtree" w:hAnsi="Figtree"/>
          <w:b w:val="0"/>
          <w:i w:val="0"/>
          <w:sz w:val="22"/>
        </w:rPr>
        <w:t>Institutional and sovereign credibility]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Proof-point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Prioritize the 5-7 strongest proof points only]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unsupported quantitative claims]</w:t>
      </w:r>
    </w:p>
    <w:p>
      <w:pPr>
        <w:pStyle w:val="H2"/>
        <w:numPr>
          <w:ilvl w:val="1"/>
          <w:numId w:val="1"/>
        </w:numPr>
      </w:pPr>
      <w:r>
        <w:t>Platform Overview</w:t>
      </w:r>
    </w:p>
    <w:p>
      <w:pPr>
        <w:pStyle w:val="ListParagraph"/>
        <w:numPr>
          <w:ilvl w:val="0"/>
          <w:numId w:val="4"/>
        </w:numPr>
      </w:pPr>
      <w:r>
        <w:rPr>
          <w:rFonts w:ascii="Figtree" w:hAnsi="Figtree"/>
          <w:b w:val="0"/>
          <w:i w:val="0"/>
          <w:sz w:val="22"/>
        </w:rPr>
        <w:t>[Target: 1400-1900 words]</w:t>
      </w:r>
    </w:p>
    <w:p>
      <w:pPr>
        <w:pStyle w:val="ListParagraph"/>
        <w:numPr>
          <w:ilvl w:val="0"/>
          <w:numId w:val="4"/>
        </w:numPr>
      </w:pPr>
      <w:r>
        <w:rPr>
          <w:rFonts w:ascii="Figtree" w:hAnsi="Figtree"/>
          <w:b w:val="0"/>
          <w:i w:val="0"/>
          <w:sz w:val="22"/>
        </w:rPr>
        <w:t>[Source: reusable/about-dalp.md; content/01-configurable-tokens/main.md; content/02-configurable-compliance/main.md; content/03-integrations/main.md;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DALP is the unified lifecycle platform</w:t>
      </w:r>
    </w:p>
    <w:p>
      <w:pPr>
        <w:pStyle w:val="ListParagraph"/>
        <w:numPr>
          <w:ilvl w:val="1"/>
          <w:numId w:val="4"/>
        </w:numPr>
      </w:pPr>
      <w:r>
        <w:rPr>
          <w:rFonts w:ascii="Figtree" w:hAnsi="Figtree"/>
          <w:b w:val="0"/>
          <w:i w:val="0"/>
          <w:sz w:val="22"/>
        </w:rPr>
        <w:t>Capability summary across lifecycle pillars</w:t>
      </w:r>
    </w:p>
    <w:p>
      <w:pPr>
        <w:pStyle w:val="ListParagraph"/>
        <w:numPr>
          <w:ilvl w:val="1"/>
          <w:numId w:val="4"/>
        </w:numPr>
      </w:pPr>
      <w:r>
        <w:rPr>
          <w:rFonts w:ascii="Figtree" w:hAnsi="Figtree"/>
          <w:b w:val="0"/>
          <w:i w:val="0"/>
          <w:sz w:val="22"/>
        </w:rPr>
        <w:t>Asset-class coverage, integration, and deployment flexibility</w:t>
      </w:r>
    </w:p>
    <w:p>
      <w:pPr>
        <w:pStyle w:val="ListParagraph"/>
        <w:numPr>
          <w:ilvl w:val="1"/>
          <w:numId w:val="4"/>
        </w:numPr>
      </w:pPr>
      <w:r>
        <w:rPr>
          <w:rFonts w:ascii="Figtree" w:hAnsi="Figtree"/>
          <w:b w:val="0"/>
          <w:i w:val="0"/>
          <w:sz w:val="22"/>
        </w:rPr>
        <w:t>Differentiation is lifecycle + compliance + settlement + operability]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Lifecycle diagram</w:t>
      </w:r>
    </w:p>
    <w:p>
      <w:pPr>
        <w:pStyle w:val="ListParagraph"/>
        <w:numPr>
          <w:ilvl w:val="1"/>
          <w:numId w:val="4"/>
        </w:numPr>
      </w:pPr>
      <w:r>
        <w:rPr>
          <w:rFonts w:ascii="Figtree" w:hAnsi="Figtree"/>
          <w:b w:val="0"/>
          <w:i w:val="0"/>
          <w:sz w:val="22"/>
        </w:rPr>
        <w:t>High-level architecture diagram</w:t>
      </w:r>
    </w:p>
    <w:p>
      <w:pPr>
        <w:pStyle w:val="ListParagraph"/>
        <w:numPr>
          <w:ilvl w:val="1"/>
          <w:numId w:val="4"/>
        </w:numPr>
      </w:pPr>
      <w:r>
        <w:rPr>
          <w:rFonts w:ascii="Figtree" w:hAnsi="Figtree"/>
          <w:b w:val="0"/>
          <w:i w:val="0"/>
          <w:sz w:val="22"/>
        </w:rPr>
        <w:t>Asset class summary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to four compact subsections: what it is, what it covers, how it fits, why it matters]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Recreate the full technical architecture chapter]</w:t>
      </w:r>
    </w:p>
    <w:p>
      <w:pPr>
        <w:pStyle w:val="H3"/>
        <w:numPr>
          <w:ilvl w:val="2"/>
          <w:numId w:val="1"/>
        </w:numPr>
      </w:pPr>
      <w:r>
        <w:t>What DALP Is</w:t>
      </w:r>
    </w:p>
    <w:p>
      <w:pPr>
        <w:pStyle w:val="ListParagraph"/>
        <w:numPr>
          <w:ilvl w:val="0"/>
          <w:numId w:val="4"/>
        </w:numPr>
      </w:pPr>
      <w:r>
        <w:rPr>
          <w:rFonts w:ascii="Figtree" w:hAnsi="Figtree"/>
          <w:b w:val="0"/>
          <w:i w:val="0"/>
          <w:sz w:val="22"/>
        </w:rPr>
        <w:t>[Target: 250-350 words]</w:t>
      </w:r>
    </w:p>
    <w:p>
      <w:pPr>
        <w:pStyle w:val="ListParagraph"/>
        <w:numPr>
          <w:ilvl w:val="0"/>
          <w:numId w:val="4"/>
        </w:numPr>
      </w:pPr>
      <w:r>
        <w:rPr>
          <w:rFonts w:ascii="Figtree" w:hAnsi="Figtree"/>
          <w:b w:val="0"/>
          <w:i w:val="0"/>
          <w:sz w:val="22"/>
        </w:rPr>
        <w:t>[Source: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Digital Asset Lifecycle Platform</w:t>
      </w:r>
    </w:p>
    <w:p>
      <w:pPr>
        <w:pStyle w:val="ListParagraph"/>
        <w:numPr>
          <w:ilvl w:val="1"/>
          <w:numId w:val="4"/>
        </w:numPr>
      </w:pPr>
      <w:r>
        <w:rPr>
          <w:rFonts w:ascii="Figtree" w:hAnsi="Figtree"/>
          <w:b w:val="0"/>
          <w:i w:val="0"/>
          <w:sz w:val="22"/>
        </w:rPr>
        <w:t>Solves pilot-to-production gap]</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None or tiny positioning graphic]</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Crisp definition first]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Open with industry jargon]</w:t>
      </w:r>
    </w:p>
    <w:p>
      <w:pPr>
        <w:pStyle w:val="H3"/>
        <w:numPr>
          <w:ilvl w:val="2"/>
          <w:numId w:val="1"/>
        </w:numPr>
      </w:pPr>
      <w:r>
        <w:t>Capabilities Summary</w:t>
      </w:r>
    </w:p>
    <w:p>
      <w:pPr>
        <w:pStyle w:val="ListParagraph"/>
        <w:numPr>
          <w:ilvl w:val="0"/>
          <w:numId w:val="4"/>
        </w:numPr>
      </w:pPr>
      <w:r>
        <w:rPr>
          <w:rFonts w:ascii="Figtree" w:hAnsi="Figtree"/>
          <w:b w:val="0"/>
          <w:i w:val="0"/>
          <w:sz w:val="22"/>
        </w:rPr>
        <w:t>[Target: 550-750 words]</w:t>
      </w:r>
    </w:p>
    <w:p>
      <w:pPr>
        <w:pStyle w:val="ListParagraph"/>
        <w:numPr>
          <w:ilvl w:val="0"/>
          <w:numId w:val="4"/>
        </w:numPr>
      </w:pPr>
      <w:r>
        <w:rPr>
          <w:rFonts w:ascii="Figtree" w:hAnsi="Figtree"/>
          <w:b w:val="0"/>
          <w:i w:val="0"/>
          <w:sz w:val="22"/>
        </w:rPr>
        <w:t>[Source: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Create, comply, custody, settle, service</w:t>
      </w:r>
    </w:p>
    <w:p>
      <w:pPr>
        <w:pStyle w:val="ListParagraph"/>
        <w:numPr>
          <w:ilvl w:val="1"/>
          <w:numId w:val="4"/>
        </w:numPr>
      </w:pPr>
      <w:r>
        <w:rPr>
          <w:rFonts w:ascii="Figtree" w:hAnsi="Figtree"/>
          <w:b w:val="0"/>
          <w:i w:val="0"/>
          <w:sz w:val="22"/>
        </w:rPr>
        <w:t>Seven asset classes plus configurable token]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Lifecycle pillar diagram</w:t>
      </w:r>
    </w:p>
    <w:p>
      <w:pPr>
        <w:pStyle w:val="ListParagraph"/>
        <w:numPr>
          <w:ilvl w:val="1"/>
          <w:numId w:val="4"/>
        </w:numPr>
      </w:pPr>
      <w:r>
        <w:rPr>
          <w:rFonts w:ascii="Figtree" w:hAnsi="Figtree"/>
          <w:b w:val="0"/>
          <w:i w:val="0"/>
          <w:sz w:val="22"/>
        </w:rPr>
        <w:t>Asset class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One short block per pillar]</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Repeat the same compliance and security wording under each pillar]</w:t>
      </w:r>
    </w:p>
    <w:p>
      <w:pPr>
        <w:pStyle w:val="H3"/>
        <w:numPr>
          <w:ilvl w:val="2"/>
          <w:numId w:val="1"/>
        </w:numPr>
      </w:pPr>
      <w:r>
        <w:t>Architecture, Integration, and Deployment Fit</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content/03-integrations/main.md; reusable/deployment-options.md;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APIs, SDK, CLI, eventing</w:t>
      </w:r>
    </w:p>
    <w:p>
      <w:pPr>
        <w:pStyle w:val="ListParagraph"/>
        <w:numPr>
          <w:ilvl w:val="1"/>
          <w:numId w:val="4"/>
        </w:numPr>
      </w:pPr>
      <w:r>
        <w:rPr>
          <w:rFonts w:ascii="Figtree" w:hAnsi="Figtree"/>
          <w:b w:val="0"/>
          <w:i w:val="0"/>
          <w:sz w:val="22"/>
        </w:rPr>
        <w:t>Fits with core banking, custody, identity, payment infrastructure</w:t>
      </w:r>
    </w:p>
    <w:p>
      <w:pPr>
        <w:pStyle w:val="ListParagraph"/>
        <w:numPr>
          <w:ilvl w:val="1"/>
          <w:numId w:val="4"/>
        </w:numPr>
      </w:pPr>
      <w:r>
        <w:rPr>
          <w:rFonts w:ascii="Figtree" w:hAnsi="Figtree"/>
          <w:b w:val="0"/>
          <w:i w:val="0"/>
          <w:sz w:val="22"/>
        </w:rPr>
        <w:t>On-prem, cloud, hybrid, managed SaaS]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Simple architecture diagram</w:t>
      </w:r>
    </w:p>
    <w:p>
      <w:pPr>
        <w:pStyle w:val="ListParagraph"/>
        <w:numPr>
          <w:ilvl w:val="1"/>
          <w:numId w:val="4"/>
        </w:numPr>
      </w:pPr>
      <w:r>
        <w:rPr>
          <w:rFonts w:ascii="Figtree" w:hAnsi="Figtree"/>
          <w:b w:val="0"/>
          <w:i w:val="0"/>
          <w:sz w:val="22"/>
        </w:rPr>
        <w:t>Deployment option mini-table]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practical and evaluator-friendly]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Detail every interface namespace]</w:t>
      </w:r>
    </w:p>
    <w:p>
      <w:pPr>
        <w:pStyle w:val="H2"/>
        <w:numPr>
          <w:ilvl w:val="1"/>
          <w:numId w:val="1"/>
        </w:numPr>
      </w:pPr>
      <w:r>
        <w:t>References</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Breadth of deployment experience</w:t>
      </w:r>
    </w:p>
    <w:p>
      <w:pPr>
        <w:pStyle w:val="ListParagraph"/>
        <w:numPr>
          <w:ilvl w:val="1"/>
          <w:numId w:val="4"/>
        </w:numPr>
      </w:pPr>
      <w:r>
        <w:rPr>
          <w:rFonts w:ascii="Figtree" w:hAnsi="Figtree"/>
          <w:b w:val="0"/>
          <w:i w:val="0"/>
          <w:sz w:val="22"/>
        </w:rPr>
        <w:t>At-a-glance fit across regions and use cases]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Full reference summary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Summary table only in compact variant</w:t>
      </w:r>
    </w:p>
    <w:p>
      <w:pPr>
        <w:pStyle w:val="ListParagraph"/>
        <w:numPr>
          <w:ilvl w:val="1"/>
          <w:numId w:val="4"/>
        </w:numPr>
      </w:pPr>
      <w:r>
        <w:rPr>
          <w:rFonts w:ascii="Figtree" w:hAnsi="Figtree"/>
          <w:b w:val="0"/>
          <w:i w:val="0"/>
          <w:sz w:val="22"/>
        </w:rPr>
        <w:t>Add one short “most relevant examples” note if needed, without full case-study expansion]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Omit the reference table]</w:t>
      </w:r>
    </w:p>
    <w:p>
      <w:pPr>
        <w:pStyle w:val="H3"/>
        <w:numPr>
          <w:ilvl w:val="2"/>
          <w:numId w:val="1"/>
        </w:numPr>
      </w:pPr>
      <w:r>
        <w:t>Reference Summary Table</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Coverage across banking, sovereign, capital markets, and real assets]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14-row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tight columns: client / use case / geography / status]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extra outcome detail not in source]</w:t>
      </w:r>
    </w:p>
    <w:p>
      <w:pPr>
        <w:pStyle w:val="H2"/>
        <w:numPr>
          <w:ilvl w:val="1"/>
          <w:numId w:val="1"/>
        </w:numPr>
      </w:pPr>
      <w:r>
        <w:t>Solution Capabilities</w:t>
      </w:r>
    </w:p>
    <w:p>
      <w:pPr>
        <w:pStyle w:val="ListParagraph"/>
        <w:numPr>
          <w:ilvl w:val="0"/>
          <w:numId w:val="4"/>
        </w:numPr>
      </w:pPr>
      <w:r>
        <w:rPr>
          <w:rFonts w:ascii="Figtree" w:hAnsi="Figtree"/>
          <w:b w:val="0"/>
          <w:i w:val="0"/>
          <w:sz w:val="22"/>
        </w:rPr>
        <w:t>[Target: 1300-1800 words]</w:t>
      </w:r>
    </w:p>
    <w:p>
      <w:pPr>
        <w:pStyle w:val="ListParagraph"/>
        <w:numPr>
          <w:ilvl w:val="0"/>
          <w:numId w:val="4"/>
        </w:numPr>
      </w:pPr>
      <w:r>
        <w:rPr>
          <w:rFonts w:ascii="Figtree" w:hAnsi="Figtree"/>
          <w:b w:val="0"/>
          <w:i w:val="0"/>
          <w:sz w:val="22"/>
        </w:rPr>
        <w:t>[Source: content/01-configurable-tokens/main.md; content/02-configurable-compliance/main.md; content/03-integrations/main.md; reusable/about-dalp.md;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Tokenization, settlement, identity, and compliance work as one system</w:t>
      </w:r>
    </w:p>
    <w:p>
      <w:pPr>
        <w:pStyle w:val="ListParagraph"/>
        <w:numPr>
          <w:ilvl w:val="1"/>
          <w:numId w:val="4"/>
        </w:numPr>
      </w:pPr>
      <w:r>
        <w:rPr>
          <w:rFonts w:ascii="Figtree" w:hAnsi="Figtree"/>
          <w:b w:val="0"/>
          <w:i w:val="0"/>
          <w:sz w:val="22"/>
        </w:rPr>
        <w:t>Digital twin vs native issuance options</w:t>
      </w:r>
    </w:p>
    <w:p>
      <w:pPr>
        <w:pStyle w:val="ListParagraph"/>
        <w:numPr>
          <w:ilvl w:val="1"/>
          <w:numId w:val="4"/>
        </w:numPr>
      </w:pPr>
      <w:r>
        <w:rPr>
          <w:rFonts w:ascii="Figtree" w:hAnsi="Figtree"/>
          <w:b w:val="0"/>
          <w:i w:val="0"/>
          <w:sz w:val="22"/>
        </w:rPr>
        <w:t>Ex-ante compliance and atomic settlement are central differentiators</w:t>
      </w:r>
    </w:p>
    <w:p>
      <w:pPr>
        <w:pStyle w:val="ListParagraph"/>
        <w:numPr>
          <w:ilvl w:val="1"/>
          <w:numId w:val="4"/>
        </w:numPr>
      </w:pPr>
      <w:r>
        <w:rPr>
          <w:rFonts w:ascii="Figtree" w:hAnsi="Figtree"/>
          <w:b w:val="0"/>
          <w:i w:val="0"/>
          <w:sz w:val="22"/>
        </w:rPr>
        <w:t>Responsibility boundaries remain explicit]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Capability matrix</w:t>
      </w:r>
    </w:p>
    <w:p>
      <w:pPr>
        <w:pStyle w:val="ListParagraph"/>
        <w:numPr>
          <w:ilvl w:val="1"/>
          <w:numId w:val="4"/>
        </w:numPr>
      </w:pPr>
      <w:r>
        <w:rPr>
          <w:rFonts w:ascii="Figtree" w:hAnsi="Figtree"/>
          <w:b w:val="0"/>
          <w:i w:val="0"/>
          <w:sz w:val="22"/>
        </w:rPr>
        <w:t>Compliance flow diagram</w:t>
      </w:r>
    </w:p>
    <w:p>
      <w:pPr>
        <w:pStyle w:val="ListParagraph"/>
        <w:numPr>
          <w:ilvl w:val="1"/>
          <w:numId w:val="4"/>
        </w:numPr>
      </w:pPr>
      <w:r>
        <w:rPr>
          <w:rFonts w:ascii="Figtree" w:hAnsi="Figtree"/>
          <w:b w:val="0"/>
          <w:i w:val="0"/>
          <w:sz w:val="22"/>
        </w:rPr>
        <w:t>Responsibility split mini-table]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Merge tokenization + settlement + compliance into one coherent section</w:t>
      </w:r>
    </w:p>
    <w:p>
      <w:pPr>
        <w:pStyle w:val="ListParagraph"/>
        <w:numPr>
          <w:ilvl w:val="1"/>
          <w:numId w:val="4"/>
        </w:numPr>
      </w:pPr>
      <w:r>
        <w:rPr>
          <w:rFonts w:ascii="Figtree" w:hAnsi="Figtree"/>
          <w:b w:val="0"/>
          <w:i w:val="0"/>
          <w:sz w:val="22"/>
        </w:rPr>
        <w:t>Use concise sub-blocks: tokenization, compliance, settlement, boundaries]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Split into too many subsections or recreate medium-depth chapters]</w:t>
      </w:r>
    </w:p>
    <w:p>
      <w:pPr>
        <w:pStyle w:val="H3"/>
        <w:numPr>
          <w:ilvl w:val="2"/>
          <w:numId w:val="1"/>
        </w:numPr>
      </w:pPr>
      <w:r>
        <w:t>Tokenization and Asset Model</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content/01-configurable-tokens/main.md;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Digital twin and native issuance models</w:t>
      </w:r>
    </w:p>
    <w:p>
      <w:pPr>
        <w:pStyle w:val="ListParagraph"/>
        <w:numPr>
          <w:ilvl w:val="1"/>
          <w:numId w:val="4"/>
        </w:numPr>
      </w:pPr>
      <w:r>
        <w:rPr>
          <w:rFonts w:ascii="Figtree" w:hAnsi="Figtree"/>
          <w:b w:val="0"/>
          <w:i w:val="0"/>
          <w:sz w:val="22"/>
        </w:rPr>
        <w:t>Configurable token architecture</w:t>
      </w:r>
    </w:p>
    <w:p>
      <w:pPr>
        <w:pStyle w:val="ListParagraph"/>
        <w:numPr>
          <w:ilvl w:val="1"/>
          <w:numId w:val="4"/>
        </w:numPr>
      </w:pPr>
      <w:r>
        <w:rPr>
          <w:rFonts w:ascii="Figtree" w:hAnsi="Figtree"/>
          <w:b w:val="0"/>
          <w:i w:val="0"/>
          <w:sz w:val="22"/>
        </w:rPr>
        <w:t>Asset classes with lifecycle logic]</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Model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instrument flexibility and governance]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Dive into low-level contract internals]</w:t>
      </w:r>
    </w:p>
    <w:p>
      <w:pPr>
        <w:pStyle w:val="H3"/>
        <w:numPr>
          <w:ilvl w:val="2"/>
          <w:numId w:val="1"/>
        </w:numPr>
      </w:pPr>
      <w:r>
        <w:t>Compliance and Identity</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content/02-configurable-compliance/main.md;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OnchainID, identity registry, trusted issuers</w:t>
      </w:r>
    </w:p>
    <w:p>
      <w:pPr>
        <w:pStyle w:val="ListParagraph"/>
        <w:numPr>
          <w:ilvl w:val="1"/>
          <w:numId w:val="4"/>
        </w:numPr>
      </w:pPr>
      <w:r>
        <w:rPr>
          <w:rFonts w:ascii="Figtree" w:hAnsi="Figtree"/>
          <w:b w:val="0"/>
          <w:i w:val="0"/>
          <w:sz w:val="22"/>
        </w:rPr>
        <w:t>Ex-ante compliance via module framework</w:t>
      </w:r>
    </w:p>
    <w:p>
      <w:pPr>
        <w:pStyle w:val="ListParagraph"/>
        <w:numPr>
          <w:ilvl w:val="1"/>
          <w:numId w:val="4"/>
        </w:numPr>
      </w:pPr>
      <w:r>
        <w:rPr>
          <w:rFonts w:ascii="Figtree" w:hAnsi="Figtree"/>
          <w:b w:val="0"/>
          <w:i w:val="0"/>
          <w:sz w:val="22"/>
        </w:rPr>
        <w:t>Regulatory mapping is configurable, not legal advice]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Compliance flow diagram</w:t>
      </w:r>
    </w:p>
    <w:p>
      <w:pPr>
        <w:pStyle w:val="ListParagraph"/>
        <w:numPr>
          <w:ilvl w:val="1"/>
          <w:numId w:val="4"/>
        </w:numPr>
      </w:pPr>
      <w:r>
        <w:rPr>
          <w:rFonts w:ascii="Figtree" w:hAnsi="Figtree"/>
          <w:b w:val="0"/>
          <w:i w:val="0"/>
          <w:sz w:val="22"/>
        </w:rPr>
        <w:t>Module category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why non-compliant transfers do not execute]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Promise universal regulatory coverage]</w:t>
      </w:r>
    </w:p>
    <w:p>
      <w:pPr>
        <w:pStyle w:val="H3"/>
        <w:numPr>
          <w:ilvl w:val="2"/>
          <w:numId w:val="1"/>
        </w:numPr>
      </w:pPr>
      <w:r>
        <w:t>Settlement, Integration, and Boundaries</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content/03-integrations/main.md; master-template/rfi-response.md;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DvP/XvP, durable transaction handling, integration surfaces</w:t>
      </w:r>
    </w:p>
    <w:p>
      <w:pPr>
        <w:pStyle w:val="ListParagraph"/>
        <w:numPr>
          <w:ilvl w:val="1"/>
          <w:numId w:val="4"/>
        </w:numPr>
      </w:pPr>
      <w:r>
        <w:rPr>
          <w:rFonts w:ascii="Figtree" w:hAnsi="Figtree"/>
          <w:b w:val="0"/>
          <w:i w:val="0"/>
          <w:sz w:val="22"/>
        </w:rPr>
        <w:t>SettleMint provides platform; clients and partners provide external systems and regulated services]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Capability/responsibility mini-matrix]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Close the section with explicit “what SettleMint does not do” bullets]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Describe DALP as custodian, KYC provider, or legal advisor]</w:t>
      </w:r>
    </w:p>
    <w:p>
      <w:pPr>
        <w:pStyle w:val="H2"/>
        <w:numPr>
          <w:ilvl w:val="1"/>
          <w:numId w:val="1"/>
        </w:numPr>
      </w:pPr>
      <w:r>
        <w:t>Security Overview</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content/05-security/main.md; master-template/rfi-response.md;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Defense-in-depth security architecture</w:t>
      </w:r>
    </w:p>
    <w:p>
      <w:pPr>
        <w:pStyle w:val="ListParagraph"/>
        <w:numPr>
          <w:ilvl w:val="1"/>
          <w:numId w:val="4"/>
        </w:numPr>
      </w:pPr>
      <w:r>
        <w:rPr>
          <w:rFonts w:ascii="Figtree" w:hAnsi="Figtree"/>
          <w:b w:val="0"/>
          <w:i w:val="0"/>
          <w:sz w:val="22"/>
        </w:rPr>
        <w:t>Auth, access, keys, and deployment controls</w:t>
      </w:r>
    </w:p>
    <w:p>
      <w:pPr>
        <w:pStyle w:val="ListParagraph"/>
        <w:numPr>
          <w:ilvl w:val="1"/>
          <w:numId w:val="4"/>
        </w:numPr>
      </w:pPr>
      <w:r>
        <w:rPr>
          <w:rFonts w:ascii="Figtree" w:hAnsi="Figtree"/>
          <w:b w:val="0"/>
          <w:i w:val="0"/>
          <w:sz w:val="22"/>
        </w:rPr>
        <w:t>Certifications support institutional trust]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Security layers diagram</w:t>
      </w:r>
    </w:p>
    <w:p>
      <w:pPr>
        <w:pStyle w:val="ListParagraph"/>
        <w:numPr>
          <w:ilvl w:val="1"/>
          <w:numId w:val="4"/>
        </w:numPr>
      </w:pPr>
      <w:r>
        <w:rPr>
          <w:rFonts w:ascii="Figtree" w:hAnsi="Figtree"/>
          <w:b w:val="0"/>
          <w:i w:val="0"/>
          <w:sz w:val="22"/>
        </w:rPr>
        <w:t>Key backend table</w:t>
      </w:r>
    </w:p>
    <w:p>
      <w:pPr>
        <w:pStyle w:val="ListParagraph"/>
        <w:numPr>
          <w:ilvl w:val="1"/>
          <w:numId w:val="4"/>
        </w:numPr>
      </w:pPr>
      <w:r>
        <w:rPr>
          <w:rFonts w:ascii="Figtree" w:hAnsi="Figtree"/>
          <w:b w:val="0"/>
          <w:i w:val="0"/>
          <w:sz w:val="22"/>
        </w:rPr>
        <w:t>Certification summary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to three tight blocks: control layers, key management, certifications/residency]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Expand into a full security whitepaper]</w:t>
      </w:r>
    </w:p>
    <w:p>
      <w:pPr>
        <w:pStyle w:val="H3"/>
        <w:numPr>
          <w:ilvl w:val="2"/>
          <w:numId w:val="1"/>
        </w:numPr>
      </w:pPr>
      <w:r>
        <w:t>Control Layers</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Identity verification</w:t>
      </w:r>
    </w:p>
    <w:p>
      <w:pPr>
        <w:pStyle w:val="ListParagraph"/>
        <w:numPr>
          <w:ilvl w:val="1"/>
          <w:numId w:val="4"/>
        </w:numPr>
      </w:pPr>
      <w:r>
        <w:rPr>
          <w:rFonts w:ascii="Figtree" w:hAnsi="Figtree"/>
          <w:b w:val="0"/>
          <w:i w:val="0"/>
          <w:sz w:val="22"/>
        </w:rPr>
        <w:t>Role-based access control</w:t>
      </w:r>
    </w:p>
    <w:p>
      <w:pPr>
        <w:pStyle w:val="ListParagraph"/>
        <w:numPr>
          <w:ilvl w:val="1"/>
          <w:numId w:val="4"/>
        </w:numPr>
      </w:pPr>
      <w:r>
        <w:rPr>
          <w:rFonts w:ascii="Figtree" w:hAnsi="Figtree"/>
          <w:b w:val="0"/>
          <w:i w:val="0"/>
          <w:sz w:val="22"/>
        </w:rPr>
        <w:t>Wallet verification</w:t>
      </w:r>
    </w:p>
    <w:p>
      <w:pPr>
        <w:pStyle w:val="ListParagraph"/>
        <w:numPr>
          <w:ilvl w:val="1"/>
          <w:numId w:val="4"/>
        </w:numPr>
      </w:pPr>
      <w:r>
        <w:rPr>
          <w:rFonts w:ascii="Figtree" w:hAnsi="Figtree"/>
          <w:b w:val="0"/>
          <w:i w:val="0"/>
          <w:sz w:val="22"/>
        </w:rPr>
        <w:t>On-chain compliance enforcement</w:t>
      </w:r>
    </w:p>
    <w:p>
      <w:pPr>
        <w:pStyle w:val="ListParagraph"/>
        <w:numPr>
          <w:ilvl w:val="1"/>
          <w:numId w:val="4"/>
        </w:numPr>
      </w:pPr>
      <w:r>
        <w:rPr>
          <w:rFonts w:ascii="Figtree" w:hAnsi="Figtree"/>
          <w:b w:val="0"/>
          <w:i w:val="0"/>
          <w:sz w:val="22"/>
        </w:rPr>
        <w:t>Custody policy layer]</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Security layer stack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Present security as structural, not bolt-on]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Focus only on perimeter controls]</w:t>
      </w:r>
    </w:p>
    <w:p>
      <w:pPr>
        <w:pStyle w:val="H3"/>
        <w:numPr>
          <w:ilvl w:val="2"/>
          <w:numId w:val="1"/>
        </w:numPr>
      </w:pPr>
      <w:r>
        <w:t>Key Management, Certifications, and Residency</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content/05-security/main.md;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Key Guardian and external custody options</w:t>
      </w:r>
    </w:p>
    <w:p>
      <w:pPr>
        <w:pStyle w:val="ListParagraph"/>
        <w:numPr>
          <w:ilvl w:val="1"/>
          <w:numId w:val="4"/>
        </w:numPr>
      </w:pPr>
      <w:r>
        <w:rPr>
          <w:rFonts w:ascii="Figtree" w:hAnsi="Figtree"/>
          <w:b w:val="0"/>
          <w:i w:val="0"/>
          <w:sz w:val="22"/>
        </w:rPr>
        <w:t>ISO 27001 and SOC 2 Type II</w:t>
      </w:r>
    </w:p>
    <w:p>
      <w:pPr>
        <w:pStyle w:val="ListParagraph"/>
        <w:numPr>
          <w:ilvl w:val="1"/>
          <w:numId w:val="4"/>
        </w:numPr>
      </w:pPr>
      <w:r>
        <w:rPr>
          <w:rFonts w:ascii="Figtree" w:hAnsi="Figtree"/>
          <w:b w:val="0"/>
          <w:i w:val="0"/>
          <w:sz w:val="22"/>
        </w:rPr>
        <w:t>Residency depends on deployment model]</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Backend/certification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Tie security options to institutional deployment choices]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Make blanket claims about every deployment using HSM]</w:t>
      </w:r>
    </w:p>
    <w:p>
      <w:pPr>
        <w:pStyle w:val="H2"/>
        <w:numPr>
          <w:ilvl w:val="1"/>
          <w:numId w:val="1"/>
        </w:numPr>
      </w:pPr>
      <w:r>
        <w:t>Implementation Timeline</w:t>
      </w:r>
    </w:p>
    <w:p>
      <w:pPr>
        <w:pStyle w:val="ListParagraph"/>
        <w:numPr>
          <w:ilvl w:val="0"/>
          <w:numId w:val="4"/>
        </w:numPr>
      </w:pPr>
      <w:r>
        <w:rPr>
          <w:rFonts w:ascii="Figtree" w:hAnsi="Figtree"/>
          <w:b w:val="0"/>
          <w:i w:val="0"/>
          <w:sz w:val="22"/>
        </w:rPr>
        <w:t>[Target: 650-950 words]</w:t>
      </w:r>
    </w:p>
    <w:p>
      <w:pPr>
        <w:pStyle w:val="ListParagraph"/>
        <w:numPr>
          <w:ilvl w:val="0"/>
          <w:numId w:val="4"/>
        </w:numPr>
      </w:pPr>
      <w:r>
        <w:rPr>
          <w:rFonts w:ascii="Figtree" w:hAnsi="Figtree"/>
          <w:b w:val="0"/>
          <w:i w:val="0"/>
          <w:sz w:val="22"/>
        </w:rPr>
        <w:t>[Source: reusable/implementation-plan.md;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Structured phased approach</w:t>
      </w:r>
    </w:p>
    <w:p>
      <w:pPr>
        <w:pStyle w:val="ListParagraph"/>
        <w:numPr>
          <w:ilvl w:val="1"/>
          <w:numId w:val="4"/>
        </w:numPr>
      </w:pPr>
      <w:r>
        <w:rPr>
          <w:rFonts w:ascii="Figtree" w:hAnsi="Figtree"/>
          <w:b w:val="0"/>
          <w:i w:val="0"/>
          <w:sz w:val="22"/>
        </w:rPr>
        <w:t>Timeline depends on scope and client readiness</w:t>
      </w:r>
    </w:p>
    <w:p>
      <w:pPr>
        <w:pStyle w:val="ListParagraph"/>
        <w:numPr>
          <w:ilvl w:val="1"/>
          <w:numId w:val="4"/>
        </w:numPr>
      </w:pPr>
      <w:r>
        <w:rPr>
          <w:rFonts w:ascii="Figtree" w:hAnsi="Figtree"/>
          <w:b w:val="0"/>
          <w:i w:val="0"/>
          <w:sz w:val="22"/>
        </w:rPr>
        <w:t>Governance and dependencies must be explicit]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Timeline table or Gantt]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a compact 5-phase table: phase / duration / key outputs / client inputs]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Overload with phase-by-phase detail]</w:t>
      </w:r>
    </w:p>
    <w:p>
      <w:pPr>
        <w:pStyle w:val="H3"/>
        <w:numPr>
          <w:ilvl w:val="2"/>
          <w:numId w:val="1"/>
        </w:numPr>
      </w:pPr>
      <w:r>
        <w:t>Implementation Plan Table</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reusable/implementation-plan.md;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Discovery, configuration, integration/testing, go-live, ongoing ops]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Single implementation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it one-page equivalent]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Insert hard dates unless required]</w:t>
      </w:r>
    </w:p>
    <w:p>
      <w:pPr>
        <w:pStyle w:val="H3"/>
        <w:numPr>
          <w:ilvl w:val="2"/>
          <w:numId w:val="1"/>
        </w:numPr>
      </w:pPr>
      <w:r>
        <w:t>Dependencies and Governance Note</w:t>
      </w:r>
    </w:p>
    <w:p>
      <w:pPr>
        <w:pStyle w:val="ListParagraph"/>
        <w:numPr>
          <w:ilvl w:val="0"/>
          <w:numId w:val="4"/>
        </w:numPr>
      </w:pPr>
      <w:r>
        <w:rPr>
          <w:rFonts w:ascii="Figtree" w:hAnsi="Figtree"/>
          <w:b w:val="0"/>
          <w:i w:val="0"/>
          <w:sz w:val="22"/>
        </w:rPr>
        <w:t>[Target: 120-220 words]</w:t>
      </w:r>
    </w:p>
    <w:p>
      <w:pPr>
        <w:pStyle w:val="ListParagraph"/>
        <w:numPr>
          <w:ilvl w:val="0"/>
          <w:numId w:val="4"/>
        </w:numPr>
      </w:pPr>
      <w:r>
        <w:rPr>
          <w:rFonts w:ascii="Figtree" w:hAnsi="Figtree"/>
          <w:b w:val="0"/>
          <w:i w:val="0"/>
          <w:sz w:val="22"/>
        </w:rPr>
        <w:t>[Source: reusable/implementation-plan.md]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Infrastructure, access, approvals, client team availability]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Small assumptions box]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explicit and short]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Hide client obligations]</w:t>
      </w:r>
    </w:p>
    <w:p>
      <w:pPr>
        <w:pStyle w:val="H2"/>
        <w:numPr>
          <w:ilvl w:val="1"/>
          <w:numId w:val="1"/>
        </w:numPr>
      </w:pPr>
      <w:r>
        <w:t>Commercial Summary</w:t>
      </w:r>
    </w:p>
    <w:p>
      <w:pPr>
        <w:pStyle w:val="ListParagraph"/>
        <w:numPr>
          <w:ilvl w:val="0"/>
          <w:numId w:val="4"/>
        </w:numPr>
      </w:pPr>
      <w:r>
        <w:rPr>
          <w:rFonts w:ascii="Figtree" w:hAnsi="Figtree"/>
          <w:b w:val="0"/>
          <w:i w:val="0"/>
          <w:sz w:val="22"/>
        </w:rPr>
        <w:t>[Target: 500-750 words]</w:t>
      </w:r>
    </w:p>
    <w:p>
      <w:pPr>
        <w:pStyle w:val="ListParagraph"/>
        <w:numPr>
          <w:ilvl w:val="0"/>
          <w:numId w:val="4"/>
        </w:numPr>
      </w:pPr>
      <w:r>
        <w:rPr>
          <w:rFonts w:ascii="Figtree" w:hAnsi="Figtree"/>
          <w:b w:val="0"/>
          <w:i w:val="0"/>
          <w:sz w:val="22"/>
        </w:rPr>
        <w:t>[Source: master-template/rfi-response.md;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Annual platform subscription framing</w:t>
      </w:r>
    </w:p>
    <w:p>
      <w:pPr>
        <w:pStyle w:val="ListParagraph"/>
        <w:numPr>
          <w:ilvl w:val="1"/>
          <w:numId w:val="4"/>
        </w:numPr>
      </w:pPr>
      <w:r>
        <w:rPr>
          <w:rFonts w:ascii="Figtree" w:hAnsi="Figtree"/>
          <w:b w:val="0"/>
          <w:i w:val="0"/>
          <w:sz w:val="22"/>
        </w:rPr>
        <w:t>Support tiers summarized</w:t>
      </w:r>
    </w:p>
    <w:p>
      <w:pPr>
        <w:pStyle w:val="ListParagraph"/>
        <w:numPr>
          <w:ilvl w:val="1"/>
          <w:numId w:val="4"/>
        </w:numPr>
      </w:pPr>
      <w:r>
        <w:rPr>
          <w:rFonts w:ascii="Figtree" w:hAnsi="Figtree"/>
          <w:b w:val="0"/>
          <w:i w:val="0"/>
          <w:sz w:val="22"/>
        </w:rPr>
        <w:t>Services scoped separately]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Support-tier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non-numeric and procurement-friendly]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Insert pricing or discount detail]</w:t>
      </w:r>
    </w:p>
    <w:p>
      <w:pPr>
        <w:pStyle w:val="H3"/>
        <w:numPr>
          <w:ilvl w:val="2"/>
          <w:numId w:val="1"/>
        </w:numPr>
      </w:pPr>
      <w:r>
        <w:t>License and Support Summary</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Platform subscription</w:t>
      </w:r>
    </w:p>
    <w:p>
      <w:pPr>
        <w:pStyle w:val="ListParagraph"/>
        <w:numPr>
          <w:ilvl w:val="1"/>
          <w:numId w:val="4"/>
        </w:numPr>
      </w:pPr>
      <w:r>
        <w:rPr>
          <w:rFonts w:ascii="Figtree" w:hAnsi="Figtree"/>
          <w:b w:val="0"/>
          <w:i w:val="0"/>
          <w:sz w:val="22"/>
        </w:rPr>
        <w:t>Standard / Premium / Enterprise tier differences]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Tier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One compact summary block]</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Contradict official support descriptors]</w:t>
      </w:r>
    </w:p>
    <w:p>
      <w:pPr>
        <w:pStyle w:val="H2"/>
        <w:numPr>
          <w:ilvl w:val="1"/>
          <w:numId w:val="1"/>
        </w:numPr>
      </w:pPr>
      <w:r>
        <w:t>Coverage Statement</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master-template/rfi-response.md; all relevant product sources]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Available now</w:t>
      </w:r>
    </w:p>
    <w:p>
      <w:pPr>
        <w:pStyle w:val="ListParagraph"/>
        <w:numPr>
          <w:ilvl w:val="1"/>
          <w:numId w:val="4"/>
        </w:numPr>
      </w:pPr>
      <w:r>
        <w:rPr>
          <w:rFonts w:ascii="Figtree" w:hAnsi="Figtree"/>
          <w:b w:val="0"/>
          <w:i w:val="0"/>
          <w:sz w:val="22"/>
        </w:rPr>
        <w:t>Gaps/out-of-scope</w:t>
      </w:r>
    </w:p>
    <w:p>
      <w:pPr>
        <w:pStyle w:val="ListParagraph"/>
        <w:numPr>
          <w:ilvl w:val="1"/>
          <w:numId w:val="4"/>
        </w:numPr>
      </w:pPr>
      <w:r>
        <w:rPr>
          <w:rFonts w:ascii="Figtree" w:hAnsi="Figtree"/>
          <w:b w:val="0"/>
          <w:i w:val="0"/>
          <w:sz w:val="22"/>
        </w:rPr>
        <w:t>External dependencies]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Coverage matrix]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Map directly to client requirement categories</w:t>
      </w:r>
    </w:p>
    <w:p>
      <w:pPr>
        <w:pStyle w:val="ListParagraph"/>
        <w:numPr>
          <w:ilvl w:val="1"/>
          <w:numId w:val="4"/>
        </w:numPr>
      </w:pPr>
      <w:r>
        <w:rPr>
          <w:rFonts w:ascii="Figtree" w:hAnsi="Figtree"/>
          <w:b w:val="0"/>
          <w:i w:val="0"/>
          <w:sz w:val="22"/>
        </w:rPr>
        <w:t>Keep honest and tight]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as generic placeholders in final submission]</w:t>
      </w:r>
    </w:p>
    <w:p>
      <w:pPr>
        <w:pStyle w:val="H3"/>
        <w:numPr>
          <w:ilvl w:val="2"/>
          <w:numId w:val="1"/>
        </w:numPr>
      </w:pPr>
      <w:r>
        <w:t>Available Now</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all relevant sources]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Requirement-to-capability mapping]</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Requirement/capability/notes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Group requirements if necessary]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Overstate partial coverage]</w:t>
      </w:r>
    </w:p>
    <w:p>
      <w:pPr>
        <w:pStyle w:val="H3"/>
        <w:numPr>
          <w:ilvl w:val="2"/>
          <w:numId w:val="1"/>
        </w:numPr>
      </w:pPr>
      <w:r>
        <w:t>Gaps and Dependencies</w:t>
      </w:r>
    </w:p>
    <w:p>
      <w:pPr>
        <w:pStyle w:val="ListParagraph"/>
        <w:numPr>
          <w:ilvl w:val="0"/>
          <w:numId w:val="4"/>
        </w:numPr>
      </w:pPr>
      <w:r>
        <w:rPr>
          <w:rFonts w:ascii="Figtree" w:hAnsi="Figtree"/>
          <w:b w:val="0"/>
          <w:i w:val="0"/>
          <w:sz w:val="22"/>
        </w:rPr>
        <w:t>[Target: 200-300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Non-EVM limitation and other true scope boundaries</w:t>
      </w:r>
    </w:p>
    <w:p>
      <w:pPr>
        <w:pStyle w:val="ListParagraph"/>
        <w:numPr>
          <w:ilvl w:val="1"/>
          <w:numId w:val="4"/>
        </w:numPr>
      </w:pPr>
      <w:r>
        <w:rPr>
          <w:rFonts w:ascii="Figtree" w:hAnsi="Figtree"/>
          <w:b w:val="0"/>
          <w:i w:val="0"/>
          <w:sz w:val="22"/>
        </w:rPr>
        <w:t>Dependency on KYC, custody, payment rails, legal counsel, infrastructure]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Gap/dependency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Offer alternative approach only where credible]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Guess roadmap status or hide exclusions]</w:t>
      </w:r>
    </w:p>
    <w:p>
      <w:pPr>
        <w:pStyle w:val="H2"/>
        <w:numPr>
          <w:ilvl w:val="1"/>
          <w:numId w:val="1"/>
        </w:numPr>
      </w:pPr>
      <w:r>
        <w:t>Back-Matter Instructions</w:t>
      </w:r>
    </w:p>
    <w:p>
      <w:pPr>
        <w:pStyle w:val="ListParagraph"/>
        <w:numPr>
          <w:ilvl w:val="0"/>
          <w:numId w:val="4"/>
        </w:numPr>
      </w:pPr>
      <w:r>
        <w:rPr>
          <w:rFonts w:ascii="Figtree" w:hAnsi="Figtree"/>
          <w:b w:val="0"/>
          <w:i w:val="0"/>
          <w:sz w:val="22"/>
        </w:rPr>
        <w:t>[Target: 60-120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Classification, version, date, contact placeholders]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Metadata footer block]</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Purely administrative close]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concluding sales prose]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