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14:paraId="4EFBB1EA" w14:textId="77777777" w:rsidR="006B6750" w:rsidRPr="00A9690B" w:rsidRDefault="006B6750"/>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14:paraId="28E531EE" w14:textId="77777777" w:rsidR="006B6750" w:rsidRPr="000A6351" w:rsidRDefault="006B6750">
          <w:pPr>
            <w:pStyle w:val="TOCHeading"/>
            <w:rPr>
              <w:rFonts w:ascii="Figtree" w:hAnsi="Figtree"/>
              <w:b/>
              <w:bCs/>
              <w:color w:val="000099"/>
            </w:rPr>
          </w:pPr>
          <w:r w:rsidRPr="000A6351">
            <w:rPr>
              <w:rFonts w:ascii="Figtree" w:hAnsi="Figtree"/>
              <w:b/>
              <w:bCs/>
              <w:color w:val="000099"/>
            </w:rPr>
            <w:t>Table of Contents</w:t>
          </w:r>
        </w:p>
        <w:p w14:paraId="7BB93BB8" w14:textId="77777777" w:rsidR="006B6750" w:rsidRPr="00A9690B" w:rsidRDefault="006B6750" w:rsidP="006B6750">
          <w:pPr>
            <w:rPr>
              <w:lang w:val="en-US"/>
            </w:rPr>
          </w:pPr>
        </w:p>
        <w:p w14:paraId="0C34EDE5" w14:textId="77777777" w:rsidR="006B6750" w:rsidRPr="00A9690B" w:rsidRDefault="006B6750">
          <w:pPr>
            <w:pStyle w:val="TOC1"/>
            <w:tabs>
              <w:tab w:val="right" w:leader="dot" w:pos="9736"/>
            </w:tabs>
            <w:rPr>
              <w:rFonts w:cstheme="minorBidi"/>
              <w:noProof/>
              <w:kern w:val="2"/>
              <w:sz w:val="24"/>
              <w:szCs w:val="24"/>
              <w:lang w:val="en-IN" w:eastAsia="en-IN"/>
              <w14:ligatures w14:val="standardContextual"/>
            </w:rPr>
          </w:pPr>
          <w:r w:rsidRPr="00A9690B">
            <w:fldChar w:fldCharType="begin"/>
          </w:r>
          <w:r w:rsidRPr="00A9690B">
            <w:instrText xml:space="preserve"> TOC \o "1-3" \h \z \u </w:instrText>
          </w:r>
          <w:r w:rsidRPr="00A9690B">
            <w:fldChar w:fldCharType="separate"/>
          </w:r>
          <w:hyperlink w:anchor="_Toc207275230" w:history="1">
            <w:r w:rsidRPr="00A9690B">
              <w:rPr>
                <w:rStyle w:val="Hyperlink"/>
                <w:noProof/>
              </w:rPr>
              <w:t>1. Text 1 (H1)</w:t>
            </w:r>
            <w:r w:rsidRPr="00A9690B">
              <w:rPr>
                <w:noProof/>
                <w:webHidden/>
              </w:rPr>
              <w:tab/>
            </w:r>
            <w:r w:rsidRPr="00A9690B">
              <w:rPr>
                <w:noProof/>
                <w:webHidden/>
              </w:rPr>
              <w:fldChar w:fldCharType="begin"/>
            </w:r>
            <w:r w:rsidRPr="00A9690B">
              <w:rPr>
                <w:noProof/>
                <w:webHidden/>
              </w:rPr>
              <w:instrText xml:space="preserve"> PAGEREF _Toc207275230 \h </w:instrText>
            </w:r>
            <w:r w:rsidRPr="00A9690B">
              <w:rPr>
                <w:noProof/>
                <w:webHidden/>
              </w:rPr>
            </w:r>
            <w:r w:rsidRPr="00A9690B">
              <w:rPr>
                <w:noProof/>
                <w:webHidden/>
              </w:rPr>
              <w:fldChar w:fldCharType="separate"/>
            </w:r>
            <w:r w:rsidRPr="00A9690B">
              <w:rPr>
                <w:noProof/>
                <w:webHidden/>
              </w:rPr>
              <w:t>2</w:t>
            </w:r>
            <w:r w:rsidRPr="00A9690B">
              <w:rPr>
                <w:noProof/>
                <w:webHidden/>
              </w:rPr>
              <w:fldChar w:fldCharType="end"/>
            </w:r>
          </w:hyperlink>
        </w:p>
        <w:p w14:paraId="65971AD1" w14:textId="77777777" w:rsidR="006B6750" w:rsidRPr="00A9690B" w:rsidRDefault="006B6750">
          <w:pPr>
            <w:pStyle w:val="TOC2"/>
            <w:tabs>
              <w:tab w:val="right" w:leader="dot" w:pos="9736"/>
            </w:tabs>
            <w:rPr>
              <w:rFonts w:cstheme="minorBidi"/>
              <w:noProof/>
              <w:kern w:val="2"/>
              <w:sz w:val="24"/>
              <w:szCs w:val="24"/>
              <w:lang w:val="en-IN" w:eastAsia="en-IN"/>
              <w14:ligatures w14:val="standardContextual"/>
            </w:rPr>
          </w:pPr>
          <w:hyperlink w:anchor="_Toc207275231" w:history="1">
            <w:r w:rsidRPr="00A9690B">
              <w:rPr>
                <w:rStyle w:val="Hyperlink"/>
                <w:noProof/>
              </w:rPr>
              <w:t>1.1 Text 1.1 (H2)</w:t>
            </w:r>
            <w:r w:rsidRPr="00A9690B">
              <w:rPr>
                <w:noProof/>
                <w:webHidden/>
              </w:rPr>
              <w:tab/>
            </w:r>
            <w:r w:rsidRPr="00A9690B">
              <w:rPr>
                <w:noProof/>
                <w:webHidden/>
              </w:rPr>
              <w:fldChar w:fldCharType="begin"/>
            </w:r>
            <w:r w:rsidRPr="00A9690B">
              <w:rPr>
                <w:noProof/>
                <w:webHidden/>
              </w:rPr>
              <w:instrText xml:space="preserve"> PAGEREF _Toc207275231 \h </w:instrText>
            </w:r>
            <w:r w:rsidRPr="00A9690B">
              <w:rPr>
                <w:noProof/>
                <w:webHidden/>
              </w:rPr>
            </w:r>
            <w:r w:rsidRPr="00A9690B">
              <w:rPr>
                <w:noProof/>
                <w:webHidden/>
              </w:rPr>
              <w:fldChar w:fldCharType="separate"/>
            </w:r>
            <w:r w:rsidRPr="00A9690B">
              <w:rPr>
                <w:noProof/>
                <w:webHidden/>
              </w:rPr>
              <w:t>2</w:t>
            </w:r>
            <w:r w:rsidRPr="00A9690B">
              <w:rPr>
                <w:noProof/>
                <w:webHidden/>
              </w:rPr>
              <w:fldChar w:fldCharType="end"/>
            </w:r>
          </w:hyperlink>
        </w:p>
        <w:p w14:paraId="70ECBFB4" w14:textId="77777777" w:rsidR="006B6750" w:rsidRPr="00A9690B" w:rsidRDefault="006B6750">
          <w:pPr>
            <w:pStyle w:val="TOC2"/>
            <w:tabs>
              <w:tab w:val="right" w:leader="dot" w:pos="9736"/>
            </w:tabs>
            <w:rPr>
              <w:rFonts w:cstheme="minorBidi"/>
              <w:noProof/>
              <w:kern w:val="2"/>
              <w:sz w:val="24"/>
              <w:szCs w:val="24"/>
              <w:lang w:val="en-IN" w:eastAsia="en-IN"/>
              <w14:ligatures w14:val="standardContextual"/>
            </w:rPr>
          </w:pPr>
          <w:hyperlink w:anchor="_Toc207275232" w:history="1">
            <w:r w:rsidRPr="00A9690B">
              <w:rPr>
                <w:rStyle w:val="Hyperlink"/>
                <w:noProof/>
              </w:rPr>
              <w:t>1.2 Text 1.2 (H2)</w:t>
            </w:r>
            <w:r w:rsidRPr="00A9690B">
              <w:rPr>
                <w:noProof/>
                <w:webHidden/>
              </w:rPr>
              <w:tab/>
            </w:r>
            <w:r w:rsidRPr="00A9690B">
              <w:rPr>
                <w:noProof/>
                <w:webHidden/>
              </w:rPr>
              <w:fldChar w:fldCharType="begin"/>
            </w:r>
            <w:r w:rsidRPr="00A9690B">
              <w:rPr>
                <w:noProof/>
                <w:webHidden/>
              </w:rPr>
              <w:instrText xml:space="preserve"> PAGEREF _Toc207275232 \h </w:instrText>
            </w:r>
            <w:r w:rsidRPr="00A9690B">
              <w:rPr>
                <w:noProof/>
                <w:webHidden/>
              </w:rPr>
            </w:r>
            <w:r w:rsidRPr="00A9690B">
              <w:rPr>
                <w:noProof/>
                <w:webHidden/>
              </w:rPr>
              <w:fldChar w:fldCharType="separate"/>
            </w:r>
            <w:r w:rsidRPr="00A9690B">
              <w:rPr>
                <w:noProof/>
                <w:webHidden/>
              </w:rPr>
              <w:t>2</w:t>
            </w:r>
            <w:r w:rsidRPr="00A9690B">
              <w:rPr>
                <w:noProof/>
                <w:webHidden/>
              </w:rPr>
              <w:fldChar w:fldCharType="end"/>
            </w:r>
          </w:hyperlink>
        </w:p>
        <w:p w14:paraId="45835F4A" w14:textId="77777777" w:rsidR="006B6750" w:rsidRPr="00A9690B" w:rsidRDefault="006B6750">
          <w:pPr>
            <w:pStyle w:val="TOC3"/>
            <w:tabs>
              <w:tab w:val="right" w:leader="dot" w:pos="9736"/>
            </w:tabs>
            <w:rPr>
              <w:rFonts w:cstheme="minorBidi"/>
              <w:noProof/>
              <w:kern w:val="2"/>
              <w:sz w:val="24"/>
              <w:szCs w:val="24"/>
              <w:lang w:val="en-IN" w:eastAsia="en-IN"/>
              <w14:ligatures w14:val="standardContextual"/>
            </w:rPr>
          </w:pPr>
          <w:hyperlink w:anchor="_Toc207275233" w:history="1">
            <w:r w:rsidRPr="00A9690B">
              <w:rPr>
                <w:rStyle w:val="Hyperlink"/>
                <w:noProof/>
              </w:rPr>
              <w:t>1.2.1 Text 1.2.1 (H3)</w:t>
            </w:r>
            <w:r w:rsidRPr="00A9690B">
              <w:rPr>
                <w:noProof/>
                <w:webHidden/>
              </w:rPr>
              <w:tab/>
            </w:r>
            <w:r w:rsidRPr="00A9690B">
              <w:rPr>
                <w:noProof/>
                <w:webHidden/>
              </w:rPr>
              <w:fldChar w:fldCharType="begin"/>
            </w:r>
            <w:r w:rsidRPr="00A9690B">
              <w:rPr>
                <w:noProof/>
                <w:webHidden/>
              </w:rPr>
              <w:instrText xml:space="preserve"> PAGEREF _Toc207275233 \h </w:instrText>
            </w:r>
            <w:r w:rsidRPr="00A9690B">
              <w:rPr>
                <w:noProof/>
                <w:webHidden/>
              </w:rPr>
            </w:r>
            <w:r w:rsidRPr="00A9690B">
              <w:rPr>
                <w:noProof/>
                <w:webHidden/>
              </w:rPr>
              <w:fldChar w:fldCharType="separate"/>
            </w:r>
            <w:r w:rsidRPr="00A9690B">
              <w:rPr>
                <w:noProof/>
                <w:webHidden/>
              </w:rPr>
              <w:t>2</w:t>
            </w:r>
            <w:r w:rsidRPr="00A9690B">
              <w:rPr>
                <w:noProof/>
                <w:webHidden/>
              </w:rPr>
              <w:fldChar w:fldCharType="end"/>
            </w:r>
          </w:hyperlink>
        </w:p>
        <w:p w14:paraId="5BEB804F" w14:textId="77777777" w:rsidR="006B6750" w:rsidRPr="00A9690B" w:rsidRDefault="006B6750">
          <w:pPr>
            <w:pStyle w:val="TOC1"/>
            <w:tabs>
              <w:tab w:val="right" w:leader="dot" w:pos="9736"/>
            </w:tabs>
            <w:rPr>
              <w:rFonts w:cstheme="minorBidi"/>
              <w:noProof/>
              <w:kern w:val="2"/>
              <w:sz w:val="24"/>
              <w:szCs w:val="24"/>
              <w:lang w:val="en-IN" w:eastAsia="en-IN"/>
              <w14:ligatures w14:val="standardContextual"/>
            </w:rPr>
          </w:pPr>
          <w:hyperlink w:anchor="_Toc207275234" w:history="1">
            <w:r w:rsidRPr="00A9690B">
              <w:rPr>
                <w:rStyle w:val="Hyperlink"/>
                <w:noProof/>
              </w:rPr>
              <w:t>2. Text 2 (H1)</w:t>
            </w:r>
            <w:r w:rsidRPr="00A9690B">
              <w:rPr>
                <w:noProof/>
                <w:webHidden/>
              </w:rPr>
              <w:tab/>
            </w:r>
            <w:r w:rsidRPr="00A9690B">
              <w:rPr>
                <w:noProof/>
                <w:webHidden/>
              </w:rPr>
              <w:fldChar w:fldCharType="begin"/>
            </w:r>
            <w:r w:rsidRPr="00A9690B">
              <w:rPr>
                <w:noProof/>
                <w:webHidden/>
              </w:rPr>
              <w:instrText xml:space="preserve"> PAGEREF _Toc207275234 \h </w:instrText>
            </w:r>
            <w:r w:rsidRPr="00A9690B">
              <w:rPr>
                <w:noProof/>
                <w:webHidden/>
              </w:rPr>
            </w:r>
            <w:r w:rsidRPr="00A9690B">
              <w:rPr>
                <w:noProof/>
                <w:webHidden/>
              </w:rPr>
              <w:fldChar w:fldCharType="separate"/>
            </w:r>
            <w:r w:rsidRPr="00A9690B">
              <w:rPr>
                <w:noProof/>
                <w:webHidden/>
              </w:rPr>
              <w:t>2</w:t>
            </w:r>
            <w:r w:rsidRPr="00A9690B">
              <w:rPr>
                <w:noProof/>
                <w:webHidden/>
              </w:rPr>
              <w:fldChar w:fldCharType="end"/>
            </w:r>
          </w:hyperlink>
        </w:p>
        <w:p w14:paraId="74A63C26" w14:textId="77777777" w:rsidR="006B6750" w:rsidRPr="00A9690B" w:rsidRDefault="006B6750">
          <w:pPr>
            <w:pStyle w:val="TOC2"/>
            <w:tabs>
              <w:tab w:val="right" w:leader="dot" w:pos="9736"/>
            </w:tabs>
            <w:rPr>
              <w:rFonts w:cstheme="minorBidi"/>
              <w:noProof/>
              <w:kern w:val="2"/>
              <w:sz w:val="24"/>
              <w:szCs w:val="24"/>
              <w:lang w:val="en-IN" w:eastAsia="en-IN"/>
              <w14:ligatures w14:val="standardContextual"/>
            </w:rPr>
          </w:pPr>
          <w:hyperlink w:anchor="_Toc207275235" w:history="1">
            <w:r w:rsidRPr="00A9690B">
              <w:rPr>
                <w:rStyle w:val="Hyperlink"/>
                <w:noProof/>
              </w:rPr>
              <w:t>2.1 Text 2.1 (H2)</w:t>
            </w:r>
            <w:r w:rsidRPr="00A9690B">
              <w:rPr>
                <w:noProof/>
                <w:webHidden/>
              </w:rPr>
              <w:tab/>
            </w:r>
            <w:r w:rsidRPr="00A9690B">
              <w:rPr>
                <w:noProof/>
                <w:webHidden/>
              </w:rPr>
              <w:fldChar w:fldCharType="begin"/>
            </w:r>
            <w:r w:rsidRPr="00A9690B">
              <w:rPr>
                <w:noProof/>
                <w:webHidden/>
              </w:rPr>
              <w:instrText xml:space="preserve"> PAGEREF _Toc207275235 \h </w:instrText>
            </w:r>
            <w:r w:rsidRPr="00A9690B">
              <w:rPr>
                <w:noProof/>
                <w:webHidden/>
              </w:rPr>
            </w:r>
            <w:r w:rsidRPr="00A9690B">
              <w:rPr>
                <w:noProof/>
                <w:webHidden/>
              </w:rPr>
              <w:fldChar w:fldCharType="separate"/>
            </w:r>
            <w:r w:rsidRPr="00A9690B">
              <w:rPr>
                <w:noProof/>
                <w:webHidden/>
              </w:rPr>
              <w:t>2</w:t>
            </w:r>
            <w:r w:rsidRPr="00A9690B">
              <w:rPr>
                <w:noProof/>
                <w:webHidden/>
              </w:rPr>
              <w:fldChar w:fldCharType="end"/>
            </w:r>
          </w:hyperlink>
        </w:p>
        <w:p w14:paraId="285E7BC3" w14:textId="77777777" w:rsidR="006B6750" w:rsidRPr="00A9690B" w:rsidRDefault="006B6750">
          <w:pPr>
            <w:pStyle w:val="TOC2"/>
            <w:tabs>
              <w:tab w:val="right" w:leader="dot" w:pos="9736"/>
            </w:tabs>
            <w:rPr>
              <w:rFonts w:cstheme="minorBidi"/>
              <w:noProof/>
              <w:kern w:val="2"/>
              <w:sz w:val="24"/>
              <w:szCs w:val="24"/>
              <w:lang w:val="en-IN" w:eastAsia="en-IN"/>
              <w14:ligatures w14:val="standardContextual"/>
            </w:rPr>
          </w:pPr>
          <w:hyperlink w:anchor="_Toc207275236" w:history="1">
            <w:r w:rsidRPr="00A9690B">
              <w:rPr>
                <w:rStyle w:val="Hyperlink"/>
                <w:noProof/>
              </w:rPr>
              <w:t>2.2 Text 2.2 (H2)</w:t>
            </w:r>
            <w:r w:rsidRPr="00A9690B">
              <w:rPr>
                <w:noProof/>
                <w:webHidden/>
              </w:rPr>
              <w:tab/>
            </w:r>
            <w:r w:rsidRPr="00A9690B">
              <w:rPr>
                <w:noProof/>
                <w:webHidden/>
              </w:rPr>
              <w:fldChar w:fldCharType="begin"/>
            </w:r>
            <w:r w:rsidRPr="00A9690B">
              <w:rPr>
                <w:noProof/>
                <w:webHidden/>
              </w:rPr>
              <w:instrText xml:space="preserve"> PAGEREF _Toc207275236 \h </w:instrText>
            </w:r>
            <w:r w:rsidRPr="00A9690B">
              <w:rPr>
                <w:noProof/>
                <w:webHidden/>
              </w:rPr>
            </w:r>
            <w:r w:rsidRPr="00A9690B">
              <w:rPr>
                <w:noProof/>
                <w:webHidden/>
              </w:rPr>
              <w:fldChar w:fldCharType="separate"/>
            </w:r>
            <w:r w:rsidRPr="00A9690B">
              <w:rPr>
                <w:noProof/>
                <w:webHidden/>
              </w:rPr>
              <w:t>2</w:t>
            </w:r>
            <w:r w:rsidRPr="00A9690B">
              <w:rPr>
                <w:noProof/>
                <w:webHidden/>
              </w:rPr>
              <w:fldChar w:fldCharType="end"/>
            </w:r>
          </w:hyperlink>
        </w:p>
        <w:p w14:paraId="4BBEA85A" w14:textId="77777777" w:rsidR="006B6750" w:rsidRPr="00A9690B" w:rsidRDefault="006B6750">
          <w:pPr>
            <w:pStyle w:val="TOC3"/>
            <w:tabs>
              <w:tab w:val="right" w:leader="dot" w:pos="9736"/>
            </w:tabs>
            <w:rPr>
              <w:rFonts w:cstheme="minorBidi"/>
              <w:noProof/>
              <w:kern w:val="2"/>
              <w:sz w:val="24"/>
              <w:szCs w:val="24"/>
              <w:lang w:val="en-IN" w:eastAsia="en-IN"/>
              <w14:ligatures w14:val="standardContextual"/>
            </w:rPr>
          </w:pPr>
          <w:hyperlink w:anchor="_Toc207275237" w:history="1">
            <w:r w:rsidRPr="00A9690B">
              <w:rPr>
                <w:rStyle w:val="Hyperlink"/>
                <w:noProof/>
              </w:rPr>
              <w:t>2.2.1 Text 2.2.1 (H3)</w:t>
            </w:r>
            <w:r w:rsidRPr="00A9690B">
              <w:rPr>
                <w:noProof/>
                <w:webHidden/>
              </w:rPr>
              <w:tab/>
            </w:r>
            <w:r w:rsidRPr="00A9690B">
              <w:rPr>
                <w:noProof/>
                <w:webHidden/>
              </w:rPr>
              <w:fldChar w:fldCharType="begin"/>
            </w:r>
            <w:r w:rsidRPr="00A9690B">
              <w:rPr>
                <w:noProof/>
                <w:webHidden/>
              </w:rPr>
              <w:instrText xml:space="preserve"> PAGEREF _Toc207275237 \h </w:instrText>
            </w:r>
            <w:r w:rsidRPr="00A9690B">
              <w:rPr>
                <w:noProof/>
                <w:webHidden/>
              </w:rPr>
            </w:r>
            <w:r w:rsidRPr="00A9690B">
              <w:rPr>
                <w:noProof/>
                <w:webHidden/>
              </w:rPr>
              <w:fldChar w:fldCharType="separate"/>
            </w:r>
            <w:r w:rsidRPr="00A9690B">
              <w:rPr>
                <w:noProof/>
                <w:webHidden/>
              </w:rPr>
              <w:t>2</w:t>
            </w:r>
            <w:r w:rsidRPr="00A9690B">
              <w:rPr>
                <w:noProof/>
                <w:webHidden/>
              </w:rPr>
              <w:fldChar w:fldCharType="end"/>
            </w:r>
          </w:hyperlink>
        </w:p>
        <w:p w14:paraId="6C4D6D98" w14:textId="77777777" w:rsidR="006B6750" w:rsidRPr="00A9690B" w:rsidRDefault="006B6750">
          <w:r w:rsidRPr="00A9690B">
            <w:rPr>
              <w:b/>
              <w:bCs/>
              <w:noProof/>
            </w:rPr>
            <w:fldChar w:fldCharType="end"/>
          </w:r>
        </w:p>
      </w:sdtContent>
    </w:sdt>
    <w:p w14:paraId="71724572" w14:textId="77777777" w:rsidR="006B6750" w:rsidRPr="00A9690B" w:rsidRDefault="006B6750"/>
    <w:p w14:paraId="47DF0F8A" w14:textId="77777777" w:rsidR="006B6750" w:rsidRPr="00A9690B" w:rsidRDefault="006B6750"/>
    <w:p w14:paraId="5363F4FA" w14:textId="77777777" w:rsidR="006B6750" w:rsidRPr="00A9690B" w:rsidRDefault="006B6750"/>
    <w:p w14:paraId="3CB9FE7A" w14:textId="77777777" w:rsidR="006B6750" w:rsidRPr="00A9690B" w:rsidRDefault="006B6750" w:rsidP="0018162B">
      <w:pPr>
        <w:rPr>
          <w:rFonts w:eastAsiaTheme="majorEastAsia" w:cstheme="majorBidi"/>
          <w:b/>
          <w:color w:val="0070C0"/>
          <w:sz w:val="32"/>
          <w:szCs w:val="40"/>
        </w:rPr>
      </w:pPr>
      <w:r w:rsidRPr="00A9690B">
        <w:br w:type="page"/>
      </w:r>
    </w:p>
    <w:p>
      <w:r>
        <w:rPr>
          <w:rFonts w:ascii="Figtree" w:hAnsi="Figtree"/>
          <w:b/>
          <w:color w:val="000099"/>
          <w:sz w:val="32"/>
        </w:rPr>
        <w:t>Table of Contents</w:t>
      </w:r>
    </w:p>
    <w:p>
      <w:r>
        <w:fldChar w:fldCharType="begin"/>
        <w:instrText xml:space="preserve"> TOC \o "1-4" \h \z \u </w:instrText>
        <w:fldChar w:fldCharType="separate"/>
      </w:r>
      <w:r>
        <w:rPr>
          <w:color w:val="808080"/>
          <w:sz w:val="20"/>
        </w:rPr>
        <w:t>[Right-click and select 'Update Field' to generate Table of Contents]</w:t>
      </w:r>
      <w:r>
        <w:fldChar w:fldCharType="end"/>
      </w:r>
    </w:p>
    <w:p>
      <w:r>
        <w:br w:type="page"/>
      </w:r>
    </w:p>
    <w:p>
      <w:r>
        <w:br w:type="page"/>
      </w:r>
    </w:p>
    <w:p>
      <w:r>
        <w:rPr>
          <w:rFonts w:ascii="Figtree" w:hAnsi="Figtree"/>
          <w:b w:val="0"/>
          <w:i w:val="0"/>
          <w:sz w:val="22"/>
        </w:rPr>
        <w:t>skeleton-type: joint-response</w:t>
      </w:r>
    </w:p>
    <w:p>
      <w:r>
        <w:rPr>
          <w:rFonts w:ascii="Figtree" w:hAnsi="Figtree"/>
          <w:b w:val="0"/>
          <w:i w:val="0"/>
          <w:sz w:val="22"/>
        </w:rPr>
        <w:t>variant: full</w:t>
      </w:r>
    </w:p>
    <w:p>
      <w:r>
        <w:rPr>
          <w:rFonts w:ascii="Figtree" w:hAnsi="Figtree"/>
          <w:b w:val="0"/>
          <w:i w:val="0"/>
          <w:sz w:val="22"/>
        </w:rPr>
        <w:t>target-pages: "80-120"</w:t>
      </w:r>
    </w:p>
    <w:p>
      <w:r>
        <w:rPr>
          <w:rFonts w:ascii="Figtree" w:hAnsi="Figtree"/>
          <w:b w:val="0"/>
          <w:i w:val="0"/>
          <w:sz w:val="22"/>
        </w:rPr>
        <w:t>target-words: "25000-36000"</w:t>
      </w:r>
    </w:p>
    <w:p>
      <w:r>
        <w:rPr>
          <w:rFonts w:ascii="Figtree" w:hAnsi="Figtree"/>
          <w:b w:val="0"/>
          <w:i w:val="0"/>
          <w:sz w:val="22"/>
        </w:rPr>
        <w:t>version: "1.0"</w:t>
      </w:r>
    </w:p>
    <w:p>
      <w:r>
        <w:rPr>
          <w:rFonts w:ascii="Figtree" w:hAnsi="Figtree"/>
          <w:b w:val="0"/>
          <w:i w:val="0"/>
          <w:sz w:val="22"/>
        </w:rPr>
        <w:t>last-updated: "2026-03-14"</w:t>
      </w:r>
    </w:p>
    <w:p>
      <w:r>
        <w:br w:type="page"/>
      </w:r>
    </w:p>
    <w:p>
      <w:pPr>
        <w:pStyle w:val="H1"/>
        <w:numPr>
          <w:ilvl w:val="0"/>
          <w:numId w:val="1"/>
        </w:numPr>
      </w:pPr>
      <w:r>
        <w:t>Joint Response Blueprint — Full</w:t>
      </w:r>
    </w:p>
    <w:p>
      <w:pPr>
        <w:pStyle w:val="H2"/>
        <w:numPr>
          <w:ilvl w:val="1"/>
          <w:numId w:val="1"/>
        </w:numPr>
      </w:pPr>
      <w:r>
        <w:t>Blueprint Rules</w:t>
      </w:r>
    </w:p>
    <w:p>
      <w:pPr>
        <w:pStyle w:val="ListParagraph"/>
        <w:numPr>
          <w:ilvl w:val="0"/>
          <w:numId w:val="4"/>
        </w:numPr>
      </w:pPr>
      <w:r>
        <w:rPr>
          <w:rFonts w:ascii="Figtree" w:hAnsi="Figtree"/>
          <w:b w:val="0"/>
          <w:i w:val="0"/>
          <w:sz w:val="22"/>
        </w:rPr>
        <w:t>[Target: 220-360 words]</w:t>
      </w:r>
    </w:p>
    <w:p>
      <w:pPr>
        <w:pStyle w:val="ListParagraph"/>
        <w:numPr>
          <w:ilvl w:val="0"/>
          <w:numId w:val="4"/>
        </w:numPr>
      </w:pPr>
      <w:r>
        <w:rPr>
          <w:rFonts w:ascii="Figtree" w:hAnsi="Figtree"/>
          <w:b w:val="0"/>
          <w:i w:val="0"/>
          <w:sz w:val="22"/>
        </w:rPr>
        <w:t>[Source: reusable/about-settlemint.md; reusable/about-dalp.md; reusable/reference-projects.md; reusable/implementation-plan.md; reusable/deployment-options.md; reusable/support-sla.md]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Full variant is the most complete joint-response structure for large and complex bids.</w:t>
      </w:r>
    </w:p>
    <w:p>
      <w:pPr>
        <w:pStyle w:val="ListParagraph"/>
        <w:numPr>
          <w:ilvl w:val="1"/>
          <w:numId w:val="4"/>
        </w:numPr>
      </w:pPr>
      <w:r>
        <w:rPr>
          <w:rFonts w:ascii="Figtree" w:hAnsi="Figtree"/>
          <w:b w:val="0"/>
          <w:i w:val="0"/>
          <w:sz w:val="22"/>
        </w:rPr>
        <w:t>The core job is to make consortium logic obvious: who covers what, how the solutions fit, and how delivery is governed.</w:t>
      </w:r>
    </w:p>
    <w:p>
      <w:pPr>
        <w:pStyle w:val="ListParagraph"/>
        <w:numPr>
          <w:ilvl w:val="1"/>
          <w:numId w:val="4"/>
        </w:numPr>
      </w:pPr>
      <w:r>
        <w:rPr>
          <w:rFonts w:ascii="Figtree" w:hAnsi="Figtree"/>
          <w:b w:val="0"/>
          <w:i w:val="0"/>
          <w:sz w:val="22"/>
        </w:rPr>
        <w:t>Every substantive claim must be sourced or clearly marked as partner-supplied input.</w:t>
      </w:r>
    </w:p>
    <w:p>
      <w:pPr>
        <w:pStyle w:val="ListParagraph"/>
        <w:numPr>
          <w:ilvl w:val="1"/>
          <w:numId w:val="4"/>
        </w:numPr>
      </w:pPr>
      <w:r>
        <w:rPr>
          <w:rFonts w:ascii="Figtree" w:hAnsi="Figtree"/>
          <w:b w:val="0"/>
          <w:i w:val="0"/>
          <w:sz w:val="22"/>
        </w:rPr>
        <w:t>The response must show one combined offer without blurring accountability boundaries.</w:t>
      </w:r>
    </w:p>
    <w:p>
      <w:r>
        <w:rPr>
          <w:rFonts w:ascii="Figtree" w:hAnsi="Figtree"/>
          <w:b w:val="0"/>
          <w:i w:val="0"/>
          <w:sz w:val="22"/>
        </w:rPr>
        <w:t>]</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No decorative visual.</w:t>
      </w:r>
    </w:p>
    <w:p>
      <w:pPr>
        <w:pStyle w:val="ListParagraph"/>
        <w:numPr>
          <w:ilvl w:val="1"/>
          <w:numId w:val="4"/>
        </w:numPr>
      </w:pPr>
      <w:r>
        <w:rPr>
          <w:rFonts w:ascii="Figtree" w:hAnsi="Figtree"/>
          <w:b w:val="0"/>
          <w:i w:val="0"/>
          <w:sz w:val="22"/>
        </w:rPr>
        <w:t>Optional one-page blueprint map table listing all sections, owner, and purpose.</w:t>
      </w:r>
    </w:p>
    <w:p>
      <w:r>
        <w:rPr>
          <w:rFonts w:ascii="Figtree" w:hAnsi="Figtree"/>
          <w:b w:val="0"/>
          <w:i w:val="0"/>
          <w:sz w:val="22"/>
        </w:rPr>
        <w:t>]</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This document is blueprint-only; include instructions, not finished proposal prose.</w:t>
      </w:r>
    </w:p>
    <w:p>
      <w:pPr>
        <w:pStyle w:val="ListParagraph"/>
        <w:numPr>
          <w:ilvl w:val="1"/>
          <w:numId w:val="4"/>
        </w:numPr>
      </w:pPr>
      <w:r>
        <w:rPr>
          <w:rFonts w:ascii="Figtree" w:hAnsi="Figtree"/>
          <w:b w:val="0"/>
          <w:i w:val="0"/>
          <w:sz w:val="22"/>
        </w:rPr>
        <w:t>No manual numbering in headings.</w:t>
      </w:r>
    </w:p>
    <w:p>
      <w:pPr>
        <w:pStyle w:val="ListParagraph"/>
        <w:numPr>
          <w:ilvl w:val="1"/>
          <w:numId w:val="4"/>
        </w:numPr>
      </w:pPr>
      <w:r>
        <w:rPr>
          <w:rFonts w:ascii="Figtree" w:hAnsi="Figtree"/>
          <w:b w:val="0"/>
          <w:i w:val="0"/>
          <w:sz w:val="22"/>
        </w:rPr>
        <w:t>Use `[PARTNER: ...]` placeholders for all partner-supplied content.</w:t>
      </w:r>
    </w:p>
    <w:p>
      <w:pPr>
        <w:pStyle w:val="ListParagraph"/>
        <w:numPr>
          <w:ilvl w:val="1"/>
          <w:numId w:val="4"/>
        </w:numPr>
      </w:pPr>
      <w:r>
        <w:rPr>
          <w:rFonts w:ascii="Figtree" w:hAnsi="Figtree"/>
          <w:b w:val="0"/>
          <w:i w:val="0"/>
          <w:sz w:val="22"/>
        </w:rPr>
        <w:t>Use DALP terminology only; do not use legacy ATK naming.</w:t>
      </w:r>
    </w:p>
    <w:p>
      <w:pPr>
        <w:pStyle w:val="ListParagraph"/>
        <w:numPr>
          <w:ilvl w:val="1"/>
          <w:numId w:val="4"/>
        </w:numPr>
      </w:pPr>
      <w:r>
        <w:rPr>
          <w:rFonts w:ascii="Figtree" w:hAnsi="Figtree"/>
          <w:b w:val="0"/>
          <w:i w:val="0"/>
          <w:sz w:val="22"/>
        </w:rPr>
        <w:t>Make section ownership explicit through `[Partner input needed: yes/no]`.</w:t>
      </w:r>
    </w:p>
    <w:p>
      <w:r>
        <w:rPr>
          <w:rFonts w:ascii="Figtree" w:hAnsi="Figtree"/>
          <w:b w:val="0"/>
          <w:i w:val="0"/>
          <w:sz w:val="22"/>
        </w:rPr>
        <w:t>]</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Write client-facing prose.</w:t>
      </w:r>
    </w:p>
    <w:p>
      <w:pPr>
        <w:pStyle w:val="ListParagraph"/>
        <w:numPr>
          <w:ilvl w:val="1"/>
          <w:numId w:val="4"/>
        </w:numPr>
      </w:pPr>
      <w:r>
        <w:rPr>
          <w:rFonts w:ascii="Figtree" w:hAnsi="Figtree"/>
          <w:b w:val="0"/>
          <w:i w:val="0"/>
          <w:sz w:val="22"/>
        </w:rPr>
        <w:t>Invent joint references if none exist.</w:t>
      </w:r>
    </w:p>
    <w:p>
      <w:pPr>
        <w:pStyle w:val="ListParagraph"/>
        <w:numPr>
          <w:ilvl w:val="1"/>
          <w:numId w:val="4"/>
        </w:numPr>
      </w:pPr>
      <w:r>
        <w:rPr>
          <w:rFonts w:ascii="Figtree" w:hAnsi="Figtree"/>
          <w:b w:val="0"/>
          <w:i w:val="0"/>
          <w:sz w:val="22"/>
        </w:rPr>
        <w:t>Blur platform scope and partner scope.</w:t>
      </w:r>
    </w:p>
    <w:p>
      <w:pPr>
        <w:pStyle w:val="ListParagraph"/>
        <w:numPr>
          <w:ilvl w:val="1"/>
          <w:numId w:val="4"/>
        </w:numPr>
      </w:pPr>
      <w:r>
        <w:rPr>
          <w:rFonts w:ascii="Figtree" w:hAnsi="Figtree"/>
          <w:b w:val="0"/>
          <w:i w:val="0"/>
          <w:sz w:val="22"/>
        </w:rPr>
        <w:t>Assume the partner can claim SettleMint capabilities or vice versa.</w:t>
      </w:r>
    </w:p>
    <w:p>
      <w:r>
        <w:rPr>
          <w:rFonts w:ascii="Figtree" w:hAnsi="Figtree"/>
          <w:b w:val="0"/>
          <w:i w:val="0"/>
          <w:sz w:val="22"/>
        </w:rPr>
        <w:t>]</w:t>
      </w:r>
    </w:p>
    <w:p>
      <w:pPr>
        <w:pStyle w:val="ListParagraph"/>
        <w:numPr>
          <w:ilvl w:val="0"/>
          <w:numId w:val="4"/>
        </w:numPr>
      </w:pPr>
      <w:r>
        <w:rPr>
          <w:rFonts w:ascii="Figtree" w:hAnsi="Figtree"/>
          <w:b w:val="0"/>
          <w:i w:val="0"/>
          <w:sz w:val="22"/>
        </w:rPr>
        <w:t>[Partner input needed: no]</w:t>
      </w:r>
    </w:p>
    <w:p>
      <w:pPr>
        <w:pStyle w:val="H2"/>
        <w:numPr>
          <w:ilvl w:val="1"/>
          <w:numId w:val="1"/>
        </w:numPr>
      </w:pPr>
      <w:r>
        <w:t>Global Writer Guidance</w:t>
      </w:r>
    </w:p>
    <w:p>
      <w:pPr>
        <w:pStyle w:val="ListParagraph"/>
        <w:numPr>
          <w:ilvl w:val="0"/>
          <w:numId w:val="4"/>
        </w:numPr>
      </w:pPr>
      <w:r>
        <w:rPr>
          <w:rFonts w:ascii="Figtree" w:hAnsi="Figtree"/>
          <w:b w:val="0"/>
          <w:i w:val="0"/>
          <w:sz w:val="22"/>
        </w:rPr>
        <w:t>[Target: 300-500 words]</w:t>
      </w:r>
    </w:p>
    <w:p>
      <w:pPr>
        <w:pStyle w:val="ListParagraph"/>
        <w:numPr>
          <w:ilvl w:val="0"/>
          <w:numId w:val="4"/>
        </w:numPr>
      </w:pPr>
      <w:r>
        <w:rPr>
          <w:rFonts w:ascii="Figtree" w:hAnsi="Figtree"/>
          <w:b w:val="0"/>
          <w:i w:val="0"/>
          <w:sz w:val="22"/>
        </w:rPr>
        <w:t>[Source: reusable/about-settlemint.md; reusable/about-dalp.md; reusable/reference-projects.md; reusable/implementation-plan.md; reusable/deployment-options.md; reusable/support-sla.md; content/]</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The full joint response should read as a controlled consortium offer with explicit boundaries and integration logic.</w:t>
      </w:r>
    </w:p>
    <w:p>
      <w:pPr>
        <w:pStyle w:val="ListParagraph"/>
        <w:numPr>
          <w:ilvl w:val="1"/>
          <w:numId w:val="4"/>
        </w:numPr>
      </w:pPr>
      <w:r>
        <w:rPr>
          <w:rFonts w:ascii="Figtree" w:hAnsi="Figtree"/>
          <w:b w:val="0"/>
          <w:i w:val="0"/>
          <w:sz w:val="22"/>
        </w:rPr>
        <w:t>Responsibility clarity matters more than marketing volume.</w:t>
      </w:r>
    </w:p>
    <w:p>
      <w:pPr>
        <w:pStyle w:val="ListParagraph"/>
        <w:numPr>
          <w:ilvl w:val="1"/>
          <w:numId w:val="4"/>
        </w:numPr>
      </w:pPr>
      <w:r>
        <w:rPr>
          <w:rFonts w:ascii="Figtree" w:hAnsi="Figtree"/>
          <w:b w:val="0"/>
          <w:i w:val="0"/>
          <w:sz w:val="22"/>
        </w:rPr>
        <w:t>Integration, governance, support handoffs, and compliance ownership must be visible throughout.</w:t>
      </w:r>
    </w:p>
    <w:p>
      <w:r>
        <w:rPr>
          <w:rFonts w:ascii="Figtree" w:hAnsi="Figtree"/>
          <w:b w:val="0"/>
          <w:i w:val="0"/>
          <w:sz w:val="22"/>
        </w:rPr>
        <w:t>]</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Document control matrix with columns: Section | Primary owner | Secondary contributor | Main evidence source | Main visual.</w:t>
      </w:r>
    </w:p>
    <w:p>
      <w:r>
        <w:rPr>
          <w:rFonts w:ascii="Figtree" w:hAnsi="Figtree"/>
          <w:b w:val="0"/>
          <w:i w:val="0"/>
          <w:sz w:val="22"/>
        </w:rPr>
        <w:t>]</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Prioritize matrices, tables, phased diagrams, and interface callouts over long narrative blocks.</w:t>
      </w:r>
    </w:p>
    <w:p>
      <w:pPr>
        <w:pStyle w:val="ListParagraph"/>
        <w:numPr>
          <w:ilvl w:val="1"/>
          <w:numId w:val="4"/>
        </w:numPr>
      </w:pPr>
      <w:r>
        <w:rPr>
          <w:rFonts w:ascii="Figtree" w:hAnsi="Figtree"/>
          <w:b w:val="0"/>
          <w:i w:val="0"/>
          <w:sz w:val="22"/>
        </w:rPr>
        <w:t>Where SettleMint content is standard, point back to reusable source files rather than rewriting from scratch.</w:t>
      </w:r>
    </w:p>
    <w:p>
      <w:pPr>
        <w:pStyle w:val="ListParagraph"/>
        <w:numPr>
          <w:ilvl w:val="1"/>
          <w:numId w:val="4"/>
        </w:numPr>
      </w:pPr>
      <w:r>
        <w:rPr>
          <w:rFonts w:ascii="Figtree" w:hAnsi="Figtree"/>
          <w:b w:val="0"/>
          <w:i w:val="0"/>
          <w:sz w:val="22"/>
        </w:rPr>
        <w:t>Where partner contribution is required, specify exact missing inputs and expected format.</w:t>
      </w:r>
    </w:p>
    <w:p>
      <w:pPr>
        <w:pStyle w:val="ListParagraph"/>
        <w:numPr>
          <w:ilvl w:val="1"/>
          <w:numId w:val="4"/>
        </w:numPr>
      </w:pPr>
      <w:r>
        <w:rPr>
          <w:rFonts w:ascii="Figtree" w:hAnsi="Figtree"/>
          <w:b w:val="0"/>
          <w:i w:val="0"/>
          <w:sz w:val="22"/>
        </w:rPr>
        <w:t>Keep a consistent distinction between SettleMint-only, Partner-only, and Joint/Shared responsibilities.</w:t>
      </w:r>
    </w:p>
    <w:p>
      <w:r>
        <w:rPr>
          <w:rFonts w:ascii="Figtree" w:hAnsi="Figtree"/>
          <w:b w:val="0"/>
          <w:i w:val="0"/>
          <w:sz w:val="22"/>
        </w:rPr>
        <w:t>]</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Repeat the same DALP description in multiple sections.</w:t>
      </w:r>
    </w:p>
    <w:p>
      <w:pPr>
        <w:pStyle w:val="ListParagraph"/>
        <w:numPr>
          <w:ilvl w:val="1"/>
          <w:numId w:val="4"/>
        </w:numPr>
      </w:pPr>
      <w:r>
        <w:rPr>
          <w:rFonts w:ascii="Figtree" w:hAnsi="Figtree"/>
          <w:b w:val="0"/>
          <w:i w:val="0"/>
          <w:sz w:val="22"/>
        </w:rPr>
        <w:t>Turn the consortium story into two disconnected mini-proposals.</w:t>
      </w:r>
    </w:p>
    <w:p>
      <w:pPr>
        <w:pStyle w:val="ListParagraph"/>
        <w:numPr>
          <w:ilvl w:val="1"/>
          <w:numId w:val="4"/>
        </w:numPr>
      </w:pPr>
      <w:r>
        <w:rPr>
          <w:rFonts w:ascii="Figtree" w:hAnsi="Figtree"/>
          <w:b w:val="0"/>
          <w:i w:val="0"/>
          <w:sz w:val="22"/>
        </w:rPr>
        <w:t>Hide unresolved scope boundaries.</w:t>
      </w:r>
    </w:p>
    <w:p>
      <w:r>
        <w:rPr>
          <w:rFonts w:ascii="Figtree" w:hAnsi="Figtree"/>
          <w:b w:val="0"/>
          <w:i w:val="0"/>
          <w:sz w:val="22"/>
        </w:rPr>
        <w:t>]</w:t>
      </w:r>
    </w:p>
    <w:p>
      <w:pPr>
        <w:pStyle w:val="ListParagraph"/>
        <w:numPr>
          <w:ilvl w:val="0"/>
          <w:numId w:val="4"/>
        </w:numPr>
      </w:pPr>
      <w:r>
        <w:rPr>
          <w:rFonts w:ascii="Figtree" w:hAnsi="Figtree"/>
          <w:b w:val="0"/>
          <w:i w:val="0"/>
          <w:sz w:val="22"/>
        </w:rPr>
        <w:t>[Partner input needed: no]</w:t>
      </w:r>
    </w:p>
    <w:p>
      <w:pPr>
        <w:pStyle w:val="H2"/>
        <w:numPr>
          <w:ilvl w:val="1"/>
          <w:numId w:val="1"/>
        </w:numPr>
      </w:pPr>
      <w:r>
        <w:t>Executive Summary</w:t>
      </w:r>
    </w:p>
    <w:p>
      <w:pPr>
        <w:pStyle w:val="ListParagraph"/>
        <w:numPr>
          <w:ilvl w:val="0"/>
          <w:numId w:val="4"/>
        </w:numPr>
      </w:pPr>
      <w:r>
        <w:rPr>
          <w:rFonts w:ascii="Figtree" w:hAnsi="Figtree"/>
          <w:b w:val="0"/>
          <w:i w:val="0"/>
          <w:sz w:val="22"/>
        </w:rPr>
        <w:t>[Target: 1800-2600 words]</w:t>
      </w:r>
    </w:p>
    <w:p>
      <w:pPr>
        <w:pStyle w:val="ListParagraph"/>
        <w:numPr>
          <w:ilvl w:val="0"/>
          <w:numId w:val="4"/>
        </w:numPr>
      </w:pPr>
      <w:r>
        <w:rPr>
          <w:rFonts w:ascii="Figtree" w:hAnsi="Figtree"/>
          <w:b w:val="0"/>
          <w:i w:val="0"/>
          <w:sz w:val="22"/>
        </w:rPr>
        <w:t>[Source: reusable/about-settlemint.md; reusable/about-dalp.md; reusable/reference-projects.md; content/]</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Why this partnership is stronger than either party alone.</w:t>
      </w:r>
    </w:p>
    <w:p>
      <w:pPr>
        <w:pStyle w:val="ListParagraph"/>
        <w:numPr>
          <w:ilvl w:val="1"/>
          <w:numId w:val="4"/>
        </w:numPr>
      </w:pPr>
      <w:r>
        <w:rPr>
          <w:rFonts w:ascii="Figtree" w:hAnsi="Figtree"/>
          <w:b w:val="0"/>
          <w:i w:val="0"/>
          <w:sz w:val="22"/>
        </w:rPr>
        <w:t>Combined response addresses the full buyer requirement perimeter.</w:t>
      </w:r>
    </w:p>
    <w:p>
      <w:pPr>
        <w:pStyle w:val="ListParagraph"/>
        <w:numPr>
          <w:ilvl w:val="1"/>
          <w:numId w:val="4"/>
        </w:numPr>
      </w:pPr>
      <w:r>
        <w:rPr>
          <w:rFonts w:ascii="Figtree" w:hAnsi="Figtree"/>
          <w:b w:val="0"/>
          <w:i w:val="0"/>
          <w:sz w:val="22"/>
        </w:rPr>
        <w:t>SettleMint leads DALP platform scope; partner leads adjacent scope; both align through one delivery model.</w:t>
      </w:r>
    </w:p>
    <w:p>
      <w:pPr>
        <w:pStyle w:val="ListParagraph"/>
        <w:numPr>
          <w:ilvl w:val="1"/>
          <w:numId w:val="4"/>
        </w:numPr>
      </w:pPr>
      <w:r>
        <w:rPr>
          <w:rFonts w:ascii="Figtree" w:hAnsi="Figtree"/>
          <w:b w:val="0"/>
          <w:i w:val="0"/>
          <w:sz w:val="22"/>
        </w:rPr>
        <w:t>Joint value proposition should combine platform control, domain fit, and delivery risk reduction.</w:t>
      </w:r>
    </w:p>
    <w:p>
      <w:r>
        <w:rPr>
          <w:rFonts w:ascii="Figtree" w:hAnsi="Figtree"/>
          <w:b w:val="0"/>
          <w:i w:val="0"/>
          <w:sz w:val="22"/>
        </w:rPr>
        <w:t>]</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One-page executive consortium snapshot.</w:t>
      </w:r>
    </w:p>
    <w:p>
      <w:pPr>
        <w:pStyle w:val="ListParagraph"/>
        <w:numPr>
          <w:ilvl w:val="1"/>
          <w:numId w:val="4"/>
        </w:numPr>
      </w:pPr>
      <w:r>
        <w:rPr>
          <w:rFonts w:ascii="Figtree" w:hAnsi="Figtree"/>
          <w:b w:val="0"/>
          <w:i w:val="0"/>
          <w:sz w:val="22"/>
        </w:rPr>
        <w:t>Table with columns: Buyer need | SettleMint contribution | Partner contribution | Joint outcome.</w:t>
      </w:r>
    </w:p>
    <w:p>
      <w:r>
        <w:rPr>
          <w:rFonts w:ascii="Figtree" w:hAnsi="Figtree"/>
          <w:b w:val="0"/>
          <w:i w:val="0"/>
          <w:sz w:val="22"/>
        </w:rPr>
        <w:t>]</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Structure into buyer challenge, consortium rationale, scope split, joint architecture summary, and delivery confidence.</w:t>
      </w:r>
    </w:p>
    <w:p>
      <w:pPr>
        <w:pStyle w:val="ListParagraph"/>
        <w:numPr>
          <w:ilvl w:val="1"/>
          <w:numId w:val="4"/>
        </w:numPr>
      </w:pPr>
      <w:r>
        <w:rPr>
          <w:rFonts w:ascii="Figtree" w:hAnsi="Figtree"/>
          <w:b w:val="0"/>
          <w:i w:val="0"/>
          <w:sz w:val="22"/>
        </w:rPr>
        <w:t>Keep this section joint from the first line; do not write two separate company summaries.</w:t>
      </w:r>
    </w:p>
    <w:p>
      <w:pPr>
        <w:pStyle w:val="ListParagraph"/>
        <w:numPr>
          <w:ilvl w:val="1"/>
          <w:numId w:val="4"/>
        </w:numPr>
      </w:pPr>
      <w:r>
        <w:rPr>
          <w:rFonts w:ascii="Figtree" w:hAnsi="Figtree"/>
          <w:b w:val="0"/>
          <w:i w:val="0"/>
          <w:sz w:val="22"/>
        </w:rPr>
        <w:t>Use buyer terminology where known.</w:t>
      </w:r>
    </w:p>
    <w:p>
      <w:r>
        <w:rPr>
          <w:rFonts w:ascii="Figtree" w:hAnsi="Figtree"/>
          <w:b w:val="0"/>
          <w:i w:val="0"/>
          <w:sz w:val="22"/>
        </w:rPr>
        <w:t>]</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Overload with deep technical detail.</w:t>
      </w:r>
    </w:p>
    <w:p>
      <w:pPr>
        <w:pStyle w:val="ListParagraph"/>
        <w:numPr>
          <w:ilvl w:val="1"/>
          <w:numId w:val="4"/>
        </w:numPr>
      </w:pPr>
      <w:r>
        <w:rPr>
          <w:rFonts w:ascii="Figtree" w:hAnsi="Figtree"/>
          <w:b w:val="0"/>
          <w:i w:val="0"/>
          <w:sz w:val="22"/>
        </w:rPr>
        <w:t>Hide responsibility split until later sections.</w:t>
      </w:r>
    </w:p>
    <w:p>
      <w:r>
        <w:rPr>
          <w:rFonts w:ascii="Figtree" w:hAnsi="Figtree"/>
          <w:b w:val="0"/>
          <w:i w:val="0"/>
          <w:sz w:val="22"/>
        </w:rPr>
        <w:t>]</w:t>
      </w:r>
    </w:p>
    <w:p>
      <w:pPr>
        <w:pStyle w:val="ListParagraph"/>
        <w:numPr>
          <w:ilvl w:val="0"/>
          <w:numId w:val="4"/>
        </w:numPr>
      </w:pPr>
      <w:r>
        <w:rPr>
          <w:rFonts w:ascii="Figtree" w:hAnsi="Figtree"/>
          <w:b w:val="0"/>
          <w:i w:val="0"/>
          <w:sz w:val="22"/>
        </w:rPr>
        <w:t>[Partner input needed: yes]</w:t>
      </w:r>
    </w:p>
    <w:p>
      <w:pPr>
        <w:pStyle w:val="H2"/>
        <w:numPr>
          <w:ilvl w:val="1"/>
          <w:numId w:val="1"/>
        </w:numPr>
      </w:pPr>
      <w:r>
        <w:t>About the Consortium / Partnership</w:t>
      </w:r>
    </w:p>
    <w:p>
      <w:pPr>
        <w:pStyle w:val="ListParagraph"/>
        <w:numPr>
          <w:ilvl w:val="0"/>
          <w:numId w:val="4"/>
        </w:numPr>
      </w:pPr>
      <w:r>
        <w:rPr>
          <w:rFonts w:ascii="Figtree" w:hAnsi="Figtree"/>
          <w:b w:val="0"/>
          <w:i w:val="0"/>
          <w:sz w:val="22"/>
        </w:rPr>
        <w:t>[Target: 1400-2000 words]</w:t>
      </w:r>
    </w:p>
    <w:p>
      <w:pPr>
        <w:pStyle w:val="ListParagraph"/>
        <w:numPr>
          <w:ilvl w:val="0"/>
          <w:numId w:val="4"/>
        </w:numPr>
      </w:pPr>
      <w:r>
        <w:rPr>
          <w:rFonts w:ascii="Figtree" w:hAnsi="Figtree"/>
          <w:b w:val="0"/>
          <w:i w:val="0"/>
          <w:sz w:val="22"/>
        </w:rPr>
        <w:t>[Source: reusable/about-settlemint.md; reusable/about-dalp.md; content/]</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Who the consortium members are.</w:t>
      </w:r>
    </w:p>
    <w:p>
      <w:pPr>
        <w:pStyle w:val="ListParagraph"/>
        <w:numPr>
          <w:ilvl w:val="1"/>
          <w:numId w:val="4"/>
        </w:numPr>
      </w:pPr>
      <w:r>
        <w:rPr>
          <w:rFonts w:ascii="Figtree" w:hAnsi="Figtree"/>
          <w:b w:val="0"/>
          <w:i w:val="0"/>
          <w:sz w:val="22"/>
        </w:rPr>
        <w:t>Why this combination is relevant to the bid scope.</w:t>
      </w:r>
    </w:p>
    <w:p>
      <w:pPr>
        <w:pStyle w:val="ListParagraph"/>
        <w:numPr>
          <w:ilvl w:val="1"/>
          <w:numId w:val="4"/>
        </w:numPr>
      </w:pPr>
      <w:r>
        <w:rPr>
          <w:rFonts w:ascii="Figtree" w:hAnsi="Figtree"/>
          <w:b w:val="0"/>
          <w:i w:val="0"/>
          <w:sz w:val="22"/>
        </w:rPr>
        <w:t>How the two organizations complement each other across technology, delivery, and governance.</w:t>
      </w:r>
    </w:p>
    <w:p>
      <w:r>
        <w:rPr>
          <w:rFonts w:ascii="Figtree" w:hAnsi="Figtree"/>
          <w:b w:val="0"/>
          <w:i w:val="0"/>
          <w:sz w:val="22"/>
        </w:rPr>
        <w:t>]</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Consortium operating model diagram.</w:t>
      </w:r>
    </w:p>
    <w:p>
      <w:pPr>
        <w:pStyle w:val="ListParagraph"/>
        <w:numPr>
          <w:ilvl w:val="1"/>
          <w:numId w:val="4"/>
        </w:numPr>
      </w:pPr>
      <w:r>
        <w:rPr>
          <w:rFonts w:ascii="Figtree" w:hAnsi="Figtree"/>
          <w:b w:val="0"/>
          <w:i w:val="0"/>
          <w:sz w:val="22"/>
        </w:rPr>
        <w:t>Table with columns: Capability domain | SettleMint | Partner | Joint value.</w:t>
      </w:r>
    </w:p>
    <w:p>
      <w:r>
        <w:rPr>
          <w:rFonts w:ascii="Figtree" w:hAnsi="Figtree"/>
          <w:b w:val="0"/>
          <w:i w:val="0"/>
          <w:sz w:val="22"/>
        </w:rPr>
        <w:t>]</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Cover partner selection rationale, delivery complementarity, commercial interface, and single-team operating principle.</w:t>
      </w:r>
    </w:p>
    <w:p>
      <w:pPr>
        <w:pStyle w:val="ListParagraph"/>
        <w:numPr>
          <w:ilvl w:val="1"/>
          <w:numId w:val="4"/>
        </w:numPr>
      </w:pPr>
      <w:r>
        <w:rPr>
          <w:rFonts w:ascii="Figtree" w:hAnsi="Figtree"/>
          <w:b w:val="0"/>
          <w:i w:val="0"/>
          <w:sz w:val="22"/>
        </w:rPr>
        <w:t>Include `[PARTNER: legal entity details, service domains, market relevance, credential summary]`.</w:t>
      </w:r>
    </w:p>
    <w:p>
      <w:r>
        <w:rPr>
          <w:rFonts w:ascii="Figtree" w:hAnsi="Figtree"/>
          <w:b w:val="0"/>
          <w:i w:val="0"/>
          <w:sz w:val="22"/>
        </w:rPr>
        <w:t>]</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Write generic alliance language without showing actual scope logic.</w:t>
      </w:r>
    </w:p>
    <w:p>
      <w:pPr>
        <w:pStyle w:val="ListParagraph"/>
        <w:numPr>
          <w:ilvl w:val="1"/>
          <w:numId w:val="4"/>
        </w:numPr>
      </w:pPr>
      <w:r>
        <w:rPr>
          <w:rFonts w:ascii="Figtree" w:hAnsi="Figtree"/>
          <w:b w:val="0"/>
          <w:i w:val="0"/>
          <w:sz w:val="22"/>
        </w:rPr>
        <w:t>Present the partnership as informal or ad hoc.</w:t>
      </w:r>
    </w:p>
    <w:p>
      <w:r>
        <w:rPr>
          <w:rFonts w:ascii="Figtree" w:hAnsi="Figtree"/>
          <w:b w:val="0"/>
          <w:i w:val="0"/>
          <w:sz w:val="22"/>
        </w:rPr>
        <w:t>]</w:t>
      </w:r>
    </w:p>
    <w:p>
      <w:pPr>
        <w:pStyle w:val="ListParagraph"/>
        <w:numPr>
          <w:ilvl w:val="0"/>
          <w:numId w:val="4"/>
        </w:numPr>
      </w:pPr>
      <w:r>
        <w:rPr>
          <w:rFonts w:ascii="Figtree" w:hAnsi="Figtree"/>
          <w:b w:val="0"/>
          <w:i w:val="0"/>
          <w:sz w:val="22"/>
        </w:rPr>
        <w:t>[Partner input needed: yes]</w:t>
      </w:r>
    </w:p>
    <w:p>
      <w:pPr>
        <w:pStyle w:val="H2"/>
        <w:numPr>
          <w:ilvl w:val="1"/>
          <w:numId w:val="1"/>
        </w:numPr>
      </w:pPr>
      <w:r>
        <w:t>About SettleMint</w:t>
      </w:r>
    </w:p>
    <w:p>
      <w:pPr>
        <w:pStyle w:val="ListParagraph"/>
        <w:numPr>
          <w:ilvl w:val="0"/>
          <w:numId w:val="4"/>
        </w:numPr>
      </w:pPr>
      <w:r>
        <w:rPr>
          <w:rFonts w:ascii="Figtree" w:hAnsi="Figtree"/>
          <w:b w:val="0"/>
          <w:i w:val="0"/>
          <w:sz w:val="22"/>
        </w:rPr>
        <w:t>[Target: 1200-1800 words]</w:t>
      </w:r>
    </w:p>
    <w:p>
      <w:pPr>
        <w:pStyle w:val="ListParagraph"/>
        <w:numPr>
          <w:ilvl w:val="0"/>
          <w:numId w:val="4"/>
        </w:numPr>
      </w:pPr>
      <w:r>
        <w:rPr>
          <w:rFonts w:ascii="Figtree" w:hAnsi="Figtree"/>
          <w:b w:val="0"/>
          <w:i w:val="0"/>
          <w:sz w:val="22"/>
        </w:rPr>
        <w:t>[Source: reusable/about-settlemint.md]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SettleMint is the DALP platform provider for regulated digital asset lifecycle use cases.</w:t>
      </w:r>
    </w:p>
    <w:p>
      <w:pPr>
        <w:pStyle w:val="ListParagraph"/>
        <w:numPr>
          <w:ilvl w:val="1"/>
          <w:numId w:val="4"/>
        </w:numPr>
      </w:pPr>
      <w:r>
        <w:rPr>
          <w:rFonts w:ascii="Figtree" w:hAnsi="Figtree"/>
          <w:b w:val="0"/>
          <w:i w:val="0"/>
          <w:sz w:val="22"/>
        </w:rPr>
        <w:t>Emphasize institutional credibility, delivery maturity, and relevance to the current bid.</w:t>
      </w:r>
    </w:p>
    <w:p>
      <w:r>
        <w:rPr>
          <w:rFonts w:ascii="Figtree" w:hAnsi="Figtree"/>
          <w:b w:val="0"/>
          <w:i w:val="0"/>
          <w:sz w:val="22"/>
        </w:rPr>
        <w:t>]</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Company proof-point table.</w:t>
      </w:r>
    </w:p>
    <w:p>
      <w:r>
        <w:rPr>
          <w:rFonts w:ascii="Figtree" w:hAnsi="Figtree"/>
          <w:b w:val="0"/>
          <w:i w:val="0"/>
          <w:sz w:val="22"/>
        </w:rPr>
        <w:t>]</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Reuse standard SettleMint material and tailor only where needed for bid relevance.</w:t>
      </w:r>
    </w:p>
    <w:p>
      <w:r>
        <w:rPr>
          <w:rFonts w:ascii="Figtree" w:hAnsi="Figtree"/>
          <w:b w:val="0"/>
          <w:i w:val="0"/>
          <w:sz w:val="22"/>
        </w:rPr>
        <w:t>]</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Expand into generic corporate history.</w:t>
      </w:r>
    </w:p>
    <w:p>
      <w:r>
        <w:rPr>
          <w:rFonts w:ascii="Figtree" w:hAnsi="Figtree"/>
          <w:b w:val="0"/>
          <w:i w:val="0"/>
          <w:sz w:val="22"/>
        </w:rPr>
        <w:t>]</w:t>
      </w:r>
    </w:p>
    <w:p>
      <w:pPr>
        <w:pStyle w:val="ListParagraph"/>
        <w:numPr>
          <w:ilvl w:val="0"/>
          <w:numId w:val="4"/>
        </w:numPr>
      </w:pPr>
      <w:r>
        <w:rPr>
          <w:rFonts w:ascii="Figtree" w:hAnsi="Figtree"/>
          <w:b w:val="0"/>
          <w:i w:val="0"/>
          <w:sz w:val="22"/>
        </w:rPr>
        <w:t>[Partner input needed: no]</w:t>
      </w:r>
    </w:p>
    <w:p>
      <w:pPr>
        <w:pStyle w:val="H2"/>
        <w:numPr>
          <w:ilvl w:val="1"/>
          <w:numId w:val="1"/>
        </w:numPr>
      </w:pPr>
      <w:r>
        <w:t>About DALP</w:t>
      </w:r>
    </w:p>
    <w:p>
      <w:pPr>
        <w:pStyle w:val="ListParagraph"/>
        <w:numPr>
          <w:ilvl w:val="0"/>
          <w:numId w:val="4"/>
        </w:numPr>
      </w:pPr>
      <w:r>
        <w:rPr>
          <w:rFonts w:ascii="Figtree" w:hAnsi="Figtree"/>
          <w:b w:val="0"/>
          <w:i w:val="0"/>
          <w:sz w:val="22"/>
        </w:rPr>
        <w:t>[Target: 1500-2200 words]</w:t>
      </w:r>
    </w:p>
    <w:p>
      <w:pPr>
        <w:pStyle w:val="ListParagraph"/>
        <w:numPr>
          <w:ilvl w:val="0"/>
          <w:numId w:val="4"/>
        </w:numPr>
      </w:pPr>
      <w:r>
        <w:rPr>
          <w:rFonts w:ascii="Figtree" w:hAnsi="Figtree"/>
          <w:b w:val="0"/>
          <w:i w:val="0"/>
          <w:sz w:val="22"/>
        </w:rPr>
        <w:t>[Source: reusable/about-dalp.md; content/]</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DALP is the platform scope that SettleMint brings into the consortium.</w:t>
      </w:r>
    </w:p>
    <w:p>
      <w:pPr>
        <w:pStyle w:val="ListParagraph"/>
        <w:numPr>
          <w:ilvl w:val="1"/>
          <w:numId w:val="4"/>
        </w:numPr>
      </w:pPr>
      <w:r>
        <w:rPr>
          <w:rFonts w:ascii="Figtree" w:hAnsi="Figtree"/>
          <w:b w:val="0"/>
          <w:i w:val="0"/>
          <w:sz w:val="22"/>
        </w:rPr>
        <w:t>Show lifecycle breadth: tokenization, compliance, settlement, lifecycle servicing, identity, integration, and operability.</w:t>
      </w:r>
    </w:p>
    <w:p>
      <w:pPr>
        <w:pStyle w:val="ListParagraph"/>
        <w:numPr>
          <w:ilvl w:val="1"/>
          <w:numId w:val="4"/>
        </w:numPr>
      </w:pPr>
      <w:r>
        <w:rPr>
          <w:rFonts w:ascii="Figtree" w:hAnsi="Figtree"/>
          <w:b w:val="0"/>
          <w:i w:val="0"/>
          <w:sz w:val="22"/>
        </w:rPr>
        <w:t>Clarify that DALP is one part of the joint solution, not the whole programme on its own.</w:t>
      </w:r>
    </w:p>
    <w:p>
      <w:r>
        <w:rPr>
          <w:rFonts w:ascii="Figtree" w:hAnsi="Figtree"/>
          <w:b w:val="0"/>
          <w:i w:val="0"/>
          <w:sz w:val="22"/>
        </w:rPr>
        <w:t>]</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DALP lifecycle diagram.</w:t>
      </w:r>
    </w:p>
    <w:p>
      <w:pPr>
        <w:pStyle w:val="ListParagraph"/>
        <w:numPr>
          <w:ilvl w:val="1"/>
          <w:numId w:val="4"/>
        </w:numPr>
      </w:pPr>
      <w:r>
        <w:rPr>
          <w:rFonts w:ascii="Figtree" w:hAnsi="Figtree"/>
          <w:b w:val="0"/>
          <w:i w:val="0"/>
          <w:sz w:val="22"/>
        </w:rPr>
        <w:t>Capability matrix mapped to bid scope.</w:t>
      </w:r>
    </w:p>
    <w:p>
      <w:r>
        <w:rPr>
          <w:rFonts w:ascii="Figtree" w:hAnsi="Figtree"/>
          <w:b w:val="0"/>
          <w:i w:val="0"/>
          <w:sz w:val="22"/>
        </w:rPr>
        <w:t>]</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Focus on platform capabilities relevant to the consortium response.</w:t>
      </w:r>
    </w:p>
    <w:p>
      <w:pPr>
        <w:pStyle w:val="ListParagraph"/>
        <w:numPr>
          <w:ilvl w:val="1"/>
          <w:numId w:val="4"/>
        </w:numPr>
      </w:pPr>
      <w:r>
        <w:rPr>
          <w:rFonts w:ascii="Figtree" w:hAnsi="Figtree"/>
          <w:b w:val="0"/>
          <w:i w:val="0"/>
          <w:sz w:val="22"/>
        </w:rPr>
        <w:t>Mark interfaces and dependencies that connect to partner-owned domains.</w:t>
      </w:r>
    </w:p>
    <w:p>
      <w:r>
        <w:rPr>
          <w:rFonts w:ascii="Figtree" w:hAnsi="Figtree"/>
          <w:b w:val="0"/>
          <w:i w:val="0"/>
          <w:sz w:val="22"/>
        </w:rPr>
        <w:t>]</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Claim responsibility for partner-owned systems or workstreams.</w:t>
      </w:r>
    </w:p>
    <w:p>
      <w:r>
        <w:rPr>
          <w:rFonts w:ascii="Figtree" w:hAnsi="Figtree"/>
          <w:b w:val="0"/>
          <w:i w:val="0"/>
          <w:sz w:val="22"/>
        </w:rPr>
        <w:t>]</w:t>
      </w:r>
    </w:p>
    <w:p>
      <w:pPr>
        <w:pStyle w:val="ListParagraph"/>
        <w:numPr>
          <w:ilvl w:val="0"/>
          <w:numId w:val="4"/>
        </w:numPr>
      </w:pPr>
      <w:r>
        <w:rPr>
          <w:rFonts w:ascii="Figtree" w:hAnsi="Figtree"/>
          <w:b w:val="0"/>
          <w:i w:val="0"/>
          <w:sz w:val="22"/>
        </w:rPr>
        <w:t>[Partner input needed: no]</w:t>
      </w:r>
    </w:p>
    <w:p>
      <w:pPr>
        <w:pStyle w:val="H2"/>
        <w:numPr>
          <w:ilvl w:val="1"/>
          <w:numId w:val="1"/>
        </w:numPr>
      </w:pPr>
      <w:r>
        <w:t>About [Partner Name]</w:t>
      </w:r>
    </w:p>
    <w:p>
      <w:pPr>
        <w:pStyle w:val="ListParagraph"/>
        <w:numPr>
          <w:ilvl w:val="0"/>
          <w:numId w:val="4"/>
        </w:numPr>
      </w:pPr>
      <w:r>
        <w:rPr>
          <w:rFonts w:ascii="Figtree" w:hAnsi="Figtree"/>
          <w:b w:val="0"/>
          <w:i w:val="0"/>
          <w:sz w:val="22"/>
        </w:rPr>
        <w:t>[Target: 1200-1800 words]</w:t>
      </w:r>
    </w:p>
    <w:p>
      <w:pPr>
        <w:pStyle w:val="ListParagraph"/>
        <w:numPr>
          <w:ilvl w:val="0"/>
          <w:numId w:val="4"/>
        </w:numPr>
      </w:pPr>
      <w:r>
        <w:rPr>
          <w:rFonts w:ascii="Figtree" w:hAnsi="Figtree"/>
          <w:b w:val="0"/>
          <w:i w:val="0"/>
          <w:sz w:val="22"/>
        </w:rPr>
        <w:t>[Source: [PARTNER: corporate overview]; [PARTNER: service portfolio]; [PARTNER: certifications or credentials]; [PARTNER: relevant bid evidence]]</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Define who the partner is and why they belong in this consortium.</w:t>
      </w:r>
    </w:p>
    <w:p>
      <w:pPr>
        <w:pStyle w:val="ListParagraph"/>
        <w:numPr>
          <w:ilvl w:val="1"/>
          <w:numId w:val="4"/>
        </w:numPr>
      </w:pPr>
      <w:r>
        <w:rPr>
          <w:rFonts w:ascii="Figtree" w:hAnsi="Figtree"/>
          <w:b w:val="0"/>
          <w:i w:val="0"/>
          <w:sz w:val="22"/>
        </w:rPr>
        <w:t>Show their owned scope, delivery credibility, and bid relevance.</w:t>
      </w:r>
    </w:p>
    <w:p>
      <w:r>
        <w:rPr>
          <w:rFonts w:ascii="Figtree" w:hAnsi="Figtree"/>
          <w:b w:val="0"/>
          <w:i w:val="0"/>
          <w:sz w:val="22"/>
        </w:rPr>
        <w:t>]</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Partner facts table.</w:t>
      </w:r>
    </w:p>
    <w:p>
      <w:r>
        <w:rPr>
          <w:rFonts w:ascii="Figtree" w:hAnsi="Figtree"/>
          <w:b w:val="0"/>
          <w:i w:val="0"/>
          <w:sz w:val="22"/>
        </w:rPr>
        <w:t>]</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Use partner-provided content only.</w:t>
      </w:r>
    </w:p>
    <w:p>
      <w:pPr>
        <w:pStyle w:val="ListParagraph"/>
        <w:numPr>
          <w:ilvl w:val="1"/>
          <w:numId w:val="4"/>
        </w:numPr>
      </w:pPr>
      <w:r>
        <w:rPr>
          <w:rFonts w:ascii="Figtree" w:hAnsi="Figtree"/>
          <w:b w:val="0"/>
          <w:i w:val="0"/>
          <w:sz w:val="22"/>
        </w:rPr>
        <w:t>Keep structure parallel to About SettleMint where useful for evaluator readability.</w:t>
      </w:r>
    </w:p>
    <w:p>
      <w:r>
        <w:rPr>
          <w:rFonts w:ascii="Figtree" w:hAnsi="Figtree"/>
          <w:b w:val="0"/>
          <w:i w:val="0"/>
          <w:sz w:val="22"/>
        </w:rPr>
        <w:t>]</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Draft partner credentials without supplied evidence.</w:t>
      </w:r>
    </w:p>
    <w:p>
      <w:pPr>
        <w:pStyle w:val="ListParagraph"/>
        <w:numPr>
          <w:ilvl w:val="1"/>
          <w:numId w:val="4"/>
        </w:numPr>
      </w:pPr>
      <w:r>
        <w:rPr>
          <w:rFonts w:ascii="Figtree" w:hAnsi="Figtree"/>
          <w:b w:val="0"/>
          <w:i w:val="0"/>
          <w:sz w:val="22"/>
        </w:rPr>
        <w:t>Repackage SettleMint proof points as partner proof points.</w:t>
      </w:r>
    </w:p>
    <w:p>
      <w:r>
        <w:rPr>
          <w:rFonts w:ascii="Figtree" w:hAnsi="Figtree"/>
          <w:b w:val="0"/>
          <w:i w:val="0"/>
          <w:sz w:val="22"/>
        </w:rPr>
        <w:t>]</w:t>
      </w:r>
    </w:p>
    <w:p>
      <w:pPr>
        <w:pStyle w:val="ListParagraph"/>
        <w:numPr>
          <w:ilvl w:val="0"/>
          <w:numId w:val="4"/>
        </w:numPr>
      </w:pPr>
      <w:r>
        <w:rPr>
          <w:rFonts w:ascii="Figtree" w:hAnsi="Figtree"/>
          <w:b w:val="0"/>
          <w:i w:val="0"/>
          <w:sz w:val="22"/>
        </w:rPr>
        <w:t>[Partner input needed: yes]</w:t>
      </w:r>
    </w:p>
    <w:p>
      <w:pPr>
        <w:pStyle w:val="H2"/>
        <w:numPr>
          <w:ilvl w:val="1"/>
          <w:numId w:val="1"/>
        </w:numPr>
      </w:pPr>
      <w:r>
        <w:t>Customer References — SettleMint</w:t>
      </w:r>
    </w:p>
    <w:p>
      <w:pPr>
        <w:pStyle w:val="ListParagraph"/>
        <w:numPr>
          <w:ilvl w:val="0"/>
          <w:numId w:val="4"/>
        </w:numPr>
      </w:pPr>
      <w:r>
        <w:rPr>
          <w:rFonts w:ascii="Figtree" w:hAnsi="Figtree"/>
          <w:b w:val="0"/>
          <w:i w:val="0"/>
          <w:sz w:val="22"/>
        </w:rPr>
        <w:t>[Target: 1200-1800 words]</w:t>
      </w:r>
    </w:p>
    <w:p>
      <w:pPr>
        <w:pStyle w:val="ListParagraph"/>
        <w:numPr>
          <w:ilvl w:val="0"/>
          <w:numId w:val="4"/>
        </w:numPr>
      </w:pPr>
      <w:r>
        <w:rPr>
          <w:rFonts w:ascii="Figtree" w:hAnsi="Figtree"/>
          <w:b w:val="0"/>
          <w:i w:val="0"/>
          <w:sz w:val="22"/>
        </w:rPr>
        <w:t>[Source: reusable/reference-projects.md]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Demonstrate reference fit for SettleMint-owned scope.</w:t>
      </w:r>
    </w:p>
    <w:p>
      <w:pPr>
        <w:pStyle w:val="ListParagraph"/>
        <w:numPr>
          <w:ilvl w:val="1"/>
          <w:numId w:val="4"/>
        </w:numPr>
      </w:pPr>
      <w:r>
        <w:rPr>
          <w:rFonts w:ascii="Figtree" w:hAnsi="Figtree"/>
          <w:b w:val="0"/>
          <w:i w:val="0"/>
          <w:sz w:val="22"/>
        </w:rPr>
        <w:t>Prioritize relevance by asset class, buyer type, deployment model, regulatory setting, and integration complexity.</w:t>
      </w:r>
    </w:p>
    <w:p>
      <w:r>
        <w:rPr>
          <w:rFonts w:ascii="Figtree" w:hAnsi="Figtree"/>
          <w:b w:val="0"/>
          <w:i w:val="0"/>
          <w:sz w:val="22"/>
        </w:rPr>
        <w:t>]</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Reference summary table.</w:t>
      </w:r>
    </w:p>
    <w:p>
      <w:pPr>
        <w:pStyle w:val="ListParagraph"/>
        <w:numPr>
          <w:ilvl w:val="1"/>
          <w:numId w:val="4"/>
        </w:numPr>
      </w:pPr>
      <w:r>
        <w:rPr>
          <w:rFonts w:ascii="Figtree" w:hAnsi="Figtree"/>
          <w:b w:val="0"/>
          <w:i w:val="0"/>
          <w:sz w:val="22"/>
        </w:rPr>
        <w:t>Optional relevance map.</w:t>
      </w:r>
    </w:p>
    <w:p>
      <w:r>
        <w:rPr>
          <w:rFonts w:ascii="Figtree" w:hAnsi="Figtree"/>
          <w:b w:val="0"/>
          <w:i w:val="0"/>
          <w:sz w:val="22"/>
        </w:rPr>
        <w:t>]</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Select references that strengthen the exact DALP scope in the bid.</w:t>
      </w:r>
    </w:p>
    <w:p>
      <w:pPr>
        <w:pStyle w:val="ListParagraph"/>
        <w:numPr>
          <w:ilvl w:val="1"/>
          <w:numId w:val="4"/>
        </w:numPr>
      </w:pPr>
      <w:r>
        <w:rPr>
          <w:rFonts w:ascii="Figtree" w:hAnsi="Figtree"/>
          <w:b w:val="0"/>
          <w:i w:val="0"/>
          <w:sz w:val="22"/>
        </w:rPr>
        <w:t>Distinguish between production, pilot, and programme stages if source material does.</w:t>
      </w:r>
    </w:p>
    <w:p>
      <w:r>
        <w:rPr>
          <w:rFonts w:ascii="Figtree" w:hAnsi="Figtree"/>
          <w:b w:val="0"/>
          <w:i w:val="0"/>
          <w:sz w:val="22"/>
        </w:rPr>
        <w:t>]</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Include references that are not in approved source material.</w:t>
      </w:r>
    </w:p>
    <w:p>
      <w:r>
        <w:rPr>
          <w:rFonts w:ascii="Figtree" w:hAnsi="Figtree"/>
          <w:b w:val="0"/>
          <w:i w:val="0"/>
          <w:sz w:val="22"/>
        </w:rPr>
        <w:t>]</w:t>
      </w:r>
    </w:p>
    <w:p>
      <w:pPr>
        <w:pStyle w:val="ListParagraph"/>
        <w:numPr>
          <w:ilvl w:val="0"/>
          <w:numId w:val="4"/>
        </w:numPr>
      </w:pPr>
      <w:r>
        <w:rPr>
          <w:rFonts w:ascii="Figtree" w:hAnsi="Figtree"/>
          <w:b w:val="0"/>
          <w:i w:val="0"/>
          <w:sz w:val="22"/>
        </w:rPr>
        <w:t>[Partner input needed: no]</w:t>
      </w:r>
    </w:p>
    <w:p>
      <w:pPr>
        <w:pStyle w:val="H2"/>
        <w:numPr>
          <w:ilvl w:val="1"/>
          <w:numId w:val="1"/>
        </w:numPr>
      </w:pPr>
      <w:r>
        <w:t>Customer References — [Partner]</w:t>
      </w:r>
    </w:p>
    <w:p>
      <w:pPr>
        <w:pStyle w:val="ListParagraph"/>
        <w:numPr>
          <w:ilvl w:val="0"/>
          <w:numId w:val="4"/>
        </w:numPr>
      </w:pPr>
      <w:r>
        <w:rPr>
          <w:rFonts w:ascii="Figtree" w:hAnsi="Figtree"/>
          <w:b w:val="0"/>
          <w:i w:val="0"/>
          <w:sz w:val="22"/>
        </w:rPr>
        <w:t>[Target: 1000-1600 words]</w:t>
      </w:r>
    </w:p>
    <w:p>
      <w:pPr>
        <w:pStyle w:val="ListParagraph"/>
        <w:numPr>
          <w:ilvl w:val="0"/>
          <w:numId w:val="4"/>
        </w:numPr>
      </w:pPr>
      <w:r>
        <w:rPr>
          <w:rFonts w:ascii="Figtree" w:hAnsi="Figtree"/>
          <w:b w:val="0"/>
          <w:i w:val="0"/>
          <w:sz w:val="22"/>
        </w:rPr>
        <w:t>[Source: [PARTNER: reference list]; [PARTNER: case studies]; [PARTNER: approvals for use]]</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Demonstrate reference fit for partner-owned scope.</w:t>
      </w:r>
    </w:p>
    <w:p>
      <w:pPr>
        <w:pStyle w:val="ListParagraph"/>
        <w:numPr>
          <w:ilvl w:val="1"/>
          <w:numId w:val="4"/>
        </w:numPr>
      </w:pPr>
      <w:r>
        <w:rPr>
          <w:rFonts w:ascii="Figtree" w:hAnsi="Figtree"/>
          <w:b w:val="0"/>
          <w:i w:val="0"/>
          <w:sz w:val="22"/>
        </w:rPr>
        <w:t>Show relevance to industry, delivery scale, and adjacent system domains.</w:t>
      </w:r>
    </w:p>
    <w:p>
      <w:r>
        <w:rPr>
          <w:rFonts w:ascii="Figtree" w:hAnsi="Figtree"/>
          <w:b w:val="0"/>
          <w:i w:val="0"/>
          <w:sz w:val="22"/>
        </w:rPr>
        <w:t>]</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Partner reference table.</w:t>
      </w:r>
    </w:p>
    <w:p>
      <w:r>
        <w:rPr>
          <w:rFonts w:ascii="Figtree" w:hAnsi="Figtree"/>
          <w:b w:val="0"/>
          <w:i w:val="0"/>
          <w:sz w:val="22"/>
        </w:rPr>
        <w:t>]</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Require partner to provide approval status, customer names or anonymized labels, scope, geography, and role.</w:t>
      </w:r>
    </w:p>
    <w:p>
      <w:r>
        <w:rPr>
          <w:rFonts w:ascii="Figtree" w:hAnsi="Figtree"/>
          <w:b w:val="0"/>
          <w:i w:val="0"/>
          <w:sz w:val="22"/>
        </w:rPr>
        <w:t>]</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Draft placeholder references as if they are real.</w:t>
      </w:r>
    </w:p>
    <w:p>
      <w:r>
        <w:rPr>
          <w:rFonts w:ascii="Figtree" w:hAnsi="Figtree"/>
          <w:b w:val="0"/>
          <w:i w:val="0"/>
          <w:sz w:val="22"/>
        </w:rPr>
        <w:t>]</w:t>
      </w:r>
    </w:p>
    <w:p>
      <w:pPr>
        <w:pStyle w:val="ListParagraph"/>
        <w:numPr>
          <w:ilvl w:val="0"/>
          <w:numId w:val="4"/>
        </w:numPr>
      </w:pPr>
      <w:r>
        <w:rPr>
          <w:rFonts w:ascii="Figtree" w:hAnsi="Figtree"/>
          <w:b w:val="0"/>
          <w:i w:val="0"/>
          <w:sz w:val="22"/>
        </w:rPr>
        <w:t>[Partner input needed: yes]</w:t>
      </w:r>
    </w:p>
    <w:p>
      <w:pPr>
        <w:pStyle w:val="H2"/>
        <w:numPr>
          <w:ilvl w:val="1"/>
          <w:numId w:val="1"/>
        </w:numPr>
      </w:pPr>
      <w:r>
        <w:t>Joint Customer References</w:t>
      </w:r>
    </w:p>
    <w:p>
      <w:pPr>
        <w:pStyle w:val="ListParagraph"/>
        <w:numPr>
          <w:ilvl w:val="0"/>
          <w:numId w:val="4"/>
        </w:numPr>
      </w:pPr>
      <w:r>
        <w:rPr>
          <w:rFonts w:ascii="Figtree" w:hAnsi="Figtree"/>
          <w:b w:val="0"/>
          <w:i w:val="0"/>
          <w:sz w:val="22"/>
        </w:rPr>
        <w:t>[Target: 500-900 words]</w:t>
      </w:r>
    </w:p>
    <w:p>
      <w:pPr>
        <w:pStyle w:val="ListParagraph"/>
        <w:numPr>
          <w:ilvl w:val="0"/>
          <w:numId w:val="4"/>
        </w:numPr>
      </w:pPr>
      <w:r>
        <w:rPr>
          <w:rFonts w:ascii="Figtree" w:hAnsi="Figtree"/>
          <w:b w:val="0"/>
          <w:i w:val="0"/>
          <w:sz w:val="22"/>
        </w:rPr>
        <w:t>[Source: [PARTNER: joint reference details if any]; reusable/reference-projects.md]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Only include if genuine joint engagements exist.</w:t>
      </w:r>
    </w:p>
    <w:p>
      <w:pPr>
        <w:pStyle w:val="ListParagraph"/>
        <w:numPr>
          <w:ilvl w:val="1"/>
          <w:numId w:val="4"/>
        </w:numPr>
      </w:pPr>
      <w:r>
        <w:rPr>
          <w:rFonts w:ascii="Figtree" w:hAnsi="Figtree"/>
          <w:b w:val="0"/>
          <w:i w:val="0"/>
          <w:sz w:val="22"/>
        </w:rPr>
        <w:t>Show proof that the two organizations can deliver together, not just separately.</w:t>
      </w:r>
    </w:p>
    <w:p>
      <w:r>
        <w:rPr>
          <w:rFonts w:ascii="Figtree" w:hAnsi="Figtree"/>
          <w:b w:val="0"/>
          <w:i w:val="0"/>
          <w:sz w:val="22"/>
        </w:rPr>
        <w:t>]</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Joint reference snapshot table with columns: Client | Combined scope | SettleMint role | Partner role | Outcome relevance.</w:t>
      </w:r>
    </w:p>
    <w:p>
      <w:r>
        <w:rPr>
          <w:rFonts w:ascii="Figtree" w:hAnsi="Figtree"/>
          <w:b w:val="0"/>
          <w:i w:val="0"/>
          <w:sz w:val="22"/>
        </w:rPr>
        <w:t>]</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If no joint references exist, replace with an instruction note to use “No existing joint references available; rely on separate references plus joint governance/implementation proof.”</w:t>
      </w:r>
    </w:p>
    <w:p>
      <w:r>
        <w:rPr>
          <w:rFonts w:ascii="Figtree" w:hAnsi="Figtree"/>
          <w:b w:val="0"/>
          <w:i w:val="0"/>
          <w:sz w:val="22"/>
        </w:rPr>
        <w:t>]</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Force a joint-reference story where none exists.</w:t>
      </w:r>
    </w:p>
    <w:p>
      <w:r>
        <w:rPr>
          <w:rFonts w:ascii="Figtree" w:hAnsi="Figtree"/>
          <w:b w:val="0"/>
          <w:i w:val="0"/>
          <w:sz w:val="22"/>
        </w:rPr>
        <w:t>]</w:t>
      </w:r>
    </w:p>
    <w:p>
      <w:pPr>
        <w:pStyle w:val="ListParagraph"/>
        <w:numPr>
          <w:ilvl w:val="0"/>
          <w:numId w:val="4"/>
        </w:numPr>
      </w:pPr>
      <w:r>
        <w:rPr>
          <w:rFonts w:ascii="Figtree" w:hAnsi="Figtree"/>
          <w:b w:val="0"/>
          <w:i w:val="0"/>
          <w:sz w:val="22"/>
        </w:rPr>
        <w:t>[Partner input needed: yes]</w:t>
      </w:r>
    </w:p>
    <w:p>
      <w:pPr>
        <w:pStyle w:val="H2"/>
        <w:numPr>
          <w:ilvl w:val="1"/>
          <w:numId w:val="1"/>
        </w:numPr>
      </w:pPr>
      <w:r>
        <w:t>Understanding of Requirements</w:t>
      </w:r>
    </w:p>
    <w:p>
      <w:pPr>
        <w:pStyle w:val="ListParagraph"/>
        <w:numPr>
          <w:ilvl w:val="0"/>
          <w:numId w:val="4"/>
        </w:numPr>
      </w:pPr>
      <w:r>
        <w:rPr>
          <w:rFonts w:ascii="Figtree" w:hAnsi="Figtree"/>
          <w:b w:val="0"/>
          <w:i w:val="0"/>
          <w:sz w:val="22"/>
        </w:rPr>
        <w:t>[Target: 1600-2400 words]</w:t>
      </w:r>
    </w:p>
    <w:p>
      <w:pPr>
        <w:pStyle w:val="ListParagraph"/>
        <w:numPr>
          <w:ilvl w:val="0"/>
          <w:numId w:val="4"/>
        </w:numPr>
      </w:pPr>
      <w:r>
        <w:rPr>
          <w:rFonts w:ascii="Figtree" w:hAnsi="Figtree"/>
          <w:b w:val="0"/>
          <w:i w:val="0"/>
          <w:sz w:val="22"/>
        </w:rPr>
        <w:t>[Source: content/; [PARTNER: requirement interpretation notes]; [PARTNER: scope assumptions]]</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Show a joint understanding of the buyer's business, technical, operational, and regulatory challenge.</w:t>
      </w:r>
    </w:p>
    <w:p>
      <w:pPr>
        <w:pStyle w:val="ListParagraph"/>
        <w:numPr>
          <w:ilvl w:val="1"/>
          <w:numId w:val="4"/>
        </w:numPr>
      </w:pPr>
      <w:r>
        <w:rPr>
          <w:rFonts w:ascii="Figtree" w:hAnsi="Figtree"/>
          <w:b w:val="0"/>
          <w:i w:val="0"/>
          <w:sz w:val="22"/>
        </w:rPr>
        <w:t>Frame the requirement set in a way that naturally leads to the responsibility split.</w:t>
      </w:r>
    </w:p>
    <w:p>
      <w:r>
        <w:rPr>
          <w:rFonts w:ascii="Figtree" w:hAnsi="Figtree"/>
          <w:b w:val="0"/>
          <w:i w:val="0"/>
          <w:sz w:val="22"/>
        </w:rPr>
        <w:t>]</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Requirement theme summary table.</w:t>
      </w:r>
    </w:p>
    <w:p>
      <w:pPr>
        <w:pStyle w:val="ListParagraph"/>
        <w:numPr>
          <w:ilvl w:val="1"/>
          <w:numId w:val="4"/>
        </w:numPr>
      </w:pPr>
      <w:r>
        <w:rPr>
          <w:rFonts w:ascii="Figtree" w:hAnsi="Figtree"/>
          <w:b w:val="0"/>
          <w:i w:val="0"/>
          <w:sz w:val="22"/>
        </w:rPr>
        <w:t>Optional challenge-to-response map.</w:t>
      </w:r>
    </w:p>
    <w:p>
      <w:r>
        <w:rPr>
          <w:rFonts w:ascii="Figtree" w:hAnsi="Figtree"/>
          <w:b w:val="0"/>
          <w:i w:val="0"/>
          <w:sz w:val="22"/>
        </w:rPr>
        <w:t>]</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Organize around requirement domains rather than internal teams.</w:t>
      </w:r>
    </w:p>
    <w:p>
      <w:pPr>
        <w:pStyle w:val="ListParagraph"/>
        <w:numPr>
          <w:ilvl w:val="1"/>
          <w:numId w:val="4"/>
        </w:numPr>
      </w:pPr>
      <w:r>
        <w:rPr>
          <w:rFonts w:ascii="Figtree" w:hAnsi="Figtree"/>
          <w:b w:val="0"/>
          <w:i w:val="0"/>
          <w:sz w:val="22"/>
        </w:rPr>
        <w:t>Mark where a requirement is primarily SettleMint-led, partner-led, or joint.</w:t>
      </w:r>
    </w:p>
    <w:p>
      <w:r>
        <w:rPr>
          <w:rFonts w:ascii="Figtree" w:hAnsi="Figtree"/>
          <w:b w:val="0"/>
          <w:i w:val="0"/>
          <w:sz w:val="22"/>
        </w:rPr>
        <w:t>]</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Copy the RFP text verbatim.</w:t>
      </w:r>
    </w:p>
    <w:p>
      <w:pPr>
        <w:pStyle w:val="ListParagraph"/>
        <w:numPr>
          <w:ilvl w:val="1"/>
          <w:numId w:val="4"/>
        </w:numPr>
      </w:pPr>
      <w:r>
        <w:rPr>
          <w:rFonts w:ascii="Figtree" w:hAnsi="Figtree"/>
          <w:b w:val="0"/>
          <w:i w:val="0"/>
          <w:sz w:val="22"/>
        </w:rPr>
        <w:t>Discuss solution design before showing requirement understanding.</w:t>
      </w:r>
    </w:p>
    <w:p>
      <w:r>
        <w:rPr>
          <w:rFonts w:ascii="Figtree" w:hAnsi="Figtree"/>
          <w:b w:val="0"/>
          <w:i w:val="0"/>
          <w:sz w:val="22"/>
        </w:rPr>
        <w:t>]</w:t>
      </w:r>
    </w:p>
    <w:p>
      <w:pPr>
        <w:pStyle w:val="ListParagraph"/>
        <w:numPr>
          <w:ilvl w:val="0"/>
          <w:numId w:val="4"/>
        </w:numPr>
      </w:pPr>
      <w:r>
        <w:rPr>
          <w:rFonts w:ascii="Figtree" w:hAnsi="Figtree"/>
          <w:b w:val="0"/>
          <w:i w:val="0"/>
          <w:sz w:val="22"/>
        </w:rPr>
        <w:t>[Partner input needed: yes]</w:t>
      </w:r>
    </w:p>
    <w:p>
      <w:pPr>
        <w:pStyle w:val="H2"/>
        <w:numPr>
          <w:ilvl w:val="1"/>
          <w:numId w:val="1"/>
        </w:numPr>
      </w:pPr>
      <w:r>
        <w:t>Responsibility Matrix</w:t>
      </w:r>
    </w:p>
    <w:p>
      <w:pPr>
        <w:pStyle w:val="ListParagraph"/>
        <w:numPr>
          <w:ilvl w:val="0"/>
          <w:numId w:val="4"/>
        </w:numPr>
      </w:pPr>
      <w:r>
        <w:rPr>
          <w:rFonts w:ascii="Figtree" w:hAnsi="Figtree"/>
          <w:b w:val="0"/>
          <w:i w:val="0"/>
          <w:sz w:val="22"/>
        </w:rPr>
        <w:t>[Target: 1800-2600 words]</w:t>
      </w:r>
    </w:p>
    <w:p>
      <w:pPr>
        <w:pStyle w:val="ListParagraph"/>
        <w:numPr>
          <w:ilvl w:val="0"/>
          <w:numId w:val="4"/>
        </w:numPr>
      </w:pPr>
      <w:r>
        <w:rPr>
          <w:rFonts w:ascii="Figtree" w:hAnsi="Figtree"/>
          <w:b w:val="0"/>
          <w:i w:val="0"/>
          <w:sz w:val="22"/>
        </w:rPr>
        <w:t>[Source: content/; reusable/about-dalp.md; [PARTNER: owned-scope list]; [PARTNER: scope exclusions]; [PARTNER: assumptions]]</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This is the core control section of a joint response.</w:t>
      </w:r>
    </w:p>
    <w:p>
      <w:pPr>
        <w:pStyle w:val="ListParagraph"/>
        <w:numPr>
          <w:ilvl w:val="1"/>
          <w:numId w:val="4"/>
        </w:numPr>
      </w:pPr>
      <w:r>
        <w:rPr>
          <w:rFonts w:ascii="Figtree" w:hAnsi="Figtree"/>
          <w:b w:val="0"/>
          <w:i w:val="0"/>
          <w:sz w:val="22"/>
        </w:rPr>
        <w:t>Every major requirement area must show ownership and shared boundaries.</w:t>
      </w:r>
    </w:p>
    <w:p>
      <w:pPr>
        <w:pStyle w:val="ListParagraph"/>
        <w:numPr>
          <w:ilvl w:val="1"/>
          <w:numId w:val="4"/>
        </w:numPr>
      </w:pPr>
      <w:r>
        <w:rPr>
          <w:rFonts w:ascii="Figtree" w:hAnsi="Figtree"/>
          <w:b w:val="0"/>
          <w:i w:val="0"/>
          <w:sz w:val="22"/>
        </w:rPr>
        <w:t>Evaluators should be able to see who is accountable without reading the rest of the document.</w:t>
      </w:r>
    </w:p>
    <w:p>
      <w:r>
        <w:rPr>
          <w:rFonts w:ascii="Figtree" w:hAnsi="Figtree"/>
          <w:b w:val="0"/>
          <w:i w:val="0"/>
          <w:sz w:val="22"/>
        </w:rPr>
        <w:t>]</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Table with columns: RFP Requirement Area | SettleMint Scope | Partner Scope | Joint/Shared | Notes.</w:t>
      </w:r>
    </w:p>
    <w:p>
      <w:r>
        <w:rPr>
          <w:rFonts w:ascii="Figtree" w:hAnsi="Figtree"/>
          <w:b w:val="0"/>
          <w:i w:val="0"/>
          <w:sz w:val="22"/>
        </w:rPr>
        <w:t>]</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Cover all requirement domains from the RFP, including cross-cutting functions such as security, integration, testing, training, support, governance, and compliance.</w:t>
      </w:r>
    </w:p>
    <w:p>
      <w:pPr>
        <w:pStyle w:val="ListParagraph"/>
        <w:numPr>
          <w:ilvl w:val="1"/>
          <w:numId w:val="4"/>
        </w:numPr>
      </w:pPr>
      <w:r>
        <w:rPr>
          <w:rFonts w:ascii="Figtree" w:hAnsi="Figtree"/>
          <w:b w:val="0"/>
          <w:i w:val="0"/>
          <w:sz w:val="22"/>
        </w:rPr>
        <w:t>Add explicit notes for handoff points, dependencies, and exclusions.</w:t>
      </w:r>
    </w:p>
    <w:p>
      <w:pPr>
        <w:pStyle w:val="ListParagraph"/>
        <w:numPr>
          <w:ilvl w:val="1"/>
          <w:numId w:val="4"/>
        </w:numPr>
      </w:pPr>
      <w:r>
        <w:rPr>
          <w:rFonts w:ascii="Figtree" w:hAnsi="Figtree"/>
          <w:b w:val="0"/>
          <w:i w:val="0"/>
          <w:sz w:val="22"/>
        </w:rPr>
        <w:t>Use a consistent legend if status codes are added.</w:t>
      </w:r>
    </w:p>
    <w:p>
      <w:r>
        <w:rPr>
          <w:rFonts w:ascii="Figtree" w:hAnsi="Figtree"/>
          <w:b w:val="0"/>
          <w:i w:val="0"/>
          <w:sz w:val="22"/>
        </w:rPr>
        <w:t>]</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Leave ambiguous “shared” ownership without clarifying who leads.</w:t>
      </w:r>
    </w:p>
    <w:p>
      <w:pPr>
        <w:pStyle w:val="ListParagraph"/>
        <w:numPr>
          <w:ilvl w:val="1"/>
          <w:numId w:val="4"/>
        </w:numPr>
      </w:pPr>
      <w:r>
        <w:rPr>
          <w:rFonts w:ascii="Figtree" w:hAnsi="Figtree"/>
          <w:b w:val="0"/>
          <w:i w:val="0"/>
          <w:sz w:val="22"/>
        </w:rPr>
        <w:t>Hide scope exclusions.</w:t>
      </w:r>
    </w:p>
    <w:p>
      <w:r>
        <w:rPr>
          <w:rFonts w:ascii="Figtree" w:hAnsi="Figtree"/>
          <w:b w:val="0"/>
          <w:i w:val="0"/>
          <w:sz w:val="22"/>
        </w:rPr>
        <w:t>]</w:t>
      </w:r>
    </w:p>
    <w:p>
      <w:pPr>
        <w:pStyle w:val="ListParagraph"/>
        <w:numPr>
          <w:ilvl w:val="0"/>
          <w:numId w:val="4"/>
        </w:numPr>
      </w:pPr>
      <w:r>
        <w:rPr>
          <w:rFonts w:ascii="Figtree" w:hAnsi="Figtree"/>
          <w:b w:val="0"/>
          <w:i w:val="0"/>
          <w:sz w:val="22"/>
        </w:rPr>
        <w:t>[Partner input needed: yes]</w:t>
      </w:r>
    </w:p>
    <w:p>
      <w:pPr>
        <w:pStyle w:val="H2"/>
        <w:numPr>
          <w:ilvl w:val="1"/>
          <w:numId w:val="1"/>
        </w:numPr>
      </w:pPr>
      <w:r>
        <w:t>SettleMint Solution Scope</w:t>
      </w:r>
    </w:p>
    <w:p>
      <w:pPr>
        <w:pStyle w:val="ListParagraph"/>
        <w:numPr>
          <w:ilvl w:val="0"/>
          <w:numId w:val="4"/>
        </w:numPr>
      </w:pPr>
      <w:r>
        <w:rPr>
          <w:rFonts w:ascii="Figtree" w:hAnsi="Figtree"/>
          <w:b w:val="0"/>
          <w:i w:val="0"/>
          <w:sz w:val="22"/>
        </w:rPr>
        <w:t>[Target: 1800-2600 words]</w:t>
      </w:r>
    </w:p>
    <w:p>
      <w:pPr>
        <w:pStyle w:val="ListParagraph"/>
        <w:numPr>
          <w:ilvl w:val="0"/>
          <w:numId w:val="4"/>
        </w:numPr>
      </w:pPr>
      <w:r>
        <w:rPr>
          <w:rFonts w:ascii="Figtree" w:hAnsi="Figtree"/>
          <w:b w:val="0"/>
          <w:i w:val="0"/>
          <w:sz w:val="22"/>
        </w:rPr>
        <w:t>[Source: reusable/about-dalp.md; content/]</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Define what DALP delivers in this joint response.</w:t>
      </w:r>
    </w:p>
    <w:p>
      <w:pPr>
        <w:pStyle w:val="ListParagraph"/>
        <w:numPr>
          <w:ilvl w:val="1"/>
          <w:numId w:val="4"/>
        </w:numPr>
      </w:pPr>
      <w:r>
        <w:rPr>
          <w:rFonts w:ascii="Figtree" w:hAnsi="Figtree"/>
          <w:b w:val="0"/>
          <w:i w:val="0"/>
          <w:sz w:val="22"/>
        </w:rPr>
        <w:t>Cover tokenization, compliance, settlement, lifecycle servicing, identity-related controls, and integration-facing capabilities.</w:t>
      </w:r>
    </w:p>
    <w:p>
      <w:pPr>
        <w:pStyle w:val="ListParagraph"/>
        <w:numPr>
          <w:ilvl w:val="1"/>
          <w:numId w:val="4"/>
        </w:numPr>
      </w:pPr>
      <w:r>
        <w:rPr>
          <w:rFonts w:ascii="Figtree" w:hAnsi="Figtree"/>
          <w:b w:val="0"/>
          <w:i w:val="0"/>
          <w:sz w:val="22"/>
        </w:rPr>
        <w:t>Show how SettleMint scope connects to—but does not replace—partner scope.</w:t>
      </w:r>
    </w:p>
    <w:p>
      <w:r>
        <w:rPr>
          <w:rFonts w:ascii="Figtree" w:hAnsi="Figtree"/>
          <w:b w:val="0"/>
          <w:i w:val="0"/>
          <w:sz w:val="22"/>
        </w:rPr>
        <w:t>]</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DALP scope matrix mapped to buyer capabilities.</w:t>
      </w:r>
    </w:p>
    <w:p>
      <w:r>
        <w:rPr>
          <w:rFonts w:ascii="Figtree" w:hAnsi="Figtree"/>
          <w:b w:val="0"/>
          <w:i w:val="0"/>
          <w:sz w:val="22"/>
        </w:rPr>
        <w:t>]</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Organize by platform capability domain.</w:t>
      </w:r>
    </w:p>
    <w:p>
      <w:pPr>
        <w:pStyle w:val="ListParagraph"/>
        <w:numPr>
          <w:ilvl w:val="1"/>
          <w:numId w:val="4"/>
        </w:numPr>
      </w:pPr>
      <w:r>
        <w:rPr>
          <w:rFonts w:ascii="Figtree" w:hAnsi="Figtree"/>
          <w:b w:val="0"/>
          <w:i w:val="0"/>
          <w:sz w:val="22"/>
        </w:rPr>
        <w:t>Add explicit interface notes wherever the partner system becomes the source, destination, or control boundary.</w:t>
      </w:r>
    </w:p>
    <w:p>
      <w:r>
        <w:rPr>
          <w:rFonts w:ascii="Figtree" w:hAnsi="Figtree"/>
          <w:b w:val="0"/>
          <w:i w:val="0"/>
          <w:sz w:val="22"/>
        </w:rPr>
        <w:t>]</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Present DALP as the solution for non-DALP workstreams.</w:t>
      </w:r>
    </w:p>
    <w:p>
      <w:r>
        <w:rPr>
          <w:rFonts w:ascii="Figtree" w:hAnsi="Figtree"/>
          <w:b w:val="0"/>
          <w:i w:val="0"/>
          <w:sz w:val="22"/>
        </w:rPr>
        <w:t>]</w:t>
      </w:r>
    </w:p>
    <w:p>
      <w:pPr>
        <w:pStyle w:val="ListParagraph"/>
        <w:numPr>
          <w:ilvl w:val="0"/>
          <w:numId w:val="4"/>
        </w:numPr>
      </w:pPr>
      <w:r>
        <w:rPr>
          <w:rFonts w:ascii="Figtree" w:hAnsi="Figtree"/>
          <w:b w:val="0"/>
          <w:i w:val="0"/>
          <w:sz w:val="22"/>
        </w:rPr>
        <w:t>[Partner input needed: no]</w:t>
      </w:r>
    </w:p>
    <w:p>
      <w:pPr>
        <w:pStyle w:val="H2"/>
        <w:numPr>
          <w:ilvl w:val="1"/>
          <w:numId w:val="1"/>
        </w:numPr>
      </w:pPr>
      <w:r>
        <w:t>Partner Solution Scope</w:t>
      </w:r>
    </w:p>
    <w:p>
      <w:pPr>
        <w:pStyle w:val="ListParagraph"/>
        <w:numPr>
          <w:ilvl w:val="0"/>
          <w:numId w:val="4"/>
        </w:numPr>
      </w:pPr>
      <w:r>
        <w:rPr>
          <w:rFonts w:ascii="Figtree" w:hAnsi="Figtree"/>
          <w:b w:val="0"/>
          <w:i w:val="0"/>
          <w:sz w:val="22"/>
        </w:rPr>
        <w:t>[Target: 1600-2400 words]</w:t>
      </w:r>
    </w:p>
    <w:p>
      <w:pPr>
        <w:pStyle w:val="ListParagraph"/>
        <w:numPr>
          <w:ilvl w:val="0"/>
          <w:numId w:val="4"/>
        </w:numPr>
      </w:pPr>
      <w:r>
        <w:rPr>
          <w:rFonts w:ascii="Figtree" w:hAnsi="Figtree"/>
          <w:b w:val="0"/>
          <w:i w:val="0"/>
          <w:sz w:val="22"/>
        </w:rPr>
        <w:t>[Source: [PARTNER: scope description]; [PARTNER: architecture inputs]; [PARTNER: service model]]</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Define partner-owned solution domains and service responsibilities.</w:t>
      </w:r>
    </w:p>
    <w:p>
      <w:pPr>
        <w:pStyle w:val="ListParagraph"/>
        <w:numPr>
          <w:ilvl w:val="1"/>
          <w:numId w:val="4"/>
        </w:numPr>
      </w:pPr>
      <w:r>
        <w:rPr>
          <w:rFonts w:ascii="Figtree" w:hAnsi="Figtree"/>
          <w:b w:val="0"/>
          <w:i w:val="0"/>
          <w:sz w:val="22"/>
        </w:rPr>
        <w:t>Show how partner scope complements SettleMint scope without overlap confusion.</w:t>
      </w:r>
    </w:p>
    <w:p>
      <w:r>
        <w:rPr>
          <w:rFonts w:ascii="Figtree" w:hAnsi="Figtree"/>
          <w:b w:val="0"/>
          <w:i w:val="0"/>
          <w:sz w:val="22"/>
        </w:rPr>
        <w:t>]</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Partner scope matrix mapped to buyer capabilities.</w:t>
      </w:r>
    </w:p>
    <w:p>
      <w:r>
        <w:rPr>
          <w:rFonts w:ascii="Figtree" w:hAnsi="Figtree"/>
          <w:b w:val="0"/>
          <w:i w:val="0"/>
          <w:sz w:val="22"/>
        </w:rPr>
        <w:t>]</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Require partner to state owned systems, owned outcomes, key interfaces, major assumptions, and out-of-scope items.</w:t>
      </w:r>
    </w:p>
    <w:p>
      <w:r>
        <w:rPr>
          <w:rFonts w:ascii="Figtree" w:hAnsi="Figtree"/>
          <w:b w:val="0"/>
          <w:i w:val="0"/>
          <w:sz w:val="22"/>
        </w:rPr>
        <w:t>]</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Write technical or delivery claims without partner-supplied evidence.</w:t>
      </w:r>
    </w:p>
    <w:p>
      <w:r>
        <w:rPr>
          <w:rFonts w:ascii="Figtree" w:hAnsi="Figtree"/>
          <w:b w:val="0"/>
          <w:i w:val="0"/>
          <w:sz w:val="22"/>
        </w:rPr>
        <w:t>]</w:t>
      </w:r>
    </w:p>
    <w:p>
      <w:pPr>
        <w:pStyle w:val="ListParagraph"/>
        <w:numPr>
          <w:ilvl w:val="0"/>
          <w:numId w:val="4"/>
        </w:numPr>
      </w:pPr>
      <w:r>
        <w:rPr>
          <w:rFonts w:ascii="Figtree" w:hAnsi="Figtree"/>
          <w:b w:val="0"/>
          <w:i w:val="0"/>
          <w:sz w:val="22"/>
        </w:rPr>
        <w:t>[Partner input needed: yes]</w:t>
      </w:r>
    </w:p>
    <w:p>
      <w:pPr>
        <w:pStyle w:val="H2"/>
        <w:numPr>
          <w:ilvl w:val="1"/>
          <w:numId w:val="1"/>
        </w:numPr>
      </w:pPr>
      <w:r>
        <w:t>Joint Solution Architecture</w:t>
      </w:r>
    </w:p>
    <w:p>
      <w:pPr>
        <w:pStyle w:val="ListParagraph"/>
        <w:numPr>
          <w:ilvl w:val="0"/>
          <w:numId w:val="4"/>
        </w:numPr>
      </w:pPr>
      <w:r>
        <w:rPr>
          <w:rFonts w:ascii="Figtree" w:hAnsi="Figtree"/>
          <w:b w:val="0"/>
          <w:i w:val="0"/>
          <w:sz w:val="22"/>
        </w:rPr>
        <w:t>[Target: 1800-2600 words]</w:t>
      </w:r>
    </w:p>
    <w:p>
      <w:pPr>
        <w:pStyle w:val="ListParagraph"/>
        <w:numPr>
          <w:ilvl w:val="0"/>
          <w:numId w:val="4"/>
        </w:numPr>
      </w:pPr>
      <w:r>
        <w:rPr>
          <w:rFonts w:ascii="Figtree" w:hAnsi="Figtree"/>
          <w:b w:val="0"/>
          <w:i w:val="0"/>
          <w:sz w:val="22"/>
        </w:rPr>
        <w:t>[Source: reusable/about-dalp.md; content/03-integrations/main.md; reusable/deployment-options.md; [PARTNER: architecture inputs]; [PARTNER: system landscape]]</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Show how the consortium solution works as one architecture.</w:t>
      </w:r>
    </w:p>
    <w:p>
      <w:pPr>
        <w:pStyle w:val="ListParagraph"/>
        <w:numPr>
          <w:ilvl w:val="1"/>
          <w:numId w:val="4"/>
        </w:numPr>
      </w:pPr>
      <w:r>
        <w:rPr>
          <w:rFonts w:ascii="Figtree" w:hAnsi="Figtree"/>
          <w:b w:val="0"/>
          <w:i w:val="0"/>
          <w:sz w:val="22"/>
        </w:rPr>
        <w:t>Clarify major systems, integration boundaries, data movement, operational domains, and control points.</w:t>
      </w:r>
    </w:p>
    <w:p>
      <w:pPr>
        <w:pStyle w:val="ListParagraph"/>
        <w:numPr>
          <w:ilvl w:val="1"/>
          <w:numId w:val="4"/>
        </w:numPr>
      </w:pPr>
      <w:r>
        <w:rPr>
          <w:rFonts w:ascii="Figtree" w:hAnsi="Figtree"/>
          <w:b w:val="0"/>
          <w:i w:val="0"/>
          <w:sz w:val="22"/>
        </w:rPr>
        <w:t>Make the evaluator comfortable that the two solution parts actually fit together.</w:t>
      </w:r>
    </w:p>
    <w:p>
      <w:r>
        <w:rPr>
          <w:rFonts w:ascii="Figtree" w:hAnsi="Figtree"/>
          <w:b w:val="0"/>
          <w:i w:val="0"/>
          <w:sz w:val="22"/>
        </w:rPr>
        <w:t>]</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Integration architecture diagram showing SettleMint DALP ↔ Partner System data flows, API touchpoints, and handoff boundaries.</w:t>
      </w:r>
    </w:p>
    <w:p>
      <w:pPr>
        <w:pStyle w:val="ListParagraph"/>
        <w:numPr>
          <w:ilvl w:val="1"/>
          <w:numId w:val="4"/>
        </w:numPr>
      </w:pPr>
      <w:r>
        <w:rPr>
          <w:rFonts w:ascii="Figtree" w:hAnsi="Figtree"/>
          <w:b w:val="0"/>
          <w:i w:val="0"/>
          <w:sz w:val="22"/>
        </w:rPr>
        <w:t>Supporting component map.</w:t>
      </w:r>
    </w:p>
    <w:p>
      <w:r>
        <w:rPr>
          <w:rFonts w:ascii="Figtree" w:hAnsi="Figtree"/>
          <w:b w:val="0"/>
          <w:i w:val="0"/>
          <w:sz w:val="22"/>
        </w:rPr>
        <w:t>]</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Start with a high-level operating model, then drill into system interaction layers.</w:t>
      </w:r>
    </w:p>
    <w:p>
      <w:pPr>
        <w:pStyle w:val="ListParagraph"/>
        <w:numPr>
          <w:ilvl w:val="1"/>
          <w:numId w:val="4"/>
        </w:numPr>
      </w:pPr>
      <w:r>
        <w:rPr>
          <w:rFonts w:ascii="Figtree" w:hAnsi="Figtree"/>
          <w:b w:val="0"/>
          <w:i w:val="0"/>
          <w:sz w:val="22"/>
        </w:rPr>
        <w:t>Label ownership on the diagram itself where possible.</w:t>
      </w:r>
    </w:p>
    <w:p>
      <w:r>
        <w:rPr>
          <w:rFonts w:ascii="Figtree" w:hAnsi="Figtree"/>
          <w:b w:val="0"/>
          <w:i w:val="0"/>
          <w:sz w:val="22"/>
        </w:rPr>
        <w:t>]</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Produce a generic block diagram that hides interfaces.</w:t>
      </w:r>
    </w:p>
    <w:p>
      <w:r>
        <w:rPr>
          <w:rFonts w:ascii="Figtree" w:hAnsi="Figtree"/>
          <w:b w:val="0"/>
          <w:i w:val="0"/>
          <w:sz w:val="22"/>
        </w:rPr>
        <w:t>]</w:t>
      </w:r>
    </w:p>
    <w:p>
      <w:pPr>
        <w:pStyle w:val="ListParagraph"/>
        <w:numPr>
          <w:ilvl w:val="0"/>
          <w:numId w:val="4"/>
        </w:numPr>
      </w:pPr>
      <w:r>
        <w:rPr>
          <w:rFonts w:ascii="Figtree" w:hAnsi="Figtree"/>
          <w:b w:val="0"/>
          <w:i w:val="0"/>
          <w:sz w:val="22"/>
        </w:rPr>
        <w:t>[Partner input needed: yes]</w:t>
      </w:r>
    </w:p>
    <w:p>
      <w:pPr>
        <w:pStyle w:val="H2"/>
        <w:numPr>
          <w:ilvl w:val="1"/>
          <w:numId w:val="1"/>
        </w:numPr>
      </w:pPr>
      <w:r>
        <w:t>Integration Design</w:t>
      </w:r>
    </w:p>
    <w:p>
      <w:pPr>
        <w:pStyle w:val="ListParagraph"/>
        <w:numPr>
          <w:ilvl w:val="0"/>
          <w:numId w:val="4"/>
        </w:numPr>
      </w:pPr>
      <w:r>
        <w:rPr>
          <w:rFonts w:ascii="Figtree" w:hAnsi="Figtree"/>
          <w:b w:val="0"/>
          <w:i w:val="0"/>
          <w:sz w:val="22"/>
        </w:rPr>
        <w:t>[Target: 1600-2400 words]</w:t>
      </w:r>
    </w:p>
    <w:p>
      <w:pPr>
        <w:pStyle w:val="ListParagraph"/>
        <w:numPr>
          <w:ilvl w:val="0"/>
          <w:numId w:val="4"/>
        </w:numPr>
      </w:pPr>
      <w:r>
        <w:rPr>
          <w:rFonts w:ascii="Figtree" w:hAnsi="Figtree"/>
          <w:b w:val="0"/>
          <w:i w:val="0"/>
          <w:sz w:val="22"/>
        </w:rPr>
        <w:t>[Source: content/03-integrations/main.md; reusable/about-dalp.md; [PARTNER: integration specifications]; [PARTNER: API and interface notes]]</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Define technical integration points between DALP and partner-owned systems.</w:t>
      </w:r>
    </w:p>
    <w:p>
      <w:pPr>
        <w:pStyle w:val="ListParagraph"/>
        <w:numPr>
          <w:ilvl w:val="1"/>
          <w:numId w:val="4"/>
        </w:numPr>
      </w:pPr>
      <w:r>
        <w:rPr>
          <w:rFonts w:ascii="Figtree" w:hAnsi="Figtree"/>
          <w:b w:val="0"/>
          <w:i w:val="0"/>
          <w:sz w:val="22"/>
        </w:rPr>
        <w:t>Clarify APIs, events, files, messaging, orchestration, reconciliation, identity flows, and exception handling.</w:t>
      </w:r>
    </w:p>
    <w:p>
      <w:r>
        <w:rPr>
          <w:rFonts w:ascii="Figtree" w:hAnsi="Figtree"/>
          <w:b w:val="0"/>
          <w:i w:val="0"/>
          <w:sz w:val="22"/>
        </w:rPr>
        <w:t>]</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Integration architecture diagram showing SettleMint DALP ↔ Partner System data flows, API touchpoints, and handoff boundaries.</w:t>
      </w:r>
    </w:p>
    <w:p>
      <w:pPr>
        <w:pStyle w:val="ListParagraph"/>
        <w:numPr>
          <w:ilvl w:val="1"/>
          <w:numId w:val="4"/>
        </w:numPr>
      </w:pPr>
      <w:r>
        <w:rPr>
          <w:rFonts w:ascii="Figtree" w:hAnsi="Figtree"/>
          <w:b w:val="0"/>
          <w:i w:val="0"/>
          <w:sz w:val="22"/>
        </w:rPr>
        <w:t>Interface catalogue table.</w:t>
      </w:r>
    </w:p>
    <w:p>
      <w:r>
        <w:rPr>
          <w:rFonts w:ascii="Figtree" w:hAnsi="Figtree"/>
          <w:b w:val="0"/>
          <w:i w:val="0"/>
          <w:sz w:val="22"/>
        </w:rPr>
        <w:t>]</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Cover inbound/outbound interfaces, ownership of each connector, data stewardship, and non-functional considerations.</w:t>
      </w:r>
    </w:p>
    <w:p>
      <w:pPr>
        <w:pStyle w:val="ListParagraph"/>
        <w:numPr>
          <w:ilvl w:val="1"/>
          <w:numId w:val="4"/>
        </w:numPr>
      </w:pPr>
      <w:r>
        <w:rPr>
          <w:rFonts w:ascii="Figtree" w:hAnsi="Figtree"/>
          <w:b w:val="0"/>
          <w:i w:val="0"/>
          <w:sz w:val="22"/>
        </w:rPr>
        <w:t>Add notes for testing responsibility and cutover sequencing.</w:t>
      </w:r>
    </w:p>
    <w:p>
      <w:r>
        <w:rPr>
          <w:rFonts w:ascii="Figtree" w:hAnsi="Figtree"/>
          <w:b w:val="0"/>
          <w:i w:val="0"/>
          <w:sz w:val="22"/>
        </w:rPr>
        <w:t>]</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Collapse architecture and integration into vague prose.</w:t>
      </w:r>
    </w:p>
    <w:p>
      <w:r>
        <w:rPr>
          <w:rFonts w:ascii="Figtree" w:hAnsi="Figtree"/>
          <w:b w:val="0"/>
          <w:i w:val="0"/>
          <w:sz w:val="22"/>
        </w:rPr>
        <w:t>]</w:t>
      </w:r>
    </w:p>
    <w:p>
      <w:pPr>
        <w:pStyle w:val="ListParagraph"/>
        <w:numPr>
          <w:ilvl w:val="0"/>
          <w:numId w:val="4"/>
        </w:numPr>
      </w:pPr>
      <w:r>
        <w:rPr>
          <w:rFonts w:ascii="Figtree" w:hAnsi="Figtree"/>
          <w:b w:val="0"/>
          <w:i w:val="0"/>
          <w:sz w:val="22"/>
        </w:rPr>
        <w:t>[Partner input needed: yes]</w:t>
      </w:r>
    </w:p>
    <w:p>
      <w:pPr>
        <w:pStyle w:val="H2"/>
        <w:numPr>
          <w:ilvl w:val="1"/>
          <w:numId w:val="1"/>
        </w:numPr>
      </w:pPr>
      <w:r>
        <w:t>Security</w:t>
      </w:r>
    </w:p>
    <w:p>
      <w:pPr>
        <w:pStyle w:val="ListParagraph"/>
        <w:numPr>
          <w:ilvl w:val="0"/>
          <w:numId w:val="4"/>
        </w:numPr>
      </w:pPr>
      <w:r>
        <w:rPr>
          <w:rFonts w:ascii="Figtree" w:hAnsi="Figtree"/>
          <w:b w:val="0"/>
          <w:i w:val="0"/>
          <w:sz w:val="22"/>
        </w:rPr>
        <w:t>[Target: 1400-2200 words]</w:t>
      </w:r>
    </w:p>
    <w:p>
      <w:pPr>
        <w:pStyle w:val="ListParagraph"/>
        <w:numPr>
          <w:ilvl w:val="0"/>
          <w:numId w:val="4"/>
        </w:numPr>
      </w:pPr>
      <w:r>
        <w:rPr>
          <w:rFonts w:ascii="Figtree" w:hAnsi="Figtree"/>
          <w:b w:val="0"/>
          <w:i w:val="0"/>
          <w:sz w:val="22"/>
        </w:rPr>
        <w:t>[Source: content/05-security/main.md; reusable/about-dalp.md; [PARTNER: security controls]; [PARTNER: certifications]; [PARTNER: shared responsibility model]]</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Present a joint security model covering SettleMint controls, partner controls, and integration-layer controls.</w:t>
      </w:r>
    </w:p>
    <w:p>
      <w:pPr>
        <w:pStyle w:val="ListParagraph"/>
        <w:numPr>
          <w:ilvl w:val="1"/>
          <w:numId w:val="4"/>
        </w:numPr>
      </w:pPr>
      <w:r>
        <w:rPr>
          <w:rFonts w:ascii="Figtree" w:hAnsi="Figtree"/>
          <w:b w:val="0"/>
          <w:i w:val="0"/>
          <w:sz w:val="22"/>
        </w:rPr>
        <w:t>Make shared responsibility explicit.</w:t>
      </w:r>
    </w:p>
    <w:p>
      <w:r>
        <w:rPr>
          <w:rFonts w:ascii="Figtree" w:hAnsi="Figtree"/>
          <w:b w:val="0"/>
          <w:i w:val="0"/>
          <w:sz w:val="22"/>
        </w:rPr>
        <w:t>]</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Security responsibility matrix.</w:t>
      </w:r>
    </w:p>
    <w:p>
      <w:pPr>
        <w:pStyle w:val="ListParagraph"/>
        <w:numPr>
          <w:ilvl w:val="1"/>
          <w:numId w:val="4"/>
        </w:numPr>
      </w:pPr>
      <w:r>
        <w:rPr>
          <w:rFonts w:ascii="Figtree" w:hAnsi="Figtree"/>
          <w:b w:val="0"/>
          <w:i w:val="0"/>
          <w:sz w:val="22"/>
        </w:rPr>
        <w:t>Control-layer diagram.</w:t>
      </w:r>
    </w:p>
    <w:p>
      <w:r>
        <w:rPr>
          <w:rFonts w:ascii="Figtree" w:hAnsi="Figtree"/>
          <w:b w:val="0"/>
          <w:i w:val="0"/>
          <w:sz w:val="22"/>
        </w:rPr>
        <w:t>]</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Split into platform security, partner environment security, integration security, operational security processes, and incident coordination.</w:t>
      </w:r>
    </w:p>
    <w:p>
      <w:r>
        <w:rPr>
          <w:rFonts w:ascii="Figtree" w:hAnsi="Figtree"/>
          <w:b w:val="0"/>
          <w:i w:val="0"/>
          <w:sz w:val="22"/>
        </w:rPr>
        <w:t>]</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Claim partner certifications or controls without evidence.</w:t>
      </w:r>
    </w:p>
    <w:p>
      <w:pPr>
        <w:pStyle w:val="ListParagraph"/>
        <w:numPr>
          <w:ilvl w:val="1"/>
          <w:numId w:val="4"/>
        </w:numPr>
      </w:pPr>
      <w:r>
        <w:rPr>
          <w:rFonts w:ascii="Figtree" w:hAnsi="Figtree"/>
          <w:b w:val="0"/>
          <w:i w:val="0"/>
          <w:sz w:val="22"/>
        </w:rPr>
        <w:t>Leave incident ownership ambiguous.</w:t>
      </w:r>
    </w:p>
    <w:p>
      <w:r>
        <w:rPr>
          <w:rFonts w:ascii="Figtree" w:hAnsi="Figtree"/>
          <w:b w:val="0"/>
          <w:i w:val="0"/>
          <w:sz w:val="22"/>
        </w:rPr>
        <w:t>]</w:t>
      </w:r>
    </w:p>
    <w:p>
      <w:pPr>
        <w:pStyle w:val="ListParagraph"/>
        <w:numPr>
          <w:ilvl w:val="0"/>
          <w:numId w:val="4"/>
        </w:numPr>
      </w:pPr>
      <w:r>
        <w:rPr>
          <w:rFonts w:ascii="Figtree" w:hAnsi="Figtree"/>
          <w:b w:val="0"/>
          <w:i w:val="0"/>
          <w:sz w:val="22"/>
        </w:rPr>
        <w:t>[Partner input needed: yes]</w:t>
      </w:r>
    </w:p>
    <w:p>
      <w:pPr>
        <w:pStyle w:val="H2"/>
        <w:numPr>
          <w:ilvl w:val="1"/>
          <w:numId w:val="1"/>
        </w:numPr>
      </w:pPr>
      <w:r>
        <w:t>Joint Implementation Plan</w:t>
      </w:r>
    </w:p>
    <w:p>
      <w:pPr>
        <w:pStyle w:val="ListParagraph"/>
        <w:numPr>
          <w:ilvl w:val="0"/>
          <w:numId w:val="4"/>
        </w:numPr>
      </w:pPr>
      <w:r>
        <w:rPr>
          <w:rFonts w:ascii="Figtree" w:hAnsi="Figtree"/>
          <w:b w:val="0"/>
          <w:i w:val="0"/>
          <w:sz w:val="22"/>
        </w:rPr>
        <w:t>[Target: 1800-2600 words]</w:t>
      </w:r>
    </w:p>
    <w:p>
      <w:pPr>
        <w:pStyle w:val="ListParagraph"/>
        <w:numPr>
          <w:ilvl w:val="0"/>
          <w:numId w:val="4"/>
        </w:numPr>
      </w:pPr>
      <w:r>
        <w:rPr>
          <w:rFonts w:ascii="Figtree" w:hAnsi="Figtree"/>
          <w:b w:val="0"/>
          <w:i w:val="0"/>
          <w:sz w:val="22"/>
        </w:rPr>
        <w:t>[Source: reusable/implementation-plan.md; content/06-implementation/main.md; [PARTNER: implementation plan]; [PARTNER: workstream durations]; [PARTNER: dependency list]]</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Show a single implementation journey across both organizations.</w:t>
      </w:r>
    </w:p>
    <w:p>
      <w:pPr>
        <w:pStyle w:val="ListParagraph"/>
        <w:numPr>
          <w:ilvl w:val="1"/>
          <w:numId w:val="4"/>
        </w:numPr>
      </w:pPr>
      <w:r>
        <w:rPr>
          <w:rFonts w:ascii="Figtree" w:hAnsi="Figtree"/>
          <w:b w:val="0"/>
          <w:i w:val="0"/>
          <w:sz w:val="22"/>
        </w:rPr>
        <w:t>Make dependencies, sequencing, and workstream ownership explicit.</w:t>
      </w:r>
    </w:p>
    <w:p>
      <w:pPr>
        <w:pStyle w:val="ListParagraph"/>
        <w:numPr>
          <w:ilvl w:val="1"/>
          <w:numId w:val="4"/>
        </w:numPr>
      </w:pPr>
      <w:r>
        <w:rPr>
          <w:rFonts w:ascii="Figtree" w:hAnsi="Figtree"/>
          <w:b w:val="0"/>
          <w:i w:val="0"/>
          <w:sz w:val="22"/>
        </w:rPr>
        <w:t>Reduce buyer fear around coordination risk.</w:t>
      </w:r>
    </w:p>
    <w:p>
      <w:r>
        <w:rPr>
          <w:rFonts w:ascii="Figtree" w:hAnsi="Figtree"/>
          <w:b w:val="0"/>
          <w:i w:val="0"/>
          <w:sz w:val="22"/>
        </w:rPr>
        <w:t>]</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Joint delivery timeline.</w:t>
      </w:r>
    </w:p>
    <w:p>
      <w:pPr>
        <w:pStyle w:val="ListParagraph"/>
        <w:numPr>
          <w:ilvl w:val="1"/>
          <w:numId w:val="4"/>
        </w:numPr>
      </w:pPr>
      <w:r>
        <w:rPr>
          <w:rFonts w:ascii="Figtree" w:hAnsi="Figtree"/>
          <w:b w:val="0"/>
          <w:i w:val="0"/>
          <w:sz w:val="22"/>
        </w:rPr>
        <w:t>Workstream dependency map.</w:t>
      </w:r>
    </w:p>
    <w:p>
      <w:pPr>
        <w:pStyle w:val="ListParagraph"/>
        <w:numPr>
          <w:ilvl w:val="1"/>
          <w:numId w:val="4"/>
        </w:numPr>
      </w:pPr>
      <w:r>
        <w:rPr>
          <w:rFonts w:ascii="Figtree" w:hAnsi="Figtree"/>
          <w:b w:val="0"/>
          <w:i w:val="0"/>
          <w:sz w:val="22"/>
        </w:rPr>
        <w:t>Table with columns: Phase | Objective | SettleMint role | Partner role | Joint outputs | Dependencies.</w:t>
      </w:r>
    </w:p>
    <w:p>
      <w:r>
        <w:rPr>
          <w:rFonts w:ascii="Figtree" w:hAnsi="Figtree"/>
          <w:b w:val="0"/>
          <w:i w:val="0"/>
          <w:sz w:val="22"/>
        </w:rPr>
        <w:t>]</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Reconcile SettleMint implementation phases with the partner timeline.</w:t>
      </w:r>
    </w:p>
    <w:p>
      <w:pPr>
        <w:pStyle w:val="ListParagraph"/>
        <w:numPr>
          <w:ilvl w:val="1"/>
          <w:numId w:val="4"/>
        </w:numPr>
      </w:pPr>
      <w:r>
        <w:rPr>
          <w:rFonts w:ascii="Figtree" w:hAnsi="Figtree"/>
          <w:b w:val="0"/>
          <w:i w:val="0"/>
          <w:sz w:val="22"/>
        </w:rPr>
        <w:t>Call out design authority, decision gates, test phases, cutover, and hypercare.</w:t>
      </w:r>
    </w:p>
    <w:p>
      <w:r>
        <w:rPr>
          <w:rFonts w:ascii="Figtree" w:hAnsi="Figtree"/>
          <w:b w:val="0"/>
          <w:i w:val="0"/>
          <w:sz w:val="22"/>
        </w:rPr>
        <w:t>]</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Present two disconnected implementation plans.</w:t>
      </w:r>
    </w:p>
    <w:p>
      <w:r>
        <w:rPr>
          <w:rFonts w:ascii="Figtree" w:hAnsi="Figtree"/>
          <w:b w:val="0"/>
          <w:i w:val="0"/>
          <w:sz w:val="22"/>
        </w:rPr>
        <w:t>]</w:t>
      </w:r>
    </w:p>
    <w:p>
      <w:pPr>
        <w:pStyle w:val="ListParagraph"/>
        <w:numPr>
          <w:ilvl w:val="0"/>
          <w:numId w:val="4"/>
        </w:numPr>
      </w:pPr>
      <w:r>
        <w:rPr>
          <w:rFonts w:ascii="Figtree" w:hAnsi="Figtree"/>
          <w:b w:val="0"/>
          <w:i w:val="0"/>
          <w:sz w:val="22"/>
        </w:rPr>
        <w:t>[Partner input needed: yes]</w:t>
      </w:r>
    </w:p>
    <w:p>
      <w:pPr>
        <w:pStyle w:val="H2"/>
        <w:numPr>
          <w:ilvl w:val="1"/>
          <w:numId w:val="1"/>
        </w:numPr>
      </w:pPr>
      <w:r>
        <w:t>Joint Governance Model</w:t>
      </w:r>
    </w:p>
    <w:p>
      <w:pPr>
        <w:pStyle w:val="ListParagraph"/>
        <w:numPr>
          <w:ilvl w:val="0"/>
          <w:numId w:val="4"/>
        </w:numPr>
      </w:pPr>
      <w:r>
        <w:rPr>
          <w:rFonts w:ascii="Figtree" w:hAnsi="Figtree"/>
          <w:b w:val="0"/>
          <w:i w:val="0"/>
          <w:sz w:val="22"/>
        </w:rPr>
        <w:t>[Target: 1200-1800 words]</w:t>
      </w:r>
    </w:p>
    <w:p>
      <w:pPr>
        <w:pStyle w:val="ListParagraph"/>
        <w:numPr>
          <w:ilvl w:val="0"/>
          <w:numId w:val="4"/>
        </w:numPr>
      </w:pPr>
      <w:r>
        <w:rPr>
          <w:rFonts w:ascii="Figtree" w:hAnsi="Figtree"/>
          <w:b w:val="0"/>
          <w:i w:val="0"/>
          <w:sz w:val="22"/>
        </w:rPr>
        <w:t>[Source: reusable/implementation-plan.md; [PARTNER: governance model]; [PARTNER: escalation paths]; [PARTNER: programme roles]]</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Governance is a joint operating mechanism, not a formality.</w:t>
      </w:r>
    </w:p>
    <w:p>
      <w:pPr>
        <w:pStyle w:val="ListParagraph"/>
        <w:numPr>
          <w:ilvl w:val="1"/>
          <w:numId w:val="4"/>
        </w:numPr>
      </w:pPr>
      <w:r>
        <w:rPr>
          <w:rFonts w:ascii="Figtree" w:hAnsi="Figtree"/>
          <w:b w:val="0"/>
          <w:i w:val="0"/>
          <w:sz w:val="22"/>
        </w:rPr>
        <w:t>Clarify steering, programme management, decision rights, escalation, change control, and communication cadence.</w:t>
      </w:r>
    </w:p>
    <w:p>
      <w:r>
        <w:rPr>
          <w:rFonts w:ascii="Figtree" w:hAnsi="Figtree"/>
          <w:b w:val="0"/>
          <w:i w:val="0"/>
          <w:sz w:val="22"/>
        </w:rPr>
        <w:t>]</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Governance structure chart.</w:t>
      </w:r>
    </w:p>
    <w:p>
      <w:pPr>
        <w:pStyle w:val="ListParagraph"/>
        <w:numPr>
          <w:ilvl w:val="1"/>
          <w:numId w:val="4"/>
        </w:numPr>
      </w:pPr>
      <w:r>
        <w:rPr>
          <w:rFonts w:ascii="Figtree" w:hAnsi="Figtree"/>
          <w:b w:val="0"/>
          <w:i w:val="0"/>
          <w:sz w:val="22"/>
        </w:rPr>
        <w:t>RACI-style summary.</w:t>
      </w:r>
    </w:p>
    <w:p>
      <w:r>
        <w:rPr>
          <w:rFonts w:ascii="Figtree" w:hAnsi="Figtree"/>
          <w:b w:val="0"/>
          <w:i w:val="0"/>
          <w:sz w:val="22"/>
        </w:rPr>
        <w:t>]</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Identify lead contacts, decision forums, escalation thresholds, reporting cadence, and issue ownership.</w:t>
      </w:r>
    </w:p>
    <w:p>
      <w:r>
        <w:rPr>
          <w:rFonts w:ascii="Figtree" w:hAnsi="Figtree"/>
          <w:b w:val="0"/>
          <w:i w:val="0"/>
          <w:sz w:val="22"/>
        </w:rPr>
        <w:t>]</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Leave the buyer guessing who resolves cross-partner disputes.</w:t>
      </w:r>
    </w:p>
    <w:p>
      <w:r>
        <w:rPr>
          <w:rFonts w:ascii="Figtree" w:hAnsi="Figtree"/>
          <w:b w:val="0"/>
          <w:i w:val="0"/>
          <w:sz w:val="22"/>
        </w:rPr>
        <w:t>]</w:t>
      </w:r>
    </w:p>
    <w:p>
      <w:pPr>
        <w:pStyle w:val="ListParagraph"/>
        <w:numPr>
          <w:ilvl w:val="0"/>
          <w:numId w:val="4"/>
        </w:numPr>
      </w:pPr>
      <w:r>
        <w:rPr>
          <w:rFonts w:ascii="Figtree" w:hAnsi="Figtree"/>
          <w:b w:val="0"/>
          <w:i w:val="0"/>
          <w:sz w:val="22"/>
        </w:rPr>
        <w:t>[Partner input needed: yes]</w:t>
      </w:r>
    </w:p>
    <w:p>
      <w:pPr>
        <w:pStyle w:val="H2"/>
        <w:numPr>
          <w:ilvl w:val="1"/>
          <w:numId w:val="1"/>
        </w:numPr>
      </w:pPr>
      <w:r>
        <w:t>Deployment</w:t>
      </w:r>
    </w:p>
    <w:p>
      <w:pPr>
        <w:pStyle w:val="ListParagraph"/>
        <w:numPr>
          <w:ilvl w:val="0"/>
          <w:numId w:val="4"/>
        </w:numPr>
      </w:pPr>
      <w:r>
        <w:rPr>
          <w:rFonts w:ascii="Figtree" w:hAnsi="Figtree"/>
          <w:b w:val="0"/>
          <w:i w:val="0"/>
          <w:sz w:val="22"/>
        </w:rPr>
        <w:t>[Target: 1000-1600 words]</w:t>
      </w:r>
    </w:p>
    <w:p>
      <w:pPr>
        <w:pStyle w:val="ListParagraph"/>
        <w:numPr>
          <w:ilvl w:val="0"/>
          <w:numId w:val="4"/>
        </w:numPr>
      </w:pPr>
      <w:r>
        <w:rPr>
          <w:rFonts w:ascii="Figtree" w:hAnsi="Figtree"/>
          <w:b w:val="0"/>
          <w:i w:val="0"/>
          <w:sz w:val="22"/>
        </w:rPr>
        <w:t>[Source: reusable/deployment-options.md; [PARTNER: deployment model]; [PARTNER: hosting responsibilities]]</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Explain how SettleMint deployment options fit into the broader partner-led or shared delivery landscape.</w:t>
      </w:r>
    </w:p>
    <w:p>
      <w:pPr>
        <w:pStyle w:val="ListParagraph"/>
        <w:numPr>
          <w:ilvl w:val="1"/>
          <w:numId w:val="4"/>
        </w:numPr>
      </w:pPr>
      <w:r>
        <w:rPr>
          <w:rFonts w:ascii="Figtree" w:hAnsi="Figtree"/>
          <w:b w:val="0"/>
          <w:i w:val="0"/>
          <w:sz w:val="22"/>
        </w:rPr>
        <w:t>Clarify hosting, environments, environment ownership, and operational boundaries.</w:t>
      </w:r>
    </w:p>
    <w:p>
      <w:r>
        <w:rPr>
          <w:rFonts w:ascii="Figtree" w:hAnsi="Figtree"/>
          <w:b w:val="0"/>
          <w:i w:val="0"/>
          <w:sz w:val="22"/>
        </w:rPr>
        <w:t>]</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Deployment responsibility table.</w:t>
      </w:r>
    </w:p>
    <w:p>
      <w:pPr>
        <w:pStyle w:val="ListParagraph"/>
        <w:numPr>
          <w:ilvl w:val="1"/>
          <w:numId w:val="4"/>
        </w:numPr>
      </w:pPr>
      <w:r>
        <w:rPr>
          <w:rFonts w:ascii="Figtree" w:hAnsi="Figtree"/>
          <w:b w:val="0"/>
          <w:i w:val="0"/>
          <w:sz w:val="22"/>
        </w:rPr>
        <w:t>Environment topology diagram.</w:t>
      </w:r>
    </w:p>
    <w:p>
      <w:r>
        <w:rPr>
          <w:rFonts w:ascii="Figtree" w:hAnsi="Figtree"/>
          <w:b w:val="0"/>
          <w:i w:val="0"/>
          <w:sz w:val="22"/>
        </w:rPr>
        <w:t>]</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Show target deployment model, environment split, operational ownership, and integration placement.</w:t>
      </w:r>
    </w:p>
    <w:p>
      <w:r>
        <w:rPr>
          <w:rFonts w:ascii="Figtree" w:hAnsi="Figtree"/>
          <w:b w:val="0"/>
          <w:i w:val="0"/>
          <w:sz w:val="22"/>
        </w:rPr>
        <w:t>]</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Describe deployment in DALP-only terms without showing partner fit.</w:t>
      </w:r>
    </w:p>
    <w:p>
      <w:r>
        <w:rPr>
          <w:rFonts w:ascii="Figtree" w:hAnsi="Figtree"/>
          <w:b w:val="0"/>
          <w:i w:val="0"/>
          <w:sz w:val="22"/>
        </w:rPr>
        <w:t>]</w:t>
      </w:r>
    </w:p>
    <w:p>
      <w:pPr>
        <w:pStyle w:val="ListParagraph"/>
        <w:numPr>
          <w:ilvl w:val="0"/>
          <w:numId w:val="4"/>
        </w:numPr>
      </w:pPr>
      <w:r>
        <w:rPr>
          <w:rFonts w:ascii="Figtree" w:hAnsi="Figtree"/>
          <w:b w:val="0"/>
          <w:i w:val="0"/>
          <w:sz w:val="22"/>
        </w:rPr>
        <w:t>[Partner input needed: yes]</w:t>
      </w:r>
    </w:p>
    <w:p>
      <w:pPr>
        <w:pStyle w:val="H2"/>
        <w:numPr>
          <w:ilvl w:val="1"/>
          <w:numId w:val="1"/>
        </w:numPr>
      </w:pPr>
      <w:r>
        <w:t>Training</w:t>
      </w:r>
    </w:p>
    <w:p>
      <w:pPr>
        <w:pStyle w:val="ListParagraph"/>
        <w:numPr>
          <w:ilvl w:val="0"/>
          <w:numId w:val="4"/>
        </w:numPr>
      </w:pPr>
      <w:r>
        <w:rPr>
          <w:rFonts w:ascii="Figtree" w:hAnsi="Figtree"/>
          <w:b w:val="0"/>
          <w:i w:val="0"/>
          <w:sz w:val="22"/>
        </w:rPr>
        <w:t>[Target: 800-1400 words]</w:t>
      </w:r>
    </w:p>
    <w:p>
      <w:pPr>
        <w:pStyle w:val="ListParagraph"/>
        <w:numPr>
          <w:ilvl w:val="0"/>
          <w:numId w:val="4"/>
        </w:numPr>
      </w:pPr>
      <w:r>
        <w:rPr>
          <w:rFonts w:ascii="Figtree" w:hAnsi="Figtree"/>
          <w:b w:val="0"/>
          <w:i w:val="0"/>
          <w:sz w:val="22"/>
        </w:rPr>
        <w:t>[Source: reusable/implementation-plan.md; [PARTNER: training scope]; [PARTNER: training materials or approach]]</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Training should look coordinated to the buyer, even if delivered by different parties.</w:t>
      </w:r>
    </w:p>
    <w:p>
      <w:pPr>
        <w:pStyle w:val="ListParagraph"/>
        <w:numPr>
          <w:ilvl w:val="1"/>
          <w:numId w:val="4"/>
        </w:numPr>
      </w:pPr>
      <w:r>
        <w:rPr>
          <w:rFonts w:ascii="Figtree" w:hAnsi="Figtree"/>
          <w:b w:val="0"/>
          <w:i w:val="0"/>
          <w:sz w:val="22"/>
        </w:rPr>
        <w:t>Distinguish product training, process training, admin training, and operational handover.</w:t>
      </w:r>
    </w:p>
    <w:p>
      <w:r>
        <w:rPr>
          <w:rFonts w:ascii="Figtree" w:hAnsi="Figtree"/>
          <w:b w:val="0"/>
          <w:i w:val="0"/>
          <w:sz w:val="22"/>
        </w:rPr>
        <w:t>]</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Training programme matrix with columns: Audience | Topic | Owner | Format | Timing.</w:t>
      </w:r>
    </w:p>
    <w:p>
      <w:r>
        <w:rPr>
          <w:rFonts w:ascii="Figtree" w:hAnsi="Figtree"/>
          <w:b w:val="0"/>
          <w:i w:val="0"/>
          <w:sz w:val="22"/>
        </w:rPr>
        <w:t>]</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Define which training modules SettleMint delivers, which the partner delivers, and which are joint.</w:t>
      </w:r>
    </w:p>
    <w:p>
      <w:r>
        <w:rPr>
          <w:rFonts w:ascii="Figtree" w:hAnsi="Figtree"/>
          <w:b w:val="0"/>
          <w:i w:val="0"/>
          <w:sz w:val="22"/>
        </w:rPr>
        <w:t>]</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Present fragmented training streams with no overall owner.</w:t>
      </w:r>
    </w:p>
    <w:p>
      <w:r>
        <w:rPr>
          <w:rFonts w:ascii="Figtree" w:hAnsi="Figtree"/>
          <w:b w:val="0"/>
          <w:i w:val="0"/>
          <w:sz w:val="22"/>
        </w:rPr>
        <w:t>]</w:t>
      </w:r>
    </w:p>
    <w:p>
      <w:pPr>
        <w:pStyle w:val="ListParagraph"/>
        <w:numPr>
          <w:ilvl w:val="0"/>
          <w:numId w:val="4"/>
        </w:numPr>
      </w:pPr>
      <w:r>
        <w:rPr>
          <w:rFonts w:ascii="Figtree" w:hAnsi="Figtree"/>
          <w:b w:val="0"/>
          <w:i w:val="0"/>
          <w:sz w:val="22"/>
        </w:rPr>
        <w:t>[Partner input needed: yes]</w:t>
      </w:r>
    </w:p>
    <w:p>
      <w:pPr>
        <w:pStyle w:val="H2"/>
        <w:numPr>
          <w:ilvl w:val="1"/>
          <w:numId w:val="1"/>
        </w:numPr>
      </w:pPr>
      <w:r>
        <w:t>Support &amp; SLA</w:t>
      </w:r>
    </w:p>
    <w:p>
      <w:pPr>
        <w:pStyle w:val="ListParagraph"/>
        <w:numPr>
          <w:ilvl w:val="0"/>
          <w:numId w:val="4"/>
        </w:numPr>
      </w:pPr>
      <w:r>
        <w:rPr>
          <w:rFonts w:ascii="Figtree" w:hAnsi="Figtree"/>
          <w:b w:val="0"/>
          <w:i w:val="0"/>
          <w:sz w:val="22"/>
        </w:rPr>
        <w:t>[Target: 1200-1800 words]</w:t>
      </w:r>
    </w:p>
    <w:p>
      <w:pPr>
        <w:pStyle w:val="ListParagraph"/>
        <w:numPr>
          <w:ilvl w:val="0"/>
          <w:numId w:val="4"/>
        </w:numPr>
      </w:pPr>
      <w:r>
        <w:rPr>
          <w:rFonts w:ascii="Figtree" w:hAnsi="Figtree"/>
          <w:b w:val="0"/>
          <w:i w:val="0"/>
          <w:sz w:val="22"/>
        </w:rPr>
        <w:t>[Source: reusable/support-sla.md; [PARTNER: support model]; [PARTNER: SLA tiers]; [PARTNER: escalation model]]</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Show who supports what after go-live.</w:t>
      </w:r>
    </w:p>
    <w:p>
      <w:pPr>
        <w:pStyle w:val="ListParagraph"/>
        <w:numPr>
          <w:ilvl w:val="1"/>
          <w:numId w:val="4"/>
        </w:numPr>
      </w:pPr>
      <w:r>
        <w:rPr>
          <w:rFonts w:ascii="Figtree" w:hAnsi="Figtree"/>
          <w:b w:val="0"/>
          <w:i w:val="0"/>
          <w:sz w:val="22"/>
        </w:rPr>
        <w:t>Make handoff and escalation between partners operationally clear.</w:t>
      </w:r>
    </w:p>
    <w:p>
      <w:pPr>
        <w:pStyle w:val="ListParagraph"/>
        <w:numPr>
          <w:ilvl w:val="1"/>
          <w:numId w:val="4"/>
        </w:numPr>
      </w:pPr>
      <w:r>
        <w:rPr>
          <w:rFonts w:ascii="Figtree" w:hAnsi="Figtree"/>
          <w:b w:val="0"/>
          <w:i w:val="0"/>
          <w:sz w:val="22"/>
        </w:rPr>
        <w:t>Joint support must feel usable, not theoretical.</w:t>
      </w:r>
    </w:p>
    <w:p>
      <w:r>
        <w:rPr>
          <w:rFonts w:ascii="Figtree" w:hAnsi="Figtree"/>
          <w:b w:val="0"/>
          <w:i w:val="0"/>
          <w:sz w:val="22"/>
        </w:rPr>
        <w:t>]</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Joint support table.</w:t>
      </w:r>
    </w:p>
    <w:p>
      <w:pPr>
        <w:pStyle w:val="ListParagraph"/>
        <w:numPr>
          <w:ilvl w:val="1"/>
          <w:numId w:val="4"/>
        </w:numPr>
      </w:pPr>
      <w:r>
        <w:rPr>
          <w:rFonts w:ascii="Figtree" w:hAnsi="Figtree"/>
          <w:b w:val="0"/>
          <w:i w:val="0"/>
          <w:sz w:val="22"/>
        </w:rPr>
        <w:t>Escalation path diagram.</w:t>
      </w:r>
    </w:p>
    <w:p>
      <w:pPr>
        <w:pStyle w:val="ListParagraph"/>
        <w:numPr>
          <w:ilvl w:val="1"/>
          <w:numId w:val="4"/>
        </w:numPr>
      </w:pPr>
      <w:r>
        <w:rPr>
          <w:rFonts w:ascii="Figtree" w:hAnsi="Figtree"/>
          <w:b w:val="0"/>
          <w:i w:val="0"/>
          <w:sz w:val="22"/>
        </w:rPr>
        <w:t>Table with columns: Support domain | SettleMint responsibility | Partner responsibility | Joint process | SLA note.</w:t>
      </w:r>
    </w:p>
    <w:p>
      <w:r>
        <w:rPr>
          <w:rFonts w:ascii="Figtree" w:hAnsi="Figtree"/>
          <w:b w:val="0"/>
          <w:i w:val="0"/>
          <w:sz w:val="22"/>
        </w:rPr>
        <w:t>]</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Cover L1/L2/L3 boundaries, incident triage, severity routing, shared war-room rules, and customer communications.</w:t>
      </w:r>
    </w:p>
    <w:p>
      <w:r>
        <w:rPr>
          <w:rFonts w:ascii="Figtree" w:hAnsi="Figtree"/>
          <w:b w:val="0"/>
          <w:i w:val="0"/>
          <w:sz w:val="22"/>
        </w:rPr>
        <w:t>]</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Pretend one party supports the other's stack without agreement.</w:t>
      </w:r>
    </w:p>
    <w:p>
      <w:r>
        <w:rPr>
          <w:rFonts w:ascii="Figtree" w:hAnsi="Figtree"/>
          <w:b w:val="0"/>
          <w:i w:val="0"/>
          <w:sz w:val="22"/>
        </w:rPr>
        <w:t>]</w:t>
      </w:r>
    </w:p>
    <w:p>
      <w:pPr>
        <w:pStyle w:val="ListParagraph"/>
        <w:numPr>
          <w:ilvl w:val="0"/>
          <w:numId w:val="4"/>
        </w:numPr>
      </w:pPr>
      <w:r>
        <w:rPr>
          <w:rFonts w:ascii="Figtree" w:hAnsi="Figtree"/>
          <w:b w:val="0"/>
          <w:i w:val="0"/>
          <w:sz w:val="22"/>
        </w:rPr>
        <w:t>[Partner input needed: yes]</w:t>
      </w:r>
    </w:p>
    <w:p>
      <w:pPr>
        <w:pStyle w:val="H2"/>
        <w:numPr>
          <w:ilvl w:val="1"/>
          <w:numId w:val="1"/>
        </w:numPr>
      </w:pPr>
      <w:r>
        <w:t>Risk Management</w:t>
      </w:r>
    </w:p>
    <w:p>
      <w:pPr>
        <w:pStyle w:val="ListParagraph"/>
        <w:numPr>
          <w:ilvl w:val="0"/>
          <w:numId w:val="4"/>
        </w:numPr>
      </w:pPr>
      <w:r>
        <w:rPr>
          <w:rFonts w:ascii="Figtree" w:hAnsi="Figtree"/>
          <w:b w:val="0"/>
          <w:i w:val="0"/>
          <w:sz w:val="22"/>
        </w:rPr>
        <w:t>[Target: 1000-1600 words]</w:t>
      </w:r>
    </w:p>
    <w:p>
      <w:pPr>
        <w:pStyle w:val="ListParagraph"/>
        <w:numPr>
          <w:ilvl w:val="0"/>
          <w:numId w:val="4"/>
        </w:numPr>
      </w:pPr>
      <w:r>
        <w:rPr>
          <w:rFonts w:ascii="Figtree" w:hAnsi="Figtree"/>
          <w:b w:val="0"/>
          <w:i w:val="0"/>
          <w:sz w:val="22"/>
        </w:rPr>
        <w:t>[Source: reusable/implementation-plan.md; [PARTNER: risk register inputs]; [PARTNER: dependency risks]]</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Joint responses carry consortium-specific risks that need explicit control.</w:t>
      </w:r>
    </w:p>
    <w:p>
      <w:pPr>
        <w:pStyle w:val="ListParagraph"/>
        <w:numPr>
          <w:ilvl w:val="1"/>
          <w:numId w:val="4"/>
        </w:numPr>
      </w:pPr>
      <w:r>
        <w:rPr>
          <w:rFonts w:ascii="Figtree" w:hAnsi="Figtree"/>
          <w:b w:val="0"/>
          <w:i w:val="0"/>
          <w:sz w:val="22"/>
        </w:rPr>
        <w:t>Scope boundaries, integration readiness, decision latency, data ownership, and support handoffs should be visible as managed risks.</w:t>
      </w:r>
    </w:p>
    <w:p>
      <w:r>
        <w:rPr>
          <w:rFonts w:ascii="Figtree" w:hAnsi="Figtree"/>
          <w:b w:val="0"/>
          <w:i w:val="0"/>
          <w:sz w:val="22"/>
        </w:rPr>
        <w:t>]</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Joint risk register table with columns: Risk | Impact | Likelihood | Owner | Mitigation | Trigger.</w:t>
      </w:r>
    </w:p>
    <w:p>
      <w:r>
        <w:rPr>
          <w:rFonts w:ascii="Figtree" w:hAnsi="Figtree"/>
          <w:b w:val="0"/>
          <w:i w:val="0"/>
          <w:sz w:val="22"/>
        </w:rPr>
        <w:t>]</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Include partnership-specific and integration-specific risks, not just generic project risks.</w:t>
      </w:r>
    </w:p>
    <w:p>
      <w:r>
        <w:rPr>
          <w:rFonts w:ascii="Figtree" w:hAnsi="Figtree"/>
          <w:b w:val="0"/>
          <w:i w:val="0"/>
          <w:sz w:val="22"/>
        </w:rPr>
        <w:t>]</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Use a generic risk list that ignores consortium realities.</w:t>
      </w:r>
    </w:p>
    <w:p>
      <w:r>
        <w:rPr>
          <w:rFonts w:ascii="Figtree" w:hAnsi="Figtree"/>
          <w:b w:val="0"/>
          <w:i w:val="0"/>
          <w:sz w:val="22"/>
        </w:rPr>
        <w:t>]</w:t>
      </w:r>
    </w:p>
    <w:p>
      <w:pPr>
        <w:pStyle w:val="ListParagraph"/>
        <w:numPr>
          <w:ilvl w:val="0"/>
          <w:numId w:val="4"/>
        </w:numPr>
      </w:pPr>
      <w:r>
        <w:rPr>
          <w:rFonts w:ascii="Figtree" w:hAnsi="Figtree"/>
          <w:b w:val="0"/>
          <w:i w:val="0"/>
          <w:sz w:val="22"/>
        </w:rPr>
        <w:t>[Partner input needed: yes]</w:t>
      </w:r>
    </w:p>
    <w:p>
      <w:pPr>
        <w:pStyle w:val="H2"/>
        <w:numPr>
          <w:ilvl w:val="1"/>
          <w:numId w:val="1"/>
        </w:numPr>
      </w:pPr>
      <w:r>
        <w:t>Compliance Matrix</w:t>
      </w:r>
    </w:p>
    <w:p>
      <w:pPr>
        <w:pStyle w:val="ListParagraph"/>
        <w:numPr>
          <w:ilvl w:val="0"/>
          <w:numId w:val="4"/>
        </w:numPr>
      </w:pPr>
      <w:r>
        <w:rPr>
          <w:rFonts w:ascii="Figtree" w:hAnsi="Figtree"/>
          <w:b w:val="0"/>
          <w:i w:val="0"/>
          <w:sz w:val="22"/>
        </w:rPr>
        <w:t>[Target: 1600-2400 words]</w:t>
      </w:r>
    </w:p>
    <w:p>
      <w:pPr>
        <w:pStyle w:val="ListParagraph"/>
        <w:numPr>
          <w:ilvl w:val="0"/>
          <w:numId w:val="4"/>
        </w:numPr>
      </w:pPr>
      <w:r>
        <w:rPr>
          <w:rFonts w:ascii="Figtree" w:hAnsi="Figtree"/>
          <w:b w:val="0"/>
          <w:i w:val="0"/>
          <w:sz w:val="22"/>
        </w:rPr>
        <w:t>[Source: content/; reusable/about-dalp.md; [PARTNER: compliance ownership matrix]; [PARTNER: evidence list]]</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Close the response with a requirement-by-requirement compliance view.</w:t>
      </w:r>
    </w:p>
    <w:p>
      <w:pPr>
        <w:pStyle w:val="ListParagraph"/>
        <w:numPr>
          <w:ilvl w:val="1"/>
          <w:numId w:val="4"/>
        </w:numPr>
      </w:pPr>
      <w:r>
        <w:rPr>
          <w:rFonts w:ascii="Figtree" w:hAnsi="Figtree"/>
          <w:b w:val="0"/>
          <w:i w:val="0"/>
          <w:sz w:val="22"/>
        </w:rPr>
        <w:t>Make ownership and response status obvious.</w:t>
      </w:r>
    </w:p>
    <w:p>
      <w:r>
        <w:rPr>
          <w:rFonts w:ascii="Figtree" w:hAnsi="Figtree"/>
          <w:b w:val="0"/>
          <w:i w:val="0"/>
          <w:sz w:val="22"/>
        </w:rPr>
        <w:t>]</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Compliance matrix table with columns: Requirement ID | Requirement summary | SettleMint response | Partner response | Joint responsibility | Status | Notes.</w:t>
      </w:r>
    </w:p>
    <w:p>
      <w:r>
        <w:rPr>
          <w:rFonts w:ascii="Figtree" w:hAnsi="Figtree"/>
          <w:b w:val="0"/>
          <w:i w:val="0"/>
          <w:sz w:val="22"/>
        </w:rPr>
        <w:t>]</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Use consistent response codes if the bid expects them.</w:t>
      </w:r>
    </w:p>
    <w:p>
      <w:pPr>
        <w:pStyle w:val="ListParagraph"/>
        <w:numPr>
          <w:ilvl w:val="1"/>
          <w:numId w:val="4"/>
        </w:numPr>
      </w:pPr>
      <w:r>
        <w:rPr>
          <w:rFonts w:ascii="Figtree" w:hAnsi="Figtree"/>
          <w:b w:val="0"/>
          <w:i w:val="0"/>
          <w:sz w:val="22"/>
        </w:rPr>
        <w:t>Point to detailed sections where needed.</w:t>
      </w:r>
    </w:p>
    <w:p>
      <w:pPr>
        <w:pStyle w:val="ListParagraph"/>
        <w:numPr>
          <w:ilvl w:val="1"/>
          <w:numId w:val="4"/>
        </w:numPr>
      </w:pPr>
      <w:r>
        <w:rPr>
          <w:rFonts w:ascii="Figtree" w:hAnsi="Figtree"/>
          <w:b w:val="0"/>
          <w:i w:val="0"/>
          <w:sz w:val="22"/>
        </w:rPr>
        <w:t>Make all partial-compliance or dependency conditions explicit.</w:t>
      </w:r>
    </w:p>
    <w:p>
      <w:r>
        <w:rPr>
          <w:rFonts w:ascii="Figtree" w:hAnsi="Figtree"/>
          <w:b w:val="0"/>
          <w:i w:val="0"/>
          <w:sz w:val="22"/>
        </w:rPr>
        <w:t>]</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Hide assumptions or qualify ownership in vague footnotes only.</w:t>
      </w:r>
    </w:p>
    <w:p>
      <w:r>
        <w:rPr>
          <w:rFonts w:ascii="Figtree" w:hAnsi="Figtree"/>
          <w:b w:val="0"/>
          <w:i w:val="0"/>
          <w:sz w:val="22"/>
        </w:rPr>
        <w:t>]</w:t>
      </w:r>
    </w:p>
    <w:p>
      <w:pPr>
        <w:pStyle w:val="ListParagraph"/>
        <w:numPr>
          <w:ilvl w:val="0"/>
          <w:numId w:val="4"/>
        </w:numPr>
      </w:pPr>
      <w:r>
        <w:rPr>
          <w:rFonts w:ascii="Figtree" w:hAnsi="Figtree"/>
          <w:b w:val="0"/>
          <w:i w:val="0"/>
          <w:sz w:val="22"/>
        </w:rPr>
        <w:t>[Partner input needed: yes]</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