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tender</w:t>
      </w:r>
    </w:p>
    <w:p>
      <w:r>
        <w:t>variant: 02-focused</w:t>
      </w:r>
    </w:p>
    <w:p>
      <w:r>
        <w:t>last-updated: 2026-03-14</w:t>
      </w:r>
    </w:p>
    <w:p>
      <w:pPr>
        <w:pStyle w:val="Heading1"/>
      </w:pPr>
      <w:r>
        <w:t>Tender Skeleton — Focused</w:t>
      </w:r>
    </w:p>
    <w:p>
      <w:pPr>
        <w:pStyle w:val="Quote"/>
      </w:pPr>
      <w:r>
        <w:t>**Target generated document size:** 40-60 pages / 9,000-14,000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Use formal public-sector procurement language and rigid procedural structure.</w:t>
      </w:r>
    </w:p>
    <w:p>
      <w:pPr>
        <w:pStyle w:val="ListBullet"/>
      </w:pPr>
      <w:r>
        <w:t>Separate selection criteria (threshold) from award criteria (scored).</w:t>
      </w:r>
    </w:p>
    <w:p>
      <w:pPr>
        <w:pStyle w:val="ListBullet"/>
      </w:pPr>
      <w:r>
        <w:t>Prescribe pricing schedules, declarations, and public-disclosure handling explicitly.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Authority, Procedure, and Tender Administration</w:t>
      </w:r>
    </w:p>
    <w:p>
      <w:r>
        <w:t>**Target length:** 1,000-1,300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1.1 Authority and legal basis (350-500 words)</w:t>
      </w:r>
    </w:p>
    <w:p>
      <w:pPr>
        <w:pStyle w:val="ListBullet"/>
      </w:pPr>
      <w:r>
        <w:t>Section purpose: State authority and procurement route.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State authority and procurement route.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Timetable and submission compliance (350-500 words)</w:t>
      </w:r>
    </w:p>
    <w:p>
      <w:pPr>
        <w:pStyle w:val="ListBullet"/>
      </w:pPr>
      <w:r>
        <w:t>Section purpose: Provide admissibility and submission rules.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Provide admissibility and submission rules.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Clarifications and declarations (350-500 words)</w:t>
      </w:r>
    </w:p>
    <w:p>
      <w:pPr>
        <w:pStyle w:val="ListBullet"/>
      </w:pPr>
      <w:r>
        <w:t>Section purpose: Require integrity and conflict declarations.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Require integrity and conflict declarations.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Requirements, Selection, and Award Criteria</w:t>
      </w:r>
    </w:p>
    <w:p>
      <w:r>
        <w:t>**Target length:** 1,800-2,300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2.1 Technical/service specification (350-500 words)</w:t>
      </w:r>
    </w:p>
    <w:p>
      <w:pPr>
        <w:pStyle w:val="ListBullet"/>
      </w:pPr>
      <w:r>
        <w:t>Section purpose: Set core specification and compliance requirements.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Set core specification and compliance requirements.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Selection criteria and exclusions (350-500 words)</w:t>
      </w:r>
    </w:p>
    <w:p>
      <w:pPr>
        <w:pStyle w:val="ListBullet"/>
      </w:pPr>
      <w:r>
        <w:t>Section purpose: Define threshold bidder eligibility.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Define threshold bidder eligibility.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Award criteria and scoring (350-500 words)</w:t>
      </w:r>
    </w:p>
    <w:p>
      <w:pPr>
        <w:pStyle w:val="ListBullet"/>
      </w:pPr>
      <w:r>
        <w:t>Section purpose: Publish weights, subcriteria, and rubric summary.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Publish weights, subcriteria, and rubric summary.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Commercial Schedule, Contract, and Annexes</w:t>
      </w:r>
    </w:p>
    <w:p>
      <w:r>
        <w:t>**Target length:** 1,500-2,000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3.1 Pricing schedule (350-500 words)</w:t>
      </w:r>
    </w:p>
    <w:p>
      <w:pPr>
        <w:pStyle w:val="ListBullet"/>
      </w:pPr>
      <w:r>
        <w:t>Section purpose: Provide prescribed pricing form.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Provide prescribed pricing form.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Contract terms and performance (350-500 words)</w:t>
      </w:r>
    </w:p>
    <w:p>
      <w:pPr>
        <w:pStyle w:val="ListBullet"/>
      </w:pPr>
      <w:r>
        <w:t>Section purpose: Set key legal and KPI baseline.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Set key legal and KPI baseline.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Mandatory forms and disclosure annexes (350-500 words)</w:t>
      </w:r>
    </w:p>
    <w:p>
      <w:pPr>
        <w:pStyle w:val="ListBullet"/>
      </w:pPr>
      <w:r>
        <w:t>Section purpose: Index forms and transparency annexes.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Index forms and transparency annexes.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