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skeleton-family: rfp-builder</w:t>
      </w:r>
    </w:p>
    <w:p>
      <w:r>
        <w:t>perspective: buyer-side issuance blueprint</w:t>
      </w:r>
    </w:p>
    <w:p>
      <w:r>
        <w:t>document-type: tender</w:t>
      </w:r>
    </w:p>
    <w:p>
      <w:r>
        <w:t>variant: 03-compact</w:t>
      </w:r>
    </w:p>
    <w:p>
      <w:r>
        <w:t>last-updated: 2026-03-14</w:t>
      </w:r>
    </w:p>
    <w:p>
      <w:pPr>
        <w:pStyle w:val="Heading1"/>
      </w:pPr>
      <w:r>
        <w:t>Tender Skeleton — Compact</w:t>
      </w:r>
    </w:p>
    <w:p>
      <w:pPr>
        <w:pStyle w:val="Quote"/>
      </w:pPr>
      <w:r>
        <w:t>**Target generated document size:** 20-30 pages / 4,500-8,000 words</w:t>
      </w:r>
    </w:p>
    <w:p>
      <w:pPr>
        <w:pStyle w:val="Quote"/>
      </w:pPr>
      <w:r>
        <w:t>**Perspective:** Buyer-side procurement issuer</w:t>
      </w:r>
    </w:p>
    <w:p>
      <w:pPr>
        <w:pStyle w:val="Quote"/>
      </w:pPr>
      <w:r>
        <w:t>**Output style:** Structural drafting instructions, not finished vendor-facing prose</w:t>
      </w:r>
    </w:p>
    <w:p>
      <w:pPr>
        <w:pStyle w:val="Heading2"/>
      </w:pPr>
      <w:r>
        <w:t>Global Skeleton Rules</w:t>
      </w:r>
    </w:p>
    <w:p>
      <w:pPr>
        <w:pStyle w:val="ListBullet"/>
      </w:pPr>
      <w:r>
        <w:t>Use formal public-sector procurement language and rigid procedural structure.</w:t>
      </w:r>
    </w:p>
    <w:p>
      <w:pPr>
        <w:pStyle w:val="ListBullet"/>
      </w:pPr>
      <w:r>
        <w:t>Separate selection criteria (threshold) from award criteria (scored).</w:t>
      </w:r>
    </w:p>
    <w:p>
      <w:pPr>
        <w:pStyle w:val="ListBullet"/>
      </w:pPr>
      <w:r>
        <w:t>Prescribe pricing schedules, declarations, and public-disclosure handling explicitly.</w:t>
      </w:r>
    </w:p>
    <w:p>
      <w:pPr>
        <w:pStyle w:val="Heading2"/>
      </w:pPr>
      <w:r>
        <w:t>Document Metadata Block</w:t>
      </w:r>
    </w:p>
    <w:p>
      <w:pPr>
        <w:pStyle w:val="ListBullet"/>
      </w:pPr>
      <w:r>
        <w:t>Reference number / procurement ID / version / issue date</w:t>
      </w:r>
    </w:p>
    <w:p>
      <w:pPr>
        <w:pStyle w:val="ListBullet"/>
      </w:pPr>
      <w:r>
        <w:t>Issuing organization / authority / sponsor / contact point</w:t>
      </w:r>
    </w:p>
    <w:p>
      <w:pPr>
        <w:pStyle w:val="ListBullet"/>
      </w:pPr>
      <w:r>
        <w:t>Clarification deadline / submission deadline / validity period</w:t>
      </w:r>
    </w:p>
    <w:p>
      <w:pPr>
        <w:pStyle w:val="ListBullet"/>
      </w:pPr>
      <w:r>
        <w:t>Confidentiality, language, currency, and governing law / policy basis</w:t>
      </w:r>
    </w:p>
    <w:p>
      <w:pPr>
        <w:pStyle w:val="ListBullet"/>
      </w:pPr>
      <w:r>
        <w:t>Document hierarchy, appendices, and response-template inventory</w:t>
      </w:r>
    </w:p>
    <w:p>
      <w:pPr>
        <w:pStyle w:val="Heading2"/>
      </w:pPr>
      <w:r>
        <w:t>Section 1: Tender Notice and Submission Rules</w:t>
      </w:r>
    </w:p>
    <w:p>
      <w:r>
        <w:t>**Target length:** 800-1,000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Keep selection criteria, award criteria, admissibility, and contract conditions procedurally distinct.</w:t>
      </w:r>
    </w:p>
    <w:p>
      <w:pPr>
        <w:pStyle w:val="Heading3"/>
      </w:pPr>
      <w:r>
        <w:t>1.1 Authority and procedure summary (250-350 words)</w:t>
      </w:r>
    </w:p>
    <w:p>
      <w:pPr>
        <w:pStyle w:val="ListBullet"/>
      </w:pPr>
      <w:r>
        <w:t>Section purpose: Identify the authority and route.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Identify the authority and route.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1.2 Timetable and admissibility (250-350 words)</w:t>
      </w:r>
    </w:p>
    <w:p>
      <w:pPr>
        <w:pStyle w:val="ListBullet"/>
      </w:pPr>
      <w:r>
        <w:t>Section purpose: List deadlines and hard submission conditions.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List deadlines and hard submission conditions.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1.3 Mandatory declarations (250-350 words)</w:t>
      </w:r>
    </w:p>
    <w:p>
      <w:pPr>
        <w:pStyle w:val="ListBullet"/>
      </w:pPr>
      <w:r>
        <w:t>Section purpose: List integrity and exclusion forms.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List integrity and exclusion forms.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2: Specification, Selection, and Award Core</w:t>
      </w:r>
    </w:p>
    <w:p>
      <w:r>
        <w:t>**Target length:** 1,400-1,900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Keep selection criteria, award criteria, admissibility, and contract conditions procedurally distinct.</w:t>
      </w:r>
    </w:p>
    <w:p>
      <w:pPr>
        <w:pStyle w:val="Heading3"/>
      </w:pPr>
      <w:r>
        <w:t>2.1 Technical/service specification (250-350 words)</w:t>
      </w:r>
    </w:p>
    <w:p>
      <w:pPr>
        <w:pStyle w:val="ListBullet"/>
      </w:pPr>
      <w:r>
        <w:t>Section purpose: State minimum service and technical specification.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State minimum service and technical specification.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2.2 Selection and exclusion criteria (250-350 words)</w:t>
      </w:r>
    </w:p>
    <w:p>
      <w:pPr>
        <w:pStyle w:val="ListBullet"/>
      </w:pPr>
      <w:r>
        <w:t>Section purpose: Define pass/fail bidder thresholds.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Define pass/fail bidder thresholds.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2.3 Award criteria and weightings (250-350 words)</w:t>
      </w:r>
    </w:p>
    <w:p>
      <w:pPr>
        <w:pStyle w:val="ListBullet"/>
      </w:pPr>
      <w:r>
        <w:t>Section purpose: Publish exact quality/price weights and rubric summary.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Publish exact quality/price weights and rubric summary.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3: Price, Contract, and Annex Pack</w:t>
      </w:r>
    </w:p>
    <w:p>
      <w:r>
        <w:t>**Target length:** 800-1,100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Keep selection criteria, award criteria, admissibility, and contract conditions procedurally distinct.</w:t>
      </w:r>
    </w:p>
    <w:p>
      <w:pPr>
        <w:pStyle w:val="Heading3"/>
      </w:pPr>
      <w:r>
        <w:t>3.1 Price schedule (250-350 words)</w:t>
      </w:r>
    </w:p>
    <w:p>
      <w:pPr>
        <w:pStyle w:val="ListBullet"/>
      </w:pPr>
      <w:r>
        <w:t>Section purpose: Provide prescribed price form.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Provide prescribed price form.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3.2 Contract baseline (250-350 words)</w:t>
      </w:r>
    </w:p>
    <w:p>
      <w:pPr>
        <w:pStyle w:val="ListBullet"/>
      </w:pPr>
      <w:r>
        <w:t>Section purpose: State non-negotiables and deviation process.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State non-negotiables and deviation process.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3.3 Annexes and disclosure handling (250-350 words)</w:t>
      </w:r>
    </w:p>
    <w:p>
      <w:pPr>
        <w:pStyle w:val="ListBullet"/>
      </w:pPr>
      <w:r>
        <w:t>Section purpose: Index forms and public-disclosure notes.</w:t>
      </w:r>
    </w:p>
    <w:p>
      <w:pPr>
        <w:pStyle w:val="ListBullet"/>
      </w:pPr>
      <w:r>
        <w:t>Target word count: 250-350 words</w:t>
      </w:r>
    </w:p>
    <w:p>
      <w:pPr>
        <w:pStyle w:val="ListBullet"/>
      </w:pPr>
      <w:r>
        <w:t>What to write about: Index forms and public-disclosure notes.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Global Appendix Minimum</w:t>
      </w:r>
    </w:p>
    <w:p>
      <w:pPr>
        <w:pStyle w:val="ListBullet"/>
      </w:pPr>
      <w:r>
        <w:t>Glossary and definitions</w:t>
      </w:r>
    </w:p>
    <w:p>
      <w:pPr>
        <w:pStyle w:val="ListBullet"/>
      </w:pPr>
      <w:r>
        <w:t>Response matrix / completion template</w:t>
      </w:r>
    </w:p>
    <w:p>
      <w:pPr>
        <w:pStyle w:val="ListBullet"/>
      </w:pPr>
      <w:r>
        <w:t>Assumptions and dependencies register</w:t>
      </w:r>
    </w:p>
    <w:p>
      <w:pPr>
        <w:pStyle w:val="ListBullet"/>
      </w:pPr>
      <w:r>
        <w:t>Exceptions / deviations log</w:t>
      </w:r>
    </w:p>
    <w:p>
      <w:pPr>
        <w:pStyle w:val="ListBullet"/>
      </w:pPr>
      <w:r>
        <w:t>Pricing workbook or indicative pricing form where relevant</w:t>
      </w:r>
    </w:p>
    <w:p>
      <w:pPr>
        <w:pStyle w:val="ListBullet"/>
      </w:pPr>
      <w:r>
        <w:t>Mandatory declarations / signatures / public-disclosure notes where relevant</w:t>
      </w:r>
    </w:p>
    <w:p>
      <w:pPr>
        <w:pStyle w:val="Heading2"/>
      </w:pPr>
      <w:r>
        <w:t>Global Anti-Patterns</w:t>
      </w:r>
    </w:p>
    <w:p>
      <w:pPr>
        <w:pStyle w:val="ListBullet"/>
      </w:pPr>
      <w:r>
        <w:t>Writing vendor response content instead of buyer instructions</w:t>
      </w:r>
    </w:p>
    <w:p>
      <w:pPr>
        <w:pStyle w:val="ListBullet"/>
      </w:pPr>
      <w:r>
        <w:t>Mixing mandatory gates, scoring rules, and contract terms without labels</w:t>
      </w:r>
    </w:p>
    <w:p>
      <w:pPr>
        <w:pStyle w:val="ListBullet"/>
      </w:pPr>
      <w:r>
        <w:t>Allowing roadmap claims to appear as shipped capability</w:t>
      </w:r>
    </w:p>
    <w:p>
      <w:pPr>
        <w:pStyle w:val="ListBullet"/>
      </w:pPr>
      <w:r>
        <w:t>Using generic marketing adjectives instead of measurable expectations</w:t>
      </w:r>
    </w:p>
    <w:p>
      <w:pPr>
        <w:pStyle w:val="ListBullet"/>
      </w:pPr>
      <w:r>
        <w:t>Omitting templates, tables, or appendix instructions needed for comparable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