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skeleton-family: rfp-builder</w:t>
      </w:r>
    </w:p>
    <w:p>
      <w:r>
        <w:t>perspective: buyer-side issuance blueprint</w:t>
      </w:r>
    </w:p>
    <w:p>
      <w:r>
        <w:t>document-type: questionnaire</w:t>
      </w:r>
    </w:p>
    <w:p>
      <w:r>
        <w:t>variant: 02-focused</w:t>
      </w:r>
    </w:p>
    <w:p>
      <w:r>
        <w:t>last-updated: 2026-03-14</w:t>
      </w:r>
    </w:p>
    <w:p>
      <w:pPr>
        <w:pStyle w:val="Heading1"/>
      </w:pPr>
      <w:r>
        <w:t>Procurement Questionnaire Skeleton — Focused</w:t>
      </w:r>
    </w:p>
    <w:p>
      <w:pPr>
        <w:pStyle w:val="Quote"/>
      </w:pPr>
      <w:r>
        <w:t>**Target generated document size:** 40-60 pages / 9,000-14,000 words</w:t>
      </w:r>
    </w:p>
    <w:p>
      <w:pPr>
        <w:pStyle w:val="Quote"/>
      </w:pPr>
      <w:r>
        <w:t>**Perspective:** Buyer-side procurement issuer</w:t>
      </w:r>
    </w:p>
    <w:p>
      <w:pPr>
        <w:pStyle w:val="Quote"/>
      </w:pPr>
      <w:r>
        <w:t>**Output style:** Structural drafting instructions, not finished vendor-facing prose</w:t>
      </w:r>
    </w:p>
    <w:p>
      <w:pPr>
        <w:pStyle w:val="Heading2"/>
      </w:pPr>
      <w:r>
        <w:t>Global Skeleton Rules</w:t>
      </w:r>
    </w:p>
    <w:p>
      <w:pPr>
        <w:pStyle w:val="ListBullet"/>
      </w:pPr>
      <w:r>
        <w:t>Use dense, scorable question grids rather than long narrative sections.</w:t>
      </w:r>
    </w:p>
    <w:p>
      <w:pPr>
        <w:pStyle w:val="ListBullet"/>
      </w:pPr>
      <w:r>
        <w:t>Each row should contain Q ID, topic, question, priority, response type, and evidence requested.</w:t>
      </w:r>
    </w:p>
    <w:p>
      <w:pPr>
        <w:pStyle w:val="ListBullet"/>
      </w:pPr>
      <w:r>
        <w:t>Require a qualifications register linking caveats back to question IDs.</w:t>
      </w:r>
    </w:p>
    <w:p>
      <w:pPr>
        <w:pStyle w:val="Heading2"/>
      </w:pPr>
      <w:r>
        <w:t>Document Metadata Block</w:t>
      </w:r>
    </w:p>
    <w:p>
      <w:pPr>
        <w:pStyle w:val="ListBullet"/>
      </w:pPr>
      <w:r>
        <w:t>Reference number / procurement ID / version / issue date</w:t>
      </w:r>
    </w:p>
    <w:p>
      <w:pPr>
        <w:pStyle w:val="ListBullet"/>
      </w:pPr>
      <w:r>
        <w:t>Issuing organization / authority / sponsor / contact point</w:t>
      </w:r>
    </w:p>
    <w:p>
      <w:pPr>
        <w:pStyle w:val="ListBullet"/>
      </w:pPr>
      <w:r>
        <w:t>Clarification deadline / submission deadline / validity period</w:t>
      </w:r>
    </w:p>
    <w:p>
      <w:pPr>
        <w:pStyle w:val="ListBullet"/>
      </w:pPr>
      <w:r>
        <w:t>Confidentiality, language, currency, and governing law / policy basis</w:t>
      </w:r>
    </w:p>
    <w:p>
      <w:pPr>
        <w:pStyle w:val="ListBullet"/>
      </w:pPr>
      <w:r>
        <w:t>Document hierarchy, appendices, and response-template inventory</w:t>
      </w:r>
    </w:p>
    <w:p>
      <w:pPr>
        <w:pStyle w:val="Heading2"/>
      </w:pPr>
      <w:r>
        <w:t>Section 1: Questionnaire Setup and Scoring Rules</w:t>
      </w:r>
    </w:p>
    <w:p>
      <w:r>
        <w:t>**Target length:** 1,000-1,300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Ensure every question row can be scored or gated with consistent evidence sufficiency rules.</w:t>
      </w:r>
    </w:p>
    <w:p>
      <w:pPr>
        <w:pStyle w:val="Heading3"/>
      </w:pPr>
      <w:r>
        <w:t>1.1 Purpose and audience (350-500 words)</w:t>
      </w:r>
    </w:p>
    <w:p>
      <w:pPr>
        <w:pStyle w:val="ListBullet"/>
      </w:pPr>
      <w:r>
        <w:t>Section purpose: Explain the decision use.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Explain the decision use.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1.2 Completion rules and response legend (350-500 words)</w:t>
      </w:r>
    </w:p>
    <w:p>
      <w:pPr>
        <w:pStyle w:val="ListBullet"/>
      </w:pPr>
      <w:r>
        <w:t>Section purpose: Define response types and evidence expectations.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Define response types and evidence expectations.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1.3 Scoring and evidence sufficiency (350-500 words)</w:t>
      </w:r>
    </w:p>
    <w:p>
      <w:pPr>
        <w:pStyle w:val="ListBullet"/>
      </w:pPr>
      <w:r>
        <w:t>Section purpose: Define weights, mandatory failures, and adequacy rules.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Define weights, mandatory failures, and adequacy rules.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2: Core Question Domains</w:t>
      </w:r>
    </w:p>
    <w:p>
      <w:r>
        <w:t>**Target length:** 1,800-2,300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Ensure every question row can be scored or gated with consistent evidence sufficiency rules.</w:t>
      </w:r>
    </w:p>
    <w:p>
      <w:pPr>
        <w:pStyle w:val="Heading3"/>
      </w:pPr>
      <w:r>
        <w:t>2.1 Business and operations questions (350-500 words)</w:t>
      </w:r>
    </w:p>
    <w:p>
      <w:pPr>
        <w:pStyle w:val="ListBullet"/>
      </w:pPr>
      <w:r>
        <w:t>Section purpose: Ask about workflows, reporting, governance, and support.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Ask about workflows, reporting, governance, and support.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2.2 Technical and integration questions (350-500 words)</w:t>
      </w:r>
    </w:p>
    <w:p>
      <w:pPr>
        <w:pStyle w:val="ListBullet"/>
      </w:pPr>
      <w:r>
        <w:t>Section purpose: Ask about architecture, APIs, deployment, and resilience.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Ask about architecture, APIs, deployment, and resilience.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2.3 Security, compliance, and legal questions (350-500 words)</w:t>
      </w:r>
    </w:p>
    <w:p>
      <w:pPr>
        <w:pStyle w:val="ListBullet"/>
      </w:pPr>
      <w:r>
        <w:t>Section purpose: Ask about controls, data handling, and certifications.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Ask about controls, data handling, and certifications.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Section 3: Exceptions, Evidence Pack, and Appendices</w:t>
      </w:r>
    </w:p>
    <w:p>
      <w:r>
        <w:t>**Target length:** 1,500-2,000 words</w:t>
      </w:r>
    </w:p>
    <w:p>
      <w:r>
        <w:t>**Purpose:** Draft this section so vendors understand exactly what the buyer is asking for and how it will be evaluated.</w:t>
      </w:r>
    </w:p>
    <w:p>
      <w:r>
        <w:t>**Evaluation integration:** Ensure every question row can be scored or gated with consistent evidence sufficiency rules.</w:t>
      </w:r>
    </w:p>
    <w:p>
      <w:pPr>
        <w:pStyle w:val="Heading3"/>
      </w:pPr>
      <w:r>
        <w:t>3.1 Qualifications register (350-500 words)</w:t>
      </w:r>
    </w:p>
    <w:p>
      <w:pPr>
        <w:pStyle w:val="ListBullet"/>
      </w:pPr>
      <w:r>
        <w:t>Section purpose: Capture dependencies and caveats by Q ID.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Capture dependencies and caveats by Q ID.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3.2 Evidence pack requirements (350-500 words)</w:t>
      </w:r>
    </w:p>
    <w:p>
      <w:pPr>
        <w:pStyle w:val="ListBullet"/>
      </w:pPr>
      <w:r>
        <w:t>Section purpose: List required artifacts and formats.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List required artifacts and formats.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Heading3"/>
      </w:pPr>
      <w:r>
        <w:t>3.3 Appendices and declarations (350-500 words)</w:t>
      </w:r>
    </w:p>
    <w:p>
      <w:pPr>
        <w:pStyle w:val="ListBullet"/>
      </w:pPr>
      <w:r>
        <w:t>Section purpose: Index glossary, declarations, and assumptions register.</w:t>
      </w:r>
    </w:p>
    <w:p>
      <w:pPr>
        <w:pStyle w:val="ListBullet"/>
      </w:pPr>
      <w:r>
        <w:t>Target word count: 350-500 words</w:t>
      </w:r>
    </w:p>
    <w:p>
      <w:pPr>
        <w:pStyle w:val="ListBullet"/>
      </w:pPr>
      <w:r>
        <w:t>What to write about: Index glossary, declarations, and assumptions register. Write in buyer language, frame the requirement or prompt clearly, and define the expected vendor response format or completion behavior.</w:t>
      </w:r>
    </w:p>
    <w:p>
      <w:pPr>
        <w:pStyle w:val="ListBullet"/>
      </w:pPr>
      <w:r>
        <w:t>Requirement engineering / structure: Use atomic statements, clear labels for mandatory vs scored items, and explicit evidence or response-type columns where relevant.</w:t>
      </w:r>
    </w:p>
    <w:p>
      <w:pPr>
        <w:pStyle w:val="ListBullet"/>
      </w:pPr>
      <w:r>
        <w:t>Tables / diagrams to include: Include at least one structured table, matrix, checklist, or diagram that makes responses comparable and evaluator-friendly.</w:t>
      </w:r>
    </w:p>
    <w:p>
      <w:pPr>
        <w:pStyle w:val="ListBullet"/>
      </w:pPr>
      <w:r>
        <w:t>Tone guidance: Institutional, precise, neutral, auditable, and free of vendor-answer language.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Section-level tables / diagrams: Include a section summary table plus any response matrix, checklist, workflow, scoring rubric, or appendix index needed to make the section operational.</w:t>
      </w:r>
    </w:p>
    <w:p>
      <w:pPr>
        <w:pStyle w:val="ListBullet"/>
      </w:pPr>
      <w:r>
        <w:t>Tone guidance: Keep the section tight, scorable, and administratively usable by procurement, legal, security, and evaluation teams.</w:t>
      </w:r>
    </w:p>
    <w:p>
      <w:pPr>
        <w:pStyle w:val="ListBullet"/>
      </w:pPr>
      <w:r>
        <w:t>Source references: `rfp-builder/setup/skeleton-definition.md`; `bid-manager/skeletons/1_technical/markdown/technical-full.md`; `rfp-builder/content/README.md`</w:t>
      </w:r>
    </w:p>
    <w:p>
      <w:pPr>
        <w:pStyle w:val="ListBullet"/>
      </w:pPr>
      <w:r>
        <w:t>Buyer-side constraints: Do not answer the requirement for vendors; do not hide key instructions in narrative prose; do not use vague unscorable adjectives.</w:t>
      </w:r>
    </w:p>
    <w:p>
      <w:pPr>
        <w:pStyle w:val="ListBullet"/>
      </w:pPr>
      <w:r>
        <w:t>Anti-pattern warnings: Avoid compound requirements, unclear ownership, unlabelled mandatory items, and response formats that make vendor comparison subjective.</w:t>
      </w:r>
    </w:p>
    <w:p>
      <w:pPr>
        <w:pStyle w:val="Heading2"/>
      </w:pPr>
      <w:r>
        <w:t>Global Appendix Minimum</w:t>
      </w:r>
    </w:p>
    <w:p>
      <w:pPr>
        <w:pStyle w:val="ListBullet"/>
      </w:pPr>
      <w:r>
        <w:t>Glossary and definitions</w:t>
      </w:r>
    </w:p>
    <w:p>
      <w:pPr>
        <w:pStyle w:val="ListBullet"/>
      </w:pPr>
      <w:r>
        <w:t>Response matrix / completion template</w:t>
      </w:r>
    </w:p>
    <w:p>
      <w:pPr>
        <w:pStyle w:val="ListBullet"/>
      </w:pPr>
      <w:r>
        <w:t>Assumptions and dependencies register</w:t>
      </w:r>
    </w:p>
    <w:p>
      <w:pPr>
        <w:pStyle w:val="ListBullet"/>
      </w:pPr>
      <w:r>
        <w:t>Exceptions / deviations log</w:t>
      </w:r>
    </w:p>
    <w:p>
      <w:pPr>
        <w:pStyle w:val="ListBullet"/>
      </w:pPr>
      <w:r>
        <w:t>Pricing workbook or indicative pricing form where relevant</w:t>
      </w:r>
    </w:p>
    <w:p>
      <w:pPr>
        <w:pStyle w:val="ListBullet"/>
      </w:pPr>
      <w:r>
        <w:t>Mandatory declarations / signatures / public-disclosure notes where relevant</w:t>
      </w:r>
    </w:p>
    <w:p>
      <w:pPr>
        <w:pStyle w:val="Heading2"/>
      </w:pPr>
      <w:r>
        <w:t>Global Anti-Patterns</w:t>
      </w:r>
    </w:p>
    <w:p>
      <w:pPr>
        <w:pStyle w:val="ListBullet"/>
      </w:pPr>
      <w:r>
        <w:t>Writing vendor response content instead of buyer instructions</w:t>
      </w:r>
    </w:p>
    <w:p>
      <w:pPr>
        <w:pStyle w:val="ListBullet"/>
      </w:pPr>
      <w:r>
        <w:t>Mixing mandatory gates, scoring rules, and contract terms without labels</w:t>
      </w:r>
    </w:p>
    <w:p>
      <w:pPr>
        <w:pStyle w:val="ListBullet"/>
      </w:pPr>
      <w:r>
        <w:t>Allowing roadmap claims to appear as shipped capability</w:t>
      </w:r>
    </w:p>
    <w:p>
      <w:pPr>
        <w:pStyle w:val="ListBullet"/>
      </w:pPr>
      <w:r>
        <w:t>Using generic marketing adjectives instead of measurable expectations</w:t>
      </w:r>
    </w:p>
    <w:p>
      <w:pPr>
        <w:pStyle w:val="ListBullet"/>
      </w:pPr>
      <w:r>
        <w:t>Omitting templates, tables, or appendix instructions needed for comparable responses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