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Source RFP Context</w:t>
          </w:r>
          <w:r>
            <w:tab/>
          </w:r>
          <w:r>
            <w:t xml:space="preserve">4</w:t>
          </w:r>
        </w:p>
        <w:p>
          <w:pPr>
            <w:pStyle w:val="TOC1"/>
            <w:tabs>
              <w:tab w:val="right" w:leader="dot" w:pos="9072"/>
            </w:tabs>
          </w:pPr>
          <w:r>
            <w:t xml:space="preserve">Technical Proposal Blueprint: Compact</w:t>
          </w:r>
          <w:r>
            <w:tab/>
          </w:r>
          <w:r>
            <w:t xml:space="preserve">5</w:t>
          </w:r>
        </w:p>
        <w:p>
          <w:pPr>
            <w:pStyle w:val="TOC1"/>
            <w:tabs>
              <w:tab w:val="right" w:leader="dot" w:pos="9072"/>
            </w:tabs>
          </w:pPr>
          <w:r>
            <w:t xml:space="preserve">Blueprint Rules: MANDATORY COMPLIANCE</w:t>
          </w:r>
          <w:r>
            <w:tab/>
          </w:r>
          <w:r>
            <w:t xml:space="preserve">6</w:t>
          </w:r>
        </w:p>
        <w:p>
          <w:pPr>
            <w:pStyle w:val="TOC2"/>
            <w:tabs>
              <w:tab w:val="right" w:leader="dot" w:pos="9072"/>
            </w:tabs>
          </w:pPr>
          <w:r>
            <w:t xml:space="preserve">Structural Compliance</w:t>
          </w:r>
          <w:r>
            <w:tab/>
          </w:r>
          <w:r>
            <w:t xml:space="preserve">7</w:t>
          </w:r>
        </w:p>
        <w:p>
          <w:pPr>
            <w:pStyle w:val="TOC2"/>
            <w:tabs>
              <w:tab w:val="right" w:leader="dot" w:pos="9072"/>
            </w:tabs>
          </w:pPr>
          <w:r>
            <w:t xml:space="preserve">Consistency Anchors</w:t>
          </w:r>
          <w:r>
            <w:tab/>
          </w:r>
          <w:r>
            <w:t xml:space="preserve">8</w:t>
          </w:r>
        </w:p>
        <w:p>
          <w:pPr>
            <w:pStyle w:val="TOC2"/>
            <w:tabs>
              <w:tab w:val="right" w:leader="dot" w:pos="9072"/>
            </w:tabs>
          </w:pPr>
          <w:r>
            <w:t xml:space="preserve">Pre-Write Checklist (complete before drafting any section)</w:t>
          </w:r>
          <w:r>
            <w:tab/>
          </w:r>
          <w:r>
            <w:t xml:space="preserve">9</w:t>
          </w:r>
        </w:p>
        <w:p>
          <w:pPr>
            <w:pStyle w:val="TOC2"/>
            <w:tabs>
              <w:tab w:val="right" w:leader="dot" w:pos="9072"/>
            </w:tabs>
          </w:pPr>
          <w:r>
            <w:t xml:space="preserve">Output Quality Gates (validate before delivery)</w:t>
          </w:r>
          <w:r>
            <w:tab/>
          </w:r>
          <w:r>
            <w:t xml:space="preserve">10</w:t>
          </w:r>
        </w:p>
        <w:p>
          <w:pPr>
            <w:pStyle w:val="TOC2"/>
            <w:tabs>
              <w:tab w:val="right" w:leader="dot" w:pos="9072"/>
            </w:tabs>
          </w:pPr>
          <w:r>
            <w:t xml:space="preserve">MANDATORY DIAGRAMS (Gyan directive, 2026-04-03)</w:t>
          </w:r>
          <w:r>
            <w:tab/>
          </w:r>
          <w:r>
            <w:t xml:space="preserve">11</w:t>
          </w:r>
        </w:p>
        <w:p>
          <w:pPr>
            <w:pStyle w:val="TOC2"/>
            <w:tabs>
              <w:tab w:val="right" w:leader="dot" w:pos="9072"/>
            </w:tabs>
          </w:pPr>
          <w:r>
            <w:t xml:space="preserve">Original Skeleton-Specific Rules</w:t>
          </w:r>
          <w:r>
            <w:tab/>
          </w:r>
          <w:r>
            <w:t xml:space="preserve">12</w:t>
          </w:r>
        </w:p>
        <w:p>
          <w:pPr>
            <w:pStyle w:val="TOC1"/>
            <w:tabs>
              <w:tab w:val="right" w:leader="dot" w:pos="9072"/>
            </w:tabs>
          </w:pPr>
          <w:r>
            <w:t xml:space="preserve">Global Guidance</w:t>
          </w:r>
          <w:r>
            <w:tab/>
          </w:r>
          <w:r>
            <w:t xml:space="preserve">13</w:t>
          </w:r>
        </w:p>
        <w:p>
          <w:pPr>
            <w:pStyle w:val="TOC2"/>
            <w:tabs>
              <w:tab w:val="right" w:leader="dot" w:pos="9072"/>
            </w:tabs>
          </w:pPr>
          <w:r>
            <w:t xml:space="preserve">Objective</w:t>
          </w:r>
          <w:r>
            <w:tab/>
          </w:r>
          <w:r>
            <w:t xml:space="preserve">14</w:t>
          </w:r>
        </w:p>
        <w:p>
          <w:pPr>
            <w:pStyle w:val="TOC2"/>
            <w:tabs>
              <w:tab w:val="right" w:leader="dot" w:pos="9072"/>
            </w:tabs>
          </w:pPr>
          <w:r>
            <w:t xml:space="preserve">Core Source References</w:t>
          </w:r>
          <w:r>
            <w:tab/>
          </w:r>
          <w:r>
            <w:t xml:space="preserve">15</w:t>
          </w:r>
        </w:p>
        <w:p>
          <w:pPr>
            <w:pStyle w:val="TOC2"/>
            <w:tabs>
              <w:tab w:val="right" w:leader="dot" w:pos="9072"/>
            </w:tabs>
          </w:pPr>
          <w:r>
            <w:t xml:space="preserve">Tone Guidance</w:t>
          </w:r>
          <w:r>
            <w:tab/>
          </w:r>
          <w:r>
            <w:t xml:space="preserve">16</w:t>
          </w:r>
        </w:p>
        <w:p>
          <w:pPr>
            <w:pStyle w:val="TOC2"/>
            <w:tabs>
              <w:tab w:val="right" w:leader="dot" w:pos="9072"/>
            </w:tabs>
          </w:pPr>
          <w:r>
            <w:t xml:space="preserve">What To Avoid</w:t>
          </w:r>
          <w:r>
            <w:tab/>
          </w:r>
          <w:r>
            <w:t xml:space="preserve">17</w:t>
          </w:r>
        </w:p>
        <w:p>
          <w:pPr>
            <w:pStyle w:val="TOC2"/>
            <w:tabs>
              <w:tab w:val="right" w:leader="dot" w:pos="9072"/>
            </w:tabs>
          </w:pPr>
          <w:r>
            <w:t xml:space="preserve">Visual Element Policy</w:t>
          </w:r>
          <w:r>
            <w:tab/>
          </w:r>
          <w:r>
            <w:t xml:space="preserve">18</w:t>
          </w:r>
        </w:p>
        <w:p>
          <w:pPr>
            <w:pStyle w:val="TOC3"/>
            <w:tabs>
              <w:tab w:val="right" w:leader="dot" w:pos="9072"/>
            </w:tabs>
          </w:pPr>
          <w:r>
            <w:t xml:space="preserve">Section-to-Screenshot Map</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Client Need and Proposed Response</w:t>
          </w:r>
          <w:r>
            <w:tab/>
          </w:r>
          <w:r>
            <w:t xml:space="preserve">21</w:t>
          </w:r>
        </w:p>
        <w:p>
          <w:pPr>
            <w:pStyle w:val="TOC2"/>
            <w:tabs>
              <w:tab w:val="right" w:leader="dot" w:pos="9072"/>
            </w:tabs>
          </w:pPr>
          <w:r>
            <w:t xml:space="preserve">Executive Summary &gt; Why SettleMint / DALP</w:t>
          </w:r>
          <w:r>
            <w:tab/>
          </w:r>
          <w:r>
            <w:t xml:space="preserve">22</w:t>
          </w:r>
        </w:p>
        <w:p>
          <w:pPr>
            <w:pStyle w:val="TOC2"/>
            <w:tabs>
              <w:tab w:val="right" w:leader="dot" w:pos="9072"/>
            </w:tabs>
          </w:pPr>
          <w:r>
            <w:t xml:space="preserve">Executive Summary &gt; Visual Spec</w:t>
          </w:r>
          <w:r>
            <w:tab/>
          </w:r>
          <w:r>
            <w:t xml:space="preserve">23</w:t>
          </w:r>
        </w:p>
        <w:p>
          <w:pPr>
            <w:pStyle w:val="TOC1"/>
            <w:tabs>
              <w:tab w:val="right" w:leader="dot" w:pos="9072"/>
            </w:tabs>
          </w:pPr>
          <w:r>
            <w:t xml:space="preserve">About SettleMint</w:t>
          </w:r>
          <w:r>
            <w:tab/>
          </w:r>
          <w:r>
            <w:t xml:space="preserve">24</w:t>
          </w:r>
        </w:p>
        <w:p>
          <w:pPr>
            <w:pStyle w:val="TOC1"/>
            <w:tabs>
              <w:tab w:val="right" w:leader="dot" w:pos="9072"/>
            </w:tabs>
          </w:pPr>
          <w:r>
            <w:t xml:space="preserve">About DALP</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Customer References &gt; Summary Table</w:t>
          </w:r>
          <w:r>
            <w:tab/>
          </w:r>
          <w:r>
            <w:t xml:space="preserve">27</w:t>
          </w:r>
        </w:p>
        <w:p>
          <w:pPr>
            <w:pStyle w:val="TOC2"/>
            <w:tabs>
              <w:tab w:val="right" w:leader="dot" w:pos="9072"/>
            </w:tabs>
          </w:pPr>
          <w:r>
            <w:t xml:space="preserve">Customer References &gt; Relevance Note</w:t>
          </w:r>
          <w:r>
            <w:tab/>
          </w:r>
          <w:r>
            <w:t xml:space="preserve">28</w:t>
          </w:r>
        </w:p>
        <w:p>
          <w:pPr>
            <w:pStyle w:val="TOC2"/>
            <w:tabs>
              <w:tab w:val="right" w:leader="dot" w:pos="9072"/>
            </w:tabs>
          </w:pPr>
          <w:r>
            <w:t xml:space="preserve">Customer References &gt; Avoid</w:t>
          </w:r>
          <w:r>
            <w:tab/>
          </w:r>
          <w:r>
            <w:t xml:space="preserve">29</w:t>
          </w:r>
        </w:p>
        <w:p>
          <w:pPr>
            <w:pStyle w:val="TOC1"/>
            <w:tabs>
              <w:tab w:val="right" w:leader="dot" w:pos="9072"/>
            </w:tabs>
          </w:pPr>
          <w:r>
            <w:t xml:space="preserve">Solution Overview</w:t>
          </w:r>
          <w:r>
            <w:tab/>
          </w:r>
          <w:r>
            <w:t xml:space="preserve">30</w:t>
          </w:r>
        </w:p>
        <w:p>
          <w:pPr>
            <w:pStyle w:val="TOC2"/>
            <w:tabs>
              <w:tab w:val="right" w:leader="dot" w:pos="9072"/>
            </w:tabs>
          </w:pPr>
          <w:r>
            <w:t xml:space="preserve">Solution Overview &gt; Requirement Themes</w:t>
          </w:r>
          <w:r>
            <w:tab/>
          </w:r>
          <w:r>
            <w:t xml:space="preserve">31</w:t>
          </w:r>
        </w:p>
        <w:p>
          <w:pPr>
            <w:pStyle w:val="TOC2"/>
            <w:tabs>
              <w:tab w:val="right" w:leader="dot" w:pos="9072"/>
            </w:tabs>
          </w:pPr>
          <w:r>
            <w:t xml:space="preserve">Solution Overview &gt; Proposed Operating Model</w:t>
          </w:r>
          <w:r>
            <w:tab/>
          </w:r>
          <w:r>
            <w:t xml:space="preserve">32</w:t>
          </w:r>
        </w:p>
        <w:p>
          <w:pPr>
            <w:pStyle w:val="TOC2"/>
            <w:tabs>
              <w:tab w:val="right" w:leader="dot" w:pos="9072"/>
            </w:tabs>
          </w:pPr>
          <w:r>
            <w:t xml:space="preserve">Solution Overview &gt; Core Capability Response</w:t>
          </w:r>
          <w:r>
            <w:tab/>
          </w:r>
          <w:r>
            <w:t xml:space="preserve">33</w:t>
          </w:r>
        </w:p>
        <w:p>
          <w:pPr>
            <w:pStyle w:val="TOC2"/>
            <w:tabs>
              <w:tab w:val="right" w:leader="dot" w:pos="9072"/>
            </w:tabs>
          </w:pPr>
          <w:r>
            <w:t xml:space="preserve">Solution Overview &gt; Fit Table</w:t>
          </w:r>
          <w:r>
            <w:tab/>
          </w:r>
          <w:r>
            <w:t xml:space="preserve">34</w:t>
          </w:r>
        </w:p>
        <w:p>
          <w:pPr>
            <w:pStyle w:val="TOC2"/>
            <w:tabs>
              <w:tab w:val="right" w:leader="dot" w:pos="9072"/>
            </w:tabs>
          </w:pPr>
          <w:r>
            <w:t xml:space="preserve">Solution Overview &gt; Visual Spec</w:t>
          </w:r>
          <w:r>
            <w:tab/>
          </w:r>
          <w:r>
            <w:t xml:space="preserve">35</w:t>
          </w:r>
        </w:p>
        <w:p>
          <w:pPr>
            <w:pStyle w:val="TOC2"/>
            <w:tabs>
              <w:tab w:val="right" w:leader="dot" w:pos="9072"/>
            </w:tabs>
          </w:pPr>
          <w:r>
            <w:t xml:space="preserve">Solution Overview &gt; Avoid</w:t>
          </w:r>
          <w:r>
            <w:tab/>
          </w:r>
          <w:r>
            <w:t xml:space="preserve">36</w:t>
          </w:r>
        </w:p>
        <w:p>
          <w:pPr>
            <w:pStyle w:val="TOC1"/>
            <w:tabs>
              <w:tab w:val="right" w:leader="dot" w:pos="9072"/>
            </w:tabs>
          </w:pPr>
          <w:r>
            <w:t xml:space="preserve">Architecture Overview</w:t>
          </w:r>
          <w:r>
            <w:tab/>
          </w:r>
          <w:r>
            <w:t xml:space="preserve">37</w:t>
          </w:r>
        </w:p>
        <w:p>
          <w:pPr>
            <w:pStyle w:val="TOC1"/>
            <w:tabs>
              <w:tab w:val="right" w:leader="dot" w:pos="9072"/>
            </w:tabs>
          </w:pPr>
          <w:r>
            <w:t xml:space="preserve">Security Overview</w:t>
          </w:r>
          <w:r>
            <w:tab/>
          </w:r>
          <w:r>
            <w:t xml:space="preserve">38</w:t>
          </w:r>
        </w:p>
        <w:p>
          <w:pPr>
            <w:pStyle w:val="TOC1"/>
            <w:tabs>
              <w:tab w:val="right" w:leader="dot" w:pos="9072"/>
            </w:tabs>
          </w:pPr>
          <w:r>
            <w:t xml:space="preserve">Implementation Timeline</w:t>
          </w:r>
          <w:r>
            <w:tab/>
          </w:r>
          <w:r>
            <w:t xml:space="preserve">39</w:t>
          </w:r>
        </w:p>
        <w:p>
          <w:pPr>
            <w:pStyle w:val="TOC1"/>
            <w:tabs>
              <w:tab w:val="right" w:leader="dot" w:pos="9072"/>
            </w:tabs>
          </w:pPr>
          <w:r>
            <w:t xml:space="preserve">Support &amp; SLA</w:t>
          </w:r>
          <w:r>
            <w:tab/>
          </w:r>
          <w:r>
            <w:t xml:space="preserve">40</w:t>
          </w:r>
        </w:p>
        <w:p>
          <w:pPr>
            <w:pStyle w:val="TOC2"/>
            <w:tabs>
              <w:tab w:val="right" w:leader="dot" w:pos="9072"/>
            </w:tabs>
          </w:pPr>
          <w:r>
            <w:t xml:space="preserve">Support &amp; SLA &gt; Support Summary Table</w:t>
          </w:r>
          <w:r>
            <w:tab/>
          </w:r>
          <w:r>
            <w:t xml:space="preserve">41</w:t>
          </w:r>
        </w:p>
        <w:p>
          <w:pPr>
            <w:pStyle w:val="TOC2"/>
            <w:tabs>
              <w:tab w:val="right" w:leader="dot" w:pos="9072"/>
            </w:tabs>
          </w:pPr>
          <w:r>
            <w:t xml:space="preserve">Support &amp; SLA &gt; Severity Table</w:t>
          </w:r>
          <w:r>
            <w:tab/>
          </w:r>
          <w:r>
            <w:t xml:space="preserve">42</w:t>
          </w:r>
        </w:p>
        <w:p>
          <w:pPr>
            <w:pStyle w:val="TOC2"/>
            <w:tabs>
              <w:tab w:val="right" w:leader="dot" w:pos="9072"/>
            </w:tabs>
          </w:pPr>
          <w:r>
            <w:t xml:space="preserve">Support &amp; SLA &gt; Avoid</w:t>
          </w:r>
          <w:r>
            <w:tab/>
          </w:r>
          <w:r>
            <w:t xml:space="preserve">43</w:t>
          </w:r>
        </w:p>
        <w:p>
          <w:pPr>
            <w:pStyle w:val="TOC1"/>
            <w:tabs>
              <w:tab w:val="right" w:leader="dot" w:pos="9072"/>
            </w:tabs>
          </w:pPr>
          <w:r>
            <w:t xml:space="preserve">Risk Register</w:t>
          </w:r>
          <w:r>
            <w:tab/>
          </w:r>
          <w:r>
            <w:t xml:space="preserve">44</w:t>
          </w:r>
        </w:p>
        <w:p>
          <w:pPr>
            <w:pStyle w:val="TOC1"/>
            <w:tabs>
              <w:tab w:val="right" w:leader="dot" w:pos="9072"/>
            </w:tabs>
          </w:pPr>
          <w:r>
            <w:t xml:space="preserve">Project Implementation &amp; Delivery</w:t>
          </w:r>
          <w:r>
            <w:tab/>
          </w:r>
          <w:r>
            <w:t xml:space="preserve">45</w:t>
          </w:r>
        </w:p>
        <w:p>
          <w:pPr>
            <w:pStyle w:val="TOC2"/>
            <w:tabs>
              <w:tab w:val="right" w:leader="dot" w:pos="9072"/>
            </w:tabs>
          </w:pPr>
          <w:r>
            <w:t xml:space="preserve">Project Implementation &amp; Delivery (900-1400 words depending on variant)</w:t>
          </w:r>
          <w:r>
            <w:tab/>
          </w:r>
          <w:r>
            <w:t xml:space="preserve">46</w:t>
          </w:r>
        </w:p>
        <w:p>
          <w:pPr>
            <w:pStyle w:val="TOC1"/>
            <w:tabs>
              <w:tab w:val="right" w:leader="dot" w:pos="9072"/>
            </w:tabs>
          </w:pPr>
          <w:r>
            <w:t xml:space="preserve">Deployment</w:t>
          </w:r>
          <w:r>
            <w:tab/>
          </w:r>
          <w:r>
            <w:t xml:space="preserve">47</w:t>
          </w:r>
        </w:p>
        <w:p>
          <w:pPr>
            <w:pStyle w:val="TOC2"/>
            <w:tabs>
              <w:tab w:val="right" w:leader="dot" w:pos="9072"/>
            </w:tabs>
          </w:pPr>
          <w:r>
            <w:t xml:space="preserve">Deployment (500-900 words depending on variant)</w:t>
          </w:r>
          <w:r>
            <w:tab/>
          </w:r>
          <w:r>
            <w:t xml:space="preserve">48</w:t>
          </w:r>
        </w:p>
        <w:p>
          <w:pPr>
            <w:pStyle w:val="TOC1"/>
            <w:tabs>
              <w:tab w:val="right" w:leader="dot" w:pos="9072"/>
            </w:tabs>
          </w:pPr>
          <w:r>
            <w:t xml:space="preserve">Support Appendix</w:t>
          </w:r>
          <w:r>
            <w:tab/>
          </w:r>
          <w:r>
            <w:t xml:space="preserve">49</w:t>
          </w:r>
        </w:p>
        <w:p>
          <w:pPr>
            <w:pStyle w:val="TOC2"/>
            <w:tabs>
              <w:tab w:val="right" w:leader="dot" w:pos="9072"/>
            </w:tabs>
          </w:pPr>
          <w:r>
            <w:t xml:space="preserve">Support Appendix (400-700 words, appendix-style)</w:t>
          </w:r>
          <w:r>
            <w:tab/>
          </w:r>
          <w:r>
            <w:t xml:space="preserve">50</w:t>
          </w:r>
        </w:p>
        <w:p>
          <w:pPr>
            <w:pStyle w:val="TOC1"/>
            <w:tabs>
              <w:tab w:val="right" w:leader="dot" w:pos="9072"/>
            </w:tabs>
          </w:pPr>
          <w:r>
            <w:t xml:space="preserve">Writer's Checklist</w:t>
          </w:r>
          <w:r>
            <w:tab/>
          </w:r>
          <w:r>
            <w:t xml:space="preserve">51</w:t>
          </w:r>
        </w:p>
        <w:p>
          <w:pPr>
            <w:pStyle w:val="TOC2"/>
            <w:tabs>
              <w:tab w:val="right" w:leader="dot" w:pos="9072"/>
            </w:tabs>
          </w:pPr>
          <w:r>
            <w:t xml:space="preserve">Writer's Checklist &gt; Must Pass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This regression fixture proves that a generated RFP Forge source can pass through the active bid-manager response surface and into bid-checker. It is not a client deliverable.</w:t>
      </w:r>
    </w:p>
    <w:p>
      <w:pPr>
        <w:pStyle w:val="H1"/>
        <w:numPr>
          <w:ilvl w:val="0"/>
          <w:numId w:val="1"/>
        </w:numPr>
      </w:pPr>
      <w:r>
        <w:t>Source RFP Context</w:t>
      </w:r>
    </w:p>
    <w:p>
      <w:pPr>
        <w:pStyle w:val="ListParagraph"/>
        <w:numPr>
          <w:ilvl w:val="0"/>
          <w:numId w:val="4"/>
        </w:numPr>
      </w:pPr>
      <w:r>
        <w:rPr>
          <w:rFonts w:ascii="Figtree" w:hAnsi="Figtree"/>
          <w:b w:val="0"/>
          <w:i w:val="0"/>
          <w:sz w:val="22"/>
        </w:rPr>
        <w:t>Source RFP: `legacy/rfp-forge/output/RFP/Middle-East-Africa/banks/emirates-nbd-rfp-tokenized-deposits-trade-finance-202603-v1.0.md`</w:t>
      </w:r>
    </w:p>
    <w:p>
      <w:pPr>
        <w:pStyle w:val="ListParagraph"/>
        <w:numPr>
          <w:ilvl w:val="0"/>
          <w:numId w:val="4"/>
        </w:numPr>
      </w:pPr>
      <w:r>
        <w:rPr>
          <w:rFonts w:ascii="Figtree" w:hAnsi="Figtree"/>
          <w:b w:val="0"/>
          <w:i w:val="0"/>
          <w:sz w:val="22"/>
        </w:rPr>
        <w:t>Generated DOCX: `legacy/bid-manager/output/e2e-20260427T140711Z/forge-enbd-rfp.docx`</w:t>
      </w:r>
    </w:p>
    <w:p>
      <w:pPr>
        <w:pStyle w:val="ListParagraph"/>
        <w:numPr>
          <w:ilvl w:val="0"/>
          <w:numId w:val="4"/>
        </w:numPr>
      </w:pPr>
      <w:r>
        <w:rPr>
          <w:rFonts w:ascii="Figtree" w:hAnsi="Figtree"/>
          <w:b w:val="0"/>
          <w:i w:val="0"/>
          <w:sz w:val="22"/>
        </w:rPr>
        <w:t>Extracted question JSON: `legacy/bid-manager/output/e2e-20260427T140711Z/forge-enbd-extract.json`</w:t>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