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Blueprint: Compact</w:t>
          </w:r>
          <w:r>
            <w:tab/>
          </w:r>
          <w:r>
            <w:t xml:space="preserve">3</w:t>
          </w:r>
        </w:p>
        <w:p>
          <w:pPr>
            <w:pStyle w:val="TOC1"/>
            <w:tabs>
              <w:tab w:val="right" w:leader="dot" w:pos="9072"/>
            </w:tabs>
          </w:pPr>
          <w:r>
            <w:t xml:space="preserve">Blueprint Rules: MANDATORY COMPLIANCE</w:t>
          </w:r>
          <w:r>
            <w:tab/>
          </w:r>
          <w:r>
            <w:t xml:space="preserve">4</w:t>
          </w:r>
        </w:p>
        <w:p>
          <w:pPr>
            <w:pStyle w:val="TOC2"/>
            <w:tabs>
              <w:tab w:val="right" w:leader="dot" w:pos="9072"/>
            </w:tabs>
          </w:pPr>
          <w:r>
            <w:t xml:space="preserve">Structural Compliance</w:t>
          </w:r>
          <w:r>
            <w:tab/>
          </w:r>
          <w:r>
            <w:t xml:space="preserve">5</w:t>
          </w:r>
        </w:p>
        <w:p>
          <w:pPr>
            <w:pStyle w:val="TOC2"/>
            <w:tabs>
              <w:tab w:val="right" w:leader="dot" w:pos="9072"/>
            </w:tabs>
          </w:pPr>
          <w:r>
            <w:t xml:space="preserve">Consistency Anchors</w:t>
          </w:r>
          <w:r>
            <w:tab/>
          </w:r>
          <w:r>
            <w:t xml:space="preserve">6</w:t>
          </w:r>
        </w:p>
        <w:p>
          <w:pPr>
            <w:pStyle w:val="TOC2"/>
            <w:tabs>
              <w:tab w:val="right" w:leader="dot" w:pos="9072"/>
            </w:tabs>
          </w:pPr>
          <w:r>
            <w:t xml:space="preserve">Pre-Write Checklist (complete before drafting any section)</w:t>
          </w:r>
          <w:r>
            <w:tab/>
          </w:r>
          <w:r>
            <w:t xml:space="preserve">7</w:t>
          </w:r>
        </w:p>
        <w:p>
          <w:pPr>
            <w:pStyle w:val="TOC2"/>
            <w:tabs>
              <w:tab w:val="right" w:leader="dot" w:pos="9072"/>
            </w:tabs>
          </w:pPr>
          <w:r>
            <w:t xml:space="preserve">Output Quality Gates (validate before delivery)</w:t>
          </w:r>
          <w:r>
            <w:tab/>
          </w:r>
          <w:r>
            <w:t xml:space="preserve">8</w:t>
          </w:r>
        </w:p>
        <w:p>
          <w:pPr>
            <w:pStyle w:val="TOC2"/>
            <w:tabs>
              <w:tab w:val="right" w:leader="dot" w:pos="9072"/>
            </w:tabs>
          </w:pPr>
          <w:r>
            <w:t xml:space="preserve">MANDATORY DIAGRAMS (Gyan directive, 2026-04-03)</w:t>
          </w:r>
          <w:r>
            <w:tab/>
          </w:r>
          <w:r>
            <w:t xml:space="preserve">9</w:t>
          </w:r>
        </w:p>
        <w:p>
          <w:pPr>
            <w:pStyle w:val="TOC2"/>
            <w:tabs>
              <w:tab w:val="right" w:leader="dot" w:pos="9072"/>
            </w:tabs>
          </w:pPr>
          <w:r>
            <w:t xml:space="preserve">Original Skeleton-Specific Rules</w:t>
          </w:r>
          <w:r>
            <w:tab/>
          </w:r>
          <w:r>
            <w:t xml:space="preserve">10</w:t>
          </w:r>
        </w:p>
        <w:p>
          <w:pPr>
            <w:pStyle w:val="TOC1"/>
            <w:tabs>
              <w:tab w:val="right" w:leader="dot" w:pos="9072"/>
            </w:tabs>
          </w:pPr>
          <w:r>
            <w:t xml:space="preserve">Global Guidance</w:t>
          </w:r>
          <w:r>
            <w:tab/>
          </w:r>
          <w:r>
            <w:t xml:space="preserve">11</w:t>
          </w:r>
        </w:p>
        <w:p>
          <w:pPr>
            <w:pStyle w:val="TOC2"/>
            <w:tabs>
              <w:tab w:val="right" w:leader="dot" w:pos="9072"/>
            </w:tabs>
          </w:pPr>
          <w:r>
            <w:t xml:space="preserve">Objective</w:t>
          </w:r>
          <w:r>
            <w:tab/>
          </w:r>
          <w:r>
            <w:t xml:space="preserve">12</w:t>
          </w:r>
        </w:p>
        <w:p>
          <w:pPr>
            <w:pStyle w:val="TOC2"/>
            <w:tabs>
              <w:tab w:val="right" w:leader="dot" w:pos="9072"/>
            </w:tabs>
          </w:pPr>
          <w:r>
            <w:t xml:space="preserve">Core Source References</w:t>
          </w:r>
          <w:r>
            <w:tab/>
          </w:r>
          <w:r>
            <w:t xml:space="preserve">13</w:t>
          </w:r>
        </w:p>
        <w:p>
          <w:pPr>
            <w:pStyle w:val="TOC2"/>
            <w:tabs>
              <w:tab w:val="right" w:leader="dot" w:pos="9072"/>
            </w:tabs>
          </w:pPr>
          <w:r>
            <w:t xml:space="preserve">Tone Guidance</w:t>
          </w:r>
          <w:r>
            <w:tab/>
          </w:r>
          <w:r>
            <w:t xml:space="preserve">14</w:t>
          </w:r>
        </w:p>
        <w:p>
          <w:pPr>
            <w:pStyle w:val="TOC2"/>
            <w:tabs>
              <w:tab w:val="right" w:leader="dot" w:pos="9072"/>
            </w:tabs>
          </w:pPr>
          <w:r>
            <w:t xml:space="preserve">What To Avoid</w:t>
          </w:r>
          <w:r>
            <w:tab/>
          </w:r>
          <w:r>
            <w:t xml:space="preserve">15</w:t>
          </w:r>
        </w:p>
        <w:p>
          <w:pPr>
            <w:pStyle w:val="TOC2"/>
            <w:tabs>
              <w:tab w:val="right" w:leader="dot" w:pos="9072"/>
            </w:tabs>
          </w:pPr>
          <w:r>
            <w:t xml:space="preserve">Visual Element Policy</w:t>
          </w:r>
          <w:r>
            <w:tab/>
          </w:r>
          <w:r>
            <w:t xml:space="preserve">16</w:t>
          </w:r>
        </w:p>
        <w:p>
          <w:pPr>
            <w:pStyle w:val="TOC3"/>
            <w:tabs>
              <w:tab w:val="right" w:leader="dot" w:pos="9072"/>
            </w:tabs>
          </w:pPr>
          <w:r>
            <w:t xml:space="preserve">Section-to-Screenshot Map</w:t>
          </w:r>
          <w:r>
            <w:tab/>
          </w:r>
          <w:r>
            <w:t xml:space="preserve">17</w:t>
          </w:r>
        </w:p>
        <w:p>
          <w:pPr>
            <w:pStyle w:val="TOC1"/>
            <w:tabs>
              <w:tab w:val="right" w:leader="dot" w:pos="9072"/>
            </w:tabs>
          </w:pPr>
          <w:r>
            <w:t xml:space="preserve">Executive Summary</w:t>
          </w:r>
          <w:r>
            <w:tab/>
          </w:r>
          <w:r>
            <w:t xml:space="preserve">18</w:t>
          </w:r>
        </w:p>
        <w:p>
          <w:pPr>
            <w:pStyle w:val="TOC2"/>
            <w:tabs>
              <w:tab w:val="right" w:leader="dot" w:pos="9072"/>
            </w:tabs>
          </w:pPr>
          <w:r>
            <w:t xml:space="preserve">Executive Summary &gt; Client Need and Proposed Response</w:t>
          </w:r>
          <w:r>
            <w:tab/>
          </w:r>
          <w:r>
            <w:t xml:space="preserve">19</w:t>
          </w:r>
        </w:p>
        <w:p>
          <w:pPr>
            <w:pStyle w:val="TOC2"/>
            <w:tabs>
              <w:tab w:val="right" w:leader="dot" w:pos="9072"/>
            </w:tabs>
          </w:pPr>
          <w:r>
            <w:t xml:space="preserve">Executive Summary &gt; Why SettleMint / DALP</w:t>
          </w:r>
          <w:r>
            <w:tab/>
          </w:r>
          <w:r>
            <w:t xml:space="preserve">20</w:t>
          </w:r>
        </w:p>
        <w:p>
          <w:pPr>
            <w:pStyle w:val="TOC2"/>
            <w:tabs>
              <w:tab w:val="right" w:leader="dot" w:pos="9072"/>
            </w:tabs>
          </w:pPr>
          <w:r>
            <w:t xml:space="preserve">Executive Summary &gt; Visual Spec</w:t>
          </w:r>
          <w:r>
            <w:tab/>
          </w:r>
          <w:r>
            <w:t xml:space="preserve">21</w:t>
          </w:r>
        </w:p>
        <w:p>
          <w:pPr>
            <w:pStyle w:val="TOC1"/>
            <w:tabs>
              <w:tab w:val="right" w:leader="dot" w:pos="9072"/>
            </w:tabs>
          </w:pPr>
          <w:r>
            <w:t xml:space="preserve">About SettleMint</w:t>
          </w:r>
          <w:r>
            <w:tab/>
          </w:r>
          <w:r>
            <w:t xml:space="preserve">22</w:t>
          </w:r>
        </w:p>
        <w:p>
          <w:pPr>
            <w:pStyle w:val="TOC1"/>
            <w:tabs>
              <w:tab w:val="right" w:leader="dot" w:pos="9072"/>
            </w:tabs>
          </w:pPr>
          <w:r>
            <w:t xml:space="preserve">About DALP</w:t>
          </w:r>
          <w:r>
            <w:tab/>
          </w:r>
          <w:r>
            <w:t xml:space="preserve">23</w:t>
          </w:r>
        </w:p>
        <w:p>
          <w:pPr>
            <w:pStyle w:val="TOC1"/>
            <w:tabs>
              <w:tab w:val="right" w:leader="dot" w:pos="9072"/>
            </w:tabs>
          </w:pPr>
          <w:r>
            <w:t xml:space="preserve">Customer References</w:t>
          </w:r>
          <w:r>
            <w:tab/>
          </w:r>
          <w:r>
            <w:t xml:space="preserve">24</w:t>
          </w:r>
        </w:p>
        <w:p>
          <w:pPr>
            <w:pStyle w:val="TOC2"/>
            <w:tabs>
              <w:tab w:val="right" w:leader="dot" w:pos="9072"/>
            </w:tabs>
          </w:pPr>
          <w:r>
            <w:t xml:space="preserve">Customer References &gt; Summary Table</w:t>
          </w:r>
          <w:r>
            <w:tab/>
          </w:r>
          <w:r>
            <w:t xml:space="preserve">25</w:t>
          </w:r>
        </w:p>
        <w:p>
          <w:pPr>
            <w:pStyle w:val="TOC2"/>
            <w:tabs>
              <w:tab w:val="right" w:leader="dot" w:pos="9072"/>
            </w:tabs>
          </w:pPr>
          <w:r>
            <w:t xml:space="preserve">Customer References &gt; Relevance Note</w:t>
          </w:r>
          <w:r>
            <w:tab/>
          </w:r>
          <w:r>
            <w:t xml:space="preserve">26</w:t>
          </w:r>
        </w:p>
        <w:p>
          <w:pPr>
            <w:pStyle w:val="TOC2"/>
            <w:tabs>
              <w:tab w:val="right" w:leader="dot" w:pos="9072"/>
            </w:tabs>
          </w:pPr>
          <w:r>
            <w:t xml:space="preserve">Customer References &gt; Avoid</w:t>
          </w:r>
          <w:r>
            <w:tab/>
          </w:r>
          <w:r>
            <w:t xml:space="preserve">27</w:t>
          </w:r>
        </w:p>
        <w:p>
          <w:pPr>
            <w:pStyle w:val="TOC1"/>
            <w:tabs>
              <w:tab w:val="right" w:leader="dot" w:pos="9072"/>
            </w:tabs>
          </w:pPr>
          <w:r>
            <w:t xml:space="preserve">Solution Overview</w:t>
          </w:r>
          <w:r>
            <w:tab/>
          </w:r>
          <w:r>
            <w:t xml:space="preserve">28</w:t>
          </w:r>
        </w:p>
        <w:p>
          <w:pPr>
            <w:pStyle w:val="TOC2"/>
            <w:tabs>
              <w:tab w:val="right" w:leader="dot" w:pos="9072"/>
            </w:tabs>
          </w:pPr>
          <w:r>
            <w:t xml:space="preserve">Solution Overview &gt; Requirement Themes</w:t>
          </w:r>
          <w:r>
            <w:tab/>
          </w:r>
          <w:r>
            <w:t xml:space="preserve">29</w:t>
          </w:r>
        </w:p>
        <w:p>
          <w:pPr>
            <w:pStyle w:val="TOC2"/>
            <w:tabs>
              <w:tab w:val="right" w:leader="dot" w:pos="9072"/>
            </w:tabs>
          </w:pPr>
          <w:r>
            <w:t xml:space="preserve">Solution Overview &gt; Proposed Operating Model</w:t>
          </w:r>
          <w:r>
            <w:tab/>
          </w:r>
          <w:r>
            <w:t xml:space="preserve">30</w:t>
          </w:r>
        </w:p>
        <w:p>
          <w:pPr>
            <w:pStyle w:val="TOC2"/>
            <w:tabs>
              <w:tab w:val="right" w:leader="dot" w:pos="9072"/>
            </w:tabs>
          </w:pPr>
          <w:r>
            <w:t xml:space="preserve">Solution Overview &gt; Core Capability Response</w:t>
          </w:r>
          <w:r>
            <w:tab/>
          </w:r>
          <w:r>
            <w:t xml:space="preserve">31</w:t>
          </w:r>
        </w:p>
        <w:p>
          <w:pPr>
            <w:pStyle w:val="TOC2"/>
            <w:tabs>
              <w:tab w:val="right" w:leader="dot" w:pos="9072"/>
            </w:tabs>
          </w:pPr>
          <w:r>
            <w:t xml:space="preserve">Solution Overview &gt; Fit Table</w:t>
          </w:r>
          <w:r>
            <w:tab/>
          </w:r>
          <w:r>
            <w:t xml:space="preserve">32</w:t>
          </w:r>
        </w:p>
        <w:p>
          <w:pPr>
            <w:pStyle w:val="TOC2"/>
            <w:tabs>
              <w:tab w:val="right" w:leader="dot" w:pos="9072"/>
            </w:tabs>
          </w:pPr>
          <w:r>
            <w:t xml:space="preserve">Solution Overview &gt; Visual Spec</w:t>
          </w:r>
          <w:r>
            <w:tab/>
          </w:r>
          <w:r>
            <w:t xml:space="preserve">33</w:t>
          </w:r>
        </w:p>
        <w:p>
          <w:pPr>
            <w:pStyle w:val="TOC2"/>
            <w:tabs>
              <w:tab w:val="right" w:leader="dot" w:pos="9072"/>
            </w:tabs>
          </w:pPr>
          <w:r>
            <w:t xml:space="preserve">Solution Overview &gt; Avoid</w:t>
          </w:r>
          <w:r>
            <w:tab/>
          </w:r>
          <w:r>
            <w:t xml:space="preserve">34</w:t>
          </w:r>
        </w:p>
        <w:p>
          <w:pPr>
            <w:pStyle w:val="TOC1"/>
            <w:tabs>
              <w:tab w:val="right" w:leader="dot" w:pos="9072"/>
            </w:tabs>
          </w:pPr>
          <w:r>
            <w:t xml:space="preserve">Architecture Overview</w:t>
          </w:r>
          <w:r>
            <w:tab/>
          </w:r>
          <w:r>
            <w:t xml:space="preserve">35</w:t>
          </w:r>
        </w:p>
        <w:p>
          <w:pPr>
            <w:pStyle w:val="TOC1"/>
            <w:tabs>
              <w:tab w:val="right" w:leader="dot" w:pos="9072"/>
            </w:tabs>
          </w:pPr>
          <w:r>
            <w:t xml:space="preserve">Security Overview</w:t>
          </w:r>
          <w:r>
            <w:tab/>
          </w:r>
          <w:r>
            <w:t xml:space="preserve">36</w:t>
          </w:r>
        </w:p>
        <w:p>
          <w:pPr>
            <w:pStyle w:val="TOC1"/>
            <w:tabs>
              <w:tab w:val="right" w:leader="dot" w:pos="9072"/>
            </w:tabs>
          </w:pPr>
          <w:r>
            <w:t xml:space="preserve">Implementation Timeline</w:t>
          </w:r>
          <w:r>
            <w:tab/>
          </w:r>
          <w:r>
            <w:t xml:space="preserve">37</w:t>
          </w:r>
        </w:p>
        <w:p>
          <w:pPr>
            <w:pStyle w:val="TOC1"/>
            <w:tabs>
              <w:tab w:val="right" w:leader="dot" w:pos="9072"/>
            </w:tabs>
          </w:pPr>
          <w:r>
            <w:t xml:space="preserve">Support &amp; SLA</w:t>
          </w:r>
          <w:r>
            <w:tab/>
          </w:r>
          <w:r>
            <w:t xml:space="preserve">38</w:t>
          </w:r>
        </w:p>
        <w:p>
          <w:pPr>
            <w:pStyle w:val="TOC2"/>
            <w:tabs>
              <w:tab w:val="right" w:leader="dot" w:pos="9072"/>
            </w:tabs>
          </w:pPr>
          <w:r>
            <w:t xml:space="preserve">Support &amp; SLA &gt; Support Summary Table</w:t>
          </w:r>
          <w:r>
            <w:tab/>
          </w:r>
          <w:r>
            <w:t xml:space="preserve">39</w:t>
          </w:r>
        </w:p>
        <w:p>
          <w:pPr>
            <w:pStyle w:val="TOC2"/>
            <w:tabs>
              <w:tab w:val="right" w:leader="dot" w:pos="9072"/>
            </w:tabs>
          </w:pPr>
          <w:r>
            <w:t xml:space="preserve">Support &amp; SLA &gt; Severity Table</w:t>
          </w:r>
          <w:r>
            <w:tab/>
          </w:r>
          <w:r>
            <w:t xml:space="preserve">40</w:t>
          </w:r>
        </w:p>
        <w:p>
          <w:pPr>
            <w:pStyle w:val="TOC2"/>
            <w:tabs>
              <w:tab w:val="right" w:leader="dot" w:pos="9072"/>
            </w:tabs>
          </w:pPr>
          <w:r>
            <w:t xml:space="preserve">Support &amp; SLA &gt; Avoid</w:t>
          </w:r>
          <w:r>
            <w:tab/>
          </w:r>
          <w:r>
            <w:t xml:space="preserve">41</w:t>
          </w:r>
        </w:p>
        <w:p>
          <w:pPr>
            <w:pStyle w:val="TOC1"/>
            <w:tabs>
              <w:tab w:val="right" w:leader="dot" w:pos="9072"/>
            </w:tabs>
          </w:pPr>
          <w:r>
            <w:t xml:space="preserve">Risk Register</w:t>
          </w:r>
          <w:r>
            <w:tab/>
          </w:r>
          <w:r>
            <w:t xml:space="preserve">42</w:t>
          </w:r>
        </w:p>
        <w:p>
          <w:pPr>
            <w:pStyle w:val="TOC1"/>
            <w:tabs>
              <w:tab w:val="right" w:leader="dot" w:pos="9072"/>
            </w:tabs>
          </w:pPr>
          <w:r>
            <w:t xml:space="preserve">Project Implementation &amp; Delivery</w:t>
          </w:r>
          <w:r>
            <w:tab/>
          </w:r>
          <w:r>
            <w:t xml:space="preserve">43</w:t>
          </w:r>
        </w:p>
        <w:p>
          <w:pPr>
            <w:pStyle w:val="TOC2"/>
            <w:tabs>
              <w:tab w:val="right" w:leader="dot" w:pos="9072"/>
            </w:tabs>
          </w:pPr>
          <w:r>
            <w:t xml:space="preserve">Project Implementation &amp; Delivery (900-1400 words depending on variant)</w:t>
          </w:r>
          <w:r>
            <w:tab/>
          </w:r>
          <w:r>
            <w:t xml:space="preserve">44</w:t>
          </w:r>
        </w:p>
        <w:p>
          <w:pPr>
            <w:pStyle w:val="TOC1"/>
            <w:tabs>
              <w:tab w:val="right" w:leader="dot" w:pos="9072"/>
            </w:tabs>
          </w:pPr>
          <w:r>
            <w:t xml:space="preserve">Deployment</w:t>
          </w:r>
          <w:r>
            <w:tab/>
          </w:r>
          <w:r>
            <w:t xml:space="preserve">45</w:t>
          </w:r>
        </w:p>
        <w:p>
          <w:pPr>
            <w:pStyle w:val="TOC2"/>
            <w:tabs>
              <w:tab w:val="right" w:leader="dot" w:pos="9072"/>
            </w:tabs>
          </w:pPr>
          <w:r>
            <w:t xml:space="preserve">Deployment (500-900 words depending on variant)</w:t>
          </w:r>
          <w:r>
            <w:tab/>
          </w:r>
          <w:r>
            <w:t xml:space="preserve">46</w:t>
          </w:r>
        </w:p>
        <w:p>
          <w:pPr>
            <w:pStyle w:val="TOC1"/>
            <w:tabs>
              <w:tab w:val="right" w:leader="dot" w:pos="9072"/>
            </w:tabs>
          </w:pPr>
          <w:r>
            <w:t xml:space="preserve">Support Appendix</w:t>
          </w:r>
          <w:r>
            <w:tab/>
          </w:r>
          <w:r>
            <w:t xml:space="preserve">47</w:t>
          </w:r>
        </w:p>
        <w:p>
          <w:pPr>
            <w:pStyle w:val="TOC2"/>
            <w:tabs>
              <w:tab w:val="right" w:leader="dot" w:pos="9072"/>
            </w:tabs>
          </w:pPr>
          <w:r>
            <w:t xml:space="preserve">Support Appendix (400-700 words, appendix-style)</w:t>
          </w:r>
          <w:r>
            <w:tab/>
          </w:r>
          <w:r>
            <w:t xml:space="preserve">48</w:t>
          </w:r>
        </w:p>
        <w:p>
          <w:pPr>
            <w:pStyle w:val="TOC1"/>
            <w:tabs>
              <w:tab w:val="right" w:leader="dot" w:pos="9072"/>
            </w:tabs>
          </w:pPr>
          <w:r>
            <w:t xml:space="preserve">Writer's Checklist</w:t>
          </w:r>
          <w:r>
            <w:tab/>
          </w:r>
          <w:r>
            <w:t xml:space="preserve">49</w:t>
          </w:r>
        </w:p>
        <w:p>
          <w:pPr>
            <w:pStyle w:val="TOC2"/>
            <w:tabs>
              <w:tab w:val="right" w:leader="dot" w:pos="9072"/>
            </w:tabs>
          </w:pPr>
          <w:r>
            <w:t xml:space="preserve">Writer's Checklist &gt; Must Pass</w:t>
          </w:r>
          <w:r>
            <w:tab/>
          </w:r>
          <w:r>
            <w:t xml:space="preserve">50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"BM-TS-03-v2.0"</w:t>
      </w:r>
    </w:p>
    <w:p>
      <w:r>
        <w:rPr>
          <w:rFonts w:ascii="Figtree" w:hAnsi="Figtree"/>
          <w:b w:val="0"/>
          <w:i w:val="0"/>
          <w:sz w:val="22"/>
        </w:rPr>
        <w:t>last-updated: "2026-03-19"</w:t>
      </w:r>
    </w:p>
    <w:p>
      <w:r>
        <w:br w:type="page"/>
      </w:r>
    </w:p>
    <w:p>
      <w:pPr>
        <w:pStyle w:val="H1"/>
        <w:numPr>
          <w:ilvl w:val="0"/>
          <w:numId w:val="1"/>
        </w:numPr>
      </w:pPr>
      <w:r>
        <w:t>Technical Proposal Blueprint: Compact</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BM-TS-03-v2.0 (SENTINEL)</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6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2 major sections; do not dump them into one section or appendix</w:t>
      </w:r>
    </w:p>
    <w:p>
      <w:pPr>
        <w:pStyle w:val="ListParagraph"/>
        <w:numPr>
          <w:ilvl w:val="0"/>
          <w:numId w:val="4"/>
        </w:numPr>
      </w:pPr>
      <w:r>
        <w:rPr>
          <w:rFonts w:ascii="Figtree" w:hAnsi="Figtree"/>
          <w:b w:val="0"/>
          <w:i w:val="0"/>
          <w:sz w:val="22"/>
        </w:rPr>
        <w:t>[ ] Screenshot variety: cover at least 2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10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compact`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compact variant: 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i w:val="0"/>
          <w:sz w:val="22"/>
        </w:rPr>
        <w:t>Mandatory validation:</w:t>
      </w:r>
      <w:r>
        <w:rPr>
          <w:rFonts w:ascii="Figtree" w:hAnsi="Figtree"/>
          <w:b w:val="0"/>
          <w:i w:val="0"/>
          <w:sz w:val="22"/>
        </w:rPr>
        <w:t xml:space="preserve"> Run `scripts/validate_proposal.py &lt;output.md&gt; compact`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1"/>
        <w:numPr>
          <w:ilvl w:val="0"/>
          <w:numId w:val="1"/>
        </w:numPr>
      </w:pPr>
      <w:r>
        <w:t>Global Guidance</w:t>
      </w:r>
    </w:p>
    <w:p>
      <w:pPr>
        <w:pStyle w:val="H2"/>
        <w:numPr>
          <w:ilvl w:val="1"/>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2"/>
        <w:numPr>
          <w:ilvl w:val="1"/>
          <w:numId w:val="1"/>
        </w:numPr>
      </w:pPr>
      <w:r>
        <w:t>Core Source References</w:t>
      </w:r>
    </w:p>
    <w:p>
      <w:pPr>
        <w:pStyle w:val="ListParagraph"/>
        <w:numPr>
          <w:ilvl w:val="0"/>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2"/>
        <w:numPr>
          <w:ilvl w:val="1"/>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6</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2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2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Client Need and Proposed Response</w:t>
      </w:r>
    </w:p>
    <w:p>
      <w:r>
        <w:rPr>
          <w:rFonts w:ascii="Figtree" w:hAnsi="Figtree"/>
          <w:b w:val="0"/>
          <w:i w:val="0"/>
          <w:sz w:val="22"/>
        </w:rPr>
        <w:t>&gt; MANDATORY DIAGRAM: Solution Architecture overview. Include as ```mermaid code block.</w:t>
      </w:r>
    </w:p>
    <w:p>
      <w:pPr>
        <w:pStyle w:val="ListParagraph"/>
        <w:numPr>
          <w:ilvl w:val="0"/>
          <w:numId w:val="4"/>
        </w:numPr>
      </w:pPr>
      <w:r>
        <w:rPr>
          <w:rFonts w:ascii="Figtree" w:hAnsi="Figtree"/>
          <w:b w:val="0"/>
          <w:i w:val="0"/>
          <w:sz w:val="22"/>
        </w:rPr>
        <w:t>Visual elements: Mermaid: `solution-architecture.mmd`; Screenshot: Dashboard overview</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2"/>
        <w:numPr>
          <w:ilvl w:val="1"/>
          <w:numId w:val="1"/>
        </w:numPr>
      </w:pPr>
      <w:r>
        <w:t>Executive Summary &gt; Why SettleMint / DALP</w:t>
      </w:r>
    </w:p>
    <w:p>
      <w:pPr>
        <w:pStyle w:val="ListParagraph"/>
        <w:numPr>
          <w:ilvl w:val="0"/>
          <w:numId w:val="4"/>
        </w:numPr>
      </w:pPr>
      <w:r>
        <w:rPr>
          <w:rFonts w:ascii="Figtree" w:hAnsi="Figtree"/>
          <w:b w:val="0"/>
          <w:i w:val="0"/>
          <w:sz w:val="22"/>
        </w:rPr>
        <w:t>Visual elements: Table: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2"/>
        <w:numPr>
          <w:ilvl w:val="1"/>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r>
        <w:rPr>
          <w:rFonts w:ascii="Figtree" w:hAnsi="Figtree"/>
          <w:b w:val="0"/>
          <w:i w:val="0"/>
          <w:sz w:val="22"/>
        </w:rPr>
        <w:t>&gt; MANDATORY DIAGRAM: Platform Architecture or Lifecycle diagram. Include as ```mermaid code block.</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2"/>
        <w:numPr>
          <w:ilvl w:val="1"/>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2"/>
        <w:numPr>
          <w:ilvl w:val="1"/>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2"/>
        <w:numPr>
          <w:ilvl w:val="1"/>
          <w:numId w:val="1"/>
        </w:numPr>
      </w:pPr>
      <w:r>
        <w:t>Solution Overview &gt; Requirement Themes</w:t>
      </w:r>
    </w:p>
    <w:p>
      <w:pPr>
        <w:pStyle w:val="ListParagraph"/>
        <w:numPr>
          <w:ilvl w:val="0"/>
          <w:numId w:val="4"/>
        </w:numPr>
      </w:pPr>
      <w:r>
        <w:rPr>
          <w:rFonts w:ascii="Figtree" w:hAnsi="Figtree"/>
          <w:b w:val="0"/>
          <w:i w:val="0"/>
          <w:sz w:val="22"/>
        </w:rPr>
        <w:t>Visual elements: Table: Requirement themes summary</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2"/>
        <w:numPr>
          <w:ilvl w:val="1"/>
          <w:numId w:val="1"/>
        </w:numPr>
      </w:pPr>
      <w:r>
        <w:t>Solution Overview &gt; Proposed Operating Model</w:t>
      </w:r>
    </w:p>
    <w:p>
      <w:r>
        <w:rPr>
          <w:rFonts w:ascii="Figtree" w:hAnsi="Figtree"/>
          <w:b w:val="0"/>
          <w:i w:val="0"/>
          <w:sz w:val="22"/>
        </w:rPr>
        <w:t>&gt; MANDATORY DIAGRAM: Compliance Evaluation Flow. Include as ```mermaid code block.</w:t>
      </w:r>
    </w:p>
    <w:p>
      <w:pPr>
        <w:pStyle w:val="ListParagraph"/>
        <w:numPr>
          <w:ilvl w:val="0"/>
          <w:numId w:val="4"/>
        </w:numPr>
      </w:pPr>
      <w:r>
        <w:rPr>
          <w:rFonts w:ascii="Figtree" w:hAnsi="Figtree"/>
          <w:b w:val="0"/>
          <w:i w:val="0"/>
          <w:sz w:val="22"/>
        </w:rPr>
        <w:t>Visual elements: Mermaid: `solution-architecture.mmd`; Screenshot: Dashboard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2"/>
        <w:numPr>
          <w:ilvl w:val="1"/>
          <w:numId w:val="1"/>
        </w:numPr>
      </w:pPr>
      <w:r>
        <w:t>Solution Overview &gt; Core Capability Response</w:t>
      </w:r>
    </w:p>
    <w:p>
      <w:pPr>
        <w:pStyle w:val="ListParagraph"/>
        <w:numPr>
          <w:ilvl w:val="0"/>
          <w:numId w:val="4"/>
        </w:numPr>
      </w:pPr>
      <w:r>
        <w:rPr>
          <w:rFonts w:ascii="Figtree" w:hAnsi="Figtree"/>
          <w:b w:val="0"/>
          <w:i w:val="0"/>
          <w:sz w:val="22"/>
        </w:rPr>
        <w:t>Visual elements: Screenshot: Asset Designer, Compliance Policy Templates, XVP Settlement, Identity &amp; Verification</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2"/>
        <w:numPr>
          <w:ilvl w:val="1"/>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2"/>
        <w:numPr>
          <w:ilvl w:val="1"/>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2"/>
        <w:numPr>
          <w:ilvl w:val="1"/>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1"/>
        <w:numPr>
          <w:ilvl w:val="0"/>
          <w:numId w:val="1"/>
        </w:numPr>
      </w:pPr>
      <w:r>
        <w:t>Architecture Overview</w:t>
      </w:r>
    </w:p>
    <w:p>
      <w:r>
        <w:rPr>
          <w:rFonts w:ascii="Figtree" w:hAnsi="Figtree"/>
          <w:b w:val="0"/>
          <w:i w:val="0"/>
          <w:sz w:val="22"/>
        </w:rPr>
        <w:t>&gt; MANDATORY DIAGRAM: Deployment / Architecture topology. Include as ```mermaid code block.</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1"/>
        <w:numPr>
          <w:ilvl w:val="0"/>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2"/>
        <w:numPr>
          <w:ilvl w:val="1"/>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2"/>
        <w:numPr>
          <w:ilvl w:val="1"/>
          <w:numId w:val="1"/>
        </w:numPr>
      </w:pPr>
      <w:r>
        <w:t>Support &amp; SLA &gt; Avoid</w:t>
      </w:r>
    </w:p>
    <w:p>
      <w:pPr>
        <w:pStyle w:val="ListParagraph"/>
        <w:numPr>
          <w:ilvl w:val="0"/>
          <w:numId w:val="4"/>
        </w:numPr>
      </w:pPr>
      <w:r>
        <w:rPr>
          <w:rFonts w:ascii="Figtree" w:hAnsi="Figtree"/>
          <w:b w:val="0"/>
          <w:i w:val="0"/>
          <w:sz w:val="22"/>
        </w:rPr>
        <w:t>do not customize numbers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table present with all required columns. Minimum categories covered. Every risk has owner and mitigation.</w:t>
      </w:r>
    </w:p>
    <w:p>
      <w:pPr>
        <w:pStyle w:val="H1"/>
        <w:numPr>
          <w:ilvl w:val="0"/>
          <w:numId w:val="1"/>
        </w:numPr>
      </w:pPr>
      <w:r>
        <w:t>Project Implementation &amp; Delivery</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(500-900 words depending on variant)</w:t>
      </w:r>
    </w:p>
    <w:p>
      <w:pPr>
        <w:pStyle w:val="ListParagraph"/>
        <w:numPr>
          <w:ilvl w:val="0"/>
          <w:numId w:val="4"/>
        </w:numPr>
      </w:pPr>
      <w:r>
        <w:rPr>
          <w:rFonts w:ascii="Figtree" w:hAnsi="Figtree"/>
          <w:b w:val="0"/>
          <w:i w:val="0"/>
          <w:sz w:val="22"/>
        </w:rPr>
        <w:t>Write about: recommended deployment model, deployment alternatives considered, cloud/on-prem/hybrid options, infrastructure requirements, environment model, resilience, and data residency implications.</w:t>
      </w:r>
    </w:p>
    <w:p>
      <w:pPr>
        <w:pStyle w:val="ListParagraph"/>
        <w:numPr>
          <w:ilvl w:val="0"/>
          <w:numId w:val="4"/>
        </w:numPr>
      </w:pPr>
      <w:r>
        <w:rPr>
          <w:rFonts w:ascii="Figtree" w:hAnsi="Figtree"/>
          <w:b w:val="0"/>
          <w:i w:val="0"/>
          <w:sz w:val="22"/>
        </w:rPr>
        <w:t>Include: 1 comparison table covering Managed SaaS, private/dedicated cloud, on-premises, and hybrid where relevant.</w:t>
      </w:r>
    </w:p>
    <w:p>
      <w:pPr>
        <w:pStyle w:val="ListParagraph"/>
        <w:numPr>
          <w:ilvl w:val="0"/>
          <w:numId w:val="4"/>
        </w:numPr>
      </w:pPr>
      <w:r>
        <w:rPr>
          <w:rFonts w:ascii="Figtree" w:hAnsi="Figtree"/>
          <w:b w:val="0"/>
          <w:i w:val="0"/>
          <w:sz w:val="22"/>
        </w:rPr>
        <w:t>Include: 1 logical topology or environment summary showing how DALP fits the buyer's hosting model.</w:t>
      </w:r>
    </w:p>
    <w:p>
      <w:pPr>
        <w:pStyle w:val="ListParagraph"/>
        <w:numPr>
          <w:ilvl w:val="0"/>
          <w:numId w:val="4"/>
        </w:numPr>
      </w:pPr>
      <w:r>
        <w:rPr>
          <w:rFonts w:ascii="Figtree" w:hAnsi="Figtree"/>
          <w:b w:val="0"/>
          <w:i w:val="0"/>
          <w:sz w:val="22"/>
        </w:rPr>
        <w:t>Cover explicitly: infrastructure prerequisites (Kubernetes/OpenShift, PostgreSQL, Redis, object storage, ingress/network), DR/backup approach, and hosting responsibility.</w:t>
      </w:r>
    </w:p>
    <w:p>
      <w:pPr>
        <w:pStyle w:val="ListParagraph"/>
        <w:numPr>
          <w:ilvl w:val="0"/>
          <w:numId w:val="4"/>
        </w:numPr>
      </w:pPr>
      <w:r>
        <w:rPr>
          <w:rFonts w:ascii="Figtree" w:hAnsi="Figtree"/>
          <w:b w:val="0"/>
          <w:i w:val="0"/>
          <w:sz w:val="22"/>
        </w:rPr>
        <w:t>Tone: infrastructure-literate, non-speculative, requirements-driven.</w:t>
      </w:r>
    </w:p>
    <w:p>
      <w:pPr>
        <w:pStyle w:val="ListParagraph"/>
        <w:numPr>
          <w:ilvl w:val="0"/>
          <w:numId w:val="4"/>
        </w:numPr>
      </w:pPr>
      <w:r>
        <w:rPr>
          <w:rFonts w:ascii="Figtree" w:hAnsi="Figtree"/>
          <w:b w:val="0"/>
          <w:i w:val="0"/>
          <w:sz w:val="22"/>
        </w:rPr>
        <w:t>Reference: `bid-manager/content/04-deployment/main.md`.</w:t>
      </w:r>
    </w:p>
    <w:p>
      <w:pPr>
        <w:pStyle w:val="ListParagraph"/>
        <w:numPr>
          <w:ilvl w:val="0"/>
          <w:numId w:val="4"/>
        </w:numPr>
      </w:pPr>
      <w:r>
        <w:rPr>
          <w:rFonts w:ascii="Figtree" w:hAnsi="Figtree"/>
          <w:b w:val="0"/>
          <w:i w:val="0"/>
          <w:sz w:val="22"/>
        </w:rPr>
        <w:t>Do not: imply platform capability changes by deployment model or commit to unsupported residency/security claims.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