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Proposed Operating Model</w:t>
          </w:r>
          <w:r>
            <w:tab/>
          </w:r>
          <w:r>
            <w:t xml:space="preserve">4</w:t>
          </w:r>
        </w:p>
        <w:p>
          <w:pPr>
            <w:pStyle w:val="TOC1"/>
            <w:tabs>
              <w:tab w:val="right" w:leader="dot" w:pos="9072"/>
            </w:tabs>
          </w:pPr>
          <w:r>
            <w:t xml:space="preserve">Platform Capabilities</w:t>
          </w:r>
          <w:r>
            <w:tab/>
          </w:r>
          <w:r>
            <w:t xml:space="preserve">5</w:t>
          </w:r>
        </w:p>
        <w:p>
          <w:pPr>
            <w:pStyle w:val="TOC1"/>
            <w:tabs>
              <w:tab w:val="right" w:leader="dot" w:pos="9072"/>
            </w:tabs>
          </w:pPr>
          <w:r>
            <w:t xml:space="preserve">Security and Control Evidence</w:t>
          </w:r>
          <w:r>
            <w:tab/>
          </w:r>
          <w:r>
            <w:t xml:space="preserve">6</w:t>
          </w:r>
        </w:p>
        <w:p>
          <w:pPr>
            <w:pStyle w:val="TOC1"/>
            <w:tabs>
              <w:tab w:val="right" w:leader="dot" w:pos="9072"/>
            </w:tabs>
          </w:pPr>
          <w:r>
            <w:t xml:space="preserve">Implementation Approach</w:t>
          </w:r>
          <w:r>
            <w:tab/>
          </w:r>
          <w:r>
            <w:t xml:space="preserve">7</w:t>
          </w:r>
        </w:p>
        <w:p>
          <w:pPr>
            <w:pStyle w:val="TOC1"/>
            <w:tabs>
              <w:tab w:val="right" w:leader="dot" w:pos="9072"/>
            </w:tabs>
          </w:pPr>
          <w:r>
            <w:t xml:space="preserve">Conclusion</w:t>
          </w:r>
          <w:r>
            <w:tab/>
          </w:r>
          <w:r>
            <w:t xml:space="preserve">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Emirates NBD can use SettleMint's Digital Asset Lifecycle Platform to operate controlled EVM-based tokenized asset workflows with clear governance, auditable activity, and a pragmatic implementation path. The response focuses on production control: who can do what, how changes are approved, how lifecycle events are evidenced, and how the bank keeps custody and regulatory boundaries explicit.</w:t>
      </w:r>
    </w:p>
    <w:p>
      <w:pPr>
        <w:pStyle w:val="H1"/>
        <w:numPr>
          <w:ilvl w:val="0"/>
          <w:numId w:val="1"/>
        </w:numPr>
      </w:pPr>
      <w:r>
        <w:t>Proposed Operating Model</w:t>
      </w:r>
    </w:p>
    <w:p>
      <w:r>
        <w:rPr>
          <w:rFonts w:ascii="Figtree" w:hAnsi="Figtree"/>
          <w:b w:val="0"/>
          <w:i w:val="0"/>
          <w:sz w:val="22"/>
        </w:rPr>
        <w:t>SettleMint provides the platform control plane for issuance, role-based permissions, lifecycle operations, and integration with the bank's surrounding systems. The bank remains the owner of participant policy, custody-provider selection, signatory authority, and final operating procedures. That boundary matters: it keeps the solution credible for bank risk, compliance, legal, and operations teams.</w:t>
      </w:r>
    </w:p>
    <w:p>
      <w:pPr>
        <w:pStyle w:val="H1"/>
        <w:numPr>
          <w:ilvl w:val="0"/>
          <w:numId w:val="1"/>
        </w:numPr>
      </w:pPr>
      <w:r>
        <w:t>Platform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7"/>
        <w:gridCol w:w="69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Tokenized asset lifecycle</w:t>
            </w:r>
          </w:p>
        </w:tc>
        <w:tc>
          <w:tcPr>
            <w:tcW w:type="dxa" w:w="4873"/>
            <w:vAlign w:val="center"/>
          </w:tcPr>
          <w:p>
            <w:pPr>
              <w:spacing w:line="276" w:lineRule="auto" w:before="0" w:after="0"/>
            </w:pPr>
            <w:r/>
            <w:r>
              <w:rPr>
                <w:rFonts w:ascii="Figtree" w:hAnsi="Figtree"/>
                <w:b w:val="0"/>
                <w:i w:val="0"/>
                <w:sz w:val="20"/>
              </w:rPr>
              <w:t>Supports EVM-based issuance, transfer controls, servicing events, and operational oversight.</w:t>
            </w:r>
          </w:p>
        </w:tc>
      </w:tr>
      <w:tr>
        <w:trPr>
          <w:trHeight w:val="425" w:hRule="atLeast"/>
        </w:trPr>
        <w:tc>
          <w:tcPr>
            <w:tcW w:type="dxa" w:w="4873"/>
            <w:vAlign w:val="center"/>
          </w:tcPr>
          <w:p>
            <w:pPr>
              <w:spacing w:line="276" w:lineRule="auto" w:before="0" w:after="0"/>
            </w:pPr>
            <w:r/>
            <w:r>
              <w:rPr>
                <w:rFonts w:ascii="Figtree" w:hAnsi="Figtree"/>
                <w:b w:val="0"/>
                <w:i w:val="0"/>
                <w:sz w:val="20"/>
              </w:rPr>
              <w:t>Governance</w:t>
            </w:r>
          </w:p>
        </w:tc>
        <w:tc>
          <w:tcPr>
            <w:tcW w:type="dxa" w:w="4873"/>
            <w:vAlign w:val="center"/>
          </w:tcPr>
          <w:p>
            <w:pPr>
              <w:spacing w:line="276" w:lineRule="auto" w:before="0" w:after="0"/>
            </w:pPr>
            <w:r/>
            <w:r>
              <w:rPr>
                <w:rFonts w:ascii="Figtree" w:hAnsi="Figtree"/>
                <w:b w:val="0"/>
                <w:i w:val="0"/>
                <w:sz w:val="20"/>
              </w:rPr>
              <w:t>Supports maker-checker patterns, role-based permissions, approval evidence, and auditable operational activity.</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Supports API-led integration patterns for custody, reporting, compliance, and enterprise workflow systems.</w:t>
            </w:r>
          </w:p>
        </w:tc>
      </w:tr>
      <w:tr>
        <w:trPr>
          <w:trHeight w:val="425" w:hRule="atLeast"/>
        </w:trPr>
        <w:tc>
          <w:tcPr>
            <w:tcW w:type="dxa" w:w="4873"/>
            <w:vAlign w:val="center"/>
          </w:tcPr>
          <w:p>
            <w:pPr>
              <w:spacing w:line="276" w:lineRule="auto" w:before="0" w:after="0"/>
            </w:pPr>
            <w:r/>
            <w:r>
              <w:rPr>
                <w:rFonts w:ascii="Figtree" w:hAnsi="Figtree"/>
                <w:b w:val="0"/>
                <w:i w:val="0"/>
                <w:sz w:val="20"/>
              </w:rPr>
              <w:t>Deployment</w:t>
            </w:r>
          </w:p>
        </w:tc>
        <w:tc>
          <w:tcPr>
            <w:tcW w:type="dxa" w:w="4873"/>
            <w:vAlign w:val="center"/>
          </w:tcPr>
          <w:p>
            <w:pPr>
              <w:spacing w:line="276" w:lineRule="auto" w:before="0" w:after="0"/>
            </w:pPr>
            <w:r/>
            <w:r>
              <w:rPr>
                <w:rFonts w:ascii="Figtree" w:hAnsi="Figtree"/>
                <w:b w:val="0"/>
                <w:i w:val="0"/>
                <w:sz w:val="20"/>
              </w:rPr>
              <w:t>Supports bank-grade implementation planning with environment separation, testing, cutover, and support rhythm.</w:t>
            </w:r>
          </w:p>
        </w:tc>
      </w:tr>
    </w:tbl>
    <w:p>
      <w:pPr>
        <w:spacing w:before="0" w:after="0" w:line="120" w:lineRule="exact"/>
      </w:pPr>
    </w:p>
    <w:p>
      <w:pPr>
        <w:pStyle w:val="H1"/>
        <w:numPr>
          <w:ilvl w:val="0"/>
          <w:numId w:val="1"/>
        </w:numPr>
      </w:pPr>
      <w:r>
        <w:t>Security and Control Evidence</w:t>
      </w:r>
    </w:p>
    <w:p>
      <w:r>
        <w:rPr>
          <w:rFonts w:ascii="Figtree" w:hAnsi="Figtree"/>
          <w:b w:val="0"/>
          <w:i w:val="0"/>
          <w:sz w:val="22"/>
        </w:rPr>
        <w:t>The implementation should produce evidence that risk and audit teams can inspect: permission models, change records, transaction approvals, lifecycle event history, and exception handling. The platform response is designed to reduce ambiguity during procurement by separating native platform capability from bank-owned operating decisions.</w:t>
      </w:r>
    </w:p>
    <w:p>
      <w:pPr>
        <w:pStyle w:val="H1"/>
        <w:numPr>
          <w:ilvl w:val="0"/>
          <w:numId w:val="1"/>
        </w:numPr>
      </w:pPr>
      <w:r>
        <w:t>Implementation Approach</w:t>
      </w:r>
    </w:p>
    <w:p>
      <w:r>
        <w:rPr>
          <w:rFonts w:ascii="Figtree" w:hAnsi="Figtree"/>
          <w:b w:val="0"/>
          <w:i w:val="0"/>
          <w:sz w:val="22"/>
        </w:rPr>
        <w:t>The recommended implementation starts with a controlled scope, validates the operating model with business and risk stakeholders, confirms custody and signing boundaries, and then expands into additional asset classes or lifecycle events. This avoids a fragile proof-of-concept and creates a reusable foundation for future tokenization work.</w:t>
      </w:r>
    </w:p>
    <w:p>
      <w:pPr>
        <w:pStyle w:val="H1"/>
        <w:numPr>
          <w:ilvl w:val="0"/>
          <w:numId w:val="1"/>
        </w:numPr>
      </w:pPr>
      <w:r>
        <w:t>Conclusion</w:t>
      </w:r>
    </w:p>
    <w:p>
      <w:r>
        <w:rPr>
          <w:rFonts w:ascii="Figtree" w:hAnsi="Figtree"/>
          <w:b w:val="0"/>
          <w:i w:val="0"/>
          <w:sz w:val="22"/>
        </w:rPr>
        <w:t>SettleMint gives Emirates NBD a credible path to industrialize tokenized asset operations while preserving bank control over governance, custody boundaries, compliance evidence, and delivery risk.</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