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Tokenized Deposits and Trade Finance Platform</w:t>
          </w:r>
          <w:r>
            <w:tab/>
          </w:r>
          <w:r>
            <w:t xml:space="preserve">3</w:t>
          </w:r>
        </w:p>
        <w:p>
          <w:pPr>
            <w:pStyle w:val="TOC1"/>
            <w:tabs>
              <w:tab w:val="right" w:leader="dot" w:pos="9072"/>
            </w:tabs>
          </w:pPr>
          <w:r>
            <w:t xml:space="preserve">Procurement Context</w:t>
          </w:r>
          <w:r>
            <w:tab/>
          </w:r>
          <w:r>
            <w:t xml:space="preserve">4</w:t>
          </w:r>
        </w:p>
        <w:p>
          <w:pPr>
            <w:pStyle w:val="TOC1"/>
            <w:tabs>
              <w:tab w:val="right" w:leader="dot" w:pos="9072"/>
            </w:tabs>
          </w:pPr>
          <w:r>
            <w:t xml:space="preserve">Regulatory and Market Context</w:t>
          </w:r>
          <w:r>
            <w:tab/>
          </w:r>
          <w:r>
            <w:t xml:space="preserve">5</w:t>
          </w:r>
        </w:p>
        <w:p>
          <w:pPr>
            <w:pStyle w:val="TOC1"/>
            <w:tabs>
              <w:tab w:val="right" w:leader="dot" w:pos="9072"/>
            </w:tabs>
          </w:pPr>
          <w:r>
            <w:t xml:space="preserve">Scope of Required Deliverables</w:t>
          </w:r>
          <w:r>
            <w:tab/>
          </w:r>
          <w:r>
            <w:t xml:space="preserve">6</w:t>
          </w:r>
        </w:p>
        <w:p>
          <w:pPr>
            <w:pStyle w:val="TOC1"/>
            <w:tabs>
              <w:tab w:val="right" w:leader="dot" w:pos="9072"/>
            </w:tabs>
          </w:pPr>
          <w:r>
            <w:t xml:space="preserve">Response Requirements</w:t>
          </w:r>
          <w:r>
            <w:tab/>
          </w:r>
          <w:r>
            <w:t xml:space="preserve">7</w:t>
          </w:r>
        </w:p>
        <w:p>
          <w:pPr>
            <w:pStyle w:val="TOC1"/>
            <w:tabs>
              <w:tab w:val="right" w:leader="dot" w:pos="9072"/>
            </w:tabs>
          </w:pPr>
          <w:r>
            <w:t xml:space="preserve">Evaluation Criteria</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Tokenized Deposits and Trade Finance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59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Reference</w:t>
            </w:r>
          </w:p>
        </w:tc>
        <w:tc>
          <w:tcPr>
            <w:tcW w:type="dxa" w:w="4873"/>
            <w:vAlign w:val="center"/>
          </w:tcPr>
          <w:p>
            <w:pPr>
              <w:spacing w:line="276" w:lineRule="auto" w:before="0" w:after="0"/>
            </w:pPr>
            <w:r/>
            <w:r>
              <w:rPr>
                <w:rFonts w:ascii="Figtree" w:hAnsi="Figtree"/>
                <w:b w:val="0"/>
                <w:i w:val="0"/>
                <w:sz w:val="20"/>
              </w:rPr>
              <w:t>ENBD-RFP-202603</w:t>
            </w:r>
          </w:p>
        </w:tc>
      </w:tr>
      <w:tr>
        <w:trPr>
          <w:trHeight w:val="425" w:hRule="atLeast"/>
        </w:trPr>
        <w:tc>
          <w:tcPr>
            <w:tcW w:type="dxa" w:w="4873"/>
            <w:vAlign w:val="center"/>
          </w:tcPr>
          <w:p>
            <w:pPr>
              <w:spacing w:line="276" w:lineRule="auto" w:before="0" w:after="0"/>
            </w:pPr>
            <w:r/>
            <w:r>
              <w:rPr>
                <w:rFonts w:ascii="Figtree" w:hAnsi="Figtree"/>
                <w:b w:val="0"/>
                <w:i w:val="0"/>
                <w:sz w:val="20"/>
              </w:rPr>
              <w:t>Document Type</w:t>
            </w:r>
          </w:p>
        </w:tc>
        <w:tc>
          <w:tcPr>
            <w:tcW w:type="dxa" w:w="4873"/>
            <w:vAlign w:val="center"/>
          </w:tcPr>
          <w:p>
            <w:pPr>
              <w:spacing w:line="276" w:lineRule="auto" w:before="0" w:after="0"/>
            </w:pPr>
            <w:r/>
            <w:r>
              <w:rPr>
                <w:rFonts w:ascii="Figtree" w:hAnsi="Figtree"/>
                <w:b w:val="0"/>
                <w:i w:val="0"/>
                <w:sz w:val="20"/>
              </w:rPr>
              <w:t>RFP</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Issue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Response Deadline</w:t>
            </w:r>
          </w:p>
        </w:tc>
        <w:tc>
          <w:tcPr>
            <w:tcW w:type="dxa" w:w="4873"/>
            <w:vAlign w:val="center"/>
          </w:tcPr>
          <w:p>
            <w:pPr>
              <w:spacing w:line="276" w:lineRule="auto" w:before="0" w:after="0"/>
            </w:pPr>
            <w:r/>
            <w:r>
              <w:rPr>
                <w:rFonts w:ascii="Figtree" w:hAnsi="Figtree"/>
                <w:b w:val="0"/>
                <w:i w:val="0"/>
                <w:sz w:val="20"/>
              </w:rPr>
              <w:t>May 2026</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Issuing Entity</w:t>
            </w:r>
          </w:p>
        </w:tc>
        <w:tc>
          <w:tcPr>
            <w:tcW w:type="dxa" w:w="4873"/>
            <w:vAlign w:val="center"/>
          </w:tcPr>
          <w:p>
            <w:pPr>
              <w:spacing w:line="276" w:lineRule="auto" w:before="0" w:after="0"/>
            </w:pPr>
            <w:r/>
            <w:r>
              <w:rPr>
                <w:rFonts w:ascii="Figtree" w:hAnsi="Figtree"/>
                <w:b w:val="0"/>
                <w:i w:val="0"/>
                <w:sz w:val="20"/>
              </w:rPr>
              <w:t>Emirates NBD</w:t>
            </w:r>
          </w:p>
        </w:tc>
      </w:tr>
      <w:tr>
        <w:trPr>
          <w:trHeight w:val="425" w:hRule="atLeast"/>
        </w:trPr>
        <w:tc>
          <w:tcPr>
            <w:tcW w:type="dxa" w:w="4873"/>
            <w:vAlign w:val="center"/>
          </w:tcPr>
          <w:p>
            <w:pPr>
              <w:spacing w:line="276" w:lineRule="auto" w:before="0" w:after="0"/>
            </w:pPr>
            <w:r/>
            <w:r>
              <w:rPr>
                <w:rFonts w:ascii="Figtree" w:hAnsi="Figtree"/>
                <w:b w:val="0"/>
                <w:i w:val="0"/>
                <w:sz w:val="20"/>
              </w:rPr>
              <w:t>Institution Category</w:t>
            </w:r>
          </w:p>
        </w:tc>
        <w:tc>
          <w:tcPr>
            <w:tcW w:type="dxa" w:w="4873"/>
            <w:vAlign w:val="center"/>
          </w:tcPr>
          <w:p>
            <w:pPr>
              <w:spacing w:line="276" w:lineRule="auto" w:before="0" w:after="0"/>
            </w:pPr>
            <w:r/>
            <w:r>
              <w:rPr>
                <w:rFonts w:ascii="Figtree" w:hAnsi="Figtree"/>
                <w:b w:val="0"/>
                <w:i w:val="0"/>
                <w:sz w:val="20"/>
              </w:rPr>
              <w:t>Banks</w:t>
            </w:r>
          </w:p>
        </w:tc>
      </w:tr>
      <w:tr>
        <w:trPr>
          <w:trHeight w:val="425" w:hRule="atLeast"/>
        </w:trPr>
        <w:tc>
          <w:tcPr>
            <w:tcW w:type="dxa" w:w="4873"/>
            <w:vAlign w:val="center"/>
          </w:tcPr>
          <w:p>
            <w:pPr>
              <w:spacing w:line="276" w:lineRule="auto" w:before="0" w:after="0"/>
            </w:pPr>
            <w:r/>
            <w:r>
              <w:rPr>
                <w:rFonts w:ascii="Figtree" w:hAnsi="Figtree"/>
                <w:b w:val="0"/>
                <w:i w:val="0"/>
                <w:sz w:val="20"/>
              </w:rPr>
              <w:t>Geography</w:t>
            </w:r>
          </w:p>
        </w:tc>
        <w:tc>
          <w:tcPr>
            <w:tcW w:type="dxa" w:w="4873"/>
            <w:vAlign w:val="center"/>
          </w:tcPr>
          <w:p>
            <w:pPr>
              <w:spacing w:line="276" w:lineRule="auto" w:before="0" w:after="0"/>
            </w:pPr>
            <w:r/>
            <w:r>
              <w:rPr>
                <w:rFonts w:ascii="Figtree" w:hAnsi="Figtree"/>
                <w:b w:val="0"/>
                <w:i w:val="0"/>
                <w:sz w:val="20"/>
              </w:rPr>
              <w:t>UAE</w:t>
            </w:r>
          </w:p>
        </w:tc>
      </w:tr>
      <w:tr>
        <w:trPr>
          <w:trHeight w:val="425" w:hRule="atLeast"/>
        </w:trPr>
        <w:tc>
          <w:tcPr>
            <w:tcW w:type="dxa" w:w="4873"/>
            <w:vAlign w:val="center"/>
          </w:tcPr>
          <w:p>
            <w:pPr>
              <w:spacing w:line="276" w:lineRule="auto" w:before="0" w:after="0"/>
            </w:pPr>
            <w:r/>
            <w:r>
              <w:rPr>
                <w:rFonts w:ascii="Figtree" w:hAnsi="Figtree"/>
                <w:b w:val="0"/>
                <w:i w:val="0"/>
                <w:sz w:val="20"/>
              </w:rPr>
              <w:t>Programme Title</w:t>
            </w:r>
          </w:p>
        </w:tc>
        <w:tc>
          <w:tcPr>
            <w:tcW w:type="dxa" w:w="4873"/>
            <w:vAlign w:val="center"/>
          </w:tcPr>
          <w:p>
            <w:pPr>
              <w:spacing w:line="276" w:lineRule="auto" w:before="0" w:after="0"/>
            </w:pPr>
            <w:r/>
            <w:r>
              <w:rPr>
                <w:rFonts w:ascii="Figtree" w:hAnsi="Figtree"/>
                <w:b w:val="0"/>
                <w:i w:val="0"/>
                <w:sz w:val="20"/>
              </w:rPr>
              <w:t>Tokenized Deposits and Trade Finance Platform</w:t>
            </w:r>
          </w:p>
        </w:tc>
      </w:tr>
    </w:tbl>
    <w:p>
      <w:pPr>
        <w:spacing w:before="0" w:after="0" w:line="120" w:lineRule="exact"/>
      </w:pPr>
    </w:p>
    <w:p>
      <w:pPr>
        <w:pStyle w:val="H1"/>
        <w:numPr>
          <w:ilvl w:val="0"/>
          <w:numId w:val="1"/>
        </w:numPr>
      </w:pPr>
      <w:r>
        <w:t>Procurement Context</w:t>
      </w:r>
    </w:p>
    <w:p>
      <w:r>
        <w:rPr>
          <w:rFonts w:ascii="Figtree" w:hAnsi="Figtree"/>
          <w:b w:val="0"/>
          <w:i w:val="0"/>
          <w:sz w:val="22"/>
        </w:rPr>
        <w:t>Emirates NBD is seeking a production-grade platform and implementation approach for tokenized deposits/trade finance. The buyer wants a defensible institutional operating model, not a demo. The programme is driven by digitise corporate liquidity supporting trade-finance flows, improve visibility over documentary and payment milestones, reduce reconciliation friction between treasury, trade operations, and transaction banking.</w:t>
      </w:r>
    </w:p>
    <w:p>
      <w:pPr>
        <w:pStyle w:val="H1"/>
        <w:numPr>
          <w:ilvl w:val="0"/>
          <w:numId w:val="1"/>
        </w:numPr>
      </w:pPr>
      <w:r>
        <w:t>Regulatory and Market Context</w:t>
      </w:r>
    </w:p>
    <w:p>
      <w:r>
        <w:rPr>
          <w:rFonts w:ascii="Figtree" w:hAnsi="Figtree"/>
          <w:b w:val="0"/>
          <w:i w:val="0"/>
          <w:sz w:val="22"/>
        </w:rPr>
        <w:t>The response must reflect UAE requirements, including CBUAE, SCA, DFSA, ADGM FSMR. Relevant market initiatives include digital dirham, Project Aber, DIFC Innovation Hub. The response must explicitly address Sharia governance, AAOIFI-aligned review, product permissibility controls, and evidence suitable for Sharia-board review.</w:t>
      </w:r>
    </w:p>
    <w:p>
      <w:pPr>
        <w:pStyle w:val="H1"/>
        <w:numPr>
          <w:ilvl w:val="0"/>
          <w:numId w:val="1"/>
        </w:numPr>
      </w:pPr>
      <w:r>
        <w:t>Scope of Required Deliverables</w:t>
      </w:r>
    </w:p>
    <w:p>
      <w:r>
        <w:rPr>
          <w:rFonts w:ascii="Figtree" w:hAnsi="Figtree"/>
          <w:b w:val="0"/>
          <w:i w:val="0"/>
          <w:sz w:val="22"/>
        </w:rPr>
        <w:t>Expected deliverables include:</w:t>
      </w:r>
    </w:p>
    <w:p>
      <w:pPr>
        <w:pStyle w:val="ListParagraph"/>
        <w:numPr>
          <w:ilvl w:val="0"/>
          <w:numId w:val="4"/>
        </w:numPr>
      </w:pPr>
      <w:r>
        <w:rPr>
          <w:rFonts w:ascii="Figtree" w:hAnsi="Figtree"/>
          <w:b w:val="0"/>
          <w:i w:val="0"/>
          <w:sz w:val="22"/>
        </w:rPr>
        <w:t>tokenized deposit issuance and redemption workflows</w:t>
      </w:r>
    </w:p>
    <w:p>
      <w:pPr>
        <w:pStyle w:val="ListParagraph"/>
        <w:numPr>
          <w:ilvl w:val="0"/>
          <w:numId w:val="4"/>
        </w:numPr>
      </w:pPr>
      <w:r>
        <w:rPr>
          <w:rFonts w:ascii="Figtree" w:hAnsi="Figtree"/>
          <w:b w:val="0"/>
          <w:i w:val="0"/>
          <w:sz w:val="22"/>
        </w:rPr>
        <w:t>trade-finance asset registry and entitlement servicing</w:t>
      </w:r>
    </w:p>
    <w:p>
      <w:pPr>
        <w:pStyle w:val="ListParagraph"/>
        <w:numPr>
          <w:ilvl w:val="0"/>
          <w:numId w:val="4"/>
        </w:numPr>
      </w:pPr>
      <w:r>
        <w:rPr>
          <w:rFonts w:ascii="Figtree" w:hAnsi="Figtree"/>
          <w:b w:val="0"/>
          <w:i w:val="0"/>
          <w:sz w:val="22"/>
        </w:rPr>
        <w:t>programmable payment and document-status event orchestration</w:t>
      </w:r>
    </w:p>
    <w:p>
      <w:r>
        <w:rPr>
          <w:rFonts w:ascii="Figtree" w:hAnsi="Figtree"/>
          <w:b w:val="0"/>
          <w:i w:val="0"/>
          <w:sz w:val="22"/>
        </w:rPr>
        <w:t>Vendors must distinguish shipped capability, configurable platform capability, partner-enabled scope, and roadmap items.</w:t>
      </w:r>
    </w:p>
    <w:p>
      <w:pPr>
        <w:pStyle w:val="H1"/>
        <w:numPr>
          <w:ilvl w:val="0"/>
          <w:numId w:val="1"/>
        </w:numPr>
      </w:pPr>
      <w:r>
        <w:t>Response Requirements</w:t>
      </w:r>
    </w:p>
    <w:p>
      <w:r>
        <w:rPr>
          <w:rFonts w:ascii="Figtree" w:hAnsi="Figtree"/>
          <w:b w:val="0"/>
          <w:i w:val="0"/>
          <w:sz w:val="22"/>
        </w:rPr>
        <w:t>Respondents must provide architecture, deployment model, integration approach, security controls, operational resilience, implementation plan, support model, commercial assumptions, and evidence references.</w:t>
      </w:r>
    </w:p>
    <w:p>
      <w:pPr>
        <w:pStyle w:val="H1"/>
        <w:numPr>
          <w:ilvl w:val="0"/>
          <w:numId w:val="1"/>
        </w:numPr>
      </w:pPr>
      <w:r>
        <w:t>Evaluation Criteria</w:t>
      </w:r>
    </w:p>
    <w:p>
      <w:r>
        <w:rPr>
          <w:rFonts w:ascii="Figtree" w:hAnsi="Figtree"/>
          <w:b w:val="0"/>
          <w:i w:val="0"/>
          <w:sz w:val="22"/>
        </w:rPr>
        <w:t>Evaluation will prioritize production maturity, evidence quality, operational control, implementation realism, security, governance, and clarity of scope boundaries.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