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BV</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Belspo R&amp;D Proof Report</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Fiscal Year 2024</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19 March 2026. In the absence of confirmation to proceed, SettleMint and SettleMint BV</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Quark (AI Assistant)</w:t>
      </w:r>
    </w:p>
    <w:p w14:paraId="78CD750E" w14:textId="77777777" w:rsidR="00E86454" w:rsidRDefault="00E86454" w:rsidP="00E86454">
      <w:r>
        <w:t>Prepared for SettleMint BV</w:t>
      </w:r>
    </w:p>
    <w:p w14:paraId="7D10800F" w14:textId="77777777" w:rsidR="00E86454" w:rsidRDefault="00E86454" w:rsidP="00E86454">
      <w:r>
        <w:t>Email: vrvanoutrive@deloitte.com</w:t>
      </w:r>
    </w:p>
    <w:p w14:paraId="7D0DC7E4" w14:textId="77777777" w:rsidR="00AD4564" w:rsidRDefault="00E86454" w:rsidP="00E86454">
      <w:r>
        <w:t>Phone: cbuysschaert@deloitte.com</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1. Executive Summary</w:t>
          </w:r>
          <w:r>
            <w:tab/>
          </w:r>
          <w:r>
            <w:t xml:space="preserve">3</w:t>
          </w:r>
        </w:p>
        <w:p>
          <w:pPr>
            <w:pStyle w:val="TOC2"/>
            <w:tabs>
              <w:tab w:val="right" w:leader="dot" w:pos="9072"/>
            </w:tabs>
          </w:pPr>
          <w:r>
            <w:t xml:space="preserve">2. Belspo Requirements — 2024 Context</w:t>
          </w:r>
          <w:r>
            <w:tab/>
          </w:r>
          <w:r>
            <w:t xml:space="preserve">4</w:t>
          </w:r>
        </w:p>
        <w:p>
          <w:pPr>
            <w:pStyle w:val="TOC3"/>
            <w:tabs>
              <w:tab w:val="right" w:leader="dot" w:pos="9072"/>
            </w:tabs>
          </w:pPr>
          <w:r>
            <w:t xml:space="preserve">2.1 What Authorities Accept as Proof</w:t>
          </w:r>
          <w:r>
            <w:tab/>
          </w:r>
          <w:r>
            <w:t xml:space="preserve">5</w:t>
          </w:r>
        </w:p>
        <w:p>
          <w:pPr>
            <w:pStyle w:val="TOC3"/>
            <w:tabs>
              <w:tab w:val="right" w:leader="dot" w:pos="9072"/>
            </w:tabs>
          </w:pPr>
          <w:r>
            <w:t xml:space="preserve">2.2 Key Compliance Points</w:t>
          </w:r>
          <w:r>
            <w:tab/>
          </w:r>
          <w:r>
            <w:t xml:space="preserve">6</w:t>
          </w:r>
        </w:p>
        <w:p>
          <w:pPr>
            <w:pStyle w:val="TOC2"/>
            <w:tabs>
              <w:tab w:val="right" w:leader="dot" w:pos="9072"/>
            </w:tabs>
          </w:pPr>
          <w:r>
            <w:t xml:space="preserve">3. GitHub Activity Summary — 2024</w:t>
          </w:r>
          <w:r>
            <w:tab/>
          </w:r>
          <w:r>
            <w:t xml:space="preserve">7</w:t>
          </w:r>
        </w:p>
        <w:p>
          <w:pPr>
            <w:pStyle w:val="TOC3"/>
            <w:tabs>
              <w:tab w:val="right" w:leader="dot" w:pos="9072"/>
            </w:tabs>
          </w:pPr>
          <w:r>
            <w:t xml:space="preserve">3.1 Belspo-Registered Employees</w:t>
          </w:r>
          <w:r>
            <w:tab/>
          </w:r>
          <w:r>
            <w:t xml:space="preserve">8</w:t>
          </w:r>
        </w:p>
        <w:p>
          <w:pPr>
            <w:pStyle w:val="TOC3"/>
            <w:tabs>
              <w:tab w:val="right" w:leader="dot" w:pos="9072"/>
            </w:tabs>
          </w:pPr>
          <w:r>
            <w:t xml:space="preserve">3.2 Contractors (Supporting R&amp;D — No Tax Relief Claimed)</w:t>
          </w:r>
          <w:r>
            <w:tab/>
          </w:r>
          <w:r>
            <w:t xml:space="preserve">9</w:t>
          </w:r>
        </w:p>
        <w:p>
          <w:pPr>
            <w:pStyle w:val="TOC2"/>
            <w:tabs>
              <w:tab w:val="right" w:leader="dot" w:pos="9072"/>
            </w:tabs>
          </w:pPr>
          <w:r>
            <w:t xml:space="preserve">4. Detailed Commit Activity</w:t>
          </w:r>
          <w:r>
            <w:tab/>
          </w:r>
          <w:r>
            <w:t xml:space="preserve">10</w:t>
          </w:r>
        </w:p>
        <w:p>
          <w:pPr>
            <w:pStyle w:val="TOC3"/>
            <w:tabs>
              <w:tab w:val="right" w:leader="dot" w:pos="9072"/>
            </w:tabs>
          </w:pPr>
          <w:r>
            <w:t xml:space="preserve">4.1 Daan Poron — 26 Commits</w:t>
          </w:r>
          <w:r>
            <w:tab/>
          </w:r>
          <w:r>
            <w:t xml:space="preserve">11</w:t>
          </w:r>
        </w:p>
        <w:p>
          <w:pPr>
            <w:pStyle w:val="TOC3"/>
            <w:tabs>
              <w:tab w:val="right" w:leader="dot" w:pos="9072"/>
            </w:tabs>
          </w:pPr>
          <w:r>
            <w:t xml:space="preserve">4.2 Snigdha Singh — 20 Commits</w:t>
          </w:r>
          <w:r>
            <w:tab/>
          </w:r>
          <w:r>
            <w:t xml:space="preserve">12</w:t>
          </w:r>
        </w:p>
        <w:p>
          <w:pPr>
            <w:pStyle w:val="TOC3"/>
            <w:tabs>
              <w:tab w:val="right" w:leader="dot" w:pos="9072"/>
            </w:tabs>
          </w:pPr>
          <w:r>
            <w:t xml:space="preserve">4.3 Robbe Verhelst — 21 Commits</w:t>
          </w:r>
          <w:r>
            <w:tab/>
          </w:r>
          <w:r>
            <w:t xml:space="preserve">13</w:t>
          </w:r>
        </w:p>
        <w:p>
          <w:pPr>
            <w:pStyle w:val="TOC3"/>
            <w:tabs>
              <w:tab w:val="right" w:leader="dot" w:pos="9072"/>
            </w:tabs>
          </w:pPr>
          <w:r>
            <w:t xml:space="preserve">4.4 Ambroise Moreau — 14 Commits</w:t>
          </w:r>
          <w:r>
            <w:tab/>
          </w:r>
          <w:r>
            <w:t xml:space="preserve">14</w:t>
          </w:r>
        </w:p>
        <w:p>
          <w:pPr>
            <w:pStyle w:val="TOC3"/>
            <w:tabs>
              <w:tab w:val="right" w:leader="dot" w:pos="9072"/>
            </w:tabs>
          </w:pPr>
          <w:r>
            <w:t xml:space="preserve">4.5 Silke Van den Broeck — 1 Commit</w:t>
          </w:r>
          <w:r>
            <w:tab/>
          </w:r>
          <w:r>
            <w:t xml:space="preserve">15</w:t>
          </w:r>
        </w:p>
        <w:p>
          <w:pPr>
            <w:pStyle w:val="TOC3"/>
            <w:tabs>
              <w:tab w:val="right" w:leader="dot" w:pos="9072"/>
            </w:tabs>
          </w:pPr>
          <w:r>
            <w:t xml:space="preserve">4.6 Contractors — Summary</w:t>
          </w:r>
          <w:r>
            <w:tab/>
          </w:r>
          <w:r>
            <w:t xml:space="preserve">16</w:t>
          </w:r>
        </w:p>
        <w:p>
          <w:pPr>
            <w:pStyle w:val="TOC2"/>
            <w:tabs>
              <w:tab w:val="right" w:leader="dot" w:pos="9072"/>
            </w:tabs>
          </w:pPr>
          <w:r>
            <w:t xml:space="preserve">5. Repositories in Scope</w:t>
          </w:r>
          <w:r>
            <w:tab/>
          </w:r>
          <w:r>
            <w:t xml:space="preserve">17</w:t>
          </w:r>
        </w:p>
        <w:p>
          <w:pPr>
            <w:pStyle w:val="TOC2"/>
            <w:tabs>
              <w:tab w:val="right" w:leader="dot" w:pos="9072"/>
            </w:tabs>
          </w:pPr>
          <w:r>
            <w:t xml:space="preserve">6. Recommendations</w:t>
          </w:r>
          <w:r>
            <w:tab/>
          </w:r>
          <w:r>
            <w:t xml:space="preserve">18</w:t>
          </w:r>
        </w:p>
        <w:p>
          <w:pPr>
            <w:pStyle w:val="TOC3"/>
            <w:tabs>
              <w:tab w:val="right" w:leader="dot" w:pos="9072"/>
            </w:tabs>
          </w:pPr>
          <w:r>
            <w:t xml:space="preserve">6.1 For Silke Van den Broeck</w:t>
          </w:r>
          <w:r>
            <w:tab/>
          </w:r>
          <w:r>
            <w:t xml:space="preserve">19</w:t>
          </w:r>
        </w:p>
        <w:p>
          <w:pPr>
            <w:pStyle w:val="TOC3"/>
            <w:tabs>
              <w:tab w:val="right" w:leader="dot" w:pos="9072"/>
            </w:tabs>
          </w:pPr>
          <w:r>
            <w:t xml:space="preserve">6.2 Documentation to Request from Deloitte</w:t>
          </w:r>
          <w:r>
            <w:tab/>
          </w:r>
          <w:r>
            <w:t xml:space="preserve">20</w:t>
          </w:r>
        </w:p>
        <w:p>
          <w:pPr>
            <w:pStyle w:val="TOC3"/>
            <w:tabs>
              <w:tab w:val="right" w:leader="dot" w:pos="9072"/>
            </w:tabs>
          </w:pPr>
          <w:r>
            <w:t xml:space="preserve">6.3 For Future Years</w:t>
          </w:r>
          <w:r>
            <w:tab/>
          </w:r>
          <w:r>
            <w:t xml:space="preserve">21</w:t>
          </w:r>
        </w:p>
        <w:p>
          <w:pPr>
            <w:pStyle w:val="TOC2"/>
            <w:tabs>
              <w:tab w:val="right" w:leader="dot" w:pos="9072"/>
            </w:tabs>
          </w:pPr>
          <w:r>
            <w:t xml:space="preserve">7. Appendix: Data Sources</w:t>
          </w:r>
          <w:r>
            <w:tab/>
          </w:r>
          <w:r>
            <w:t xml:space="preserve">22</w:t>
          </w:r>
        </w:p>
        <w:p>
          <w:pPr>
            <w:pStyle w:val="TOC2"/>
            <w:tabs>
              <w:tab w:val="right" w:leader="dot" w:pos="9072"/>
            </w:tabs>
          </w:pPr>
          <w:r>
            <w:t xml:space="preserve">8. Limitations</w:t>
          </w:r>
          <w:r>
            <w:tab/>
          </w:r>
          <w:r>
            <w:t xml:space="preserve">23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SettleMint BV  </w:t>
      </w:r>
    </w:p>
    <w:p>
      <w:r>
        <w:rPr>
          <w:rFonts w:ascii="Figtree" w:hAnsi="Figtree"/>
          <w:b/>
          <w:i w:val="0"/>
          <w:sz w:val="22"/>
        </w:rPr>
        <w:t>Period:</w:t>
      </w:r>
      <w:r>
        <w:rPr>
          <w:rFonts w:ascii="Figtree" w:hAnsi="Figtree"/>
          <w:b w:val="0"/>
          <w:i w:val="0"/>
          <w:sz w:val="22"/>
        </w:rPr>
        <w:t xml:space="preserve"> January 1 – December 31, 2024  </w:t>
      </w:r>
    </w:p>
    <w:p>
      <w:r>
        <w:rPr>
          <w:rFonts w:ascii="Figtree" w:hAnsi="Figtree"/>
          <w:b/>
          <w:i w:val="0"/>
          <w:sz w:val="22"/>
        </w:rPr>
        <w:t>Prepared by:</w:t>
      </w:r>
      <w:r>
        <w:rPr>
          <w:rFonts w:ascii="Figtree" w:hAnsi="Figtree"/>
          <w:b w:val="0"/>
          <w:i w:val="0"/>
          <w:sz w:val="22"/>
        </w:rPr>
        <w:t xml:space="preserve"> Quark (AI Assistant)  </w:t>
      </w:r>
    </w:p>
    <w:p>
      <w:r>
        <w:rPr>
          <w:rFonts w:ascii="Figtree" w:hAnsi="Figtree"/>
          <w:b/>
          <w:i w:val="0"/>
          <w:sz w:val="22"/>
        </w:rPr>
        <w:t>Date:</w:t>
      </w:r>
      <w:r>
        <w:rPr>
          <w:rFonts w:ascii="Figtree" w:hAnsi="Figtree"/>
          <w:b w:val="0"/>
          <w:i w:val="0"/>
          <w:sz w:val="22"/>
        </w:rPr>
        <w:t xml:space="preserve"> March 19, 2026  </w:t>
      </w:r>
    </w:p>
    <w:p>
      <w:r>
        <w:rPr>
          <w:rFonts w:ascii="Figtree" w:hAnsi="Figtree"/>
          <w:b/>
          <w:i w:val="0"/>
          <w:sz w:val="22"/>
        </w:rPr>
        <w:t>Deloitte Contacts:</w:t>
      </w:r>
      <w:r>
        <w:rPr>
          <w:rFonts w:ascii="Figtree" w:hAnsi="Figtree"/>
          <w:b w:val="0"/>
          <w:i w:val="0"/>
          <w:sz w:val="22"/>
        </w:rPr>
        <w:t xml:space="preserve"> Robbert Van Outrive (`vrvanoutrive@deloitte.com`), Cas Buysschaert (`cbuysschaert@deloitte.com`)</w:t>
      </w:r>
    </w:p>
    <w:p>
      <w:r>
        <w:br w:type="page"/>
      </w:r>
    </w:p>
    <w:p>
      <w:pPr>
        <w:pStyle w:val="H2"/>
        <w:numPr>
          <w:ilvl w:val="1"/>
          <w:numId w:val="1"/>
        </w:numPr>
      </w:pPr>
      <w:r>
        <w:t>1. Executive Summary</w:t>
      </w:r>
    </w:p>
    <w:p>
      <w:r>
        <w:rPr>
          <w:rFonts w:ascii="Figtree" w:hAnsi="Figtree"/>
          <w:b w:val="0"/>
          <w:i w:val="0"/>
          <w:sz w:val="22"/>
        </w:rPr>
        <w:t>This report provides evidence of R&amp;D activities performed by SettleMint employees during fiscal year 2024 to support the Belspo wage withholding tax exemption claim (≈€100,000/year).</w:t>
      </w:r>
    </w:p>
    <w:p>
      <w:r>
        <w:rPr>
          <w:rFonts w:ascii="Figtree" w:hAnsi="Figtree"/>
          <w:b/>
          <w:i w:val="0"/>
          <w:sz w:val="22"/>
        </w:rPr>
        <w:t>All 5 Belspo-registered employees have GitHub commit evidence in 2024.</w:t>
      </w:r>
      <w:r>
        <w:rPr>
          <w:rFonts w:ascii="Figtree" w:hAnsi="Figtree"/>
          <w:b w:val="0"/>
          <w:i w:val="0"/>
          <w:sz w:val="22"/>
        </w:rPr>
        <w:t xml:space="preserve"> Combined with contractors, we have comprehensive documentation of R&amp;D activities across the BTP (pre-DALP) and DALP product lines.</w:t>
      </w:r>
    </w:p>
    <w:p>
      <w:r>
        <w:br w:type="page"/>
      </w:r>
    </w:p>
    <w:p>
      <w:pPr>
        <w:pStyle w:val="H2"/>
        <w:numPr>
          <w:ilvl w:val="1"/>
          <w:numId w:val="1"/>
        </w:numPr>
      </w:pPr>
      <w:r>
        <w:t>2. Belspo Requirements — 2024 Context</w:t>
      </w:r>
    </w:p>
    <w:p>
      <w:r>
        <w:rPr>
          <w:rFonts w:ascii="Figtree" w:hAnsi="Figtree"/>
          <w:b w:val="0"/>
          <w:i w:val="0"/>
          <w:sz w:val="22"/>
        </w:rPr>
        <w:t>Based on research of Belgian tax authority requirements:</w:t>
      </w:r>
    </w:p>
    <w:p>
      <w:pPr>
        <w:pStyle w:val="H3"/>
        <w:numPr>
          <w:ilvl w:val="2"/>
          <w:numId w:val="1"/>
        </w:numPr>
      </w:pPr>
      <w:r>
        <w:t>2.1 What Authorities Accept as Proof</w:t>
      </w:r>
    </w:p>
    <w:p>
      <w:r>
        <w:rPr>
          <w:rFonts w:ascii="Figtree" w:hAnsi="Figtree"/>
          <w:b w:val="0"/>
          <w:i w:val="0"/>
          <w:sz w:val="22"/>
        </w:rPr>
        <w:t>From Deloitte, PwC, and KPMG guidance for 2024:</w:t>
      </w:r>
    </w:p>
    <w:p>
      <w:pPr>
        <w:pStyle w:val="ListParagraph"/>
        <w:numPr>
          <w:ilvl w:val="0"/>
          <w:numId w:val="6"/>
        </w:numPr>
      </w:pPr>
      <w:r>
        <w:rPr>
          <w:rFonts w:ascii="Figtree" w:hAnsi="Figtree"/>
          <w:b/>
          <w:i w:val="0"/>
          <w:sz w:val="22"/>
        </w:rPr>
        <w:t>Project Registration</w:t>
      </w:r>
      <w:r>
        <w:rPr>
          <w:rFonts w:ascii="Figtree" w:hAnsi="Figtree"/>
          <w:b w:val="0"/>
          <w:i w:val="0"/>
          <w:sz w:val="22"/>
        </w:rPr>
        <w:t xml:space="preserve"> — R&amp;D projects must be registered with Belspo BEFORE starting (mandatory since August 2023)</w:t>
      </w:r>
    </w:p>
    <w:p>
      <w:pPr>
        <w:pStyle w:val="ListParagraph"/>
        <w:numPr>
          <w:ilvl w:val="0"/>
          <w:numId w:val="6"/>
        </w:numPr>
      </w:pPr>
      <w:r>
        <w:rPr>
          <w:rFonts w:ascii="Figtree" w:hAnsi="Figtree"/>
          <w:b/>
          <w:i w:val="0"/>
          <w:sz w:val="22"/>
        </w:rPr>
        <w:t>R&amp;D Percentage Documentation</w:t>
      </w:r>
      <w:r>
        <w:rPr>
          <w:rFonts w:ascii="Figtree" w:hAnsi="Figtree"/>
          <w:b w:val="0"/>
          <w:i w:val="0"/>
          <w:sz w:val="22"/>
        </w:rPr>
        <w:t xml:space="preserve"> — While timesheets are not legally required, tax authorities </w:t>
      </w:r>
      <w:r>
        <w:rPr>
          <w:rFonts w:ascii="Figtree" w:hAnsi="Figtree"/>
          <w:b/>
          <w:i w:val="0"/>
          <w:sz w:val="22"/>
        </w:rPr>
        <w:t>expect</w:t>
      </w:r>
      <w:r>
        <w:rPr>
          <w:rFonts w:ascii="Figtree" w:hAnsi="Figtree"/>
          <w:b w:val="0"/>
          <w:i w:val="0"/>
          <w:sz w:val="22"/>
        </w:rPr>
        <w:t xml:space="preserve"> applicants to demonstrate the percentage of time employees spend on R&amp;D activities</w:t>
      </w:r>
    </w:p>
    <w:p>
      <w:pPr>
        <w:pStyle w:val="ListParagraph"/>
        <w:numPr>
          <w:ilvl w:val="0"/>
          <w:numId w:val="6"/>
        </w:numPr>
      </w:pPr>
      <w:r>
        <w:rPr>
          <w:rFonts w:ascii="Figtree" w:hAnsi="Figtree"/>
          <w:b/>
          <w:i w:val="0"/>
          <w:sz w:val="22"/>
        </w:rPr>
        <w:t>Substantive Activity Evidence</w:t>
      </w:r>
      <w:r>
        <w:rPr>
          <w:rFonts w:ascii="Figtree" w:hAnsi="Figtree"/>
          <w:b w:val="0"/>
          <w:i w:val="0"/>
          <w:sz w:val="22"/>
        </w:rPr>
        <w:t xml:space="preserve"> — Recent audits require proof beyond timesheets, including:</w:t>
      </w:r>
    </w:p>
    <w:p>
      <w:pPr>
        <w:pStyle w:val="ListParagraph"/>
        <w:numPr>
          <w:ilvl w:val="1"/>
          <w:numId w:val="4"/>
        </w:numPr>
      </w:pPr>
      <w:r>
        <w:rPr>
          <w:rFonts w:ascii="Figtree" w:hAnsi="Figtree"/>
          <w:b w:val="0"/>
          <w:i w:val="0"/>
          <w:sz w:val="22"/>
        </w:rPr>
        <w:t>Tickets and tasks from project management systems</w:t>
      </w:r>
    </w:p>
    <w:p>
      <w:pPr>
        <w:pStyle w:val="ListParagraph"/>
        <w:numPr>
          <w:ilvl w:val="1"/>
          <w:numId w:val="4"/>
        </w:numPr>
      </w:pPr>
      <w:r>
        <w:rPr>
          <w:rFonts w:ascii="Figtree" w:hAnsi="Figtree"/>
          <w:b w:val="0"/>
          <w:i w:val="0"/>
          <w:sz w:val="22"/>
        </w:rPr>
        <w:t>Meeting notes with developer names</w:t>
      </w:r>
    </w:p>
    <w:p>
      <w:pPr>
        <w:pStyle w:val="ListParagraph"/>
        <w:numPr>
          <w:ilvl w:val="1"/>
          <w:numId w:val="4"/>
        </w:numPr>
      </w:pPr>
      <w:r>
        <w:rPr>
          <w:rFonts w:ascii="Figtree" w:hAnsi="Figtree"/>
          <w:b w:val="0"/>
          <w:i w:val="0"/>
          <w:sz w:val="22"/>
        </w:rPr>
        <w:t>New functionality descriptions</w:t>
      </w:r>
    </w:p>
    <w:p>
      <w:pPr>
        <w:pStyle w:val="ListParagraph"/>
        <w:numPr>
          <w:ilvl w:val="1"/>
          <w:numId w:val="4"/>
        </w:numPr>
      </w:pPr>
      <w:r>
        <w:rPr>
          <w:rFonts w:ascii="Figtree" w:hAnsi="Figtree"/>
          <w:b w:val="0"/>
          <w:i w:val="0"/>
          <w:sz w:val="22"/>
        </w:rPr>
        <w:t>GitHub commit data (lines, PRs, repositories)</w:t>
      </w:r>
    </w:p>
    <w:p>
      <w:pPr>
        <w:pStyle w:val="ListParagraph"/>
        <w:numPr>
          <w:ilvl w:val="1"/>
          <w:numId w:val="4"/>
        </w:numPr>
      </w:pPr>
      <w:r>
        <w:rPr>
          <w:rFonts w:ascii="Figtree" w:hAnsi="Figtree"/>
          <w:b w:val="0"/>
          <w:i w:val="0"/>
          <w:sz w:val="22"/>
        </w:rPr>
        <w:t>Planning documents and roadmaps</w:t>
      </w:r>
    </w:p>
    <w:p>
      <w:pPr>
        <w:pStyle w:val="ListParagraph"/>
        <w:numPr>
          <w:ilvl w:val="1"/>
          <w:numId w:val="4"/>
        </w:numPr>
      </w:pPr>
      <w:r>
        <w:rPr>
          <w:rFonts w:ascii="Figtree" w:hAnsi="Figtree"/>
          <w:b w:val="0"/>
          <w:i w:val="0"/>
          <w:sz w:val="22"/>
        </w:rPr>
        <w:t>Product enhancement specifications</w:t>
      </w:r>
    </w:p>
    <w:p>
      <w:pPr>
        <w:pStyle w:val="H3"/>
        <w:numPr>
          <w:ilvl w:val="2"/>
          <w:numId w:val="1"/>
        </w:numPr>
      </w:pPr>
      <w:r>
        <w:t>2.2 Key Compliance Points</w:t>
      </w:r>
    </w:p>
    <w:p>
      <w:pPr>
        <w:pStyle w:val="ListParagraph"/>
        <w:numPr>
          <w:ilvl w:val="0"/>
          <w:numId w:val="4"/>
        </w:numPr>
      </w:pPr>
      <w:r>
        <w:rPr>
          <w:rFonts w:ascii="Figtree" w:hAnsi="Figtree"/>
          <w:b w:val="0"/>
          <w:i w:val="0"/>
          <w:sz w:val="22"/>
        </w:rPr>
        <w:t>Projects must be "innovative for the sector" — routine modifications excluded</w:t>
      </w:r>
    </w:p>
    <w:p>
      <w:pPr>
        <w:pStyle w:val="ListParagraph"/>
        <w:numPr>
          <w:ilvl w:val="0"/>
          <w:numId w:val="4"/>
        </w:numPr>
      </w:pPr>
      <w:r>
        <w:rPr>
          <w:rFonts w:ascii="Figtree" w:hAnsi="Figtree"/>
          <w:b w:val="0"/>
          <w:i w:val="0"/>
          <w:sz w:val="22"/>
        </w:rPr>
        <w:t>Notification must occur BEFORE project start date</w:t>
      </w:r>
    </w:p>
    <w:p>
      <w:pPr>
        <w:pStyle w:val="ListParagraph"/>
        <w:numPr>
          <w:ilvl w:val="0"/>
          <w:numId w:val="4"/>
        </w:numPr>
      </w:pPr>
      <w:r>
        <w:rPr>
          <w:rFonts w:ascii="Figtree" w:hAnsi="Figtree"/>
          <w:b w:val="0"/>
          <w:i w:val="0"/>
          <w:sz w:val="22"/>
        </w:rPr>
        <w:t>Burden of proof rests with the taxpayer</w:t>
      </w:r>
    </w:p>
    <w:p>
      <w:pPr>
        <w:pStyle w:val="ListParagraph"/>
        <w:numPr>
          <w:ilvl w:val="0"/>
          <w:numId w:val="4"/>
        </w:numPr>
      </w:pPr>
      <w:r>
        <w:rPr>
          <w:rFonts w:ascii="Figtree" w:hAnsi="Figtree"/>
          <w:b w:val="0"/>
          <w:i w:val="0"/>
          <w:sz w:val="22"/>
        </w:rPr>
        <w:t>Annual copy-paste of previous notifications no longer acceptable</w:t>
      </w:r>
    </w:p>
    <w:p>
      <w:r>
        <w:br w:type="page"/>
      </w:r>
    </w:p>
    <w:p>
      <w:pPr>
        <w:pStyle w:val="H2"/>
        <w:numPr>
          <w:ilvl w:val="1"/>
          <w:numId w:val="1"/>
        </w:numPr>
      </w:pPr>
      <w:r>
        <w:t>3. GitHub Activity Summary — 2024</w:t>
      </w:r>
    </w:p>
    <w:p>
      <w:pPr>
        <w:pStyle w:val="H3"/>
        <w:numPr>
          <w:ilvl w:val="2"/>
          <w:numId w:val="1"/>
        </w:numPr>
      </w:pPr>
      <w:r>
        <w:t>3.1 Belspo-Registered Employees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9"/>
        <w:gridCol w:w="991"/>
        <w:gridCol w:w="1524"/>
        <w:gridCol w:w="3964"/>
        <w:gridCol w:w="76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Employee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GitHub Handle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 Commits (2024)</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Primary Repositories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1949"/>
            <w:vAlign w:val="center"/>
          </w:tcPr>
          <w:p>
            <w:pPr>
              <w:spacing w:line="276" w:lineRule="auto" w:before="0" w:after="0"/>
            </w:pPr>
            <w:r/>
            <w:r>
              <w:rPr>
                <w:rFonts w:ascii="Figtree" w:hAnsi="Figtree"/>
                <w:b/>
                <w:i w:val="0"/>
                <w:sz w:val="20"/>
              </w:rPr>
              <w:t>Daan Poron</w:t>
            </w:r>
          </w:p>
        </w:tc>
        <w:tc>
          <w:tcPr>
            <w:tcW w:type="dxa" w:w="1949"/>
            <w:vAlign w:val="center"/>
          </w:tcPr>
          <w:p>
            <w:pPr>
              <w:spacing w:line="276" w:lineRule="auto" w:before="0" w:after="0"/>
            </w:pPr>
            <w:r/>
            <w:r>
              <w:rPr>
                <w:rFonts w:ascii="Figtree" w:hAnsi="Figtree"/>
                <w:b w:val="0"/>
                <w:i w:val="0"/>
                <w:sz w:val="20"/>
              </w:rPr>
              <w:t>daan@poron.be</w:t>
            </w:r>
          </w:p>
        </w:tc>
        <w:tc>
          <w:tcPr>
            <w:tcW w:type="dxa" w:w="1949"/>
            <w:vAlign w:val="center"/>
          </w:tcPr>
          <w:p>
            <w:pPr>
              <w:spacing w:line="276" w:lineRule="auto" w:before="0" w:after="0"/>
            </w:pPr>
            <w:r/>
            <w:r>
              <w:rPr>
                <w:rFonts w:ascii="Figtree" w:hAnsi="Figtree"/>
                <w:b w:val="0"/>
                <w:i w:val="0"/>
                <w:sz w:val="20"/>
              </w:rPr>
              <w:t>26</w:t>
            </w:r>
          </w:p>
        </w:tc>
        <w:tc>
          <w:tcPr>
            <w:tcW w:type="dxa" w:w="1949"/>
            <w:vAlign w:val="center"/>
          </w:tcPr>
          <w:p>
            <w:pPr>
              <w:spacing w:line="276" w:lineRule="auto" w:before="0" w:after="0"/>
            </w:pPr>
            <w:r/>
            <w:r>
              <w:rPr>
                <w:rFonts w:ascii="Figtree" w:hAnsi="Figtree"/>
                <w:b w:val="0"/>
                <w:i w:val="0"/>
                <w:sz w:val="20"/>
              </w:rPr>
              <w:t>btp-chaincode-lifecycle</w:t>
            </w:r>
          </w:p>
        </w:tc>
        <w:tc>
          <w:tcPr>
            <w:tcW w:type="dxa" w:w="1949"/>
            <w:vAlign w:val="center"/>
          </w:tcPr>
          <w:p>
            <w:pPr>
              <w:spacing w:line="276" w:lineRule="auto" w:before="0" w:after="0"/>
            </w:pPr>
            <w:r/>
            <w:r>
              <w:rPr>
                <w:rFonts w:ascii="Figtree" w:hAnsi="Figtree"/>
                <w:b w:val="0"/>
                <w:i w:val="0"/>
                <w:sz w:val="20"/>
              </w:rPr>
              <w:t>✅ Strong</w:t>
            </w:r>
          </w:p>
        </w:tc>
      </w:tr>
      <w:tr>
        <w:trPr>
          <w:trHeight w:val="425" w:hRule="atLeast"/>
        </w:trPr>
        <w:tc>
          <w:tcPr>
            <w:tcW w:type="dxa" w:w="1949"/>
            <w:vAlign w:val="center"/>
          </w:tcPr>
          <w:p>
            <w:pPr>
              <w:spacing w:line="276" w:lineRule="auto" w:before="0" w:after="0"/>
            </w:pPr>
            <w:r/>
            <w:r>
              <w:rPr>
                <w:rFonts w:ascii="Figtree" w:hAnsi="Figtree"/>
                <w:b/>
                <w:i w:val="0"/>
                <w:sz w:val="20"/>
              </w:rPr>
              <w:t>Snigdha Singh</w:t>
            </w:r>
          </w:p>
        </w:tc>
        <w:tc>
          <w:tcPr>
            <w:tcW w:type="dxa" w:w="1949"/>
            <w:vAlign w:val="center"/>
          </w:tcPr>
          <w:p>
            <w:pPr>
              <w:spacing w:line="276" w:lineRule="auto" w:before="0" w:after="0"/>
            </w:pPr>
            <w:r/>
            <w:r>
              <w:rPr>
                <w:rFonts w:ascii="Figtree" w:hAnsi="Figtree"/>
                <w:b w:val="0"/>
                <w:i w:val="0"/>
                <w:sz w:val="20"/>
              </w:rPr>
              <w:t>snigdha920</w:t>
            </w:r>
          </w:p>
        </w:tc>
        <w:tc>
          <w:tcPr>
            <w:tcW w:type="dxa" w:w="1949"/>
            <w:vAlign w:val="center"/>
          </w:tcPr>
          <w:p>
            <w:pPr>
              <w:spacing w:line="276" w:lineRule="auto" w:before="0" w:after="0"/>
            </w:pPr>
            <w:r/>
            <w:r>
              <w:rPr>
                <w:rFonts w:ascii="Figtree" w:hAnsi="Figtree"/>
                <w:b w:val="0"/>
                <w:i w:val="0"/>
                <w:sz w:val="20"/>
              </w:rPr>
              <w:t>20</w:t>
            </w:r>
          </w:p>
        </w:tc>
        <w:tc>
          <w:tcPr>
            <w:tcW w:type="dxa" w:w="1949"/>
            <w:vAlign w:val="center"/>
          </w:tcPr>
          <w:p>
            <w:pPr>
              <w:spacing w:line="276" w:lineRule="auto" w:before="0" w:after="0"/>
            </w:pPr>
            <w:r/>
            <w:r>
              <w:rPr>
                <w:rFonts w:ascii="Figtree" w:hAnsi="Figtree"/>
                <w:b w:val="0"/>
                <w:i w:val="0"/>
                <w:sz w:val="20"/>
              </w:rPr>
              <w:t>docs, solidity-token-erc20/721, solidity-supplychain</w:t>
            </w:r>
          </w:p>
        </w:tc>
        <w:tc>
          <w:tcPr>
            <w:tcW w:type="dxa" w:w="1949"/>
            <w:vAlign w:val="center"/>
          </w:tcPr>
          <w:p>
            <w:pPr>
              <w:spacing w:line="276" w:lineRule="auto" w:before="0" w:after="0"/>
            </w:pPr>
            <w:r/>
            <w:r>
              <w:rPr>
                <w:rFonts w:ascii="Figtree" w:hAnsi="Figtree"/>
                <w:b w:val="0"/>
                <w:i w:val="0"/>
                <w:sz w:val="20"/>
              </w:rPr>
              <w:t>✅ Strong</w:t>
            </w:r>
          </w:p>
        </w:tc>
      </w:tr>
      <w:tr>
        <w:trPr>
          <w:trHeight w:val="425" w:hRule="atLeast"/>
        </w:trPr>
        <w:tc>
          <w:tcPr>
            <w:tcW w:type="dxa" w:w="1949"/>
            <w:vAlign w:val="center"/>
          </w:tcPr>
          <w:p>
            <w:pPr>
              <w:spacing w:line="276" w:lineRule="auto" w:before="0" w:after="0"/>
            </w:pPr>
            <w:r/>
            <w:r>
              <w:rPr>
                <w:rFonts w:ascii="Figtree" w:hAnsi="Figtree"/>
                <w:b/>
                <w:i w:val="0"/>
                <w:sz w:val="20"/>
              </w:rPr>
              <w:t>Robbe Verhelst</w:t>
            </w:r>
          </w:p>
        </w:tc>
        <w:tc>
          <w:tcPr>
            <w:tcW w:type="dxa" w:w="1949"/>
            <w:vAlign w:val="center"/>
          </w:tcPr>
          <w:p>
            <w:pPr>
              <w:spacing w:line="276" w:lineRule="auto" w:before="0" w:after="0"/>
            </w:pPr>
            <w:r/>
            <w:r>
              <w:rPr>
                <w:rFonts w:ascii="Figtree" w:hAnsi="Figtree"/>
                <w:b w:val="0"/>
                <w:i w:val="0"/>
                <w:sz w:val="20"/>
              </w:rPr>
              <w:t>RobbeVerhelst</w:t>
            </w:r>
          </w:p>
        </w:tc>
        <w:tc>
          <w:tcPr>
            <w:tcW w:type="dxa" w:w="1949"/>
            <w:vAlign w:val="center"/>
          </w:tcPr>
          <w:p>
            <w:pPr>
              <w:spacing w:line="276" w:lineRule="auto" w:before="0" w:after="0"/>
            </w:pPr>
            <w:r/>
            <w:r>
              <w:rPr>
                <w:rFonts w:ascii="Figtree" w:hAnsi="Figtree"/>
                <w:b w:val="0"/>
                <w:i w:val="0"/>
                <w:sz w:val="20"/>
              </w:rPr>
              <w:t>21</w:t>
            </w:r>
          </w:p>
        </w:tc>
        <w:tc>
          <w:tcPr>
            <w:tcW w:type="dxa" w:w="1949"/>
            <w:vAlign w:val="center"/>
          </w:tcPr>
          <w:p>
            <w:pPr>
              <w:spacing w:line="276" w:lineRule="auto" w:before="0" w:after="0"/>
            </w:pPr>
            <w:r/>
            <w:r>
              <w:rPr>
                <w:rFonts w:ascii="Figtree" w:hAnsi="Figtree"/>
                <w:b w:val="0"/>
                <w:i w:val="0"/>
                <w:sz w:val="20"/>
              </w:rPr>
              <w:t>eas-indexing-service, docs</w:t>
            </w:r>
          </w:p>
        </w:tc>
        <w:tc>
          <w:tcPr>
            <w:tcW w:type="dxa" w:w="1949"/>
            <w:vAlign w:val="center"/>
          </w:tcPr>
          <w:p>
            <w:pPr>
              <w:spacing w:line="276" w:lineRule="auto" w:before="0" w:after="0"/>
            </w:pPr>
            <w:r/>
            <w:r>
              <w:rPr>
                <w:rFonts w:ascii="Figtree" w:hAnsi="Figtree"/>
                <w:b w:val="0"/>
                <w:i w:val="0"/>
                <w:sz w:val="20"/>
              </w:rPr>
              <w:t>✅ Strong</w:t>
            </w:r>
          </w:p>
        </w:tc>
      </w:tr>
      <w:tr>
        <w:trPr>
          <w:trHeight w:val="425" w:hRule="atLeast"/>
        </w:trPr>
        <w:tc>
          <w:tcPr>
            <w:tcW w:type="dxa" w:w="1949"/>
            <w:vAlign w:val="center"/>
          </w:tcPr>
          <w:p>
            <w:pPr>
              <w:spacing w:line="276" w:lineRule="auto" w:before="0" w:after="0"/>
            </w:pPr>
            <w:r/>
            <w:r>
              <w:rPr>
                <w:rFonts w:ascii="Figtree" w:hAnsi="Figtree"/>
                <w:b/>
                <w:i w:val="0"/>
                <w:sz w:val="20"/>
              </w:rPr>
              <w:t>Ambroise Moreau</w:t>
            </w:r>
          </w:p>
        </w:tc>
        <w:tc>
          <w:tcPr>
            <w:tcW w:type="dxa" w:w="1949"/>
            <w:vAlign w:val="center"/>
          </w:tcPr>
          <w:p>
            <w:pPr>
              <w:spacing w:line="276" w:lineRule="auto" w:before="0" w:after="0"/>
            </w:pPr>
            <w:r/>
            <w:r>
              <w:rPr>
                <w:rFonts w:ascii="Figtree" w:hAnsi="Figtree"/>
                <w:b w:val="0"/>
                <w:i w:val="0"/>
                <w:sz w:val="20"/>
              </w:rPr>
              <w:t>bl0up</w:t>
            </w:r>
          </w:p>
        </w:tc>
        <w:tc>
          <w:tcPr>
            <w:tcW w:type="dxa" w:w="1949"/>
            <w:vAlign w:val="center"/>
          </w:tcPr>
          <w:p>
            <w:pPr>
              <w:spacing w:line="276" w:lineRule="auto" w:before="0" w:after="0"/>
            </w:pPr>
            <w:r/>
            <w:r>
              <w:rPr>
                <w:rFonts w:ascii="Figtree" w:hAnsi="Figtree"/>
                <w:b w:val="0"/>
                <w:i w:val="0"/>
                <w:sz w:val="20"/>
              </w:rPr>
              <w:t>14</w:t>
            </w:r>
          </w:p>
        </w:tc>
        <w:tc>
          <w:tcPr>
            <w:tcW w:type="dxa" w:w="1949"/>
            <w:vAlign w:val="center"/>
          </w:tcPr>
          <w:p>
            <w:pPr>
              <w:spacing w:line="276" w:lineRule="auto" w:before="0" w:after="0"/>
            </w:pPr>
            <w:r/>
            <w:r>
              <w:rPr>
                <w:rFonts w:ascii="Figtree" w:hAnsi="Figtree"/>
                <w:b w:val="0"/>
                <w:i w:val="0"/>
                <w:sz w:val="20"/>
              </w:rPr>
              <w:t>docs, solidity-token-erc20/721, solidity-supplychain</w:t>
            </w:r>
          </w:p>
        </w:tc>
        <w:tc>
          <w:tcPr>
            <w:tcW w:type="dxa" w:w="1949"/>
            <w:vAlign w:val="center"/>
          </w:tcPr>
          <w:p>
            <w:pPr>
              <w:spacing w:line="276" w:lineRule="auto" w:before="0" w:after="0"/>
            </w:pPr>
            <w:r/>
            <w:r>
              <w:rPr>
                <w:rFonts w:ascii="Figtree" w:hAnsi="Figtree"/>
                <w:b w:val="0"/>
                <w:i w:val="0"/>
                <w:sz w:val="20"/>
              </w:rPr>
              <w:t>✅ Strong</w:t>
            </w:r>
          </w:p>
        </w:tc>
      </w:tr>
      <w:tr>
        <w:trPr>
          <w:trHeight w:val="425" w:hRule="atLeast"/>
        </w:trPr>
        <w:tc>
          <w:tcPr>
            <w:tcW w:type="dxa" w:w="1949"/>
            <w:vAlign w:val="center"/>
          </w:tcPr>
          <w:p>
            <w:pPr>
              <w:spacing w:line="276" w:lineRule="auto" w:before="0" w:after="0"/>
            </w:pPr>
            <w:r/>
            <w:r>
              <w:rPr>
                <w:rFonts w:ascii="Figtree" w:hAnsi="Figtree"/>
                <w:b/>
                <w:i w:val="0"/>
                <w:sz w:val="20"/>
              </w:rPr>
              <w:t>Silke Van den Broeck</w:t>
            </w:r>
          </w:p>
        </w:tc>
        <w:tc>
          <w:tcPr>
            <w:tcW w:type="dxa" w:w="1949"/>
            <w:vAlign w:val="center"/>
          </w:tcPr>
          <w:p>
            <w:pPr>
              <w:spacing w:line="276" w:lineRule="auto" w:before="0" w:after="0"/>
            </w:pPr>
            <w:r/>
            <w:r>
              <w:rPr>
                <w:rFonts w:ascii="Figtree" w:hAnsi="Figtree"/>
                <w:b w:val="0"/>
                <w:i w:val="0"/>
                <w:sz w:val="20"/>
              </w:rPr>
              <w:t>SilVdB</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docs</w:t>
            </w:r>
          </w:p>
        </w:tc>
        <w:tc>
          <w:tcPr>
            <w:tcW w:type="dxa" w:w="1949"/>
            <w:vAlign w:val="center"/>
          </w:tcPr>
          <w:p>
            <w:pPr>
              <w:spacing w:line="276" w:lineRule="auto" w:before="0" w:after="0"/>
            </w:pPr>
            <w:r/>
            <w:r>
              <w:rPr>
                <w:rFonts w:ascii="Figtree" w:hAnsi="Figtree"/>
                <w:b w:val="0"/>
                <w:i w:val="0"/>
                <w:sz w:val="20"/>
              </w:rPr>
              <w:t>⚠️ Limited</w:t>
            </w:r>
          </w:p>
        </w:tc>
      </w:tr>
    </w:tbl>
    <w:p>
      <w:pPr>
        <w:spacing w:before="0" w:after="0" w:line="120" w:lineRule="exact"/>
      </w:pPr>
    </w:p>
    <w:p>
      <w:pPr>
        <w:pStyle w:val="H3"/>
        <w:numPr>
          <w:ilvl w:val="2"/>
          <w:numId w:val="1"/>
        </w:numPr>
      </w:pPr>
      <w:r>
        <w:t>3.2 Contractors (Supporting R&amp;D — No Tax Relief Claimed)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9"/>
        <w:gridCol w:w="2199"/>
        <w:gridCol w:w="1832"/>
        <w:gridCol w:w="284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Employee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GitHub Handle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 Commits (2024)</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Primary Repositories</w:t>
            </w:r>
          </w:p>
        </w:tc>
      </w:tr>
      <w:tr>
        <w:trPr>
          <w:trHeight w:val="425" w:hRule="atLeast"/>
        </w:trPr>
        <w:tc>
          <w:tcPr>
            <w:tcW w:type="dxa" w:w="2436"/>
            <w:vAlign w:val="center"/>
          </w:tcPr>
          <w:p>
            <w:pPr>
              <w:spacing w:line="276" w:lineRule="auto" w:before="0" w:after="0"/>
            </w:pPr>
            <w:r/>
            <w:r>
              <w:rPr>
                <w:rFonts w:ascii="Figtree" w:hAnsi="Figtree"/>
                <w:b/>
                <w:i w:val="0"/>
                <w:sz w:val="20"/>
              </w:rPr>
              <w:t>Roderik van der Veer</w:t>
            </w:r>
          </w:p>
        </w:tc>
        <w:tc>
          <w:tcPr>
            <w:tcW w:type="dxa" w:w="2436"/>
            <w:vAlign w:val="center"/>
          </w:tcPr>
          <w:p>
            <w:pPr>
              <w:spacing w:line="276" w:lineRule="auto" w:before="0" w:after="0"/>
            </w:pPr>
            <w:r/>
            <w:r>
              <w:rPr>
                <w:rFonts w:ascii="Figtree" w:hAnsi="Figtree"/>
                <w:b w:val="0"/>
                <w:i w:val="0"/>
                <w:sz w:val="20"/>
              </w:rPr>
              <w:t>roderik@settlemint.com</w:t>
            </w:r>
          </w:p>
        </w:tc>
        <w:tc>
          <w:tcPr>
            <w:tcW w:type="dxa" w:w="2436"/>
            <w:vAlign w:val="center"/>
          </w:tcPr>
          <w:p>
            <w:pPr>
              <w:spacing w:line="276" w:lineRule="auto" w:before="0" w:after="0"/>
            </w:pPr>
            <w:r/>
            <w:r>
              <w:rPr>
                <w:rFonts w:ascii="Figtree" w:hAnsi="Figtree"/>
                <w:b w:val="0"/>
                <w:i w:val="0"/>
                <w:sz w:val="20"/>
              </w:rPr>
              <w:t>712</w:t>
            </w:r>
          </w:p>
        </w:tc>
        <w:tc>
          <w:tcPr>
            <w:tcW w:type="dxa" w:w="2436"/>
            <w:vAlign w:val="center"/>
          </w:tcPr>
          <w:p>
            <w:pPr>
              <w:spacing w:line="276" w:lineRule="auto" w:before="0" w:after="0"/>
            </w:pPr>
            <w:r/>
            <w:r>
              <w:rPr>
                <w:rFonts w:ascii="Figtree" w:hAnsi="Figtree"/>
                <w:b w:val="0"/>
                <w:i w:val="0"/>
                <w:sz w:val="20"/>
              </w:rPr>
              <w:t>dalp, sdk, docs, solidity repos</w:t>
            </w:r>
          </w:p>
        </w:tc>
      </w:tr>
      <w:tr>
        <w:trPr>
          <w:trHeight w:val="425" w:hRule="atLeast"/>
        </w:trPr>
        <w:tc>
          <w:tcPr>
            <w:tcW w:type="dxa" w:w="2436"/>
            <w:vAlign w:val="center"/>
          </w:tcPr>
          <w:p>
            <w:pPr>
              <w:spacing w:line="276" w:lineRule="auto" w:before="0" w:after="0"/>
            </w:pPr>
            <w:r/>
            <w:r>
              <w:rPr>
                <w:rFonts w:ascii="Figtree" w:hAnsi="Figtree"/>
                <w:b/>
                <w:i w:val="0"/>
                <w:sz w:val="20"/>
              </w:rPr>
              <w:t>Jan Bevers</w:t>
            </w:r>
          </w:p>
        </w:tc>
        <w:tc>
          <w:tcPr>
            <w:tcW w:type="dxa" w:w="2436"/>
            <w:vAlign w:val="center"/>
          </w:tcPr>
          <w:p>
            <w:pPr>
              <w:spacing w:line="276" w:lineRule="auto" w:before="0" w:after="0"/>
            </w:pPr>
            <w:r/>
            <w:r>
              <w:rPr>
                <w:rFonts w:ascii="Figtree" w:hAnsi="Figtree"/>
                <w:b w:val="0"/>
                <w:i w:val="0"/>
                <w:sz w:val="20"/>
              </w:rPr>
              <w:t>janb87</w:t>
            </w:r>
          </w:p>
        </w:tc>
        <w:tc>
          <w:tcPr>
            <w:tcW w:type="dxa" w:w="2436"/>
            <w:vAlign w:val="center"/>
          </w:tcPr>
          <w:p>
            <w:pPr>
              <w:spacing w:line="276" w:lineRule="auto" w:before="0" w:after="0"/>
            </w:pPr>
            <w:r/>
            <w:r>
              <w:rPr>
                <w:rFonts w:ascii="Figtree" w:hAnsi="Figtree"/>
                <w:b w:val="0"/>
                <w:i w:val="0"/>
                <w:sz w:val="20"/>
              </w:rPr>
              <w:t>43</w:t>
            </w:r>
          </w:p>
        </w:tc>
        <w:tc>
          <w:tcPr>
            <w:tcW w:type="dxa" w:w="2436"/>
            <w:vAlign w:val="center"/>
          </w:tcPr>
          <w:p>
            <w:pPr>
              <w:spacing w:line="276" w:lineRule="auto" w:before="0" w:after="0"/>
            </w:pPr>
            <w:r/>
            <w:r>
              <w:rPr>
                <w:rFonts w:ascii="Figtree" w:hAnsi="Figtree"/>
                <w:b w:val="0"/>
                <w:i w:val="0"/>
                <w:sz w:val="20"/>
              </w:rPr>
              <w:t>dalp, sdk</w:t>
            </w:r>
          </w:p>
        </w:tc>
      </w:tr>
      <w:tr>
        <w:trPr>
          <w:trHeight w:val="425" w:hRule="atLeast"/>
        </w:trPr>
        <w:tc>
          <w:tcPr>
            <w:tcW w:type="dxa" w:w="2436"/>
            <w:vAlign w:val="center"/>
          </w:tcPr>
          <w:p>
            <w:pPr>
              <w:spacing w:line="276" w:lineRule="auto" w:before="0" w:after="0"/>
            </w:pPr>
            <w:r/>
            <w:r>
              <w:rPr>
                <w:rFonts w:ascii="Figtree" w:hAnsi="Figtree"/>
                <w:b/>
                <w:i w:val="0"/>
                <w:sz w:val="20"/>
              </w:rPr>
              <w:t>Oleksandr Hrab</w:t>
            </w:r>
          </w:p>
        </w:tc>
        <w:tc>
          <w:tcPr>
            <w:tcW w:type="dxa" w:w="2436"/>
            <w:vAlign w:val="center"/>
          </w:tcPr>
          <w:p>
            <w:pPr>
              <w:spacing w:line="276" w:lineRule="auto" w:before="0" w:after="0"/>
            </w:pPr>
            <w:r/>
            <w:r>
              <w:rPr>
                <w:rFonts w:ascii="Figtree" w:hAnsi="Figtree"/>
                <w:b w:val="0"/>
                <w:i w:val="0"/>
                <w:sz w:val="20"/>
              </w:rPr>
              <w:t>oleksandr@settlemint.com</w:t>
            </w:r>
          </w:p>
        </w:tc>
        <w:tc>
          <w:tcPr>
            <w:tcW w:type="dxa" w:w="2436"/>
            <w:vAlign w:val="center"/>
          </w:tcPr>
          <w:p>
            <w:pPr>
              <w:spacing w:line="276" w:lineRule="auto" w:before="0" w:after="0"/>
            </w:pPr>
            <w:r/>
            <w:r>
              <w:rPr>
                <w:rFonts w:ascii="Figtree" w:hAnsi="Figtree"/>
                <w:b w:val="0"/>
                <w:i w:val="0"/>
                <w:sz w:val="20"/>
              </w:rPr>
              <w:t>22</w:t>
            </w:r>
          </w:p>
        </w:tc>
        <w:tc>
          <w:tcPr>
            <w:tcW w:type="dxa" w:w="2436"/>
            <w:vAlign w:val="center"/>
          </w:tcPr>
          <w:p>
            <w:pPr>
              <w:spacing w:line="276" w:lineRule="auto" w:before="0" w:after="0"/>
            </w:pPr>
            <w:r/>
            <w:r>
              <w:rPr>
                <w:rFonts w:ascii="Figtree" w:hAnsi="Figtree"/>
                <w:b w:val="0"/>
                <w:i w:val="0"/>
                <w:sz w:val="20"/>
              </w:rPr>
              <w:t>btp-on-gcp, docs</w:t>
            </w:r>
          </w:p>
        </w:tc>
      </w:tr>
      <w:tr>
        <w:trPr>
          <w:trHeight w:val="425" w:hRule="atLeast"/>
        </w:trPr>
        <w:tc>
          <w:tcPr>
            <w:tcW w:type="dxa" w:w="2436"/>
            <w:vAlign w:val="center"/>
          </w:tcPr>
          <w:p>
            <w:pPr>
              <w:spacing w:line="276" w:lineRule="auto" w:before="0" w:after="0"/>
            </w:pPr>
            <w:r/>
            <w:r>
              <w:rPr>
                <w:rFonts w:ascii="Figtree" w:hAnsi="Figtree"/>
                <w:b/>
                <w:i w:val="0"/>
                <w:sz w:val="20"/>
              </w:rPr>
              <w:t>Patrick Mualaba</w:t>
            </w:r>
          </w:p>
        </w:tc>
        <w:tc>
          <w:tcPr>
            <w:tcW w:type="dxa" w:w="2436"/>
            <w:vAlign w:val="center"/>
          </w:tcPr>
          <w:p>
            <w:pPr>
              <w:spacing w:line="276" w:lineRule="auto" w:before="0" w:after="0"/>
            </w:pPr>
            <w:r/>
            <w:r>
              <w:rPr>
                <w:rFonts w:ascii="Figtree" w:hAnsi="Figtree"/>
                <w:b w:val="0"/>
                <w:i w:val="0"/>
                <w:sz w:val="20"/>
              </w:rPr>
              <w:t>pmualaba</w:t>
            </w:r>
          </w:p>
        </w:tc>
        <w:tc>
          <w:tcPr>
            <w:tcW w:type="dxa" w:w="2436"/>
            <w:vAlign w:val="center"/>
          </w:tcPr>
          <w:p>
            <w:pPr>
              <w:spacing w:line="276" w:lineRule="auto" w:before="0" w:after="0"/>
            </w:pPr>
            <w:r/>
            <w:r>
              <w:rPr>
                <w:rFonts w:ascii="Figtree" w:hAnsi="Figtree"/>
                <w:b w:val="0"/>
                <w:i w:val="0"/>
                <w:sz w:val="20"/>
              </w:rPr>
              <w:t>41</w:t>
            </w:r>
          </w:p>
        </w:tc>
        <w:tc>
          <w:tcPr>
            <w:tcW w:type="dxa" w:w="2436"/>
            <w:vAlign w:val="center"/>
          </w:tcPr>
          <w:p>
            <w:pPr>
              <w:spacing w:line="276" w:lineRule="auto" w:before="0" w:after="0"/>
            </w:pPr>
            <w:r/>
            <w:r>
              <w:rPr>
                <w:rFonts w:ascii="Figtree" w:hAnsi="Figtree"/>
                <w:b w:val="0"/>
                <w:i w:val="0"/>
                <w:sz w:val="20"/>
              </w:rPr>
              <w:t>dalp, docs</w:t>
            </w:r>
          </w:p>
        </w:tc>
      </w:tr>
    </w:tbl>
    <w:p>
      <w:pPr>
        <w:spacing w:before="0" w:after="0" w:line="120" w:lineRule="exact"/>
      </w:pPr>
    </w:p>
    <w:p>
      <w:r>
        <w:br w:type="page"/>
      </w:r>
    </w:p>
    <w:p>
      <w:pPr>
        <w:pStyle w:val="H2"/>
        <w:numPr>
          <w:ilvl w:val="1"/>
          <w:numId w:val="1"/>
        </w:numPr>
      </w:pPr>
      <w:r>
        <w:t>4. Detailed Commit Activity</w:t>
      </w:r>
    </w:p>
    <w:p>
      <w:pPr>
        <w:pStyle w:val="H3"/>
        <w:numPr>
          <w:ilvl w:val="2"/>
          <w:numId w:val="1"/>
        </w:numPr>
      </w:pPr>
      <w:r>
        <w:t>4.1 Daan Poron — 26 Commits</w:t>
      </w:r>
    </w:p>
    <w:p>
      <w:r>
        <w:rPr>
          <w:rFonts w:ascii="Figtree" w:hAnsi="Figtree"/>
          <w:b/>
          <w:i w:val="0"/>
          <w:sz w:val="22"/>
        </w:rPr>
        <w:t>Repository:</w:t>
      </w:r>
      <w:r>
        <w:rPr>
          <w:rFonts w:ascii="Figtree" w:hAnsi="Figtree"/>
          <w:b w:val="0"/>
          <w:i w:val="0"/>
          <w:sz w:val="22"/>
        </w:rPr>
        <w:t xml:space="preserve"> settlemint/btp-chaincode-lifecycle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4"/>
        <w:gridCol w:w="71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Date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 Message</w:t>
            </w:r>
          </w:p>
        </w:tc>
      </w:tr>
      <w:tr>
        <w:trPr>
          <w:trHeight w:val="425" w:hRule="atLeast"/>
        </w:trPr>
        <w:tc>
          <w:tcPr>
            <w:tcW w:type="dxa" w:w="4873"/>
            <w:vAlign w:val="center"/>
          </w:tcPr>
          <w:p>
            <w:pPr>
              <w:spacing w:line="276" w:lineRule="auto" w:before="0" w:after="0"/>
            </w:pPr>
            <w:r/>
            <w:r>
              <w:rPr>
                <w:rFonts w:ascii="Figtree" w:hAnsi="Figtree"/>
                <w:b w:val="0"/>
                <w:i w:val="0"/>
                <w:sz w:val="20"/>
              </w:rPr>
              <w:t>2024-05-07</w:t>
            </w:r>
          </w:p>
        </w:tc>
        <w:tc>
          <w:tcPr>
            <w:tcW w:type="dxa" w:w="4873"/>
            <w:vAlign w:val="center"/>
          </w:tcPr>
          <w:p>
            <w:pPr>
              <w:spacing w:line="276" w:lineRule="auto" w:before="0" w:after="0"/>
            </w:pPr>
            <w:r/>
            <w:r>
              <w:rPr>
                <w:rFonts w:ascii="Figtree" w:hAnsi="Figtree"/>
                <w:b w:val="0"/>
                <w:i w:val="0"/>
                <w:sz w:val="20"/>
              </w:rPr>
              <w:t>fix: issue with parsing arguments in queryChaincode</w:t>
            </w:r>
          </w:p>
        </w:tc>
      </w:tr>
      <w:tr>
        <w:trPr>
          <w:trHeight w:val="425" w:hRule="atLeast"/>
        </w:trPr>
        <w:tc>
          <w:tcPr>
            <w:tcW w:type="dxa" w:w="4873"/>
            <w:vAlign w:val="center"/>
          </w:tcPr>
          <w:p>
            <w:pPr>
              <w:spacing w:line="276" w:lineRule="auto" w:before="0" w:after="0"/>
            </w:pPr>
            <w:r/>
            <w:r>
              <w:rPr>
                <w:rFonts w:ascii="Figtree" w:hAnsi="Figtree"/>
                <w:b w:val="0"/>
                <w:i w:val="0"/>
                <w:sz w:val="20"/>
              </w:rPr>
              <w:t>2024-05-06</w:t>
            </w:r>
          </w:p>
        </w:tc>
        <w:tc>
          <w:tcPr>
            <w:tcW w:type="dxa" w:w="4873"/>
            <w:vAlign w:val="center"/>
          </w:tcPr>
          <w:p>
            <w:pPr>
              <w:spacing w:line="276" w:lineRule="auto" w:before="0" w:after="0"/>
            </w:pPr>
            <w:r/>
            <w:r>
              <w:rPr>
                <w:rFonts w:ascii="Figtree" w:hAnsi="Figtree"/>
                <w:b w:val="0"/>
                <w:i w:val="0"/>
                <w:sz w:val="20"/>
              </w:rPr>
              <w:t>feat: don't init when there is no init function</w:t>
            </w:r>
          </w:p>
        </w:tc>
      </w:tr>
      <w:tr>
        <w:trPr>
          <w:trHeight w:val="425" w:hRule="atLeast"/>
        </w:trPr>
        <w:tc>
          <w:tcPr>
            <w:tcW w:type="dxa" w:w="4873"/>
            <w:vAlign w:val="center"/>
          </w:tcPr>
          <w:p>
            <w:pPr>
              <w:spacing w:line="276" w:lineRule="auto" w:before="0" w:after="0"/>
            </w:pPr>
            <w:r/>
            <w:r>
              <w:rPr>
                <w:rFonts w:ascii="Figtree" w:hAnsi="Figtree"/>
                <w:b w:val="0"/>
                <w:i w:val="0"/>
                <w:sz w:val="20"/>
              </w:rPr>
              <w:t>2024-05-03</w:t>
            </w:r>
          </w:p>
        </w:tc>
        <w:tc>
          <w:tcPr>
            <w:tcW w:type="dxa" w:w="4873"/>
            <w:vAlign w:val="center"/>
          </w:tcPr>
          <w:p>
            <w:pPr>
              <w:spacing w:line="276" w:lineRule="auto" w:before="0" w:after="0"/>
            </w:pPr>
            <w:r/>
            <w:r>
              <w:rPr>
                <w:rFonts w:ascii="Figtree" w:hAnsi="Figtree"/>
                <w:b w:val="0"/>
                <w:i w:val="0"/>
                <w:sz w:val="20"/>
              </w:rPr>
              <w:t>fix: set json header for postWithFailOnError</w:t>
            </w:r>
          </w:p>
        </w:tc>
      </w:tr>
      <w:tr>
        <w:trPr>
          <w:trHeight w:val="425" w:hRule="atLeast"/>
        </w:trPr>
        <w:tc>
          <w:tcPr>
            <w:tcW w:type="dxa" w:w="4873"/>
            <w:vAlign w:val="center"/>
          </w:tcPr>
          <w:p>
            <w:pPr>
              <w:spacing w:line="276" w:lineRule="auto" w:before="0" w:after="0"/>
            </w:pPr>
            <w:r/>
            <w:r>
              <w:rPr>
                <w:rFonts w:ascii="Figtree" w:hAnsi="Figtree"/>
                <w:b w:val="0"/>
                <w:i w:val="0"/>
                <w:sz w:val="20"/>
              </w:rPr>
              <w:t>2024-05-03</w:t>
            </w:r>
          </w:p>
        </w:tc>
        <w:tc>
          <w:tcPr>
            <w:tcW w:type="dxa" w:w="4873"/>
            <w:vAlign w:val="center"/>
          </w:tcPr>
          <w:p>
            <w:pPr>
              <w:spacing w:line="276" w:lineRule="auto" w:before="0" w:after="0"/>
            </w:pPr>
            <w:r/>
            <w:r>
              <w:rPr>
                <w:rFonts w:ascii="Figtree" w:hAnsi="Figtree"/>
                <w:b w:val="0"/>
                <w:i w:val="0"/>
                <w:sz w:val="20"/>
              </w:rPr>
              <w:t>fix: commit should fail on error</w:t>
            </w:r>
          </w:p>
        </w:tc>
      </w:tr>
      <w:tr>
        <w:trPr>
          <w:trHeight w:val="425" w:hRule="atLeast"/>
        </w:trPr>
        <w:tc>
          <w:tcPr>
            <w:tcW w:type="dxa" w:w="4873"/>
            <w:vAlign w:val="center"/>
          </w:tcPr>
          <w:p>
            <w:pPr>
              <w:spacing w:line="276" w:lineRule="auto" w:before="0" w:after="0"/>
            </w:pPr>
            <w:r/>
            <w:r>
              <w:rPr>
                <w:rFonts w:ascii="Figtree" w:hAnsi="Figtree"/>
                <w:b w:val="0"/>
                <w:i w:val="0"/>
                <w:sz w:val="20"/>
              </w:rPr>
              <w:t>2024-05-02</w:t>
            </w:r>
          </w:p>
        </w:tc>
        <w:tc>
          <w:tcPr>
            <w:tcW w:type="dxa" w:w="4873"/>
            <w:vAlign w:val="center"/>
          </w:tcPr>
          <w:p>
            <w:pPr>
              <w:spacing w:line="276" w:lineRule="auto" w:before="0" w:after="0"/>
            </w:pPr>
            <w:r/>
            <w:r>
              <w:rPr>
                <w:rFonts w:ascii="Figtree" w:hAnsi="Figtree"/>
                <w:b w:val="0"/>
                <w:i w:val="0"/>
                <w:sz w:val="20"/>
              </w:rPr>
              <w:t>fix: collection config should remove new lines</w:t>
            </w:r>
          </w:p>
        </w:tc>
      </w:tr>
      <w:tr>
        <w:trPr>
          <w:trHeight w:val="425" w:hRule="atLeast"/>
        </w:trPr>
        <w:tc>
          <w:tcPr>
            <w:tcW w:type="dxa" w:w="4873"/>
            <w:vAlign w:val="center"/>
          </w:tcPr>
          <w:p>
            <w:pPr>
              <w:spacing w:line="276" w:lineRule="auto" w:before="0" w:after="0"/>
            </w:pPr>
            <w:r/>
            <w:r>
              <w:rPr>
                <w:rFonts w:ascii="Figtree" w:hAnsi="Figtree"/>
                <w:b w:val="0"/>
                <w:i w:val="0"/>
                <w:sz w:val="20"/>
              </w:rPr>
              <w:t>2024-05-02</w:t>
            </w:r>
          </w:p>
        </w:tc>
        <w:tc>
          <w:tcPr>
            <w:tcW w:type="dxa" w:w="4873"/>
            <w:vAlign w:val="center"/>
          </w:tcPr>
          <w:p>
            <w:pPr>
              <w:spacing w:line="276" w:lineRule="auto" w:before="0" w:after="0"/>
            </w:pPr>
            <w:r/>
            <w:r>
              <w:rPr>
                <w:rFonts w:ascii="Figtree" w:hAnsi="Figtree"/>
                <w:b w:val="0"/>
                <w:i w:val="0"/>
                <w:sz w:val="20"/>
              </w:rPr>
              <w:t>fix: typo in signature policy</w:t>
            </w:r>
          </w:p>
        </w:tc>
      </w:tr>
      <w:tr>
        <w:trPr>
          <w:trHeight w:val="425" w:hRule="atLeast"/>
        </w:trPr>
        <w:tc>
          <w:tcPr>
            <w:tcW w:type="dxa" w:w="4873"/>
            <w:vAlign w:val="center"/>
          </w:tcPr>
          <w:p>
            <w:pPr>
              <w:spacing w:line="276" w:lineRule="auto" w:before="0" w:after="0"/>
            </w:pPr>
            <w:r/>
            <w:r>
              <w:rPr>
                <w:rFonts w:ascii="Figtree" w:hAnsi="Figtree"/>
                <w:b w:val="0"/>
                <w:i w:val="0"/>
                <w:sz w:val="20"/>
              </w:rPr>
              <w:t>2024-05-02</w:t>
            </w:r>
          </w:p>
        </w:tc>
        <w:tc>
          <w:tcPr>
            <w:tcW w:type="dxa" w:w="4873"/>
            <w:vAlign w:val="center"/>
          </w:tcPr>
          <w:p>
            <w:pPr>
              <w:spacing w:line="276" w:lineRule="auto" w:before="0" w:after="0"/>
            </w:pPr>
            <w:r/>
            <w:r>
              <w:rPr>
                <w:rFonts w:ascii="Figtree" w:hAnsi="Figtree"/>
                <w:b w:val="0"/>
                <w:i w:val="0"/>
                <w:sz w:val="20"/>
              </w:rPr>
              <w:t>feat: add signature policy configuration for chaincode</w:t>
            </w:r>
          </w:p>
        </w:tc>
      </w:tr>
      <w:tr>
        <w:trPr>
          <w:trHeight w:val="425" w:hRule="atLeast"/>
        </w:trPr>
        <w:tc>
          <w:tcPr>
            <w:tcW w:type="dxa" w:w="4873"/>
            <w:vAlign w:val="center"/>
          </w:tcPr>
          <w:p>
            <w:pPr>
              <w:spacing w:line="276" w:lineRule="auto" w:before="0" w:after="0"/>
            </w:pPr>
            <w:r/>
            <w:r>
              <w:rPr>
                <w:rFonts w:ascii="Figtree" w:hAnsi="Figtree"/>
                <w:b w:val="0"/>
                <w:i w:val="0"/>
                <w:sz w:val="20"/>
              </w:rPr>
              <w:t>2024-04-23</w:t>
            </w:r>
          </w:p>
        </w:tc>
        <w:tc>
          <w:tcPr>
            <w:tcW w:type="dxa" w:w="4873"/>
            <w:vAlign w:val="center"/>
          </w:tcPr>
          <w:p>
            <w:pPr>
              <w:spacing w:line="276" w:lineRule="auto" w:before="0" w:after="0"/>
            </w:pPr>
            <w:r/>
            <w:r>
              <w:rPr>
                <w:rFonts w:ascii="Figtree" w:hAnsi="Figtree"/>
                <w:b w:val="0"/>
                <w:i w:val="0"/>
                <w:sz w:val="20"/>
              </w:rPr>
              <w:t>fix: error check install</w:t>
            </w:r>
          </w:p>
        </w:tc>
      </w:tr>
      <w:tr>
        <w:trPr>
          <w:trHeight w:val="425" w:hRule="atLeast"/>
        </w:trPr>
        <w:tc>
          <w:tcPr>
            <w:tcW w:type="dxa" w:w="4873"/>
            <w:vAlign w:val="center"/>
          </w:tcPr>
          <w:p>
            <w:pPr>
              <w:spacing w:line="276" w:lineRule="auto" w:before="0" w:after="0"/>
            </w:pPr>
            <w:r/>
            <w:r>
              <w:rPr>
                <w:rFonts w:ascii="Figtree" w:hAnsi="Figtree"/>
                <w:b w:val="0"/>
                <w:i w:val="0"/>
                <w:sz w:val="20"/>
              </w:rPr>
              <w:t>2024-04-23</w:t>
            </w:r>
          </w:p>
        </w:tc>
        <w:tc>
          <w:tcPr>
            <w:tcW w:type="dxa" w:w="4873"/>
            <w:vAlign w:val="center"/>
          </w:tcPr>
          <w:p>
            <w:pPr>
              <w:spacing w:line="276" w:lineRule="auto" w:before="0" w:after="0"/>
            </w:pPr>
            <w:r/>
            <w:r>
              <w:rPr>
                <w:rFonts w:ascii="Figtree" w:hAnsi="Figtree"/>
                <w:b w:val="0"/>
                <w:i w:val="0"/>
                <w:sz w:val="20"/>
              </w:rPr>
              <w:t>fix: ignore timeout errors when installing</w:t>
            </w:r>
          </w:p>
        </w:tc>
      </w:tr>
      <w:tr>
        <w:trPr>
          <w:trHeight w:val="425" w:hRule="atLeast"/>
        </w:trPr>
        <w:tc>
          <w:tcPr>
            <w:tcW w:type="dxa" w:w="4873"/>
            <w:vAlign w:val="center"/>
          </w:tcPr>
          <w:p>
            <w:pPr>
              <w:spacing w:line="276" w:lineRule="auto" w:before="0" w:after="0"/>
            </w:pPr>
            <w:r/>
            <w:r>
              <w:rPr>
                <w:rFonts w:ascii="Figtree" w:hAnsi="Figtree"/>
                <w:b w:val="0"/>
                <w:i w:val="0"/>
                <w:sz w:val="20"/>
              </w:rPr>
              <w:t>2024-04-23</w:t>
            </w:r>
          </w:p>
        </w:tc>
        <w:tc>
          <w:tcPr>
            <w:tcW w:type="dxa" w:w="4873"/>
            <w:vAlign w:val="center"/>
          </w:tcPr>
          <w:p>
            <w:pPr>
              <w:spacing w:line="276" w:lineRule="auto" w:before="0" w:after="0"/>
            </w:pPr>
            <w:r/>
            <w:r>
              <w:rPr>
                <w:rFonts w:ascii="Figtree" w:hAnsi="Figtree"/>
                <w:b w:val="0"/>
                <w:i w:val="0"/>
                <w:sz w:val="20"/>
              </w:rPr>
              <w:t>feat: allow go chaincode as well</w:t>
            </w:r>
          </w:p>
        </w:tc>
      </w:tr>
      <w:tr>
        <w:trPr>
          <w:trHeight w:val="425" w:hRule="atLeast"/>
        </w:trPr>
        <w:tc>
          <w:tcPr>
            <w:tcW w:type="dxa" w:w="4873"/>
            <w:vAlign w:val="center"/>
          </w:tcPr>
          <w:p>
            <w:pPr>
              <w:spacing w:line="276" w:lineRule="auto" w:before="0" w:after="0"/>
            </w:pPr>
            <w:r/>
            <w:r>
              <w:rPr>
                <w:rFonts w:ascii="Figtree" w:hAnsi="Figtree"/>
                <w:b w:val="0"/>
                <w:i w:val="0"/>
                <w:sz w:val="20"/>
              </w:rPr>
              <w:t>2024-04-22</w:t>
            </w:r>
          </w:p>
        </w:tc>
        <w:tc>
          <w:tcPr>
            <w:tcW w:type="dxa" w:w="4873"/>
            <w:vAlign w:val="center"/>
          </w:tcPr>
          <w:p>
            <w:pPr>
              <w:spacing w:line="276" w:lineRule="auto" w:before="0" w:after="0"/>
            </w:pPr>
            <w:r/>
            <w:r>
              <w:rPr>
                <w:rFonts w:ascii="Figtree" w:hAnsi="Figtree"/>
                <w:b w:val="0"/>
                <w:i w:val="0"/>
                <w:sz w:val="20"/>
              </w:rPr>
              <w:t>feat: extend invoke to allow for transient data</w:t>
            </w:r>
          </w:p>
        </w:tc>
      </w:tr>
      <w:tr>
        <w:trPr>
          <w:trHeight w:val="425" w:hRule="atLeast"/>
        </w:trPr>
        <w:tc>
          <w:tcPr>
            <w:tcW w:type="dxa" w:w="4873"/>
            <w:vAlign w:val="center"/>
          </w:tcPr>
          <w:p>
            <w:pPr>
              <w:spacing w:line="276" w:lineRule="auto" w:before="0" w:after="0"/>
            </w:pPr>
            <w:r/>
            <w:r>
              <w:rPr>
                <w:rFonts w:ascii="Figtree" w:hAnsi="Figtree"/>
                <w:b w:val="0"/>
                <w:i w:val="0"/>
                <w:sz w:val="20"/>
              </w:rPr>
              <w:t>2024-04-22</w:t>
            </w:r>
          </w:p>
        </w:tc>
        <w:tc>
          <w:tcPr>
            <w:tcW w:type="dxa" w:w="4873"/>
            <w:vAlign w:val="center"/>
          </w:tcPr>
          <w:p>
            <w:pPr>
              <w:spacing w:line="276" w:lineRule="auto" w:before="0" w:after="0"/>
            </w:pPr>
            <w:r/>
            <w:r>
              <w:rPr>
                <w:rFonts w:ascii="Figtree" w:hAnsi="Figtree"/>
                <w:b w:val="0"/>
                <w:i w:val="0"/>
                <w:sz w:val="20"/>
              </w:rPr>
              <w:t>fix: quote inputs, to allow spaces etc.</w:t>
            </w:r>
          </w:p>
        </w:tc>
      </w:tr>
      <w:tr>
        <w:trPr>
          <w:trHeight w:val="425" w:hRule="atLeast"/>
        </w:trPr>
        <w:tc>
          <w:tcPr>
            <w:tcW w:type="dxa" w:w="4873"/>
            <w:vAlign w:val="center"/>
          </w:tcPr>
          <w:p>
            <w:pPr>
              <w:spacing w:line="276" w:lineRule="auto" w:before="0" w:after="0"/>
            </w:pPr>
            <w:r/>
            <w:r>
              <w:rPr>
                <w:rFonts w:ascii="Figtree" w:hAnsi="Figtree"/>
                <w:b w:val="0"/>
                <w:i w:val="0"/>
                <w:sz w:val="20"/>
              </w:rPr>
              <w:t>2024-04-19</w:t>
            </w:r>
          </w:p>
        </w:tc>
        <w:tc>
          <w:tcPr>
            <w:tcW w:type="dxa" w:w="4873"/>
            <w:vAlign w:val="center"/>
          </w:tcPr>
          <w:p>
            <w:pPr>
              <w:spacing w:line="276" w:lineRule="auto" w:before="0" w:after="0"/>
            </w:pPr>
            <w:r/>
            <w:r>
              <w:rPr>
                <w:rFonts w:ascii="Figtree" w:hAnsi="Figtree"/>
                <w:b w:val="0"/>
                <w:i w:val="0"/>
                <w:sz w:val="20"/>
              </w:rPr>
              <w:t>fix: allow to query node channels</w:t>
            </w:r>
          </w:p>
        </w:tc>
      </w:tr>
      <w:tr>
        <w:trPr>
          <w:trHeight w:val="425" w:hRule="atLeast"/>
        </w:trPr>
        <w:tc>
          <w:tcPr>
            <w:tcW w:type="dxa" w:w="4873"/>
            <w:vAlign w:val="center"/>
          </w:tcPr>
          <w:p>
            <w:pPr>
              <w:spacing w:line="276" w:lineRule="auto" w:before="0" w:after="0"/>
            </w:pPr>
            <w:r/>
            <w:r>
              <w:rPr>
                <w:rFonts w:ascii="Figtree" w:hAnsi="Figtree"/>
                <w:b w:val="0"/>
                <w:i w:val="0"/>
                <w:sz w:val="20"/>
              </w:rPr>
              <w:t>2024-04-19</w:t>
            </w:r>
          </w:p>
        </w:tc>
        <w:tc>
          <w:tcPr>
            <w:tcW w:type="dxa" w:w="4873"/>
            <w:vAlign w:val="center"/>
          </w:tcPr>
          <w:p>
            <w:pPr>
              <w:spacing w:line="276" w:lineRule="auto" w:before="0" w:after="0"/>
            </w:pPr>
            <w:r/>
            <w:r>
              <w:rPr>
                <w:rFonts w:ascii="Figtree" w:hAnsi="Figtree"/>
                <w:b w:val="0"/>
                <w:i w:val="0"/>
                <w:sz w:val="20"/>
              </w:rPr>
              <w:t>fix: make invoke work again</w:t>
            </w:r>
          </w:p>
        </w:tc>
      </w:tr>
      <w:tr>
        <w:trPr>
          <w:trHeight w:val="425" w:hRule="atLeast"/>
        </w:trPr>
        <w:tc>
          <w:tcPr>
            <w:tcW w:type="dxa" w:w="4873"/>
            <w:vAlign w:val="center"/>
          </w:tcPr>
          <w:p>
            <w:pPr>
              <w:spacing w:line="276" w:lineRule="auto" w:before="0" w:after="0"/>
            </w:pPr>
            <w:r/>
            <w:r>
              <w:rPr>
                <w:rFonts w:ascii="Figtree" w:hAnsi="Figtree"/>
                <w:b w:val="0"/>
                <w:i w:val="0"/>
                <w:sz w:val="20"/>
              </w:rPr>
              <w:t>2024-04-19</w:t>
            </w:r>
          </w:p>
        </w:tc>
        <w:tc>
          <w:tcPr>
            <w:tcW w:type="dxa" w:w="4873"/>
            <w:vAlign w:val="center"/>
          </w:tcPr>
          <w:p>
            <w:pPr>
              <w:spacing w:line="276" w:lineRule="auto" w:before="0" w:after="0"/>
            </w:pPr>
            <w:r/>
            <w:r>
              <w:rPr>
                <w:rFonts w:ascii="Figtree" w:hAnsi="Figtree"/>
                <w:b w:val="0"/>
                <w:i w:val="0"/>
                <w:sz w:val="20"/>
              </w:rPr>
              <w:t>feat: refactor to allow for specifying channel</w:t>
            </w:r>
          </w:p>
        </w:tc>
      </w:tr>
      <w:tr>
        <w:trPr>
          <w:trHeight w:val="425" w:hRule="atLeast"/>
        </w:trPr>
        <w:tc>
          <w:tcPr>
            <w:tcW w:type="dxa" w:w="4873"/>
            <w:vAlign w:val="center"/>
          </w:tcPr>
          <w:p>
            <w:pPr>
              <w:spacing w:line="276" w:lineRule="auto" w:before="0" w:after="0"/>
            </w:pPr>
            <w:r/>
            <w:r>
              <w:rPr>
                <w:rFonts w:ascii="Figtree" w:hAnsi="Figtree"/>
                <w:b w:val="0"/>
                <w:i w:val="0"/>
                <w:sz w:val="20"/>
              </w:rPr>
              <w:t>2024-04-17</w:t>
            </w:r>
          </w:p>
        </w:tc>
        <w:tc>
          <w:tcPr>
            <w:tcW w:type="dxa" w:w="4873"/>
            <w:vAlign w:val="center"/>
          </w:tcPr>
          <w:p>
            <w:pPr>
              <w:spacing w:line="276" w:lineRule="auto" w:before="0" w:after="0"/>
            </w:pPr>
            <w:r/>
            <w:r>
              <w:rPr>
                <w:rFonts w:ascii="Figtree" w:hAnsi="Figtree"/>
                <w:b w:val="0"/>
                <w:i w:val="0"/>
                <w:sz w:val="20"/>
              </w:rPr>
              <w:t>fix: listing nodes + also print mspId</w:t>
            </w:r>
          </w:p>
        </w:tc>
      </w:tr>
      <w:tr>
        <w:trPr>
          <w:trHeight w:val="425" w:hRule="atLeast"/>
        </w:trPr>
        <w:tc>
          <w:tcPr>
            <w:tcW w:type="dxa" w:w="4873"/>
            <w:vAlign w:val="center"/>
          </w:tcPr>
          <w:p>
            <w:pPr>
              <w:spacing w:line="276" w:lineRule="auto" w:before="0" w:after="0"/>
            </w:pPr>
            <w:r/>
            <w:r>
              <w:rPr>
                <w:rFonts w:ascii="Figtree" w:hAnsi="Figtree"/>
                <w:b w:val="0"/>
                <w:i w:val="0"/>
                <w:sz w:val="20"/>
              </w:rPr>
              <w:t>2024-04-16</w:t>
            </w:r>
          </w:p>
        </w:tc>
        <w:tc>
          <w:tcPr>
            <w:tcW w:type="dxa" w:w="4873"/>
            <w:vAlign w:val="center"/>
          </w:tcPr>
          <w:p>
            <w:pPr>
              <w:spacing w:line="276" w:lineRule="auto" w:before="0" w:after="0"/>
            </w:pPr>
            <w:r/>
            <w:r>
              <w:rPr>
                <w:rFonts w:ascii="Figtree" w:hAnsi="Figtree"/>
                <w:b w:val="0"/>
                <w:i w:val="0"/>
                <w:sz w:val="20"/>
              </w:rPr>
              <w:t>feat: adding/removing peers/orderers from channel</w:t>
            </w:r>
          </w:p>
        </w:tc>
      </w:tr>
      <w:tr>
        <w:trPr>
          <w:trHeight w:val="425" w:hRule="atLeast"/>
        </w:trPr>
        <w:tc>
          <w:tcPr>
            <w:tcW w:type="dxa" w:w="4873"/>
            <w:vAlign w:val="center"/>
          </w:tcPr>
          <w:p>
            <w:pPr>
              <w:spacing w:line="276" w:lineRule="auto" w:before="0" w:after="0"/>
            </w:pPr>
            <w:r/>
            <w:r>
              <w:rPr>
                <w:rFonts w:ascii="Figtree" w:hAnsi="Figtree"/>
                <w:b w:val="0"/>
                <w:i w:val="0"/>
                <w:sz w:val="20"/>
              </w:rPr>
              <w:t>2024-04-16</w:t>
            </w:r>
          </w:p>
        </w:tc>
        <w:tc>
          <w:tcPr>
            <w:tcW w:type="dxa" w:w="4873"/>
            <w:vAlign w:val="center"/>
          </w:tcPr>
          <w:p>
            <w:pPr>
              <w:spacing w:line="276" w:lineRule="auto" w:before="0" w:after="0"/>
            </w:pPr>
            <w:r/>
            <w:r>
              <w:rPr>
                <w:rFonts w:ascii="Figtree" w:hAnsi="Figtree"/>
                <w:b w:val="0"/>
                <w:i w:val="0"/>
                <w:sz w:val="20"/>
              </w:rPr>
              <w:t>add create-channel</w:t>
            </w:r>
          </w:p>
        </w:tc>
      </w:tr>
      <w:tr>
        <w:trPr>
          <w:trHeight w:val="425" w:hRule="atLeast"/>
        </w:trPr>
        <w:tc>
          <w:tcPr>
            <w:tcW w:type="dxa" w:w="4873"/>
            <w:vAlign w:val="center"/>
          </w:tcPr>
          <w:p>
            <w:pPr>
              <w:spacing w:line="276" w:lineRule="auto" w:before="0" w:after="0"/>
            </w:pPr>
            <w:r/>
            <w:r>
              <w:rPr>
                <w:rFonts w:ascii="Figtree" w:hAnsi="Figtree"/>
                <w:b w:val="0"/>
                <w:i w:val="0"/>
                <w:sz w:val="20"/>
              </w:rPr>
              <w:t>2024-04-10</w:t>
            </w:r>
          </w:p>
        </w:tc>
        <w:tc>
          <w:tcPr>
            <w:tcW w:type="dxa" w:w="4873"/>
            <w:vAlign w:val="center"/>
          </w:tcPr>
          <w:p>
            <w:pPr>
              <w:spacing w:line="276" w:lineRule="auto" w:before="0" w:after="0"/>
            </w:pPr>
            <w:r/>
            <w:r>
              <w:rPr>
                <w:rFonts w:ascii="Figtree" w:hAnsi="Figtree"/>
                <w:b w:val="0"/>
                <w:i w:val="0"/>
                <w:sz w:val="20"/>
              </w:rPr>
              <w:t>chore: update docs</w:t>
            </w:r>
          </w:p>
        </w:tc>
      </w:tr>
      <w:tr>
        <w:trPr>
          <w:trHeight w:val="425" w:hRule="atLeast"/>
        </w:trPr>
        <w:tc>
          <w:tcPr>
            <w:tcW w:type="dxa" w:w="4873"/>
            <w:vAlign w:val="center"/>
          </w:tcPr>
          <w:p>
            <w:pPr>
              <w:spacing w:line="276" w:lineRule="auto" w:before="0" w:after="0"/>
            </w:pPr>
            <w:r/>
            <w:r>
              <w:rPr>
                <w:rFonts w:ascii="Figtree" w:hAnsi="Figtree"/>
                <w:b w:val="0"/>
                <w:i w:val="0"/>
                <w:sz w:val="20"/>
              </w:rPr>
              <w:t>2024-04-10</w:t>
            </w:r>
          </w:p>
        </w:tc>
        <w:tc>
          <w:tcPr>
            <w:tcW w:type="dxa" w:w="4873"/>
            <w:vAlign w:val="center"/>
          </w:tcPr>
          <w:p>
            <w:pPr>
              <w:spacing w:line="276" w:lineRule="auto" w:before="0" w:after="0"/>
            </w:pPr>
            <w:r/>
            <w:r>
              <w:rPr>
                <w:rFonts w:ascii="Figtree" w:hAnsi="Figtree"/>
                <w:b w:val="0"/>
                <w:i w:val="0"/>
                <w:sz w:val="20"/>
              </w:rPr>
              <w:t>feat: add invoke and query options</w:t>
            </w:r>
          </w:p>
        </w:tc>
      </w:tr>
      <w:tr>
        <w:trPr>
          <w:trHeight w:val="425" w:hRule="atLeast"/>
        </w:trPr>
        <w:tc>
          <w:tcPr>
            <w:tcW w:type="dxa" w:w="4873"/>
            <w:vAlign w:val="center"/>
          </w:tcPr>
          <w:p>
            <w:pPr>
              <w:spacing w:line="276" w:lineRule="auto" w:before="0" w:after="0"/>
            </w:pPr>
            <w:r/>
            <w:r>
              <w:rPr>
                <w:rFonts w:ascii="Figtree" w:hAnsi="Figtree"/>
                <w:b w:val="0"/>
                <w:i w:val="0"/>
                <w:sz w:val="20"/>
              </w:rPr>
              <w:t>2024-04-09</w:t>
            </w:r>
          </w:p>
        </w:tc>
        <w:tc>
          <w:tcPr>
            <w:tcW w:type="dxa" w:w="4873"/>
            <w:vAlign w:val="center"/>
          </w:tcPr>
          <w:p>
            <w:pPr>
              <w:spacing w:line="276" w:lineRule="auto" w:before="0" w:after="0"/>
            </w:pPr>
            <w:r/>
            <w:r>
              <w:rPr>
                <w:rFonts w:ascii="Figtree" w:hAnsi="Figtree"/>
                <w:b w:val="0"/>
                <w:i w:val="0"/>
                <w:sz w:val="20"/>
              </w:rPr>
              <w:t>feat: use custom User Agent</w:t>
            </w:r>
          </w:p>
        </w:tc>
      </w:tr>
      <w:tr>
        <w:trPr>
          <w:trHeight w:val="425" w:hRule="atLeast"/>
        </w:trPr>
        <w:tc>
          <w:tcPr>
            <w:tcW w:type="dxa" w:w="4873"/>
            <w:vAlign w:val="center"/>
          </w:tcPr>
          <w:p>
            <w:pPr>
              <w:spacing w:line="276" w:lineRule="auto" w:before="0" w:after="0"/>
            </w:pPr>
            <w:r/>
            <w:r>
              <w:rPr>
                <w:rFonts w:ascii="Figtree" w:hAnsi="Figtree"/>
                <w:b w:val="0"/>
                <w:i w:val="0"/>
                <w:sz w:val="20"/>
              </w:rPr>
              <w:t>2024-04-09</w:t>
            </w:r>
          </w:p>
        </w:tc>
        <w:tc>
          <w:tcPr>
            <w:tcW w:type="dxa" w:w="4873"/>
            <w:vAlign w:val="center"/>
          </w:tcPr>
          <w:p>
            <w:pPr>
              <w:spacing w:line="276" w:lineRule="auto" w:before="0" w:after="0"/>
            </w:pPr>
            <w:r/>
            <w:r>
              <w:rPr>
                <w:rFonts w:ascii="Figtree" w:hAnsi="Figtree"/>
                <w:b w:val="0"/>
                <w:i w:val="0"/>
                <w:sz w:val="20"/>
              </w:rPr>
              <w:t>feat: chaincode lifecycle scripts</w:t>
            </w:r>
          </w:p>
        </w:tc>
      </w:tr>
    </w:tbl>
    <w:p>
      <w:pPr>
        <w:spacing w:before="0" w:after="0" w:line="120" w:lineRule="exact"/>
      </w:pPr>
    </w:p>
    <w:p>
      <w:r>
        <w:rPr>
          <w:rFonts w:ascii="Figtree" w:hAnsi="Figtree"/>
          <w:b/>
          <w:i w:val="0"/>
          <w:sz w:val="22"/>
        </w:rPr>
        <w:t>R&amp;D Activities Demonstrated:</w:t>
      </w:r>
      <w:r>
        <w:rPr>
          <w:rFonts w:ascii="Figtree" w:hAnsi="Figtree"/>
          <w:b w:val="0"/>
          <w:i w:val="0"/>
          <w:sz w:val="22"/>
        </w:rPr>
        <w:t xml:space="preserve"> Chaincode lifecycle management, Hyperledger Fabric, Go chaincode support, channel management, peer/oracle configuration, transaction handling.</w:t>
      </w:r>
    </w:p>
    <w:p>
      <w:r>
        <w:br w:type="page"/>
      </w:r>
    </w:p>
    <w:p>
      <w:pPr>
        <w:pStyle w:val="H3"/>
        <w:numPr>
          <w:ilvl w:val="2"/>
          <w:numId w:val="1"/>
        </w:numPr>
      </w:pPr>
      <w:r>
        <w:t>4.2 Snigdha Singh — 20 Commits</w:t>
      </w:r>
    </w:p>
    <w:p>
      <w:r>
        <w:rPr>
          <w:rFonts w:ascii="Figtree" w:hAnsi="Figtree"/>
          <w:b/>
          <w:i w:val="0"/>
          <w:sz w:val="22"/>
        </w:rPr>
        <w:t>Repositories:</w:t>
      </w:r>
      <w:r>
        <w:rPr>
          <w:rFonts w:ascii="Figtree" w:hAnsi="Figtree"/>
          <w:b w:val="0"/>
          <w:i w:val="0"/>
          <w:sz w:val="22"/>
        </w:rPr>
        <w:t xml:space="preserve"> docs, solidity-token-erc20, solidity-token-erc721, solidity-supplychain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3"/>
        <w:gridCol w:w="3072"/>
        <w:gridCol w:w="4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Repository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Commit Message</w:t>
            </w:r>
          </w:p>
        </w:tc>
      </w:tr>
      <w:tr>
        <w:trPr>
          <w:trHeight w:val="425" w:hRule="atLeast"/>
        </w:trPr>
        <w:tc>
          <w:tcPr>
            <w:tcW w:type="dxa" w:w="3249"/>
            <w:vAlign w:val="center"/>
          </w:tcPr>
          <w:p>
            <w:pPr>
              <w:spacing w:line="276" w:lineRule="auto" w:before="0" w:after="0"/>
            </w:pPr>
            <w:r/>
            <w:r>
              <w:rPr>
                <w:rFonts w:ascii="Figtree" w:hAnsi="Figtree"/>
                <w:b w:val="0"/>
                <w:i w:val="0"/>
                <w:sz w:val="20"/>
              </w:rPr>
              <w:t>2024-11-27</w:t>
            </w:r>
          </w:p>
        </w:tc>
        <w:tc>
          <w:tcPr>
            <w:tcW w:type="dxa" w:w="3249"/>
            <w:vAlign w:val="center"/>
          </w:tcPr>
          <w:p>
            <w:pPr>
              <w:spacing w:line="276" w:lineRule="auto" w:before="0" w:after="0"/>
            </w:pPr>
            <w:r/>
            <w:r>
              <w:rPr>
                <w:rFonts w:ascii="Figtree" w:hAnsi="Figtree"/>
                <w:b w:val="0"/>
                <w:i w:val="0"/>
                <w:sz w:val="20"/>
              </w:rPr>
              <w:t>docs</w:t>
            </w:r>
          </w:p>
        </w:tc>
        <w:tc>
          <w:tcPr>
            <w:tcW w:type="dxa" w:w="3249"/>
            <w:vAlign w:val="center"/>
          </w:tcPr>
          <w:p>
            <w:pPr>
              <w:spacing w:line="276" w:lineRule="auto" w:before="0" w:after="0"/>
            </w:pPr>
            <w:r/>
            <w:r>
              <w:rPr>
                <w:rFonts w:ascii="Figtree" w:hAnsi="Figtree"/>
                <w:b w:val="0"/>
                <w:i w:val="0"/>
                <w:sz w:val="20"/>
              </w:rPr>
              <w:t>feat: user wallets</w:t>
            </w:r>
          </w:p>
        </w:tc>
      </w:tr>
      <w:tr>
        <w:trPr>
          <w:trHeight w:val="425" w:hRule="atLeast"/>
        </w:trPr>
        <w:tc>
          <w:tcPr>
            <w:tcW w:type="dxa" w:w="3249"/>
            <w:vAlign w:val="center"/>
          </w:tcPr>
          <w:p>
            <w:pPr>
              <w:spacing w:line="276" w:lineRule="auto" w:before="0" w:after="0"/>
            </w:pPr>
            <w:r/>
            <w:r>
              <w:rPr>
                <w:rFonts w:ascii="Figtree" w:hAnsi="Figtree"/>
                <w:b w:val="0"/>
                <w:i w:val="0"/>
                <w:sz w:val="20"/>
              </w:rPr>
              <w:t>2024-10-15</w:t>
            </w:r>
          </w:p>
        </w:tc>
        <w:tc>
          <w:tcPr>
            <w:tcW w:type="dxa" w:w="3249"/>
            <w:vAlign w:val="center"/>
          </w:tcPr>
          <w:p>
            <w:pPr>
              <w:spacing w:line="276" w:lineRule="auto" w:before="0" w:after="0"/>
            </w:pPr>
            <w:r/>
            <w:r>
              <w:rPr>
                <w:rFonts w:ascii="Figtree" w:hAnsi="Figtree"/>
                <w:b w:val="0"/>
                <w:i w:val="0"/>
                <w:sz w:val="20"/>
              </w:rPr>
              <w:t>solidity-token-erc20</w:t>
            </w:r>
          </w:p>
        </w:tc>
        <w:tc>
          <w:tcPr>
            <w:tcW w:type="dxa" w:w="3249"/>
            <w:vAlign w:val="center"/>
          </w:tcPr>
          <w:p>
            <w:pPr>
              <w:spacing w:line="276" w:lineRule="auto" w:before="0" w:after="0"/>
            </w:pPr>
            <w:r/>
            <w:r>
              <w:rPr>
                <w:rFonts w:ascii="Figtree" w:hAnsi="Figtree"/>
                <w:b w:val="0"/>
                <w:i w:val="0"/>
                <w:sz w:val="20"/>
              </w:rPr>
              <w:t>feat: update deployment scripts</w:t>
            </w:r>
          </w:p>
        </w:tc>
      </w:tr>
      <w:tr>
        <w:trPr>
          <w:trHeight w:val="425" w:hRule="atLeast"/>
        </w:trPr>
        <w:tc>
          <w:tcPr>
            <w:tcW w:type="dxa" w:w="3249"/>
            <w:vAlign w:val="center"/>
          </w:tcPr>
          <w:p>
            <w:pPr>
              <w:spacing w:line="276" w:lineRule="auto" w:before="0" w:after="0"/>
            </w:pPr>
            <w:r/>
            <w:r>
              <w:rPr>
                <w:rFonts w:ascii="Figtree" w:hAnsi="Figtree"/>
                <w:b w:val="0"/>
                <w:i w:val="0"/>
                <w:sz w:val="20"/>
              </w:rPr>
              <w:t>2024-10-10</w:t>
            </w:r>
          </w:p>
        </w:tc>
        <w:tc>
          <w:tcPr>
            <w:tcW w:type="dxa" w:w="3249"/>
            <w:vAlign w:val="center"/>
          </w:tcPr>
          <w:p>
            <w:pPr>
              <w:spacing w:line="276" w:lineRule="auto" w:before="0" w:after="0"/>
            </w:pPr>
            <w:r/>
            <w:r>
              <w:rPr>
                <w:rFonts w:ascii="Figtree" w:hAnsi="Figtree"/>
                <w:b w:val="0"/>
                <w:i w:val="0"/>
                <w:sz w:val="20"/>
              </w:rPr>
              <w:t>docs</w:t>
            </w:r>
          </w:p>
        </w:tc>
        <w:tc>
          <w:tcPr>
            <w:tcW w:type="dxa" w:w="3249"/>
            <w:vAlign w:val="center"/>
          </w:tcPr>
          <w:p>
            <w:pPr>
              <w:spacing w:line="276" w:lineRule="auto" w:before="0" w:after="0"/>
            </w:pPr>
            <w:r/>
            <w:r>
              <w:rPr>
                <w:rFonts w:ascii="Figtree" w:hAnsi="Figtree"/>
                <w:b w:val="0"/>
                <w:i w:val="0"/>
                <w:sz w:val="20"/>
              </w:rPr>
              <w:t>fix: documentation updates</w:t>
            </w:r>
          </w:p>
        </w:tc>
      </w:tr>
      <w:tr>
        <w:trPr>
          <w:trHeight w:val="425" w:hRule="atLeast"/>
        </w:trPr>
        <w:tc>
          <w:tcPr>
            <w:tcW w:type="dxa" w:w="3249"/>
            <w:vAlign w:val="center"/>
          </w:tcPr>
          <w:p>
            <w:pPr>
              <w:spacing w:line="276" w:lineRule="auto" w:before="0" w:after="0"/>
            </w:pPr>
            <w:r/>
            <w:r>
              <w:rPr>
                <w:rFonts w:ascii="Figtree" w:hAnsi="Figtree"/>
                <w:b w:val="0"/>
                <w:i w:val="0"/>
                <w:sz w:val="20"/>
              </w:rPr>
              <w:t>2024-09-20</w:t>
            </w:r>
          </w:p>
        </w:tc>
        <w:tc>
          <w:tcPr>
            <w:tcW w:type="dxa" w:w="3249"/>
            <w:vAlign w:val="center"/>
          </w:tcPr>
          <w:p>
            <w:pPr>
              <w:spacing w:line="276" w:lineRule="auto" w:before="0" w:after="0"/>
            </w:pPr>
            <w:r/>
            <w:r>
              <w:rPr>
                <w:rFonts w:ascii="Figtree" w:hAnsi="Figtree"/>
                <w:b w:val="0"/>
                <w:i w:val="0"/>
                <w:sz w:val="20"/>
              </w:rPr>
              <w:t>solidity-token-erc721</w:t>
            </w:r>
          </w:p>
        </w:tc>
        <w:tc>
          <w:tcPr>
            <w:tcW w:type="dxa" w:w="3249"/>
            <w:vAlign w:val="center"/>
          </w:tcPr>
          <w:p>
            <w:pPr>
              <w:spacing w:line="276" w:lineRule="auto" w:before="0" w:after="0"/>
            </w:pPr>
            <w:r/>
            <w:r>
              <w:rPr>
                <w:rFonts w:ascii="Figtree" w:hAnsi="Figtree"/>
                <w:b w:val="0"/>
                <w:i w:val="0"/>
                <w:sz w:val="20"/>
              </w:rPr>
              <w:t>feat: add metadata URI support</w:t>
            </w:r>
          </w:p>
        </w:tc>
      </w:tr>
      <w:tr>
        <w:trPr>
          <w:trHeight w:val="425" w:hRule="atLeast"/>
        </w:trPr>
        <w:tc>
          <w:tcPr>
            <w:tcW w:type="dxa" w:w="3249"/>
            <w:vAlign w:val="center"/>
          </w:tcPr>
          <w:p>
            <w:pPr>
              <w:spacing w:line="276" w:lineRule="auto" w:before="0" w:after="0"/>
            </w:pPr>
            <w:r/>
            <w:r>
              <w:rPr>
                <w:rFonts w:ascii="Figtree" w:hAnsi="Figtree"/>
                <w:b w:val="0"/>
                <w:i w:val="0"/>
                <w:sz w:val="20"/>
              </w:rPr>
              <w:t>2024-09-15</w:t>
            </w:r>
          </w:p>
        </w:tc>
        <w:tc>
          <w:tcPr>
            <w:tcW w:type="dxa" w:w="3249"/>
            <w:vAlign w:val="center"/>
          </w:tcPr>
          <w:p>
            <w:pPr>
              <w:spacing w:line="276" w:lineRule="auto" w:before="0" w:after="0"/>
            </w:pPr>
            <w:r/>
            <w:r>
              <w:rPr>
                <w:rFonts w:ascii="Figtree" w:hAnsi="Figtree"/>
                <w:b w:val="0"/>
                <w:i w:val="0"/>
                <w:sz w:val="20"/>
              </w:rPr>
              <w:t>solidity-supplychain</w:t>
            </w:r>
          </w:p>
        </w:tc>
        <w:tc>
          <w:tcPr>
            <w:tcW w:type="dxa" w:w="3249"/>
            <w:vAlign w:val="center"/>
          </w:tcPr>
          <w:p>
            <w:pPr>
              <w:spacing w:line="276" w:lineRule="auto" w:before="0" w:after="0"/>
            </w:pPr>
            <w:r/>
            <w:r>
              <w:rPr>
                <w:rFonts w:ascii="Figtree" w:hAnsi="Figtree"/>
                <w:b w:val="0"/>
                <w:i w:val="0"/>
                <w:sz w:val="20"/>
              </w:rPr>
              <w:t>fix: contract deployment issues</w:t>
            </w:r>
          </w:p>
        </w:tc>
      </w:tr>
      <w:tr>
        <w:trPr>
          <w:trHeight w:val="425" w:hRule="atLeast"/>
        </w:trPr>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bl>
    <w:p>
      <w:pPr>
        <w:spacing w:before="0" w:after="0" w:line="120" w:lineRule="exact"/>
      </w:pPr>
    </w:p>
    <w:p>
      <w:r>
        <w:rPr>
          <w:rFonts w:ascii="Figtree" w:hAnsi="Figtree"/>
          <w:b/>
          <w:i w:val="0"/>
          <w:sz w:val="22"/>
        </w:rPr>
        <w:t>R&amp;D Activities Demonstrated:</w:t>
      </w:r>
      <w:r>
        <w:rPr>
          <w:rFonts w:ascii="Figtree" w:hAnsi="Figtree"/>
          <w:b w:val="0"/>
          <w:i w:val="0"/>
          <w:sz w:val="22"/>
        </w:rPr>
        <w:t xml:space="preserve"> ERC-20/721 token implementations, smart contract documentation, deployment scripts, supply chain integration.</w:t>
      </w:r>
    </w:p>
    <w:p>
      <w:r>
        <w:br w:type="page"/>
      </w:r>
    </w:p>
    <w:p>
      <w:pPr>
        <w:pStyle w:val="H3"/>
        <w:numPr>
          <w:ilvl w:val="2"/>
          <w:numId w:val="1"/>
        </w:numPr>
      </w:pPr>
      <w:r>
        <w:t>4.3 Robbe Verhelst — 21 Commits</w:t>
      </w:r>
    </w:p>
    <w:p>
      <w:r>
        <w:rPr>
          <w:rFonts w:ascii="Figtree" w:hAnsi="Figtree"/>
          <w:b/>
          <w:i w:val="0"/>
          <w:sz w:val="22"/>
        </w:rPr>
        <w:t>Repositories:</w:t>
      </w:r>
      <w:r>
        <w:rPr>
          <w:rFonts w:ascii="Figtree" w:hAnsi="Figtree"/>
          <w:b w:val="0"/>
          <w:i w:val="0"/>
          <w:sz w:val="22"/>
        </w:rPr>
        <w:t xml:space="preserve"> eas-indexing-service, docs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4"/>
        <w:gridCol w:w="732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Date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 Message</w:t>
            </w:r>
          </w:p>
        </w:tc>
      </w:tr>
      <w:tr>
        <w:trPr>
          <w:trHeight w:val="425" w:hRule="atLeast"/>
        </w:trPr>
        <w:tc>
          <w:tcPr>
            <w:tcW w:type="dxa" w:w="4873"/>
            <w:vAlign w:val="center"/>
          </w:tcPr>
          <w:p>
            <w:pPr>
              <w:spacing w:line="276" w:lineRule="auto" w:before="0" w:after="0"/>
            </w:pPr>
            <w:r/>
            <w:r>
              <w:rPr>
                <w:rFonts w:ascii="Figtree" w:hAnsi="Figtree"/>
                <w:b w:val="0"/>
                <w:i w:val="0"/>
                <w:sz w:val="20"/>
              </w:rPr>
              <w:t>2024-12-18</w:t>
            </w:r>
          </w:p>
        </w:tc>
        <w:tc>
          <w:tcPr>
            <w:tcW w:type="dxa" w:w="4873"/>
            <w:vAlign w:val="center"/>
          </w:tcPr>
          <w:p>
            <w:pPr>
              <w:spacing w:line="276" w:lineRule="auto" w:before="0" w:after="0"/>
            </w:pPr>
            <w:r/>
            <w:r>
              <w:rPr>
                <w:rFonts w:ascii="Figtree" w:hAnsi="Figtree"/>
                <w:b w:val="0"/>
                <w:i w:val="0"/>
                <w:sz w:val="20"/>
              </w:rPr>
              <w:t>Merge branch 'ethereum-attestation-service:master' into main</w:t>
            </w:r>
          </w:p>
        </w:tc>
      </w:tr>
      <w:tr>
        <w:trPr>
          <w:trHeight w:val="425" w:hRule="atLeast"/>
        </w:trPr>
        <w:tc>
          <w:tcPr>
            <w:tcW w:type="dxa" w:w="4873"/>
            <w:vAlign w:val="center"/>
          </w:tcPr>
          <w:p>
            <w:pPr>
              <w:spacing w:line="276" w:lineRule="auto" w:before="0" w:after="0"/>
            </w:pPr>
            <w:r/>
            <w:r>
              <w:rPr>
                <w:rFonts w:ascii="Figtree" w:hAnsi="Figtree"/>
                <w:b w:val="0"/>
                <w:i w:val="0"/>
                <w:sz w:val="20"/>
              </w:rPr>
              <w:t>2024-06-19</w:t>
            </w:r>
          </w:p>
        </w:tc>
        <w:tc>
          <w:tcPr>
            <w:tcW w:type="dxa" w:w="4873"/>
            <w:vAlign w:val="center"/>
          </w:tcPr>
          <w:p>
            <w:pPr>
              <w:spacing w:line="276" w:lineRule="auto" w:before="0" w:after="0"/>
            </w:pPr>
            <w:r/>
            <w:r>
              <w:rPr>
                <w:rFonts w:ascii="Figtree" w:hAnsi="Figtree"/>
                <w:b w:val="0"/>
                <w:i w:val="0"/>
                <w:sz w:val="20"/>
              </w:rPr>
              <w:t>cleanup</w:t>
            </w:r>
          </w:p>
        </w:tc>
      </w:tr>
      <w:tr>
        <w:trPr>
          <w:trHeight w:val="425" w:hRule="atLeast"/>
        </w:trPr>
        <w:tc>
          <w:tcPr>
            <w:tcW w:type="dxa" w:w="4873"/>
            <w:vAlign w:val="center"/>
          </w:tcPr>
          <w:p>
            <w:pPr>
              <w:spacing w:line="276" w:lineRule="auto" w:before="0" w:after="0"/>
            </w:pPr>
            <w:r/>
            <w:r>
              <w:rPr>
                <w:rFonts w:ascii="Figtree" w:hAnsi="Figtree"/>
                <w:b w:val="0"/>
                <w:i w:val="0"/>
                <w:sz w:val="20"/>
              </w:rPr>
              <w:t>2024-06-19</w:t>
            </w:r>
          </w:p>
        </w:tc>
        <w:tc>
          <w:tcPr>
            <w:tcW w:type="dxa" w:w="4873"/>
            <w:vAlign w:val="center"/>
          </w:tcPr>
          <w:p>
            <w:pPr>
              <w:spacing w:line="276" w:lineRule="auto" w:before="0" w:after="0"/>
            </w:pPr>
            <w:r/>
            <w:r>
              <w:rPr>
                <w:rFonts w:ascii="Figtree" w:hAnsi="Figtree"/>
                <w:b w:val="0"/>
                <w:i w:val="0"/>
                <w:sz w:val="20"/>
              </w:rPr>
              <w:t>feat: dynamic configs</w:t>
            </w:r>
          </w:p>
        </w:tc>
      </w:tr>
      <w:tr>
        <w:trPr>
          <w:trHeight w:val="425" w:hRule="atLeast"/>
        </w:trPr>
        <w:tc>
          <w:tcPr>
            <w:tcW w:type="dxa" w:w="4873"/>
            <w:vAlign w:val="center"/>
          </w:tcPr>
          <w:p>
            <w:pPr>
              <w:spacing w:line="276" w:lineRule="auto" w:before="0" w:after="0"/>
            </w:pPr>
            <w:r/>
            <w:r>
              <w:rPr>
                <w:rFonts w:ascii="Figtree" w:hAnsi="Figtree"/>
                <w:b w:val="0"/>
                <w:i w:val="0"/>
                <w:sz w:val="20"/>
              </w:rPr>
              <w:t>2024-06-19</w:t>
            </w:r>
          </w:p>
        </w:tc>
        <w:tc>
          <w:tcPr>
            <w:tcW w:type="dxa" w:w="4873"/>
            <w:vAlign w:val="center"/>
          </w:tcPr>
          <w:p>
            <w:pPr>
              <w:spacing w:line="276" w:lineRule="auto" w:before="0" w:after="0"/>
            </w:pPr>
            <w:r/>
            <w:r>
              <w:rPr>
                <w:rFonts w:ascii="Figtree" w:hAnsi="Figtree"/>
                <w:b w:val="0"/>
                <w:i w:val="0"/>
                <w:sz w:val="20"/>
              </w:rPr>
              <w:t>feat: add rpc log</w:t>
            </w:r>
          </w:p>
        </w:tc>
      </w:tr>
      <w:tr>
        <w:trPr>
          <w:trHeight w:val="425" w:hRule="atLeast"/>
        </w:trPr>
        <w:tc>
          <w:tcPr>
            <w:tcW w:type="dxa" w:w="4873"/>
            <w:vAlign w:val="center"/>
          </w:tcPr>
          <w:p>
            <w:pPr>
              <w:spacing w:line="276" w:lineRule="auto" w:before="0" w:after="0"/>
            </w:pPr>
            <w:r/>
            <w:r>
              <w:rPr>
                <w:rFonts w:ascii="Figtree" w:hAnsi="Figtree"/>
                <w:b w:val="0"/>
                <w:i w:val="0"/>
                <w:sz w:val="20"/>
              </w:rPr>
              <w:t>2024-06-18</w:t>
            </w:r>
          </w:p>
        </w:tc>
        <w:tc>
          <w:tcPr>
            <w:tcW w:type="dxa" w:w="4873"/>
            <w:vAlign w:val="center"/>
          </w:tcPr>
          <w:p>
            <w:pPr>
              <w:spacing w:line="276" w:lineRule="auto" w:before="0" w:after="0"/>
            </w:pPr>
            <w:r/>
            <w:r>
              <w:rPr>
                <w:rFonts w:ascii="Figtree" w:hAnsi="Figtree"/>
                <w:b w:val="0"/>
                <w:i w:val="0"/>
                <w:sz w:val="20"/>
              </w:rPr>
              <w:t>feat: add custom rpc provider</w:t>
            </w:r>
          </w:p>
        </w:tc>
      </w:tr>
      <w:tr>
        <w:trPr>
          <w:trHeight w:val="425" w:hRule="atLeast"/>
        </w:trPr>
        <w:tc>
          <w:tcPr>
            <w:tcW w:type="dxa" w:w="4873"/>
            <w:vAlign w:val="center"/>
          </w:tcPr>
          <w:p>
            <w:pPr>
              <w:spacing w:line="276" w:lineRule="auto" w:before="0" w:after="0"/>
            </w:pPr>
            <w:r/>
            <w:r>
              <w:rPr>
                <w:rFonts w:ascii="Figtree" w:hAnsi="Figtree"/>
                <w:b w:val="0"/>
                <w:i w:val="0"/>
                <w:sz w:val="20"/>
              </w:rPr>
              <w:t>2024-06-18</w:t>
            </w:r>
          </w:p>
        </w:tc>
        <w:tc>
          <w:tcPr>
            <w:tcW w:type="dxa" w:w="4873"/>
            <w:vAlign w:val="center"/>
          </w:tcPr>
          <w:p>
            <w:pPr>
              <w:spacing w:line="276" w:lineRule="auto" w:before="0" w:after="0"/>
            </w:pPr>
            <w:r/>
            <w:r>
              <w:rPr>
                <w:rFonts w:ascii="Figtree" w:hAnsi="Figtree"/>
                <w:b w:val="0"/>
                <w:i w:val="0"/>
                <w:sz w:val="20"/>
              </w:rPr>
              <w:t>fix: permissions</w:t>
            </w:r>
          </w:p>
        </w:tc>
      </w:tr>
      <w:tr>
        <w:trPr>
          <w:trHeight w:val="425" w:hRule="atLeast"/>
        </w:trPr>
        <w:tc>
          <w:tcPr>
            <w:tcW w:type="dxa" w:w="4873"/>
            <w:vAlign w:val="center"/>
          </w:tcPr>
          <w:p>
            <w:pPr>
              <w:spacing w:line="276" w:lineRule="auto" w:before="0" w:after="0"/>
            </w:pPr>
            <w:r/>
            <w:r>
              <w:rPr>
                <w:rFonts w:ascii="Figtree" w:hAnsi="Figtree"/>
                <w:b w:val="0"/>
                <w:i w:val="0"/>
                <w:sz w:val="20"/>
              </w:rPr>
              <w:t>2024-06-18</w:t>
            </w:r>
          </w:p>
        </w:tc>
        <w:tc>
          <w:tcPr>
            <w:tcW w:type="dxa" w:w="4873"/>
            <w:vAlign w:val="center"/>
          </w:tcPr>
          <w:p>
            <w:pPr>
              <w:spacing w:line="276" w:lineRule="auto" w:before="0" w:after="0"/>
            </w:pPr>
            <w:r/>
            <w:r>
              <w:rPr>
                <w:rFonts w:ascii="Figtree" w:hAnsi="Figtree"/>
                <w:b w:val="0"/>
                <w:i w:val="0"/>
                <w:sz w:val="20"/>
              </w:rPr>
              <w:t>fix: permissions</w:t>
            </w:r>
          </w:p>
        </w:tc>
      </w:tr>
      <w:tr>
        <w:trPr>
          <w:trHeight w:val="425" w:hRule="atLeast"/>
        </w:trPr>
        <w:tc>
          <w:tcPr>
            <w:tcW w:type="dxa" w:w="4873"/>
            <w:vAlign w:val="center"/>
          </w:tcPr>
          <w:p>
            <w:pPr>
              <w:spacing w:line="276" w:lineRule="auto" w:before="0" w:after="0"/>
            </w:pPr>
            <w:r/>
            <w:r>
              <w:rPr>
                <w:rFonts w:ascii="Figtree" w:hAnsi="Figtree"/>
                <w:b w:val="0"/>
                <w:i w:val="0"/>
                <w:sz w:val="20"/>
              </w:rPr>
              <w:t>2024-06-18</w:t>
            </w:r>
          </w:p>
        </w:tc>
        <w:tc>
          <w:tcPr>
            <w:tcW w:type="dxa" w:w="4873"/>
            <w:vAlign w:val="center"/>
          </w:tcPr>
          <w:p>
            <w:pPr>
              <w:spacing w:line="276" w:lineRule="auto" w:before="0" w:after="0"/>
            </w:pPr>
            <w:r/>
            <w:r>
              <w:rPr>
                <w:rFonts w:ascii="Figtree" w:hAnsi="Figtree"/>
                <w:b w:val="0"/>
                <w:i w:val="0"/>
                <w:sz w:val="20"/>
              </w:rPr>
              <w:t>fix: permissions</w:t>
            </w:r>
          </w:p>
        </w:tc>
      </w:tr>
      <w:tr>
        <w:trPr>
          <w:trHeight w:val="425" w:hRule="atLeast"/>
        </w:trPr>
        <w:tc>
          <w:tcPr>
            <w:tcW w:type="dxa" w:w="4873"/>
            <w:vAlign w:val="center"/>
          </w:tcPr>
          <w:p>
            <w:pPr>
              <w:spacing w:line="276" w:lineRule="auto" w:before="0" w:after="0"/>
            </w:pPr>
            <w:r/>
            <w:r>
              <w:rPr>
                <w:rFonts w:ascii="Figtree" w:hAnsi="Figtree"/>
                <w:b w:val="0"/>
                <w:i w:val="0"/>
                <w:sz w:val="20"/>
              </w:rPr>
              <w:t>2024-06-18</w:t>
            </w:r>
          </w:p>
        </w:tc>
        <w:tc>
          <w:tcPr>
            <w:tcW w:type="dxa" w:w="4873"/>
            <w:vAlign w:val="center"/>
          </w:tcPr>
          <w:p>
            <w:pPr>
              <w:spacing w:line="276" w:lineRule="auto" w:before="0" w:after="0"/>
            </w:pPr>
            <w:r/>
            <w:r>
              <w:rPr>
                <w:rFonts w:ascii="Figtree" w:hAnsi="Figtree"/>
                <w:b w:val="0"/>
                <w:i w:val="0"/>
                <w:sz w:val="20"/>
              </w:rPr>
              <w:t>fix: permissions</w:t>
            </w:r>
          </w:p>
        </w:tc>
      </w:tr>
    </w:tbl>
    <w:p>
      <w:pPr>
        <w:spacing w:before="0" w:after="0" w:line="120" w:lineRule="exact"/>
      </w:pPr>
    </w:p>
    <w:p>
      <w:r>
        <w:rPr>
          <w:rFonts w:ascii="Figtree" w:hAnsi="Figtree"/>
          <w:b/>
          <w:i w:val="0"/>
          <w:sz w:val="22"/>
        </w:rPr>
        <w:t>R&amp;D Activities Demonstrated:</w:t>
      </w:r>
      <w:r>
        <w:rPr>
          <w:rFonts w:ascii="Figtree" w:hAnsi="Figtree"/>
          <w:b w:val="0"/>
          <w:i w:val="0"/>
          <w:sz w:val="22"/>
        </w:rPr>
        <w:t xml:space="preserve"> Ethereum Attestation Service (EAS) indexing, RPC provider integration, dynamic configuration, permission management.</w:t>
      </w:r>
    </w:p>
    <w:p>
      <w:r>
        <w:br w:type="page"/>
      </w:r>
    </w:p>
    <w:p>
      <w:pPr>
        <w:pStyle w:val="H3"/>
        <w:numPr>
          <w:ilvl w:val="2"/>
          <w:numId w:val="1"/>
        </w:numPr>
      </w:pPr>
      <w:r>
        <w:t>4.4 Ambroise Moreau — 14 Commits</w:t>
      </w:r>
    </w:p>
    <w:p>
      <w:r>
        <w:rPr>
          <w:rFonts w:ascii="Figtree" w:hAnsi="Figtree"/>
          <w:b/>
          <w:i w:val="0"/>
          <w:sz w:val="22"/>
        </w:rPr>
        <w:t>Repositories:</w:t>
      </w:r>
      <w:r>
        <w:rPr>
          <w:rFonts w:ascii="Figtree" w:hAnsi="Figtree"/>
          <w:b w:val="0"/>
          <w:i w:val="0"/>
          <w:sz w:val="22"/>
        </w:rPr>
        <w:t xml:space="preserve"> docs, solidity-token-erc20, solidity-token-erc721, solidity-supplychain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7"/>
        <w:gridCol w:w="726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Date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 Message</w:t>
            </w:r>
          </w:p>
        </w:tc>
      </w:tr>
      <w:tr>
        <w:trPr>
          <w:trHeight w:val="425" w:hRule="atLeast"/>
        </w:trPr>
        <w:tc>
          <w:tcPr>
            <w:tcW w:type="dxa" w:w="4873"/>
            <w:vAlign w:val="center"/>
          </w:tcPr>
          <w:p>
            <w:pPr>
              <w:spacing w:line="276" w:lineRule="auto" w:before="0" w:after="0"/>
            </w:pPr>
            <w:r/>
            <w:r>
              <w:rPr>
                <w:rFonts w:ascii="Figtree" w:hAnsi="Figtree"/>
                <w:b w:val="0"/>
                <w:i w:val="0"/>
                <w:sz w:val="20"/>
              </w:rPr>
              <w:t>2024-11-27</w:t>
            </w:r>
          </w:p>
        </w:tc>
        <w:tc>
          <w:tcPr>
            <w:tcW w:type="dxa" w:w="4873"/>
            <w:vAlign w:val="center"/>
          </w:tcPr>
          <w:p>
            <w:pPr>
              <w:spacing w:line="276" w:lineRule="auto" w:before="0" w:after="0"/>
            </w:pPr>
            <w:r/>
            <w:r>
              <w:rPr>
                <w:rFonts w:ascii="Figtree" w:hAnsi="Figtree"/>
                <w:b w:val="0"/>
                <w:i w:val="0"/>
                <w:sz w:val="20"/>
              </w:rPr>
              <w:t>feat: user wallets (#97)</w:t>
            </w:r>
          </w:p>
        </w:tc>
      </w:tr>
      <w:tr>
        <w:trPr>
          <w:trHeight w:val="425" w:hRule="atLeast"/>
        </w:trPr>
        <w:tc>
          <w:tcPr>
            <w:tcW w:type="dxa" w:w="4873"/>
            <w:vAlign w:val="center"/>
          </w:tcPr>
          <w:p>
            <w:pPr>
              <w:spacing w:line="276" w:lineRule="auto" w:before="0" w:after="0"/>
            </w:pPr>
            <w:r/>
            <w:r>
              <w:rPr>
                <w:rFonts w:ascii="Figtree" w:hAnsi="Figtree"/>
                <w:b w:val="0"/>
                <w:i w:val="0"/>
                <w:sz w:val="20"/>
              </w:rPr>
              <w:t>2024-11-25</w:t>
            </w:r>
          </w:p>
        </w:tc>
        <w:tc>
          <w:tcPr>
            <w:tcW w:type="dxa" w:w="4873"/>
            <w:vAlign w:val="center"/>
          </w:tcPr>
          <w:p>
            <w:pPr>
              <w:spacing w:line="276" w:lineRule="auto" w:before="0" w:after="0"/>
            </w:pPr>
            <w:r/>
            <w:r>
              <w:rPr>
                <w:rFonts w:ascii="Figtree" w:hAnsi="Figtree"/>
                <w:b w:val="0"/>
                <w:i w:val="0"/>
                <w:sz w:val="20"/>
              </w:rPr>
              <w:t>feat: remove references to bsc (#96)</w:t>
            </w:r>
          </w:p>
        </w:tc>
      </w:tr>
      <w:tr>
        <w:trPr>
          <w:trHeight w:val="425" w:hRule="atLeast"/>
        </w:trPr>
        <w:tc>
          <w:tcPr>
            <w:tcW w:type="dxa" w:w="4873"/>
            <w:vAlign w:val="center"/>
          </w:tcPr>
          <w:p>
            <w:pPr>
              <w:spacing w:line="276" w:lineRule="auto" w:before="0" w:after="0"/>
            </w:pPr>
            <w:r/>
            <w:r>
              <w:rPr>
                <w:rFonts w:ascii="Figtree" w:hAnsi="Figtree"/>
                <w:b w:val="0"/>
                <w:i w:val="0"/>
                <w:sz w:val="20"/>
              </w:rPr>
              <w:t>2024-10-02</w:t>
            </w:r>
          </w:p>
        </w:tc>
        <w:tc>
          <w:tcPr>
            <w:tcW w:type="dxa" w:w="4873"/>
            <w:vAlign w:val="center"/>
          </w:tcPr>
          <w:p>
            <w:pPr>
              <w:spacing w:line="276" w:lineRule="auto" w:before="0" w:after="0"/>
            </w:pPr>
            <w:r/>
            <w:r>
              <w:rPr>
                <w:rFonts w:ascii="Figtree" w:hAnsi="Figtree"/>
                <w:b w:val="0"/>
                <w:i w:val="0"/>
                <w:sz w:val="20"/>
              </w:rPr>
              <w:t>fix: supported blockchains offset fix &amp; quorum logo (#80)</w:t>
            </w:r>
          </w:p>
        </w:tc>
      </w:tr>
      <w:tr>
        <w:trPr>
          <w:trHeight w:val="425" w:hRule="atLeast"/>
        </w:trPr>
        <w:tc>
          <w:tcPr>
            <w:tcW w:type="dxa" w:w="4873"/>
            <w:vAlign w:val="center"/>
          </w:tcPr>
          <w:p>
            <w:pPr>
              <w:spacing w:line="276" w:lineRule="auto" w:before="0" w:after="0"/>
            </w:pPr>
            <w:r/>
            <w:r>
              <w:rPr>
                <w:rFonts w:ascii="Figtree" w:hAnsi="Figtree"/>
                <w:b w:val="0"/>
                <w:i w:val="0"/>
                <w:sz w:val="20"/>
              </w:rPr>
              <w:t>2024-09-03</w:t>
            </w:r>
          </w:p>
        </w:tc>
        <w:tc>
          <w:tcPr>
            <w:tcW w:type="dxa" w:w="4873"/>
            <w:vAlign w:val="center"/>
          </w:tcPr>
          <w:p>
            <w:pPr>
              <w:spacing w:line="276" w:lineRule="auto" w:before="0" w:after="0"/>
            </w:pPr>
            <w:r/>
            <w:r>
              <w:rPr>
                <w:rFonts w:ascii="Figtree" w:hAnsi="Figtree"/>
                <w:b w:val="0"/>
                <w:i w:val="0"/>
                <w:sz w:val="20"/>
              </w:rPr>
              <w:t>fix: removing foundry from title (#61)</w:t>
            </w:r>
          </w:p>
        </w:tc>
      </w:tr>
      <w:tr>
        <w:trPr>
          <w:trHeight w:val="425" w:hRule="atLeast"/>
        </w:trPr>
        <w:tc>
          <w:tcPr>
            <w:tcW w:type="dxa" w:w="4873"/>
            <w:vAlign w:val="center"/>
          </w:tcPr>
          <w:p>
            <w:pPr>
              <w:spacing w:line="276" w:lineRule="auto" w:before="0" w:after="0"/>
            </w:pPr>
            <w:r/>
            <w:r>
              <w:rPr>
                <w:rFonts w:ascii="Figtree" w:hAnsi="Figtree"/>
                <w:b w:val="0"/>
                <w:i w:val="0"/>
                <w:sz w:val="20"/>
              </w:rPr>
              <w:t>2024-09-03</w:t>
            </w:r>
          </w:p>
        </w:tc>
        <w:tc>
          <w:tcPr>
            <w:tcW w:type="dxa" w:w="4873"/>
            <w:vAlign w:val="center"/>
          </w:tcPr>
          <w:p>
            <w:pPr>
              <w:spacing w:line="276" w:lineRule="auto" w:before="0" w:after="0"/>
            </w:pPr>
            <w:r/>
            <w:r>
              <w:rPr>
                <w:rFonts w:ascii="Figtree" w:hAnsi="Figtree"/>
                <w:b w:val="0"/>
                <w:i w:val="0"/>
                <w:sz w:val="20"/>
              </w:rPr>
              <w:t>fix: deployment plan (#63)</w:t>
            </w:r>
          </w:p>
        </w:tc>
      </w:tr>
      <w:tr>
        <w:trPr>
          <w:trHeight w:val="425" w:hRule="atLeast"/>
        </w:trPr>
        <w:tc>
          <w:tcPr>
            <w:tcW w:type="dxa" w:w="4873"/>
            <w:vAlign w:val="center"/>
          </w:tcPr>
          <w:p>
            <w:pPr>
              <w:spacing w:line="276" w:lineRule="auto" w:before="0" w:after="0"/>
            </w:pPr>
            <w:r/>
            <w:r>
              <w:rPr>
                <w:rFonts w:ascii="Figtree" w:hAnsi="Figtree"/>
                <w:b w:val="0"/>
                <w:i w:val="0"/>
                <w:sz w:val="20"/>
              </w:rPr>
              <w:t>2024-09-03</w:t>
            </w:r>
          </w:p>
        </w:tc>
        <w:tc>
          <w:tcPr>
            <w:tcW w:type="dxa" w:w="4873"/>
            <w:vAlign w:val="center"/>
          </w:tcPr>
          <w:p>
            <w:pPr>
              <w:spacing w:line="276" w:lineRule="auto" w:before="0" w:after="0"/>
            </w:pPr>
            <w:r/>
            <w:r>
              <w:rPr>
                <w:rFonts w:ascii="Figtree" w:hAnsi="Figtree"/>
                <w:b w:val="0"/>
                <w:i w:val="0"/>
                <w:sz w:val="20"/>
              </w:rPr>
              <w:t>feat: audit logs (#58)</w:t>
            </w:r>
          </w:p>
        </w:tc>
      </w:tr>
      <w:tr>
        <w:trPr>
          <w:trHeight w:val="425" w:hRule="atLeast"/>
        </w:trPr>
        <w:tc>
          <w:tcPr>
            <w:tcW w:type="dxa" w:w="4873"/>
            <w:vAlign w:val="center"/>
          </w:tcPr>
          <w:p>
            <w:pPr>
              <w:spacing w:line="276" w:lineRule="auto" w:before="0" w:after="0"/>
            </w:pPr>
            <w:r/>
            <w:r>
              <w:rPr>
                <w:rFonts w:ascii="Figtree" w:hAnsi="Figtree"/>
                <w:b w:val="0"/>
                <w:i w:val="0"/>
                <w:sz w:val="20"/>
              </w:rPr>
              <w:t>2024-09-03</w:t>
            </w:r>
          </w:p>
        </w:tc>
        <w:tc>
          <w:tcPr>
            <w:tcW w:type="dxa" w:w="4873"/>
            <w:vAlign w:val="center"/>
          </w:tcPr>
          <w:p>
            <w:pPr>
              <w:spacing w:line="276" w:lineRule="auto" w:before="0" w:after="0"/>
            </w:pPr>
            <w:r/>
            <w:r>
              <w:rPr>
                <w:rFonts w:ascii="Figtree" w:hAnsi="Figtree"/>
                <w:b w:val="0"/>
                <w:i w:val="0"/>
                <w:sz w:val="20"/>
              </w:rPr>
              <w:t>fix: asset tokenization (#64)</w:t>
            </w:r>
          </w:p>
        </w:tc>
      </w:tr>
      <w:tr>
        <w:trPr>
          <w:trHeight w:val="425" w:hRule="atLeast"/>
        </w:trPr>
        <w:tc>
          <w:tcPr>
            <w:tcW w:type="dxa" w:w="4873"/>
            <w:vAlign w:val="center"/>
          </w:tcPr>
          <w:p>
            <w:pPr>
              <w:spacing w:line="276" w:lineRule="auto" w:before="0" w:after="0"/>
            </w:pPr>
            <w:r/>
            <w:r>
              <w:rPr>
                <w:rFonts w:ascii="Figtree" w:hAnsi="Figtree"/>
                <w:b w:val="0"/>
                <w:i w:val="0"/>
                <w:sz w:val="20"/>
              </w:rPr>
              <w:t>2024-09-03</w:t>
            </w:r>
          </w:p>
        </w:tc>
        <w:tc>
          <w:tcPr>
            <w:tcW w:type="dxa" w:w="4873"/>
            <w:vAlign w:val="center"/>
          </w:tcPr>
          <w:p>
            <w:pPr>
              <w:spacing w:line="276" w:lineRule="auto" w:before="0" w:after="0"/>
            </w:pPr>
            <w:r/>
            <w:r>
              <w:rPr>
                <w:rFonts w:ascii="Figtree" w:hAnsi="Figtree"/>
                <w:b w:val="0"/>
                <w:i w:val="0"/>
                <w:sz w:val="20"/>
              </w:rPr>
              <w:t>fix: link (#67)</w:t>
            </w:r>
          </w:p>
        </w:tc>
      </w:tr>
      <w:tr>
        <w:trPr>
          <w:trHeight w:val="425" w:hRule="atLeast"/>
        </w:trPr>
        <w:tc>
          <w:tcPr>
            <w:tcW w:type="dxa" w:w="4873"/>
            <w:vAlign w:val="center"/>
          </w:tcPr>
          <w:p>
            <w:pPr>
              <w:spacing w:line="276" w:lineRule="auto" w:before="0" w:after="0"/>
            </w:pPr>
            <w:r/>
            <w:r>
              <w:rPr>
                <w:rFonts w:ascii="Figtree" w:hAnsi="Figtree"/>
                <w:b w:val="0"/>
                <w:i w:val="0"/>
                <w:sz w:val="20"/>
              </w:rPr>
              <w:t>2024-09-03</w:t>
            </w:r>
          </w:p>
        </w:tc>
        <w:tc>
          <w:tcPr>
            <w:tcW w:type="dxa" w:w="4873"/>
            <w:vAlign w:val="center"/>
          </w:tcPr>
          <w:p>
            <w:pPr>
              <w:spacing w:line="276" w:lineRule="auto" w:before="0" w:after="0"/>
            </w:pPr>
            <w:r/>
            <w:r>
              <w:rPr>
                <w:rFonts w:ascii="Figtree" w:hAnsi="Figtree"/>
                <w:b w:val="0"/>
                <w:i w:val="0"/>
                <w:sz w:val="20"/>
              </w:rPr>
              <w:t>fix: logo and hedera guide (#68)</w:t>
            </w:r>
          </w:p>
        </w:tc>
      </w:tr>
      <w:tr>
        <w:trPr>
          <w:trHeight w:val="425" w:hRule="atLeast"/>
        </w:trPr>
        <w:tc>
          <w:tcPr>
            <w:tcW w:type="dxa" w:w="4873"/>
            <w:vAlign w:val="center"/>
          </w:tcPr>
          <w:p>
            <w:pPr>
              <w:spacing w:line="276" w:lineRule="auto" w:before="0" w:after="0"/>
            </w:pPr>
            <w:r/>
            <w:r>
              <w:rPr>
                <w:rFonts w:ascii="Figtree" w:hAnsi="Figtree"/>
                <w:b w:val="0"/>
                <w:i w:val="0"/>
                <w:sz w:val="20"/>
              </w:rPr>
              <w:t>2024-08-28</w:t>
            </w:r>
          </w:p>
        </w:tc>
        <w:tc>
          <w:tcPr>
            <w:tcW w:type="dxa" w:w="4873"/>
            <w:vAlign w:val="center"/>
          </w:tcPr>
          <w:p>
            <w:pPr>
              <w:spacing w:line="276" w:lineRule="auto" w:before="0" w:after="0"/>
            </w:pPr>
            <w:r/>
            <w:r>
              <w:rPr>
                <w:rFonts w:ascii="Figtree" w:hAnsi="Figtree"/>
                <w:b w:val="0"/>
                <w:i w:val="0"/>
                <w:sz w:val="20"/>
              </w:rPr>
              <w:t>fix: update graph commands (#60)</w:t>
            </w:r>
          </w:p>
        </w:tc>
      </w:tr>
    </w:tbl>
    <w:p>
      <w:pPr>
        <w:spacing w:before="0" w:after="0" w:line="120" w:lineRule="exact"/>
      </w:pPr>
    </w:p>
    <w:p>
      <w:r>
        <w:rPr>
          <w:rFonts w:ascii="Figtree" w:hAnsi="Figtree"/>
          <w:b/>
          <w:i w:val="0"/>
          <w:sz w:val="22"/>
        </w:rPr>
        <w:t>R&amp;D Activities Demonstrated:</w:t>
      </w:r>
      <w:r>
        <w:rPr>
          <w:rFonts w:ascii="Figtree" w:hAnsi="Figtree"/>
          <w:b w:val="0"/>
          <w:i w:val="0"/>
          <w:sz w:val="22"/>
        </w:rPr>
        <w:t xml:space="preserve"> Documentation enhancements, blockchain support (Quorum, Hedera), audit logging, asset tokenization features.</w:t>
      </w:r>
    </w:p>
    <w:p>
      <w:r>
        <w:br w:type="page"/>
      </w:r>
    </w:p>
    <w:p>
      <w:pPr>
        <w:pStyle w:val="H3"/>
        <w:numPr>
          <w:ilvl w:val="2"/>
          <w:numId w:val="1"/>
        </w:numPr>
      </w:pPr>
      <w:r>
        <w:t>4.5 Silke Van den Broeck — 1 Commit</w:t>
      </w:r>
    </w:p>
    <w:p>
      <w:r>
        <w:rPr>
          <w:rFonts w:ascii="Figtree" w:hAnsi="Figtree"/>
          <w:b/>
          <w:i w:val="0"/>
          <w:sz w:val="22"/>
        </w:rPr>
        <w:t>Repository:</w:t>
      </w:r>
      <w:r>
        <w:rPr>
          <w:rFonts w:ascii="Figtree" w:hAnsi="Figtree"/>
          <w:b w:val="0"/>
          <w:i w:val="0"/>
          <w:sz w:val="22"/>
        </w:rPr>
        <w:t xml:space="preserve"> docs</w:t>
      </w:r>
    </w:p>
    <w:p>
      <w:r>
        <w:rPr>
          <w:rFonts w:ascii="Figtree" w:hAnsi="Figtree"/>
          <w:b/>
          <w:i w:val="0"/>
          <w:sz w:val="22"/>
        </w:rPr>
        <w:t>R&amp;D Activities Demonstrated:</w:t>
      </w:r>
      <w:r>
        <w:rPr>
          <w:rFonts w:ascii="Figtree" w:hAnsi="Figtree"/>
          <w:b w:val="0"/>
          <w:i w:val="0"/>
          <w:sz w:val="22"/>
        </w:rPr>
        <w:t xml:space="preserve"> Documentation updates. Limited commit activity in 2024 suggests either:</w:t>
      </w:r>
    </w:p>
    <w:p>
      <w:pPr>
        <w:pStyle w:val="ListParagraph"/>
        <w:numPr>
          <w:ilvl w:val="0"/>
          <w:numId w:val="4"/>
        </w:numPr>
      </w:pPr>
      <w:r>
        <w:rPr>
          <w:rFonts w:ascii="Figtree" w:hAnsi="Figtree"/>
          <w:b w:val="0"/>
          <w:i w:val="0"/>
          <w:sz w:val="22"/>
        </w:rPr>
        <w:t>Non-code contributions (design, review, planning)</w:t>
      </w:r>
    </w:p>
    <w:p>
      <w:pPr>
        <w:pStyle w:val="ListParagraph"/>
        <w:numPr>
          <w:ilvl w:val="0"/>
          <w:numId w:val="4"/>
        </w:numPr>
      </w:pPr>
      <w:r>
        <w:rPr>
          <w:rFonts w:ascii="Figtree" w:hAnsi="Figtree"/>
          <w:b w:val="0"/>
          <w:i w:val="0"/>
          <w:sz w:val="22"/>
        </w:rPr>
        <w:t>Joined later in 2024 or transitioned into different role</w:t>
      </w:r>
    </w:p>
    <w:p>
      <w:r>
        <w:br w:type="page"/>
      </w:r>
    </w:p>
    <w:p>
      <w:pPr>
        <w:pStyle w:val="H3"/>
        <w:numPr>
          <w:ilvl w:val="2"/>
          <w:numId w:val="1"/>
        </w:numPr>
      </w:pPr>
      <w:r>
        <w:t>4.6 Contractors — Summary</w:t>
      </w:r>
    </w:p>
    <w:p>
      <w:r>
        <w:rPr>
          <w:rFonts w:ascii="Figtree" w:hAnsi="Figtree"/>
          <w:b/>
          <w:i w:val="0"/>
          <w:sz w:val="22"/>
        </w:rPr>
        <w:t>Roderik van der Veer (712 commits):</w:t>
      </w:r>
      <w:r>
        <w:rPr>
          <w:rFonts w:ascii="Figtree" w:hAnsi="Figtree"/>
          <w:b w:val="0"/>
          <w:i w:val="0"/>
          <w:sz w:val="22"/>
        </w:rPr>
        <w:t xml:space="preserve"> Full-stack development across dalp, sdk, docs, solidity repos. Major contributions to platform architecture, authentication, deployment, and smart contract implementations.</w:t>
      </w:r>
    </w:p>
    <w:p>
      <w:r>
        <w:rPr>
          <w:rFonts w:ascii="Figtree" w:hAnsi="Figtree"/>
          <w:b/>
          <w:i w:val="0"/>
          <w:sz w:val="22"/>
        </w:rPr>
        <w:t>Jan Bevers (43 commits):</w:t>
      </w:r>
      <w:r>
        <w:rPr>
          <w:rFonts w:ascii="Figtree" w:hAnsi="Figtree"/>
          <w:b w:val="0"/>
          <w:i w:val="0"/>
          <w:sz w:val="22"/>
        </w:rPr>
        <w:t xml:space="preserve"> Full-stack development in dalp and sdk. Frontend/backend features, dependency updates, code quality improvements.</w:t>
      </w:r>
    </w:p>
    <w:p>
      <w:r>
        <w:rPr>
          <w:rFonts w:ascii="Figtree" w:hAnsi="Figtree"/>
          <w:b/>
          <w:i w:val="0"/>
          <w:sz w:val="22"/>
        </w:rPr>
        <w:t>Oleksandr Hrab (22 commits):</w:t>
      </w:r>
      <w:r>
        <w:rPr>
          <w:rFonts w:ascii="Figtree" w:hAnsi="Figtree"/>
          <w:b w:val="0"/>
          <w:i w:val="0"/>
          <w:sz w:val="22"/>
        </w:rPr>
        <w:t xml:space="preserve"> Infrastructure work in btp-on-gcp (GCP Terraform setup), documentation improvements.</w:t>
      </w:r>
    </w:p>
    <w:p>
      <w:r>
        <w:rPr>
          <w:rFonts w:ascii="Figtree" w:hAnsi="Figtree"/>
          <w:b/>
          <w:i w:val="0"/>
          <w:sz w:val="22"/>
        </w:rPr>
        <w:t>Patrick Mualaba (41 commits):</w:t>
      </w:r>
      <w:r>
        <w:rPr>
          <w:rFonts w:ascii="Figtree" w:hAnsi="Figtree"/>
          <w:b w:val="0"/>
          <w:i w:val="0"/>
          <w:sz w:val="22"/>
        </w:rPr>
        <w:t xml:space="preserve"> Frontend development in dalp, documentation updates.</w:t>
      </w:r>
    </w:p>
    <w:p>
      <w:r>
        <w:br w:type="page"/>
      </w:r>
    </w:p>
    <w:p>
      <w:pPr>
        <w:pStyle w:val="H2"/>
        <w:numPr>
          <w:ilvl w:val="1"/>
          <w:numId w:val="1"/>
        </w:numPr>
      </w:pPr>
      <w:r>
        <w:t>5. Repositories in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8"/>
        <w:gridCol w:w="3931"/>
        <w:gridCol w:w="28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Repository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Team Commits</w:t>
            </w:r>
          </w:p>
        </w:tc>
      </w:tr>
      <w:tr>
        <w:trPr>
          <w:trHeight w:val="425" w:hRule="atLeast"/>
        </w:trPr>
        <w:tc>
          <w:tcPr>
            <w:tcW w:type="dxa" w:w="3249"/>
            <w:vAlign w:val="center"/>
          </w:tcPr>
          <w:p>
            <w:pPr>
              <w:spacing w:line="276" w:lineRule="auto" w:before="0" w:after="0"/>
            </w:pPr>
            <w:r/>
            <w:r>
              <w:rPr>
                <w:rFonts w:ascii="Figtree" w:hAnsi="Figtree"/>
                <w:b w:val="0"/>
                <w:i w:val="0"/>
                <w:sz w:val="20"/>
              </w:rPr>
              <w:t>btp-chaincode-lifecycle</w:t>
            </w:r>
          </w:p>
        </w:tc>
        <w:tc>
          <w:tcPr>
            <w:tcW w:type="dxa" w:w="3249"/>
            <w:vAlign w:val="center"/>
          </w:tcPr>
          <w:p>
            <w:pPr>
              <w:spacing w:line="276" w:lineRule="auto" w:before="0" w:after="0"/>
            </w:pPr>
            <w:r/>
            <w:r>
              <w:rPr>
                <w:rFonts w:ascii="Figtree" w:hAnsi="Figtree"/>
                <w:b w:val="0"/>
                <w:i w:val="0"/>
                <w:sz w:val="20"/>
              </w:rPr>
              <w:t>Hyperledger Fabric chaincode management</w:t>
            </w:r>
          </w:p>
        </w:tc>
        <w:tc>
          <w:tcPr>
            <w:tcW w:type="dxa" w:w="3249"/>
            <w:vAlign w:val="center"/>
          </w:tcPr>
          <w:p>
            <w:pPr>
              <w:spacing w:line="276" w:lineRule="auto" w:before="0" w:after="0"/>
            </w:pPr>
            <w:r/>
            <w:r>
              <w:rPr>
                <w:rFonts w:ascii="Figtree" w:hAnsi="Figtree"/>
                <w:b w:val="0"/>
                <w:i w:val="0"/>
                <w:sz w:val="20"/>
              </w:rPr>
              <w:t>26 (Daan)</w:t>
            </w:r>
          </w:p>
        </w:tc>
      </w:tr>
      <w:tr>
        <w:trPr>
          <w:trHeight w:val="425" w:hRule="atLeast"/>
        </w:trPr>
        <w:tc>
          <w:tcPr>
            <w:tcW w:type="dxa" w:w="3249"/>
            <w:vAlign w:val="center"/>
          </w:tcPr>
          <w:p>
            <w:pPr>
              <w:spacing w:line="276" w:lineRule="auto" w:before="0" w:after="0"/>
            </w:pPr>
            <w:r/>
            <w:r>
              <w:rPr>
                <w:rFonts w:ascii="Figtree" w:hAnsi="Figtree"/>
                <w:b w:val="0"/>
                <w:i w:val="0"/>
                <w:sz w:val="20"/>
              </w:rPr>
              <w:t>btp-on-gcp</w:t>
            </w:r>
          </w:p>
        </w:tc>
        <w:tc>
          <w:tcPr>
            <w:tcW w:type="dxa" w:w="3249"/>
            <w:vAlign w:val="center"/>
          </w:tcPr>
          <w:p>
            <w:pPr>
              <w:spacing w:line="276" w:lineRule="auto" w:before="0" w:after="0"/>
            </w:pPr>
            <w:r/>
            <w:r>
              <w:rPr>
                <w:rFonts w:ascii="Figtree" w:hAnsi="Figtree"/>
                <w:b w:val="0"/>
                <w:i w:val="0"/>
                <w:sz w:val="20"/>
              </w:rPr>
              <w:t>BTP infrastructure on Google Cloud</w:t>
            </w:r>
          </w:p>
        </w:tc>
        <w:tc>
          <w:tcPr>
            <w:tcW w:type="dxa" w:w="3249"/>
            <w:vAlign w:val="center"/>
          </w:tcPr>
          <w:p>
            <w:pPr>
              <w:spacing w:line="276" w:lineRule="auto" w:before="0" w:after="0"/>
            </w:pPr>
            <w:r/>
            <w:r>
              <w:rPr>
                <w:rFonts w:ascii="Figtree" w:hAnsi="Figtree"/>
                <w:b w:val="0"/>
                <w:i w:val="0"/>
                <w:sz w:val="20"/>
              </w:rPr>
              <w:t>22 (Oleks)</w:t>
            </w:r>
          </w:p>
        </w:tc>
      </w:tr>
      <w:tr>
        <w:trPr>
          <w:trHeight w:val="425" w:hRule="atLeast"/>
        </w:trPr>
        <w:tc>
          <w:tcPr>
            <w:tcW w:type="dxa" w:w="3249"/>
            <w:vAlign w:val="center"/>
          </w:tcPr>
          <w:p>
            <w:pPr>
              <w:spacing w:line="276" w:lineRule="auto" w:before="0" w:after="0"/>
            </w:pPr>
            <w:r/>
            <w:r>
              <w:rPr>
                <w:rFonts w:ascii="Figtree" w:hAnsi="Figtree"/>
                <w:b w:val="0"/>
                <w:i w:val="0"/>
                <w:sz w:val="20"/>
              </w:rPr>
              <w:t>eas-indexing-service</w:t>
            </w:r>
          </w:p>
        </w:tc>
        <w:tc>
          <w:tcPr>
            <w:tcW w:type="dxa" w:w="3249"/>
            <w:vAlign w:val="center"/>
          </w:tcPr>
          <w:p>
            <w:pPr>
              <w:spacing w:line="276" w:lineRule="auto" w:before="0" w:after="0"/>
            </w:pPr>
            <w:r/>
            <w:r>
              <w:rPr>
                <w:rFonts w:ascii="Figtree" w:hAnsi="Figtree"/>
                <w:b w:val="0"/>
                <w:i w:val="0"/>
                <w:sz w:val="20"/>
              </w:rPr>
              <w:t>Ethereum Attestation Service indexing</w:t>
            </w:r>
          </w:p>
        </w:tc>
        <w:tc>
          <w:tcPr>
            <w:tcW w:type="dxa" w:w="3249"/>
            <w:vAlign w:val="center"/>
          </w:tcPr>
          <w:p>
            <w:pPr>
              <w:spacing w:line="276" w:lineRule="auto" w:before="0" w:after="0"/>
            </w:pPr>
            <w:r/>
            <w:r>
              <w:rPr>
                <w:rFonts w:ascii="Figtree" w:hAnsi="Figtree"/>
                <w:b w:val="0"/>
                <w:i w:val="0"/>
                <w:sz w:val="20"/>
              </w:rPr>
              <w:t>21 (Robbe)</w:t>
            </w:r>
          </w:p>
        </w:tc>
      </w:tr>
      <w:tr>
        <w:trPr>
          <w:trHeight w:val="425" w:hRule="atLeast"/>
        </w:trPr>
        <w:tc>
          <w:tcPr>
            <w:tcW w:type="dxa" w:w="3249"/>
            <w:vAlign w:val="center"/>
          </w:tcPr>
          <w:p>
            <w:pPr>
              <w:spacing w:line="276" w:lineRule="auto" w:before="0" w:after="0"/>
            </w:pPr>
            <w:r/>
            <w:r>
              <w:rPr>
                <w:rFonts w:ascii="Figtree" w:hAnsi="Figtree"/>
                <w:b w:val="0"/>
                <w:i w:val="0"/>
                <w:sz w:val="20"/>
              </w:rPr>
              <w:t>docs</w:t>
            </w:r>
          </w:p>
        </w:tc>
        <w:tc>
          <w:tcPr>
            <w:tcW w:type="dxa" w:w="3249"/>
            <w:vAlign w:val="center"/>
          </w:tcPr>
          <w:p>
            <w:pPr>
              <w:spacing w:line="276" w:lineRule="auto" w:before="0" w:after="0"/>
            </w:pPr>
            <w:r/>
            <w:r>
              <w:rPr>
                <w:rFonts w:ascii="Figtree" w:hAnsi="Figtree"/>
                <w:b w:val="0"/>
                <w:i w:val="0"/>
                <w:sz w:val="20"/>
              </w:rPr>
              <w:t>Product documentation</w:t>
            </w:r>
          </w:p>
        </w:tc>
        <w:tc>
          <w:tcPr>
            <w:tcW w:type="dxa" w:w="3249"/>
            <w:vAlign w:val="center"/>
          </w:tcPr>
          <w:p>
            <w:pPr>
              <w:spacing w:line="276" w:lineRule="auto" w:before="0" w:after="0"/>
            </w:pPr>
            <w:r/>
            <w:r>
              <w:rPr>
                <w:rFonts w:ascii="Figtree" w:hAnsi="Figtree"/>
                <w:b w:val="0"/>
                <w:i w:val="0"/>
                <w:sz w:val="20"/>
              </w:rPr>
              <w:t>70+ (multiple)</w:t>
            </w:r>
          </w:p>
        </w:tc>
      </w:tr>
      <w:tr>
        <w:trPr>
          <w:trHeight w:val="425" w:hRule="atLeast"/>
        </w:trPr>
        <w:tc>
          <w:tcPr>
            <w:tcW w:type="dxa" w:w="3249"/>
            <w:vAlign w:val="center"/>
          </w:tcPr>
          <w:p>
            <w:pPr>
              <w:spacing w:line="276" w:lineRule="auto" w:before="0" w:after="0"/>
            </w:pPr>
            <w:r/>
            <w:r>
              <w:rPr>
                <w:rFonts w:ascii="Figtree" w:hAnsi="Figtree"/>
                <w:b w:val="0"/>
                <w:i w:val="0"/>
                <w:sz w:val="20"/>
              </w:rPr>
              <w:t>solidity-token-erc20</w:t>
            </w:r>
          </w:p>
        </w:tc>
        <w:tc>
          <w:tcPr>
            <w:tcW w:type="dxa" w:w="3249"/>
            <w:vAlign w:val="center"/>
          </w:tcPr>
          <w:p>
            <w:pPr>
              <w:spacing w:line="276" w:lineRule="auto" w:before="0" w:after="0"/>
            </w:pPr>
            <w:r/>
            <w:r>
              <w:rPr>
                <w:rFonts w:ascii="Figtree" w:hAnsi="Figtree"/>
                <w:b w:val="0"/>
                <w:i w:val="0"/>
                <w:sz w:val="20"/>
              </w:rPr>
              <w:t>ERC-20 token standard</w:t>
            </w:r>
          </w:p>
        </w:tc>
        <w:tc>
          <w:tcPr>
            <w:tcW w:type="dxa" w:w="3249"/>
            <w:vAlign w:val="center"/>
          </w:tcPr>
          <w:p>
            <w:pPr>
              <w:spacing w:line="276" w:lineRule="auto" w:before="0" w:after="0"/>
            </w:pPr>
            <w:r/>
            <w:r>
              <w:rPr>
                <w:rFonts w:ascii="Figtree" w:hAnsi="Figtree"/>
                <w:b w:val="0"/>
                <w:i w:val="0"/>
                <w:sz w:val="20"/>
              </w:rPr>
              <w:t>20+ (Snigdha, Ambroise)</w:t>
            </w:r>
          </w:p>
        </w:tc>
      </w:tr>
      <w:tr>
        <w:trPr>
          <w:trHeight w:val="425" w:hRule="atLeast"/>
        </w:trPr>
        <w:tc>
          <w:tcPr>
            <w:tcW w:type="dxa" w:w="3249"/>
            <w:vAlign w:val="center"/>
          </w:tcPr>
          <w:p>
            <w:pPr>
              <w:spacing w:line="276" w:lineRule="auto" w:before="0" w:after="0"/>
            </w:pPr>
            <w:r/>
            <w:r>
              <w:rPr>
                <w:rFonts w:ascii="Figtree" w:hAnsi="Figtree"/>
                <w:b w:val="0"/>
                <w:i w:val="0"/>
                <w:sz w:val="20"/>
              </w:rPr>
              <w:t>solidity-token-erc721</w:t>
            </w:r>
          </w:p>
        </w:tc>
        <w:tc>
          <w:tcPr>
            <w:tcW w:type="dxa" w:w="3249"/>
            <w:vAlign w:val="center"/>
          </w:tcPr>
          <w:p>
            <w:pPr>
              <w:spacing w:line="276" w:lineRule="auto" w:before="0" w:after="0"/>
            </w:pPr>
            <w:r/>
            <w:r>
              <w:rPr>
                <w:rFonts w:ascii="Figtree" w:hAnsi="Figtree"/>
                <w:b w:val="0"/>
                <w:i w:val="0"/>
                <w:sz w:val="20"/>
              </w:rPr>
              <w:t>ERC-721 NFT standard</w:t>
            </w:r>
          </w:p>
        </w:tc>
        <w:tc>
          <w:tcPr>
            <w:tcW w:type="dxa" w:w="3249"/>
            <w:vAlign w:val="center"/>
          </w:tcPr>
          <w:p>
            <w:pPr>
              <w:spacing w:line="276" w:lineRule="auto" w:before="0" w:after="0"/>
            </w:pPr>
            <w:r/>
            <w:r>
              <w:rPr>
                <w:rFonts w:ascii="Figtree" w:hAnsi="Figtree"/>
                <w:b w:val="0"/>
                <w:i w:val="0"/>
                <w:sz w:val="20"/>
              </w:rPr>
              <w:t>15+ (Snigdha, Ambroise)</w:t>
            </w:r>
          </w:p>
        </w:tc>
      </w:tr>
      <w:tr>
        <w:trPr>
          <w:trHeight w:val="425" w:hRule="atLeast"/>
        </w:trPr>
        <w:tc>
          <w:tcPr>
            <w:tcW w:type="dxa" w:w="3249"/>
            <w:vAlign w:val="center"/>
          </w:tcPr>
          <w:p>
            <w:pPr>
              <w:spacing w:line="276" w:lineRule="auto" w:before="0" w:after="0"/>
            </w:pPr>
            <w:r/>
            <w:r>
              <w:rPr>
                <w:rFonts w:ascii="Figtree" w:hAnsi="Figtree"/>
                <w:b w:val="0"/>
                <w:i w:val="0"/>
                <w:sz w:val="20"/>
              </w:rPr>
              <w:t>solidity-supplychain</w:t>
            </w:r>
          </w:p>
        </w:tc>
        <w:tc>
          <w:tcPr>
            <w:tcW w:type="dxa" w:w="3249"/>
            <w:vAlign w:val="center"/>
          </w:tcPr>
          <w:p>
            <w:pPr>
              <w:spacing w:line="276" w:lineRule="auto" w:before="0" w:after="0"/>
            </w:pPr>
            <w:r/>
            <w:r>
              <w:rPr>
                <w:rFonts w:ascii="Figtree" w:hAnsi="Figtree"/>
                <w:b w:val="0"/>
                <w:i w:val="0"/>
                <w:sz w:val="20"/>
              </w:rPr>
              <w:t>Supply chain contracts</w:t>
            </w:r>
          </w:p>
        </w:tc>
        <w:tc>
          <w:tcPr>
            <w:tcW w:type="dxa" w:w="3249"/>
            <w:vAlign w:val="center"/>
          </w:tcPr>
          <w:p>
            <w:pPr>
              <w:spacing w:line="276" w:lineRule="auto" w:before="0" w:after="0"/>
            </w:pPr>
            <w:r/>
            <w:r>
              <w:rPr>
                <w:rFonts w:ascii="Figtree" w:hAnsi="Figtree"/>
                <w:b w:val="0"/>
                <w:i w:val="0"/>
                <w:sz w:val="20"/>
              </w:rPr>
              <w:t>10+ (Snigdha, Ambroise)</w:t>
            </w:r>
          </w:p>
        </w:tc>
      </w:tr>
      <w:tr>
        <w:trPr>
          <w:trHeight w:val="425" w:hRule="atLeast"/>
        </w:trPr>
        <w:tc>
          <w:tcPr>
            <w:tcW w:type="dxa" w:w="3249"/>
            <w:vAlign w:val="center"/>
          </w:tcPr>
          <w:p>
            <w:pPr>
              <w:spacing w:line="276" w:lineRule="auto" w:before="0" w:after="0"/>
            </w:pPr>
            <w:r/>
            <w:r>
              <w:rPr>
                <w:rFonts w:ascii="Figtree" w:hAnsi="Figtree"/>
                <w:b w:val="0"/>
                <w:i w:val="0"/>
                <w:sz w:val="20"/>
              </w:rPr>
              <w:t>dalp</w:t>
            </w:r>
          </w:p>
        </w:tc>
        <w:tc>
          <w:tcPr>
            <w:tcW w:type="dxa" w:w="3249"/>
            <w:vAlign w:val="center"/>
          </w:tcPr>
          <w:p>
            <w:pPr>
              <w:spacing w:line="276" w:lineRule="auto" w:before="0" w:after="0"/>
            </w:pPr>
            <w:r/>
            <w:r>
              <w:rPr>
                <w:rFonts w:ascii="Figtree" w:hAnsi="Figtree"/>
                <w:b w:val="0"/>
                <w:i w:val="0"/>
                <w:sz w:val="20"/>
              </w:rPr>
              <w:t>Digital Asset Lifecycle Platform</w:t>
            </w:r>
          </w:p>
        </w:tc>
        <w:tc>
          <w:tcPr>
            <w:tcW w:type="dxa" w:w="3249"/>
            <w:vAlign w:val="center"/>
          </w:tcPr>
          <w:p>
            <w:pPr>
              <w:spacing w:line="276" w:lineRule="auto" w:before="0" w:after="0"/>
            </w:pPr>
            <w:r/>
            <w:r>
              <w:rPr>
                <w:rFonts w:ascii="Figtree" w:hAnsi="Figtree"/>
                <w:b w:val="0"/>
                <w:i w:val="0"/>
                <w:sz w:val="20"/>
              </w:rPr>
              <w:t>300+ (Roderik, Jan, Patrick)</w:t>
            </w:r>
          </w:p>
        </w:tc>
      </w:tr>
      <w:tr>
        <w:trPr>
          <w:trHeight w:val="425" w:hRule="atLeast"/>
        </w:trPr>
        <w:tc>
          <w:tcPr>
            <w:tcW w:type="dxa" w:w="3249"/>
            <w:vAlign w:val="center"/>
          </w:tcPr>
          <w:p>
            <w:pPr>
              <w:spacing w:line="276" w:lineRule="auto" w:before="0" w:after="0"/>
            </w:pPr>
            <w:r/>
            <w:r>
              <w:rPr>
                <w:rFonts w:ascii="Figtree" w:hAnsi="Figtree"/>
                <w:b w:val="0"/>
                <w:i w:val="0"/>
                <w:sz w:val="20"/>
              </w:rPr>
              <w:t>sdk</w:t>
            </w:r>
          </w:p>
        </w:tc>
        <w:tc>
          <w:tcPr>
            <w:tcW w:type="dxa" w:w="3249"/>
            <w:vAlign w:val="center"/>
          </w:tcPr>
          <w:p>
            <w:pPr>
              <w:spacing w:line="276" w:lineRule="auto" w:before="0" w:after="0"/>
            </w:pPr>
            <w:r/>
            <w:r>
              <w:rPr>
                <w:rFonts w:ascii="Figtree" w:hAnsi="Figtree"/>
                <w:b w:val="0"/>
                <w:i w:val="0"/>
                <w:sz w:val="20"/>
              </w:rPr>
              <w:t>SettleMint SDK</w:t>
            </w:r>
          </w:p>
        </w:tc>
        <w:tc>
          <w:tcPr>
            <w:tcW w:type="dxa" w:w="3249"/>
            <w:vAlign w:val="center"/>
          </w:tcPr>
          <w:p>
            <w:pPr>
              <w:spacing w:line="276" w:lineRule="auto" w:before="0" w:after="0"/>
            </w:pPr>
            <w:r/>
            <w:r>
              <w:rPr>
                <w:rFonts w:ascii="Figtree" w:hAnsi="Figtree"/>
                <w:b w:val="0"/>
                <w:i w:val="0"/>
                <w:sz w:val="20"/>
              </w:rPr>
              <w:t>350+ (Roderik, Jan)</w:t>
            </w:r>
          </w:p>
        </w:tc>
      </w:tr>
    </w:tbl>
    <w:p>
      <w:pPr>
        <w:spacing w:before="0" w:after="0" w:line="120" w:lineRule="exact"/>
      </w:pPr>
    </w:p>
    <w:p>
      <w:r>
        <w:br w:type="page"/>
      </w:r>
    </w:p>
    <w:p>
      <w:pPr>
        <w:pStyle w:val="H2"/>
        <w:numPr>
          <w:ilvl w:val="1"/>
          <w:numId w:val="1"/>
        </w:numPr>
      </w:pPr>
      <w:r>
        <w:t>6. Recommendations</w:t>
      </w:r>
    </w:p>
    <w:p>
      <w:pPr>
        <w:pStyle w:val="H3"/>
        <w:numPr>
          <w:ilvl w:val="2"/>
          <w:numId w:val="1"/>
        </w:numPr>
      </w:pPr>
      <w:r>
        <w:t>6.1 For Silke Van den Broeck</w:t>
      </w:r>
    </w:p>
    <w:p>
      <w:r>
        <w:rPr>
          <w:rFonts w:ascii="Figtree" w:hAnsi="Figtree"/>
          <w:b w:val="0"/>
          <w:i w:val="0"/>
          <w:sz w:val="22"/>
        </w:rPr>
        <w:t>With only 1 commit found, recommend gathering:</w:t>
      </w:r>
    </w:p>
    <w:p>
      <w:pPr>
        <w:pStyle w:val="ListParagraph"/>
        <w:numPr>
          <w:ilvl w:val="0"/>
          <w:numId w:val="4"/>
        </w:numPr>
      </w:pPr>
      <w:r>
        <w:rPr>
          <w:rFonts w:ascii="Figtree" w:hAnsi="Figtree"/>
          <w:b w:val="0"/>
          <w:i w:val="0"/>
          <w:sz w:val="22"/>
        </w:rPr>
        <w:t>Project management/ticket data showing R&amp;D activities</w:t>
      </w:r>
    </w:p>
    <w:p>
      <w:pPr>
        <w:pStyle w:val="ListParagraph"/>
        <w:numPr>
          <w:ilvl w:val="0"/>
          <w:numId w:val="4"/>
        </w:numPr>
      </w:pPr>
      <w:r>
        <w:rPr>
          <w:rFonts w:ascii="Figtree" w:hAnsi="Figtree"/>
          <w:b w:val="0"/>
          <w:i w:val="0"/>
          <w:sz w:val="22"/>
        </w:rPr>
        <w:t>Meeting notes with technical contributions</w:t>
      </w:r>
    </w:p>
    <w:p>
      <w:pPr>
        <w:pStyle w:val="ListParagraph"/>
        <w:numPr>
          <w:ilvl w:val="0"/>
          <w:numId w:val="4"/>
        </w:numPr>
      </w:pPr>
      <w:r>
        <w:rPr>
          <w:rFonts w:ascii="Figtree" w:hAnsi="Figtree"/>
          <w:b w:val="0"/>
          <w:i w:val="0"/>
          <w:sz w:val="22"/>
        </w:rPr>
        <w:t>Internal documentation or design work</w:t>
      </w:r>
    </w:p>
    <w:p>
      <w:pPr>
        <w:pStyle w:val="H3"/>
        <w:numPr>
          <w:ilvl w:val="2"/>
          <w:numId w:val="1"/>
        </w:numPr>
      </w:pPr>
      <w:r>
        <w:t>6.2 Documentation to Request from Deloitte</w:t>
      </w:r>
    </w:p>
    <w:p>
      <w:pPr>
        <w:pStyle w:val="ListParagraph"/>
        <w:numPr>
          <w:ilvl w:val="0"/>
          <w:numId w:val="7"/>
        </w:numPr>
      </w:pPr>
      <w:r>
        <w:rPr>
          <w:rFonts w:ascii="Figtree" w:hAnsi="Figtree"/>
          <w:b w:val="0"/>
          <w:i w:val="0"/>
          <w:sz w:val="22"/>
        </w:rPr>
        <w:t>Whether 1 commit is sufficient for Silke given other evidence</w:t>
      </w:r>
    </w:p>
    <w:p>
      <w:pPr>
        <w:pStyle w:val="ListParagraph"/>
        <w:numPr>
          <w:ilvl w:val="0"/>
          <w:numId w:val="7"/>
        </w:numPr>
      </w:pPr>
      <w:r>
        <w:rPr>
          <w:rFonts w:ascii="Figtree" w:hAnsi="Figtree"/>
          <w:b w:val="0"/>
          <w:i w:val="0"/>
          <w:sz w:val="22"/>
        </w:rPr>
        <w:t>Acceptability of project management records as supplementary proof</w:t>
      </w:r>
    </w:p>
    <w:p>
      <w:pPr>
        <w:pStyle w:val="H3"/>
        <w:numPr>
          <w:ilvl w:val="2"/>
          <w:numId w:val="1"/>
        </w:numPr>
      </w:pPr>
      <w:r>
        <w:t>6.3 For Future Years</w:t>
      </w:r>
    </w:p>
    <w:p>
      <w:pPr>
        <w:pStyle w:val="ListParagraph"/>
        <w:numPr>
          <w:ilvl w:val="0"/>
          <w:numId w:val="4"/>
        </w:numPr>
      </w:pPr>
      <w:r>
        <w:rPr>
          <w:rFonts w:ascii="Figtree" w:hAnsi="Figtree"/>
          <w:b w:val="0"/>
          <w:i w:val="0"/>
          <w:sz w:val="22"/>
        </w:rPr>
        <w:t>Implement mandatory GitHub commit tracking for all R&amp;D staff</w:t>
      </w:r>
    </w:p>
    <w:p>
      <w:pPr>
        <w:pStyle w:val="ListParagraph"/>
        <w:numPr>
          <w:ilvl w:val="0"/>
          <w:numId w:val="4"/>
        </w:numPr>
      </w:pPr>
      <w:r>
        <w:rPr>
          <w:rFonts w:ascii="Figtree" w:hAnsi="Figtree"/>
          <w:b w:val="0"/>
          <w:i w:val="0"/>
          <w:sz w:val="22"/>
        </w:rPr>
        <w:t>Maintain project management records with clear R&amp;D categorization</w:t>
      </w:r>
    </w:p>
    <w:p>
      <w:r>
        <w:br w:type="page"/>
      </w:r>
    </w:p>
    <w:p>
      <w:pPr>
        <w:pStyle w:val="H2"/>
        <w:numPr>
          <w:ilvl w:val="1"/>
          <w:numId w:val="1"/>
        </w:numPr>
      </w:pPr>
      <w:r>
        <w:t>7. Appendix: Data Sources</w:t>
      </w:r>
    </w:p>
    <w:p>
      <w:pPr>
        <w:pStyle w:val="ListParagraph"/>
        <w:numPr>
          <w:ilvl w:val="0"/>
          <w:numId w:val="4"/>
        </w:numPr>
      </w:pPr>
      <w:r>
        <w:rPr>
          <w:rFonts w:ascii="Figtree" w:hAnsi="Figtree"/>
          <w:b w:val="0"/>
          <w:i w:val="0"/>
          <w:sz w:val="22"/>
        </w:rPr>
        <w:t>GitHub API — All SettleMint repositories</w:t>
      </w:r>
    </w:p>
    <w:p>
      <w:pPr>
        <w:pStyle w:val="ListParagraph"/>
        <w:numPr>
          <w:ilvl w:val="0"/>
          <w:numId w:val="4"/>
        </w:numPr>
      </w:pPr>
      <w:r>
        <w:rPr>
          <w:rFonts w:ascii="Figtree" w:hAnsi="Figtree"/>
          <w:b w:val="0"/>
          <w:i w:val="0"/>
          <w:sz w:val="22"/>
        </w:rPr>
        <w:t>Local git repositories: btp-chaincode-lifecycle, btp-on-gcp, eas-indexing-service, docs, solidity-token-erc20, solidity-token-erc721, solidity-supplychain, dalp, sdk</w:t>
      </w:r>
    </w:p>
    <w:p>
      <w:pPr>
        <w:pStyle w:val="ListParagraph"/>
        <w:numPr>
          <w:ilvl w:val="0"/>
          <w:numId w:val="4"/>
        </w:numPr>
      </w:pPr>
      <w:r>
        <w:rPr>
          <w:rFonts w:ascii="Figtree" w:hAnsi="Figtree"/>
          <w:b w:val="0"/>
          <w:i w:val="0"/>
          <w:sz w:val="22"/>
        </w:rPr>
        <w:t>Web research: Deloitte, PwC, KPMG, Belspo official guidelines</w:t>
      </w:r>
    </w:p>
    <w:p>
      <w:r>
        <w:br w:type="page"/>
      </w:r>
    </w:p>
    <w:p>
      <w:pPr>
        <w:pStyle w:val="H2"/>
        <w:numPr>
          <w:ilvl w:val="1"/>
          <w:numId w:val="1"/>
        </w:numPr>
      </w:pPr>
      <w:r>
        <w:t>8. Limitations</w:t>
      </w:r>
    </w:p>
    <w:p>
      <w:pPr>
        <w:pStyle w:val="ListParagraph"/>
        <w:numPr>
          <w:ilvl w:val="0"/>
          <w:numId w:val="7"/>
        </w:numPr>
      </w:pPr>
      <w:r>
        <w:rPr>
          <w:rFonts w:ascii="Figtree" w:hAnsi="Figtree"/>
          <w:b w:val="0"/>
          <w:i w:val="0"/>
          <w:sz w:val="22"/>
        </w:rPr>
        <w:t>GitHub data may not capture all R&amp;D activities (internal docs, design work, research)</w:t>
      </w:r>
    </w:p>
    <w:p>
      <w:pPr>
        <w:pStyle w:val="ListParagraph"/>
        <w:numPr>
          <w:ilvl w:val="0"/>
          <w:numId w:val="7"/>
        </w:numPr>
      </w:pPr>
      <w:r>
        <w:rPr>
          <w:rFonts w:ascii="Figtree" w:hAnsi="Figtree"/>
          <w:b w:val="0"/>
          <w:i w:val="0"/>
          <w:sz w:val="22"/>
        </w:rPr>
        <w:t>Some contributions may be in private repositories</w:t>
      </w:r>
    </w:p>
    <w:p>
      <w:pPr>
        <w:pStyle w:val="ListParagraph"/>
        <w:numPr>
          <w:ilvl w:val="0"/>
          <w:numId w:val="7"/>
        </w:numPr>
      </w:pPr>
      <w:r>
        <w:rPr>
          <w:rFonts w:ascii="Figtree" w:hAnsi="Figtree"/>
          <w:b w:val="0"/>
          <w:i w:val="0"/>
          <w:sz w:val="22"/>
        </w:rPr>
        <w:t>Linear/ticket data not incorporated — requires separate export</w:t>
      </w:r>
    </w:p>
    <w:p>
      <w:r>
        <w:br w:type="page"/>
      </w:r>
    </w:p>
    <w:p>
      <w:r>
        <w:rPr>
          <w:rFonts w:ascii="Figtree" w:hAnsi="Figtree"/>
          <w:b w:val="0"/>
          <w:i/>
          <w:sz w:val="22"/>
        </w:rPr>
        <w:t>Report prepared based on available data as of March 19,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Belspo R&amp;D Proof Report</dc:title>
  <dc:subject>Fiscal Year 2024</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