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 Cross-Border Tokenized Payments Platform</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1. Executive Summary</w:t>
          </w:r>
          <w:r>
            <w:tab/>
          </w:r>
          <w:r>
            <w:t xml:space="preserve">5</w:t>
          </w:r>
        </w:p>
        <w:p>
          <w:pPr>
            <w:pStyle w:val="TOC2"/>
            <w:tabs>
              <w:tab w:val="right" w:leader="dot" w:pos="9072"/>
            </w:tabs>
          </w:pPr>
          <w:r>
            <w:t xml:space="preserve">2. Investment Rationale</w:t>
          </w:r>
          <w:r>
            <w:tab/>
          </w:r>
          <w:r>
            <w:t xml:space="preserve">6</w:t>
          </w:r>
        </w:p>
        <w:p>
          <w:pPr>
            <w:pStyle w:val="TOC3"/>
            <w:tabs>
              <w:tab w:val="right" w:leader="dot" w:pos="9072"/>
            </w:tabs>
          </w:pPr>
          <w:r>
            <w:t xml:space="preserve">2.1 Cost of the Current Approach</w:t>
          </w:r>
          <w:r>
            <w:tab/>
          </w:r>
          <w:r>
            <w:t xml:space="preserve">7</w:t>
          </w:r>
        </w:p>
        <w:p>
          <w:pPr>
            <w:pStyle w:val="TOC3"/>
            <w:tabs>
              <w:tab w:val="right" w:leader="dot" w:pos="9072"/>
            </w:tabs>
          </w:pPr>
          <w:r>
            <w:t xml:space="preserve">2.2 Why DALP Changes the Economics</w:t>
          </w:r>
          <w:r>
            <w:tab/>
          </w:r>
          <w:r>
            <w:t xml:space="preserve">8</w:t>
          </w:r>
        </w:p>
        <w:p>
          <w:pPr>
            <w:pStyle w:val="TOC3"/>
            <w:tabs>
              <w:tab w:val="right" w:leader="dot" w:pos="9072"/>
            </w:tabs>
          </w:pPr>
          <w:r>
            <w:t xml:space="preserve">2.3 ROI Framework</w:t>
          </w:r>
          <w:r>
            <w:tab/>
          </w:r>
          <w:r>
            <w:t xml:space="preserve">9</w:t>
          </w:r>
        </w:p>
        <w:p>
          <w:pPr>
            <w:pStyle w:val="TOC2"/>
            <w:tabs>
              <w:tab w:val="right" w:leader="dot" w:pos="9072"/>
            </w:tabs>
          </w:pPr>
          <w:r>
            <w:t xml:space="preserve">3. Licensing Model</w:t>
          </w:r>
          <w:r>
            <w:tab/>
          </w:r>
          <w:r>
            <w:t xml:space="preserve">10</w:t>
          </w:r>
        </w:p>
        <w:p>
          <w:pPr>
            <w:pStyle w:val="TOC3"/>
            <w:tabs>
              <w:tab w:val="right" w:leader="dot" w:pos="9072"/>
            </w:tabs>
          </w:pPr>
          <w:r>
            <w:t xml:space="preserve">3.1 Philosophy</w:t>
          </w:r>
          <w:r>
            <w:tab/>
          </w:r>
          <w:r>
            <w:t xml:space="preserve">11</w:t>
          </w:r>
        </w:p>
        <w:p>
          <w:pPr>
            <w:pStyle w:val="TOC3"/>
            <w:tabs>
              <w:tab w:val="right" w:leader="dot" w:pos="9072"/>
            </w:tabs>
          </w:pPr>
          <w:r>
            <w:t xml:space="preserve">3.2 What's Included in the Platform License</w:t>
          </w:r>
          <w:r>
            <w:tab/>
          </w:r>
          <w:r>
            <w:t xml:space="preserve">12</w:t>
          </w:r>
        </w:p>
        <w:p>
          <w:pPr>
            <w:pStyle w:val="TOC3"/>
            <w:tabs>
              <w:tab w:val="right" w:leader="dot" w:pos="9072"/>
            </w:tabs>
          </w:pPr>
          <w:r>
            <w:t xml:space="preserve">3.3 What Varies by Engagement</w:t>
          </w:r>
          <w:r>
            <w:tab/>
          </w:r>
          <w:r>
            <w:t xml:space="preserve">13</w:t>
          </w:r>
        </w:p>
        <w:p>
          <w:pPr>
            <w:pStyle w:val="TOC3"/>
            <w:tabs>
              <w:tab w:val="right" w:leader="dot" w:pos="9072"/>
            </w:tabs>
          </w:pPr>
          <w:r>
            <w:t xml:space="preserve">3.4 Platform Tiers</w:t>
          </w:r>
          <w:r>
            <w:tab/>
          </w:r>
          <w:r>
            <w:t xml:space="preserve">14</w:t>
          </w:r>
        </w:p>
        <w:p>
          <w:pPr>
            <w:pStyle w:val="TOC2"/>
            <w:tabs>
              <w:tab w:val="right" w:leader="dot" w:pos="9072"/>
            </w:tabs>
          </w:pPr>
          <w:r>
            <w:t xml:space="preserve">4. Deployment Options and Pricing</w:t>
          </w:r>
          <w:r>
            <w:tab/>
          </w:r>
          <w:r>
            <w:t xml:space="preserve">15</w:t>
          </w:r>
        </w:p>
        <w:p>
          <w:pPr>
            <w:pStyle w:val="TOC3"/>
            <w:tabs>
              <w:tab w:val="right" w:leader="dot" w:pos="9072"/>
            </w:tabs>
          </w:pPr>
          <w:r>
            <w:t xml:space="preserve">4.1 Recommended Deployment Model: On-Premises or China Private Cloud</w:t>
          </w:r>
          <w:r>
            <w:tab/>
          </w:r>
          <w:r>
            <w:t xml:space="preserve">16</w:t>
          </w:r>
        </w:p>
        <w:p>
          <w:pPr>
            <w:pStyle w:val="TOC3"/>
            <w:tabs>
              <w:tab w:val="right" w:leader="dot" w:pos="9072"/>
            </w:tabs>
          </w:pPr>
          <w:r>
            <w:t xml:space="preserve">4.2 Deployment Model Comparison</w:t>
          </w:r>
          <w:r>
            <w:tab/>
          </w:r>
          <w:r>
            <w:t xml:space="preserve">17</w:t>
          </w:r>
        </w:p>
        <w:p>
          <w:pPr>
            <w:pStyle w:val="TOC3"/>
            <w:tabs>
              <w:tab w:val="right" w:leader="dot" w:pos="9072"/>
            </w:tabs>
          </w:pPr>
          <w:r>
            <w:t xml:space="preserve">4.3 Cost Structure</w:t>
          </w:r>
          <w:r>
            <w:tab/>
          </w:r>
          <w:r>
            <w:t xml:space="preserve">18</w:t>
          </w:r>
        </w:p>
        <w:p>
          <w:pPr>
            <w:pStyle w:val="TOC3"/>
            <w:tabs>
              <w:tab w:val="right" w:leader="dot" w:pos="9072"/>
            </w:tabs>
          </w:pPr>
          <w:r>
            <w:t xml:space="preserve">4.4 Cost Drivers</w:t>
          </w:r>
          <w:r>
            <w:tab/>
          </w:r>
          <w:r>
            <w:t xml:space="preserve">19</w:t>
          </w:r>
        </w:p>
        <w:p>
          <w:pPr>
            <w:pStyle w:val="TOC2"/>
            <w:tabs>
              <w:tab w:val="right" w:leader="dot" w:pos="9072"/>
            </w:tabs>
          </w:pPr>
          <w:r>
            <w:t xml:space="preserve">5. Support and SLA Framework</w:t>
          </w:r>
          <w:r>
            <w:tab/>
          </w:r>
          <w:r>
            <w:t xml:space="preserve">20</w:t>
          </w:r>
        </w:p>
        <w:p>
          <w:pPr>
            <w:pStyle w:val="TOC3"/>
            <w:tabs>
              <w:tab w:val="right" w:leader="dot" w:pos="9072"/>
            </w:tabs>
          </w:pPr>
          <w:r>
            <w:t xml:space="preserve">5.1 Support Tier Comparison</w:t>
          </w:r>
          <w:r>
            <w:tab/>
          </w:r>
          <w:r>
            <w:t xml:space="preserve">21</w:t>
          </w:r>
        </w:p>
        <w:p>
          <w:pPr>
            <w:pStyle w:val="TOC3"/>
            <w:tabs>
              <w:tab w:val="right" w:leader="dot" w:pos="9072"/>
            </w:tabs>
          </w:pPr>
          <w:r>
            <w:t xml:space="preserve">5.2 Severity Definitions</w:t>
          </w:r>
          <w:r>
            <w:tab/>
          </w:r>
          <w:r>
            <w:t xml:space="preserve">22</w:t>
          </w:r>
        </w:p>
        <w:p>
          <w:pPr>
            <w:pStyle w:val="TOC3"/>
            <w:tabs>
              <w:tab w:val="right" w:leader="dot" w:pos="9072"/>
            </w:tabs>
          </w:pPr>
          <w:r>
            <w:t xml:space="preserve">5.3 Uptime SLA</w:t>
          </w:r>
          <w:r>
            <w:tab/>
          </w:r>
          <w:r>
            <w:t xml:space="preserve">23</w:t>
          </w:r>
        </w:p>
        <w:p>
          <w:pPr>
            <w:pStyle w:val="TOC3"/>
            <w:tabs>
              <w:tab w:val="right" w:leader="dot" w:pos="9072"/>
            </w:tabs>
          </w:pPr>
          <w:r>
            <w:t xml:space="preserve">5.4 Maintenance and Update Policy</w:t>
          </w:r>
          <w:r>
            <w:tab/>
          </w:r>
          <w:r>
            <w:t xml:space="preserve">24</w:t>
          </w:r>
        </w:p>
        <w:p>
          <w:pPr>
            <w:pStyle w:val="TOC2"/>
            <w:tabs>
              <w:tab w:val="right" w:leader="dot" w:pos="9072"/>
            </w:tabs>
          </w:pPr>
          <w:r>
            <w:t xml:space="preserve">6. Implementation Investment</w:t>
          </w:r>
          <w:r>
            <w:tab/>
          </w:r>
          <w:r>
            <w:t xml:space="preserve">25</w:t>
          </w:r>
        </w:p>
        <w:p>
          <w:pPr>
            <w:pStyle w:val="TOC3"/>
            <w:tabs>
              <w:tab w:val="right" w:leader="dot" w:pos="9072"/>
            </w:tabs>
          </w:pPr>
          <w:r>
            <w:t xml:space="preserve">6.1 Delivery Methodology</w:t>
          </w:r>
          <w:r>
            <w:tab/>
          </w:r>
          <w:r>
            <w:t xml:space="preserve">26</w:t>
          </w:r>
        </w:p>
        <w:p>
          <w:pPr>
            <w:pStyle w:val="TOC3"/>
            <w:tabs>
              <w:tab w:val="right" w:leader="dot" w:pos="9072"/>
            </w:tabs>
          </w:pPr>
          <w:r>
            <w:t xml:space="preserve">6.2 Phase Descriptions and Investment</w:t>
          </w:r>
          <w:r>
            <w:tab/>
          </w:r>
          <w:r>
            <w:t xml:space="preserve">27</w:t>
          </w:r>
        </w:p>
        <w:p>
          <w:pPr>
            <w:pStyle w:val="TOC3"/>
            <w:tabs>
              <w:tab w:val="right" w:leader="dot" w:pos="9072"/>
            </w:tabs>
          </w:pPr>
          <w:r>
            <w:t xml:space="preserve">6.3 Implementation Pricing Summary</w:t>
          </w:r>
          <w:r>
            <w:tab/>
          </w:r>
          <w:r>
            <w:t xml:space="preserve">28</w:t>
          </w:r>
        </w:p>
        <w:p>
          <w:pPr>
            <w:pStyle w:val="TOC3"/>
            <w:tabs>
              <w:tab w:val="right" w:leader="dot" w:pos="9072"/>
            </w:tabs>
          </w:pPr>
          <w:r>
            <w:t xml:space="preserve">6.4 Accelerators and Risks</w:t>
          </w:r>
          <w:r>
            <w:tab/>
          </w:r>
          <w:r>
            <w:t xml:space="preserve">29</w:t>
          </w:r>
        </w:p>
        <w:p>
          <w:pPr>
            <w:pStyle w:val="TOC3"/>
            <w:tabs>
              <w:tab w:val="right" w:leader="dot" w:pos="9072"/>
            </w:tabs>
          </w:pPr>
          <w:r>
            <w:t xml:space="preserve">6.5 Training</w:t>
          </w:r>
          <w:r>
            <w:tab/>
          </w:r>
          <w:r>
            <w:t xml:space="preserve">30</w:t>
          </w:r>
        </w:p>
        <w:p>
          <w:pPr>
            <w:pStyle w:val="TOC2"/>
            <w:tabs>
              <w:tab w:val="right" w:leader="dot" w:pos="9072"/>
            </w:tabs>
          </w:pPr>
          <w:r>
            <w:t xml:space="preserve">7. Commercial Terms</w:t>
          </w:r>
          <w:r>
            <w:tab/>
          </w:r>
          <w:r>
            <w:t xml:space="preserve">31</w:t>
          </w:r>
        </w:p>
        <w:p>
          <w:pPr>
            <w:pStyle w:val="TOC3"/>
            <w:tabs>
              <w:tab w:val="right" w:leader="dot" w:pos="9072"/>
            </w:tabs>
          </w:pPr>
          <w:r>
            <w:t xml:space="preserve">7.1 Contract Structure</w:t>
          </w:r>
          <w:r>
            <w:tab/>
          </w:r>
          <w:r>
            <w:t xml:space="preserve">32</w:t>
          </w:r>
        </w:p>
        <w:p>
          <w:pPr>
            <w:pStyle w:val="TOC3"/>
            <w:tabs>
              <w:tab w:val="right" w:leader="dot" w:pos="9072"/>
            </w:tabs>
          </w:pPr>
          <w:r>
            <w:t xml:space="preserve">7.2 Payment Schedule</w:t>
          </w:r>
          <w:r>
            <w:tab/>
          </w:r>
          <w:r>
            <w:t xml:space="preserve">33</w:t>
          </w:r>
        </w:p>
        <w:p>
          <w:pPr>
            <w:pStyle w:val="TOC3"/>
            <w:tabs>
              <w:tab w:val="right" w:leader="dot" w:pos="9072"/>
            </w:tabs>
          </w:pPr>
          <w:r>
            <w:t xml:space="preserve">7.3 Duration and Renewal</w:t>
          </w:r>
          <w:r>
            <w:tab/>
          </w:r>
          <w:r>
            <w:t xml:space="preserve">34</w:t>
          </w:r>
        </w:p>
        <w:p>
          <w:pPr>
            <w:pStyle w:val="TOC3"/>
            <w:tabs>
              <w:tab w:val="right" w:leader="dot" w:pos="9072"/>
            </w:tabs>
          </w:pPr>
          <w:r>
            <w:t xml:space="preserve">7.4 Intellectual Property</w:t>
          </w:r>
          <w:r>
            <w:tab/>
          </w:r>
          <w:r>
            <w:t xml:space="preserve">35</w:t>
          </w:r>
        </w:p>
        <w:p>
          <w:pPr>
            <w:pStyle w:val="TOC3"/>
            <w:tabs>
              <w:tab w:val="right" w:leader="dot" w:pos="9072"/>
            </w:tabs>
          </w:pPr>
          <w:r>
            <w:t xml:space="preserve">7.5 Liability</w:t>
          </w:r>
          <w:r>
            <w:tab/>
          </w:r>
          <w:r>
            <w:t xml:space="preserve">36</w:t>
          </w:r>
        </w:p>
        <w:p>
          <w:pPr>
            <w:pStyle w:val="TOC3"/>
            <w:tabs>
              <w:tab w:val="right" w:leader="dot" w:pos="9072"/>
            </w:tabs>
          </w:pPr>
          <w:r>
            <w:t xml:space="preserve">7.6 Confidentiality</w:t>
          </w:r>
          <w:r>
            <w:tab/>
          </w:r>
          <w:r>
            <w:t xml:space="preserve">37</w:t>
          </w:r>
        </w:p>
        <w:p>
          <w:pPr>
            <w:pStyle w:val="TOC3"/>
            <w:tabs>
              <w:tab w:val="right" w:leader="dot" w:pos="9072"/>
            </w:tabs>
          </w:pPr>
          <w:r>
            <w:t xml:space="preserve">7.7 Exit and Data Portability</w:t>
          </w:r>
          <w:r>
            <w:tab/>
          </w:r>
          <w:r>
            <w:t xml:space="preserve">38</w:t>
          </w:r>
        </w:p>
        <w:p>
          <w:pPr>
            <w:pStyle w:val="TOC2"/>
            <w:tabs>
              <w:tab w:val="right" w:leader="dot" w:pos="9072"/>
            </w:tabs>
          </w:pPr>
          <w:r>
            <w:t xml:space="preserve">8. Total Cost of Ownership</w:t>
          </w:r>
          <w:r>
            <w:tab/>
          </w:r>
          <w:r>
            <w:t xml:space="preserve">39</w:t>
          </w:r>
        </w:p>
        <w:p>
          <w:pPr>
            <w:pStyle w:val="TOC3"/>
            <w:tabs>
              <w:tab w:val="right" w:leader="dot" w:pos="9072"/>
            </w:tabs>
          </w:pPr>
          <w:r>
            <w:t xml:space="preserve">8.1 TCO Framework</w:t>
          </w:r>
          <w:r>
            <w:tab/>
          </w:r>
          <w:r>
            <w:t xml:space="preserve">40</w:t>
          </w:r>
        </w:p>
        <w:p>
          <w:pPr>
            <w:pStyle w:val="TOC3"/>
            <w:tabs>
              <w:tab w:val="right" w:leader="dot" w:pos="9072"/>
            </w:tabs>
          </w:pPr>
          <w:r>
            <w:t xml:space="preserve">8.2 3-Year TCO Model (DALP)</w:t>
          </w:r>
          <w:r>
            <w:tab/>
          </w:r>
          <w:r>
            <w:t xml:space="preserve">41</w:t>
          </w:r>
        </w:p>
        <w:p>
          <w:pPr>
            <w:pStyle w:val="TOC3"/>
            <w:tabs>
              <w:tab w:val="right" w:leader="dot" w:pos="9072"/>
            </w:tabs>
          </w:pPr>
          <w:r>
            <w:t xml:space="preserve">8.3 5-Year TCO Model (DALP)</w:t>
          </w:r>
          <w:r>
            <w:tab/>
          </w:r>
          <w:r>
            <w:t xml:space="preserve">42</w:t>
          </w:r>
        </w:p>
        <w:p>
          <w:pPr>
            <w:pStyle w:val="TOC3"/>
            <w:tabs>
              <w:tab w:val="right" w:leader="dot" w:pos="9072"/>
            </w:tabs>
          </w:pPr>
          <w:r>
            <w:t xml:space="preserve">8.4 Comparative TCO Analysis</w:t>
          </w:r>
          <w:r>
            <w:tab/>
          </w:r>
          <w:r>
            <w:t xml:space="preserve">43</w:t>
          </w:r>
        </w:p>
        <w:p>
          <w:pPr>
            <w:pStyle w:val="TOC2"/>
            <w:tabs>
              <w:tab w:val="right" w:leader="dot" w:pos="9072"/>
            </w:tabs>
          </w:pPr>
          <w:r>
            <w:t xml:space="preserve">9. Reference Clients</w:t>
          </w:r>
          <w:r>
            <w:tab/>
          </w:r>
          <w:r>
            <w:t xml:space="preserve">44</w:t>
          </w:r>
        </w:p>
        <w:p>
          <w:pPr>
            <w:pStyle w:val="TOC2"/>
            <w:tabs>
              <w:tab w:val="right" w:leader="dot" w:pos="9072"/>
            </w:tabs>
          </w:pPr>
          <w:r>
            <w:t xml:space="preserve">10. Next Steps</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Cross-Border Tokenized Payments Platform"</w:t>
      </w:r>
    </w:p>
    <w:p>
      <w:r>
        <w:rPr>
          <w:rFonts w:ascii="Figtree" w:hAnsi="Figtree"/>
          <w:b w:val="0"/>
          <w:i w:val="0"/>
          <w:sz w:val="22"/>
        </w:rPr>
        <w:t>client: "Bank of China"</w:t>
      </w:r>
    </w:p>
    <w:p>
      <w:r>
        <w:rPr>
          <w:rFonts w:ascii="Figtree" w:hAnsi="Figtree"/>
          <w:b w:val="0"/>
          <w:i w:val="0"/>
          <w:sz w:val="22"/>
        </w:rPr>
        <w:t>reference: "BANK-OF-CHINA-RFP-202603"</w:t>
      </w:r>
    </w:p>
    <w:p>
      <w:r>
        <w:rPr>
          <w:rFonts w:ascii="Figtree" w:hAnsi="Figtree"/>
          <w:b w:val="0"/>
          <w:i w:val="0"/>
          <w:sz w:val="22"/>
        </w:rPr>
        <w:t>date: "March 2026"</w:t>
      </w:r>
    </w:p>
    <w:p>
      <w:r>
        <w:rPr>
          <w:rFonts w:ascii="Figtree" w:hAnsi="Figtree"/>
          <w:b w:val="0"/>
          <w:i w:val="0"/>
          <w:sz w:val="22"/>
        </w:rPr>
        <w:t>version: "v1.0 DRAFT"</w:t>
      </w:r>
    </w:p>
    <w:p>
      <w:r>
        <w:rPr>
          <w:rFonts w:ascii="Figtree" w:hAnsi="Figtree"/>
          <w:b w:val="0"/>
          <w:i w:val="0"/>
          <w:sz w:val="22"/>
        </w:rPr>
        <w:t>classification: "Confidential"</w:t>
      </w:r>
    </w:p>
    <w:p>
      <w:r>
        <w:rPr>
          <w:rFonts w:ascii="Figtree" w:hAnsi="Figtree"/>
          <w:b w:val="0"/>
          <w:i w:val="0"/>
          <w:sz w:val="22"/>
        </w:rPr>
        <w:t>prepared_by: "SettleMint"</w:t>
      </w:r>
    </w:p>
    <w:p>
      <w:r>
        <w:br w:type="page"/>
      </w:r>
    </w:p>
    <w:p>
      <w:pPr>
        <w:pStyle w:val="H1"/>
        <w:numPr>
          <w:ilvl w:val="0"/>
          <w:numId w:val="1"/>
        </w:numPr>
      </w:pPr>
      <w:r>
        <w:t>Commercial Proposal: Cross-Border Tokenized Payments Platform</w:t>
      </w:r>
    </w:p>
    <w:p>
      <w:r>
        <w:rPr>
          <w:rFonts w:ascii="Figtree" w:hAnsi="Figtree"/>
          <w:b/>
          <w:i w:val="0"/>
          <w:sz w:val="22"/>
        </w:rPr>
        <w:t>Prepared for:</w:t>
      </w:r>
      <w:r>
        <w:rPr>
          <w:rFonts w:ascii="Figtree" w:hAnsi="Figtree"/>
          <w:b w:val="0"/>
          <w:i w:val="0"/>
          <w:sz w:val="22"/>
        </w:rPr>
        <w:t xml:space="preserve"> Bank of China</w:t>
      </w:r>
    </w:p>
    <w:p>
      <w:r>
        <w:rPr>
          <w:rFonts w:ascii="Figtree" w:hAnsi="Figtree"/>
          <w:b/>
          <w:i w:val="0"/>
          <w:sz w:val="22"/>
        </w:rPr>
        <w:t>Reference:</w:t>
      </w:r>
      <w:r>
        <w:rPr>
          <w:rFonts w:ascii="Figtree" w:hAnsi="Figtree"/>
          <w:b w:val="0"/>
          <w:i w:val="0"/>
          <w:sz w:val="22"/>
        </w:rPr>
        <w:t xml:space="preserve"> BANK-OF-CHINA-RFP-202603</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Strictly Confidential — Invited Bidders Only</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Bank of China's cross-border tokenized payment programme faces a specific commercial decision: whether to invest in a platform that can support the full lifecycle of regulated payment operations, or to assemble a set of point solutions that each address one dimension of the requirement. The second option is cheaper at the start and more expensive forever after.</w:t>
      </w:r>
    </w:p>
    <w:p>
      <w:r>
        <w:rPr>
          <w:rFonts w:ascii="Figtree" w:hAnsi="Figtree"/>
          <w:b w:val="0"/>
          <w:i w:val="0"/>
          <w:sz w:val="22"/>
        </w:rPr>
        <w:t>SettleMint recommends the Digital Asset Lifecycle Platform (DALP) under an Enterprise License with on-premises or China private cloud deployment. The recommended commercial structure covers:</w:t>
      </w:r>
    </w:p>
    <w:p>
      <w:pPr>
        <w:pStyle w:val="ListParagraph"/>
        <w:numPr>
          <w:ilvl w:val="0"/>
          <w:numId w:val="4"/>
        </w:numPr>
      </w:pPr>
      <w:r>
        <w:rPr>
          <w:rFonts w:ascii="Figtree" w:hAnsi="Figtree"/>
          <w:b/>
          <w:i w:val="0"/>
          <w:sz w:val="22"/>
        </w:rPr>
        <w:t>Annual platform license:</w:t>
      </w:r>
      <w:r>
        <w:rPr>
          <w:rFonts w:ascii="Figtree" w:hAnsi="Figtree"/>
          <w:b w:val="0"/>
          <w:i w:val="0"/>
          <w:sz w:val="22"/>
        </w:rPr>
        <w:t xml:space="preserve"> CNY [VARIABLE: to be confirmed in commercial validation workshop] for the Enterprise Tier, covering the full DALP capability set including compliance modules, XvP settlement, observability, and API access.</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CNY [VARIABLE: scoped at discovery] across 38 weeks of delivery, covering architecture, configuration, integration, testing, and hypercare.</w:t>
      </w:r>
    </w:p>
    <w:p>
      <w:pPr>
        <w:pStyle w:val="ListParagraph"/>
        <w:numPr>
          <w:ilvl w:val="0"/>
          <w:numId w:val="4"/>
        </w:numPr>
      </w:pPr>
      <w:r>
        <w:rPr>
          <w:rFonts w:ascii="Figtree" w:hAnsi="Figtree"/>
          <w:b/>
          <w:i w:val="0"/>
          <w:sz w:val="22"/>
        </w:rPr>
        <w:t>Annual support:</w:t>
      </w:r>
      <w:r>
        <w:rPr>
          <w:rFonts w:ascii="Figtree" w:hAnsi="Figtree"/>
          <w:b w:val="0"/>
          <w:i w:val="0"/>
          <w:sz w:val="22"/>
        </w:rPr>
        <w:t xml:space="preserve"> Enterprise Support Tier at [VARIABLE: percentage of license] per year, providing 24/7 P1 coverage, named TAM, and 15-minute response SLA.</w:t>
      </w:r>
    </w:p>
    <w:p>
      <w:r>
        <w:rPr>
          <w:rFonts w:ascii="Figtree" w:hAnsi="Figtree"/>
          <w:b w:val="0"/>
          <w:i w:val="0"/>
          <w:sz w:val="22"/>
        </w:rPr>
        <w:t>The commercial model is platform-based, not transaction-based. Bank of China's payment volumes can grow without triggering additional license fees. This is a deliberate design choice that aligns SettleMint's commercial interests with Bank of China's operational success.</w:t>
      </w:r>
    </w:p>
    <w:p>
      <w:r>
        <w:rPr>
          <w:rFonts w:ascii="Figtree" w:hAnsi="Figtree"/>
          <w:b/>
          <w:i w:val="0"/>
          <w:sz w:val="22"/>
        </w:rPr>
        <w:t>Decision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80"/>
        <w:gridCol w:w="1564"/>
        <w:gridCol w:w="2502"/>
        <w:gridCol w:w="24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 corridor</w:t>
            </w:r>
          </w:p>
        </w:tc>
        <w:tc>
          <w:tcPr>
            <w:tcW w:type="dxa" w:w="2436"/>
            <w:vAlign w:val="center"/>
          </w:tcPr>
          <w:p>
            <w:pPr>
              <w:spacing w:line="276" w:lineRule="auto" w:before="0" w:after="0"/>
            </w:pPr>
            <w:r/>
            <w:r>
              <w:rPr>
                <w:rFonts w:ascii="Figtree" w:hAnsi="Figtree"/>
                <w:b w:val="0"/>
                <w:i w:val="0"/>
                <w:sz w:val="20"/>
              </w:rPr>
              <w:t>9-10 months</w:t>
            </w:r>
          </w:p>
        </w:tc>
        <w:tc>
          <w:tcPr>
            <w:tcW w:type="dxa" w:w="2436"/>
            <w:vAlign w:val="center"/>
          </w:tcPr>
          <w:p>
            <w:pPr>
              <w:spacing w:line="276" w:lineRule="auto" w:before="0" w:after="0"/>
            </w:pPr>
            <w:r/>
            <w:r>
              <w:rPr>
                <w:rFonts w:ascii="Figtree" w:hAnsi="Figtree"/>
                <w:b w:val="0"/>
                <w:i w:val="0"/>
                <w:sz w:val="20"/>
              </w:rPr>
              <w:t>18-24 months minimum</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Ongoing compliance module updates</w:t>
            </w:r>
          </w:p>
        </w:tc>
        <w:tc>
          <w:tcPr>
            <w:tcW w:type="dxa" w:w="2436"/>
            <w:vAlign w:val="center"/>
          </w:tcPr>
          <w:p>
            <w:pPr>
              <w:spacing w:line="276" w:lineRule="auto" w:before="0" w:after="0"/>
            </w:pPr>
            <w:r/>
            <w:r>
              <w:rPr>
                <w:rFonts w:ascii="Figtree" w:hAnsi="Figtree"/>
                <w:b w:val="0"/>
                <w:i w:val="0"/>
                <w:sz w:val="20"/>
              </w:rPr>
              <w:t>Included in platform</w:t>
            </w:r>
          </w:p>
        </w:tc>
        <w:tc>
          <w:tcPr>
            <w:tcW w:type="dxa" w:w="2436"/>
            <w:vAlign w:val="center"/>
          </w:tcPr>
          <w:p>
            <w:pPr>
              <w:spacing w:line="276" w:lineRule="auto" w:before="0" w:after="0"/>
            </w:pPr>
            <w:r/>
            <w:r>
              <w:rPr>
                <w:rFonts w:ascii="Figtree" w:hAnsi="Figtree"/>
                <w:b w:val="0"/>
                <w:i w:val="0"/>
                <w:sz w:val="20"/>
              </w:rPr>
              <w:t>Requires engineering</w:t>
            </w:r>
          </w:p>
        </w:tc>
        <w:tc>
          <w:tcPr>
            <w:tcW w:type="dxa" w:w="2436"/>
            <w:vAlign w:val="center"/>
          </w:tcPr>
          <w:p>
            <w:pPr>
              <w:spacing w:line="276" w:lineRule="auto" w:before="0" w:after="0"/>
            </w:pPr>
            <w:r/>
            <w:r>
              <w:rPr>
                <w:rFonts w:ascii="Figtree" w:hAnsi="Figtree"/>
                <w:b w:val="0"/>
                <w:i w:val="0"/>
                <w:sz w:val="20"/>
              </w:rPr>
              <w:t>Multiple vendor negotiations</w:t>
            </w:r>
          </w:p>
        </w:tc>
      </w:tr>
      <w:tr>
        <w:trPr>
          <w:trHeight w:val="425" w:hRule="atLeast"/>
        </w:trPr>
        <w:tc>
          <w:tcPr>
            <w:tcW w:type="dxa" w:w="2436"/>
            <w:vAlign w:val="center"/>
          </w:tcPr>
          <w:p>
            <w:pPr>
              <w:spacing w:line="276" w:lineRule="auto" w:before="0" w:after="0"/>
            </w:pPr>
            <w:r/>
            <w:r>
              <w:rPr>
                <w:rFonts w:ascii="Figtree" w:hAnsi="Figtree"/>
                <w:b w:val="0"/>
                <w:i w:val="0"/>
                <w:sz w:val="20"/>
              </w:rPr>
              <w:t>Regulatory audit evidence</w:t>
            </w:r>
          </w:p>
        </w:tc>
        <w:tc>
          <w:tcPr>
            <w:tcW w:type="dxa" w:w="2436"/>
            <w:vAlign w:val="center"/>
          </w:tcPr>
          <w:p>
            <w:pPr>
              <w:spacing w:line="276" w:lineRule="auto" w:before="0" w:after="0"/>
            </w:pPr>
            <w:r/>
            <w:r>
              <w:rPr>
                <w:rFonts w:ascii="Figtree" w:hAnsi="Figtree"/>
                <w:b w:val="0"/>
                <w:i w:val="0"/>
                <w:sz w:val="20"/>
              </w:rPr>
              <w:t>Automated, built-in</w:t>
            </w:r>
          </w:p>
        </w:tc>
        <w:tc>
          <w:tcPr>
            <w:tcW w:type="dxa" w:w="2436"/>
            <w:vAlign w:val="center"/>
          </w:tcPr>
          <w:p>
            <w:pPr>
              <w:spacing w:line="276" w:lineRule="auto" w:before="0" w:after="0"/>
            </w:pPr>
            <w:r/>
            <w:r>
              <w:rPr>
                <w:rFonts w:ascii="Figtree" w:hAnsi="Figtree"/>
                <w:b w:val="0"/>
                <w:i w:val="0"/>
                <w:sz w:val="20"/>
              </w:rPr>
              <w:t>Custom engineering required</w:t>
            </w:r>
          </w:p>
        </w:tc>
        <w:tc>
          <w:tcPr>
            <w:tcW w:type="dxa" w:w="2436"/>
            <w:vAlign w:val="center"/>
          </w:tcPr>
          <w:p>
            <w:pPr>
              <w:spacing w:line="276" w:lineRule="auto" w:before="0" w:after="0"/>
            </w:pPr>
            <w:r/>
            <w:r>
              <w:rPr>
                <w:rFonts w:ascii="Figtree" w:hAnsi="Figtree"/>
                <w:b w:val="0"/>
                <w:i w:val="0"/>
                <w:sz w:val="20"/>
              </w:rPr>
              <w:t>Fragmented across vendors</w:t>
            </w:r>
          </w:p>
        </w:tc>
      </w:tr>
      <w:tr>
        <w:trPr>
          <w:trHeight w:val="425" w:hRule="atLeast"/>
        </w:trPr>
        <w:tc>
          <w:tcPr>
            <w:tcW w:type="dxa" w:w="2436"/>
            <w:vAlign w:val="center"/>
          </w:tcPr>
          <w:p>
            <w:pPr>
              <w:spacing w:line="276" w:lineRule="auto" w:before="0" w:after="0"/>
            </w:pPr>
            <w:r/>
            <w:r>
              <w:rPr>
                <w:rFonts w:ascii="Figtree" w:hAnsi="Figtree"/>
                <w:b w:val="0"/>
                <w:i w:val="0"/>
                <w:sz w:val="20"/>
              </w:rPr>
              <w:t>Scaling to new corridors</w:t>
            </w:r>
          </w:p>
        </w:tc>
        <w:tc>
          <w:tcPr>
            <w:tcW w:type="dxa" w:w="2436"/>
            <w:vAlign w:val="center"/>
          </w:tcPr>
          <w:p>
            <w:pPr>
              <w:spacing w:line="276" w:lineRule="auto" w:before="0" w:after="0"/>
            </w:pPr>
            <w:r/>
            <w:r>
              <w:rPr>
                <w:rFonts w:ascii="Figtree" w:hAnsi="Figtree"/>
                <w:b w:val="0"/>
                <w:i w:val="0"/>
                <w:sz w:val="20"/>
              </w:rPr>
              <w:t>Configuration only</w:t>
            </w:r>
          </w:p>
        </w:tc>
        <w:tc>
          <w:tcPr>
            <w:tcW w:type="dxa" w:w="2436"/>
            <w:vAlign w:val="center"/>
          </w:tcPr>
          <w:p>
            <w:pPr>
              <w:spacing w:line="276" w:lineRule="auto" w:before="0" w:after="0"/>
            </w:pPr>
            <w:r/>
            <w:r>
              <w:rPr>
                <w:rFonts w:ascii="Figtree" w:hAnsi="Figtree"/>
                <w:b w:val="0"/>
                <w:i w:val="0"/>
                <w:sz w:val="20"/>
              </w:rPr>
              <w:t>New development cycles</w:t>
            </w:r>
          </w:p>
        </w:tc>
        <w:tc>
          <w:tcPr>
            <w:tcW w:type="dxa" w:w="2436"/>
            <w:vAlign w:val="center"/>
          </w:tcPr>
          <w:p>
            <w:pPr>
              <w:spacing w:line="276" w:lineRule="auto" w:before="0" w:after="0"/>
            </w:pPr>
            <w:r/>
            <w:r>
              <w:rPr>
                <w:rFonts w:ascii="Figtree" w:hAnsi="Figtree"/>
                <w:b w:val="0"/>
                <w:i w:val="0"/>
                <w:sz w:val="20"/>
              </w:rPr>
              <w:t>New procurement cycles</w:t>
            </w:r>
          </w:p>
        </w:tc>
      </w:tr>
      <w:tr>
        <w:trPr>
          <w:trHeight w:val="425" w:hRule="atLeast"/>
        </w:trPr>
        <w:tc>
          <w:tcPr>
            <w:tcW w:type="dxa" w:w="2436"/>
            <w:vAlign w:val="center"/>
          </w:tcPr>
          <w:p>
            <w:pPr>
              <w:spacing w:line="276" w:lineRule="auto" w:before="0" w:after="0"/>
            </w:pPr>
            <w:r/>
            <w:r>
              <w:rPr>
                <w:rFonts w:ascii="Figtree" w:hAnsi="Figtree"/>
                <w:b w:val="0"/>
                <w:i w:val="0"/>
                <w:sz w:val="20"/>
              </w:rPr>
              <w:t>Total 3-year cost</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 (hidden engineering burden)</w:t>
            </w:r>
          </w:p>
        </w:tc>
        <w:tc>
          <w:tcPr>
            <w:tcW w:type="dxa" w:w="2436"/>
            <w:vAlign w:val="center"/>
          </w:tcPr>
          <w:p>
            <w:pPr>
              <w:spacing w:line="276" w:lineRule="auto" w:before="0" w:after="0"/>
            </w:pPr>
            <w:r/>
            <w:r>
              <w:rPr>
                <w:rFonts w:ascii="Figtree" w:hAnsi="Figtree"/>
                <w:b w:val="0"/>
                <w:i w:val="0"/>
                <w:sz w:val="20"/>
              </w:rPr>
              <w:t>High (vendor coordination cost)</w:t>
            </w:r>
          </w:p>
        </w:tc>
      </w:tr>
    </w:tbl>
    <w:p>
      <w:pPr>
        <w:spacing w:before="0" w:after="0" w:line="120" w:lineRule="exact"/>
      </w:pPr>
    </w:p>
    <w:p>
      <w:pPr>
        <w:pStyle w:val="H2"/>
        <w:numPr>
          <w:ilvl w:val="1"/>
          <w:numId w:val="1"/>
        </w:numPr>
      </w:pPr>
      <w:r>
        <w:t>2. Investment Rationale</w:t>
      </w:r>
    </w:p>
    <w:p>
      <w:pPr>
        <w:pStyle w:val="H3"/>
        <w:numPr>
          <w:ilvl w:val="2"/>
          <w:numId w:val="1"/>
        </w:numPr>
      </w:pPr>
      <w:r>
        <w:t>2.1 Cost of the Current Approach</w:t>
      </w:r>
    </w:p>
    <w:p>
      <w:r>
        <w:rPr>
          <w:rFonts w:ascii="Figtree" w:hAnsi="Figtree"/>
          <w:b w:val="0"/>
          <w:i w:val="0"/>
          <w:sz w:val="22"/>
        </w:rPr>
        <w:t>Bank of China's current cross-border payment operations carry hidden costs that do not appear on any single line item. Manual reconciliation between internal ledgers, correspondent account statements, and SWIFT confirmations requires dedicated operational headcount. Exception handling for failed or delayed payments involves coordination across multiple internal teams, each working from different data views. Compliance evidence for regulatory inspections is assembled manually from multiple systems, a process that is slow, expensive, and produces inconsistent output.</w:t>
      </w:r>
    </w:p>
    <w:p>
      <w:r>
        <w:rPr>
          <w:rFonts w:ascii="Figtree" w:hAnsi="Figtree"/>
          <w:b w:val="0"/>
          <w:i w:val="0"/>
          <w:sz w:val="22"/>
        </w:rPr>
        <w:t>The SWIFT-based correspondent banking model also carries structural costs. Nostro account balances must be pre-funded across corridors, tying up capital that earns nothing while it waits. Settlement certainty is T+1 or T+2 at best, creating a window of counterparty risk on every transaction. These are not new problems, but they are problems that a tokenized payment platform can materially reduce.</w:t>
      </w:r>
    </w:p>
    <w:p>
      <w:r>
        <w:rPr>
          <w:rFonts w:ascii="Figtree" w:hAnsi="Figtree"/>
          <w:b/>
          <w:i w:val="0"/>
          <w:sz w:val="22"/>
        </w:rPr>
        <w:t>Estimated current-state cost drivers (indicative, to be validated in discovery):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3"/>
        <w:gridCol w:w="4341"/>
        <w:gridCol w:w="25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Annual Impact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headcount</w:t>
            </w:r>
          </w:p>
        </w:tc>
        <w:tc>
          <w:tcPr>
            <w:tcW w:type="dxa" w:w="3249"/>
            <w:vAlign w:val="center"/>
          </w:tcPr>
          <w:p>
            <w:pPr>
              <w:spacing w:line="276" w:lineRule="auto" w:before="0" w:after="0"/>
            </w:pPr>
            <w:r/>
            <w:r>
              <w:rPr>
                <w:rFonts w:ascii="Figtree" w:hAnsi="Figtree"/>
                <w:b w:val="0"/>
                <w:i w:val="0"/>
                <w:sz w:val="20"/>
              </w:rPr>
              <w:t>FTE dedicated to cross-border reconciliation and exception handling</w:t>
            </w:r>
          </w:p>
        </w:tc>
        <w:tc>
          <w:tcPr>
            <w:tcW w:type="dxa" w:w="3249"/>
            <w:vAlign w:val="center"/>
          </w:tcPr>
          <w:p>
            <w:pPr>
              <w:spacing w:line="276" w:lineRule="auto" w:before="0" w:after="0"/>
            </w:pPr>
            <w:r/>
            <w:r>
              <w:rPr>
                <w:rFonts w:ascii="Figtree" w:hAnsi="Figtree"/>
                <w:b w:val="0"/>
                <w:i w:val="0"/>
                <w:sz w:val="20"/>
              </w:rPr>
              <w:t>[VARIABLE: 10-15 FTE estimated]</w:t>
            </w:r>
          </w:p>
        </w:tc>
      </w:tr>
      <w:tr>
        <w:trPr>
          <w:trHeight w:val="425" w:hRule="atLeast"/>
        </w:trPr>
        <w:tc>
          <w:tcPr>
            <w:tcW w:type="dxa" w:w="3249"/>
            <w:vAlign w:val="center"/>
          </w:tcPr>
          <w:p>
            <w:pPr>
              <w:spacing w:line="276" w:lineRule="auto" w:before="0" w:after="0"/>
            </w:pPr>
            <w:r/>
            <w:r>
              <w:rPr>
                <w:rFonts w:ascii="Figtree" w:hAnsi="Figtree"/>
                <w:b w:val="0"/>
                <w:i w:val="0"/>
                <w:sz w:val="20"/>
              </w:rPr>
              <w:t>Nostro pre-funding cost of capital</w:t>
            </w:r>
          </w:p>
        </w:tc>
        <w:tc>
          <w:tcPr>
            <w:tcW w:type="dxa" w:w="3249"/>
            <w:vAlign w:val="center"/>
          </w:tcPr>
          <w:p>
            <w:pPr>
              <w:spacing w:line="276" w:lineRule="auto" w:before="0" w:after="0"/>
            </w:pPr>
            <w:r/>
            <w:r>
              <w:rPr>
                <w:rFonts w:ascii="Figtree" w:hAnsi="Figtree"/>
                <w:b w:val="0"/>
                <w:i w:val="0"/>
                <w:sz w:val="20"/>
              </w:rPr>
              <w:t>Capital tied up in correspondent accounts at opportunity cost</w:t>
            </w:r>
          </w:p>
        </w:tc>
        <w:tc>
          <w:tcPr>
            <w:tcW w:type="dxa" w:w="3249"/>
            <w:vAlign w:val="center"/>
          </w:tcPr>
          <w:p>
            <w:pPr>
              <w:spacing w:line="276" w:lineRule="auto" w:before="0" w:after="0"/>
            </w:pPr>
            <w:r/>
            <w:r>
              <w:rPr>
                <w:rFonts w:ascii="Figtree" w:hAnsi="Figtree"/>
                <w:b w:val="0"/>
                <w:i w:val="0"/>
                <w:sz w:val="20"/>
              </w:rPr>
              <w:t>[VARIABLE: depends on corridor volumes]</w:t>
            </w:r>
          </w:p>
        </w:tc>
      </w:tr>
      <w:tr>
        <w:trPr>
          <w:trHeight w:val="425" w:hRule="atLeast"/>
        </w:trPr>
        <w:tc>
          <w:tcPr>
            <w:tcW w:type="dxa" w:w="3249"/>
            <w:vAlign w:val="center"/>
          </w:tcPr>
          <w:p>
            <w:pPr>
              <w:spacing w:line="276" w:lineRule="auto" w:before="0" w:after="0"/>
            </w:pPr>
            <w:r/>
            <w:r>
              <w:rPr>
                <w:rFonts w:ascii="Figtree" w:hAnsi="Figtree"/>
                <w:b w:val="0"/>
                <w:i w:val="0"/>
                <w:sz w:val="20"/>
              </w:rPr>
              <w:t>Settlement failure costs</w:t>
            </w:r>
          </w:p>
        </w:tc>
        <w:tc>
          <w:tcPr>
            <w:tcW w:type="dxa" w:w="3249"/>
            <w:vAlign w:val="center"/>
          </w:tcPr>
          <w:p>
            <w:pPr>
              <w:spacing w:line="276" w:lineRule="auto" w:before="0" w:after="0"/>
            </w:pPr>
            <w:r/>
            <w:r>
              <w:rPr>
                <w:rFonts w:ascii="Figtree" w:hAnsi="Figtree"/>
                <w:b w:val="0"/>
                <w:i w:val="0"/>
                <w:sz w:val="20"/>
              </w:rPr>
              <w:t>Operational cost of investigating and resolving failed payments</w:t>
            </w:r>
          </w:p>
        </w:tc>
        <w:tc>
          <w:tcPr>
            <w:tcW w:type="dxa" w:w="3249"/>
            <w:vAlign w:val="center"/>
          </w:tcPr>
          <w:p>
            <w:pPr>
              <w:spacing w:line="276" w:lineRule="auto" w:before="0" w:after="0"/>
            </w:pPr>
            <w:r/>
            <w:r>
              <w:rPr>
                <w:rFonts w:ascii="Figtree" w:hAnsi="Figtree"/>
                <w:b w:val="0"/>
                <w:i w:val="0"/>
                <w:sz w:val="20"/>
              </w:rPr>
              <w:t>[VARIABLE: to be assessed in discovery]</w:t>
            </w:r>
          </w:p>
        </w:tc>
      </w:tr>
      <w:tr>
        <w:trPr>
          <w:trHeight w:val="425" w:hRule="atLeast"/>
        </w:trPr>
        <w:tc>
          <w:tcPr>
            <w:tcW w:type="dxa" w:w="3249"/>
            <w:vAlign w:val="center"/>
          </w:tcPr>
          <w:p>
            <w:pPr>
              <w:spacing w:line="276" w:lineRule="auto" w:before="0" w:after="0"/>
            </w:pPr>
            <w:r/>
            <w:r>
              <w:rPr>
                <w:rFonts w:ascii="Figtree" w:hAnsi="Figtree"/>
                <w:b w:val="0"/>
                <w:i w:val="0"/>
                <w:sz w:val="20"/>
              </w:rPr>
              <w:t>Compliance evidence production</w:t>
            </w:r>
          </w:p>
        </w:tc>
        <w:tc>
          <w:tcPr>
            <w:tcW w:type="dxa" w:w="3249"/>
            <w:vAlign w:val="center"/>
          </w:tcPr>
          <w:p>
            <w:pPr>
              <w:spacing w:line="276" w:lineRule="auto" w:before="0" w:after="0"/>
            </w:pPr>
            <w:r/>
            <w:r>
              <w:rPr>
                <w:rFonts w:ascii="Figtree" w:hAnsi="Figtree"/>
                <w:b w:val="0"/>
                <w:i w:val="0"/>
                <w:sz w:val="20"/>
              </w:rPr>
              <w:t>Cost of assembling audit and regulatory evidence packages</w:t>
            </w:r>
          </w:p>
        </w:tc>
        <w:tc>
          <w:tcPr>
            <w:tcW w:type="dxa" w:w="3249"/>
            <w:vAlign w:val="center"/>
          </w:tcPr>
          <w:p>
            <w:pPr>
              <w:spacing w:line="276" w:lineRule="auto" w:before="0" w:after="0"/>
            </w:pPr>
            <w:r/>
            <w:r>
              <w:rPr>
                <w:rFonts w:ascii="Figtree" w:hAnsi="Figtree"/>
                <w:b w:val="0"/>
                <w:i w:val="0"/>
                <w:sz w:val="20"/>
              </w:rPr>
              <w:t>[VARIABLE: 2-4 FTE estimated]</w:t>
            </w:r>
          </w:p>
        </w:tc>
      </w:tr>
      <w:tr>
        <w:trPr>
          <w:trHeight w:val="425" w:hRule="atLeast"/>
        </w:trPr>
        <w:tc>
          <w:tcPr>
            <w:tcW w:type="dxa" w:w="3249"/>
            <w:vAlign w:val="center"/>
          </w:tcPr>
          <w:p>
            <w:pPr>
              <w:spacing w:line="276" w:lineRule="auto" w:before="0" w:after="0"/>
            </w:pPr>
            <w:r/>
            <w:r>
              <w:rPr>
                <w:rFonts w:ascii="Figtree" w:hAnsi="Figtree"/>
                <w:b w:val="0"/>
                <w:i w:val="0"/>
                <w:sz w:val="20"/>
              </w:rPr>
              <w:t>SWIFT message fees</w:t>
            </w:r>
          </w:p>
        </w:tc>
        <w:tc>
          <w:tcPr>
            <w:tcW w:type="dxa" w:w="3249"/>
            <w:vAlign w:val="center"/>
          </w:tcPr>
          <w:p>
            <w:pPr>
              <w:spacing w:line="276" w:lineRule="auto" w:before="0" w:after="0"/>
            </w:pPr>
            <w:r/>
            <w:r>
              <w:rPr>
                <w:rFonts w:ascii="Figtree" w:hAnsi="Figtree"/>
                <w:b w:val="0"/>
                <w:i w:val="0"/>
                <w:sz w:val="20"/>
              </w:rPr>
              <w:t>Per-message charges across all corridors</w:t>
            </w:r>
          </w:p>
        </w:tc>
        <w:tc>
          <w:tcPr>
            <w:tcW w:type="dxa" w:w="3249"/>
            <w:vAlign w:val="center"/>
          </w:tcPr>
          <w:p>
            <w:pPr>
              <w:spacing w:line="276" w:lineRule="auto" w:before="0" w:after="0"/>
            </w:pPr>
            <w:r/>
            <w:r>
              <w:rPr>
                <w:rFonts w:ascii="Figtree" w:hAnsi="Figtree"/>
                <w:b w:val="0"/>
                <w:i w:val="0"/>
                <w:sz w:val="20"/>
              </w:rPr>
              <w:t>[VARIABLE: to be confirmed]</w:t>
            </w:r>
          </w:p>
        </w:tc>
      </w:tr>
    </w:tbl>
    <w:p>
      <w:pPr>
        <w:spacing w:before="0" w:after="0" w:line="120" w:lineRule="exact"/>
      </w:pPr>
    </w:p>
    <w:p>
      <w:pPr>
        <w:pStyle w:val="H3"/>
        <w:numPr>
          <w:ilvl w:val="2"/>
          <w:numId w:val="1"/>
        </w:numPr>
      </w:pPr>
      <w:r>
        <w:t>2.2 Why DALP Changes the Economics</w:t>
      </w:r>
    </w:p>
    <w:p>
      <w:r>
        <w:rPr>
          <w:rFonts w:ascii="Figtree" w:hAnsi="Figtree"/>
          <w:b w:val="0"/>
          <w:i w:val="0"/>
          <w:sz w:val="22"/>
        </w:rPr>
        <w:t>DALP changes the economics of cross-border payments by replacing the reconciliation burden with real-time event certainty. When a payment executes on DALP, the settlement is final and the reconciliation record is generated automatically. Operations staff do not spend time matching records; they spend time managing exceptions, which are flagged automatically and quantified in real time.</w:t>
      </w:r>
    </w:p>
    <w:p>
      <w:r>
        <w:rPr>
          <w:rFonts w:ascii="Figtree" w:hAnsi="Figtree"/>
          <w:b w:val="0"/>
          <w:i w:val="0"/>
          <w:sz w:val="22"/>
        </w:rPr>
        <w:t>The compliance automation also changes the economics of regulatory overhead. Evidence packages are generated as a natural by-product of platform operations. Internal audit and regulatory inspections receive a consistent, machine-readable record rather than a manually assembled document. The time required to respond to a regulatory inquiry drops from days to hours.</w:t>
      </w:r>
    </w:p>
    <w:p>
      <w:r>
        <w:rPr>
          <w:rFonts w:ascii="Figtree" w:hAnsi="Figtree"/>
          <w:b w:val="0"/>
          <w:i w:val="0"/>
          <w:sz w:val="22"/>
        </w:rPr>
        <w:t>The platform-based license model means that adding a new payment corridor, onboarding a new correspondent bank, or expanding to a new legal entity does not trigger a new procurement cycle. Configuration and governed approval are the only requirements for expansion.</w:t>
      </w:r>
    </w:p>
    <w:p>
      <w:pPr>
        <w:pStyle w:val="H3"/>
        <w:numPr>
          <w:ilvl w:val="2"/>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0"/>
        <w:gridCol w:w="2924"/>
        <w:gridCol w:w="2447"/>
        <w:gridCol w:w="1014"/>
        <w:gridCol w:w="95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Conservative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Expected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Upside Estimate</w:t>
            </w:r>
          </w:p>
        </w:tc>
      </w:tr>
      <w:tr>
        <w:trPr>
          <w:trHeight w:val="425" w:hRule="atLeast"/>
        </w:trPr>
        <w:tc>
          <w:tcPr>
            <w:tcW w:type="dxa" w:w="1949"/>
            <w:vAlign w:val="center"/>
          </w:tcPr>
          <w:p>
            <w:pPr>
              <w:spacing w:line="276" w:lineRule="auto" w:before="0" w:after="0"/>
            </w:pPr>
            <w:r/>
            <w:r>
              <w:rPr>
                <w:rFonts w:ascii="Figtree" w:hAnsi="Figtree"/>
                <w:b w:val="0"/>
                <w:i w:val="0"/>
                <w:sz w:val="20"/>
              </w:rPr>
              <w:t>Reconciliation cost reduction</w:t>
            </w:r>
          </w:p>
        </w:tc>
        <w:tc>
          <w:tcPr>
            <w:tcW w:type="dxa" w:w="1949"/>
            <w:vAlign w:val="center"/>
          </w:tcPr>
          <w:p>
            <w:pPr>
              <w:spacing w:line="276" w:lineRule="auto" w:before="0" w:after="0"/>
            </w:pPr>
            <w:r/>
            <w:r>
              <w:rPr>
                <w:rFonts w:ascii="Figtree" w:hAnsi="Figtree"/>
                <w:b w:val="0"/>
                <w:i w:val="0"/>
                <w:sz w:val="20"/>
              </w:rPr>
              <w:t>Automated reconciliation replaces manual matching</w:t>
            </w:r>
          </w:p>
        </w:tc>
        <w:tc>
          <w:tcPr>
            <w:tcW w:type="dxa" w:w="1949"/>
            <w:vAlign w:val="center"/>
          </w:tcPr>
          <w:p>
            <w:pPr>
              <w:spacing w:line="276" w:lineRule="auto" w:before="0" w:after="0"/>
            </w:pPr>
            <w:r/>
            <w:r>
              <w:rPr>
                <w:rFonts w:ascii="Figtree" w:hAnsi="Figtree"/>
                <w:b w:val="0"/>
                <w:i w:val="0"/>
                <w:sz w:val="20"/>
              </w:rPr>
              <w:t>40% reduction in reconciliation FTE</w:t>
            </w:r>
          </w:p>
        </w:tc>
        <w:tc>
          <w:tcPr>
            <w:tcW w:type="dxa" w:w="1949"/>
            <w:vAlign w:val="center"/>
          </w:tcPr>
          <w:p>
            <w:pPr>
              <w:spacing w:line="276" w:lineRule="auto" w:before="0" w:after="0"/>
            </w:pPr>
            <w:r/>
            <w:r>
              <w:rPr>
                <w:rFonts w:ascii="Figtree" w:hAnsi="Figtree"/>
                <w:b w:val="0"/>
                <w:i w:val="0"/>
                <w:sz w:val="20"/>
              </w:rPr>
              <w:t>60% reduction</w:t>
            </w:r>
          </w:p>
        </w:tc>
        <w:tc>
          <w:tcPr>
            <w:tcW w:type="dxa" w:w="1949"/>
            <w:vAlign w:val="center"/>
          </w:tcPr>
          <w:p>
            <w:pPr>
              <w:spacing w:line="276" w:lineRule="auto" w:before="0" w:after="0"/>
            </w:pPr>
            <w:r/>
            <w:r>
              <w:rPr>
                <w:rFonts w:ascii="Figtree" w:hAnsi="Figtree"/>
                <w:b w:val="0"/>
                <w:i w:val="0"/>
                <w:sz w:val="20"/>
              </w:rPr>
              <w:t>75% reduction</w:t>
            </w:r>
          </w:p>
        </w:tc>
      </w:tr>
      <w:tr>
        <w:trPr>
          <w:trHeight w:val="425" w:hRule="atLeast"/>
        </w:trPr>
        <w:tc>
          <w:tcPr>
            <w:tcW w:type="dxa" w:w="1949"/>
            <w:vAlign w:val="center"/>
          </w:tcPr>
          <w:p>
            <w:pPr>
              <w:spacing w:line="276" w:lineRule="auto" w:before="0" w:after="0"/>
            </w:pPr>
            <w:r/>
            <w:r>
              <w:rPr>
                <w:rFonts w:ascii="Figtree" w:hAnsi="Figtree"/>
                <w:b w:val="0"/>
                <w:i w:val="0"/>
                <w:sz w:val="20"/>
              </w:rPr>
              <w:t>Settlement failure reduction</w:t>
            </w:r>
          </w:p>
        </w:tc>
        <w:tc>
          <w:tcPr>
            <w:tcW w:type="dxa" w:w="1949"/>
            <w:vAlign w:val="center"/>
          </w:tcPr>
          <w:p>
            <w:pPr>
              <w:spacing w:line="276" w:lineRule="auto" w:before="0" w:after="0"/>
            </w:pPr>
            <w:r/>
            <w:r>
              <w:rPr>
                <w:rFonts w:ascii="Figtree" w:hAnsi="Figtree"/>
                <w:b w:val="0"/>
                <w:i w:val="0"/>
                <w:sz w:val="20"/>
              </w:rPr>
              <w:t>Atomic settlement eliminates partial settlement</w:t>
            </w:r>
          </w:p>
        </w:tc>
        <w:tc>
          <w:tcPr>
            <w:tcW w:type="dxa" w:w="1949"/>
            <w:vAlign w:val="center"/>
          </w:tcPr>
          <w:p>
            <w:pPr>
              <w:spacing w:line="276" w:lineRule="auto" w:before="0" w:after="0"/>
            </w:pPr>
            <w:r/>
            <w:r>
              <w:rPr>
                <w:rFonts w:ascii="Figtree" w:hAnsi="Figtree"/>
                <w:b w:val="0"/>
                <w:i w:val="0"/>
                <w:sz w:val="20"/>
              </w:rPr>
              <w:t>50% reduction in failure events</w:t>
            </w:r>
          </w:p>
        </w:tc>
        <w:tc>
          <w:tcPr>
            <w:tcW w:type="dxa" w:w="1949"/>
            <w:vAlign w:val="center"/>
          </w:tcPr>
          <w:p>
            <w:pPr>
              <w:spacing w:line="276" w:lineRule="auto" w:before="0" w:after="0"/>
            </w:pPr>
            <w:r/>
            <w:r>
              <w:rPr>
                <w:rFonts w:ascii="Figtree" w:hAnsi="Figtree"/>
                <w:b w:val="0"/>
                <w:i w:val="0"/>
                <w:sz w:val="20"/>
              </w:rPr>
              <w:t>70% reduction</w:t>
            </w:r>
          </w:p>
        </w:tc>
        <w:tc>
          <w:tcPr>
            <w:tcW w:type="dxa" w:w="1949"/>
            <w:vAlign w:val="center"/>
          </w:tcPr>
          <w:p>
            <w:pPr>
              <w:spacing w:line="276" w:lineRule="auto" w:before="0" w:after="0"/>
            </w:pPr>
            <w:r/>
            <w:r>
              <w:rPr>
                <w:rFonts w:ascii="Figtree" w:hAnsi="Figtree"/>
                <w:b w:val="0"/>
                <w:i w:val="0"/>
                <w:sz w:val="20"/>
              </w:rPr>
              <w:t>85% reduction</w:t>
            </w:r>
          </w:p>
        </w:tc>
      </w:tr>
      <w:tr>
        <w:trPr>
          <w:trHeight w:val="425" w:hRule="atLeast"/>
        </w:trPr>
        <w:tc>
          <w:tcPr>
            <w:tcW w:type="dxa" w:w="1949"/>
            <w:vAlign w:val="center"/>
          </w:tcPr>
          <w:p>
            <w:pPr>
              <w:spacing w:line="276" w:lineRule="auto" w:before="0" w:after="0"/>
            </w:pPr>
            <w:r/>
            <w:r>
              <w:rPr>
                <w:rFonts w:ascii="Figtree" w:hAnsi="Figtree"/>
                <w:b w:val="0"/>
                <w:i w:val="0"/>
                <w:sz w:val="20"/>
              </w:rPr>
              <w:t>Nostro pre-funding reduction</w:t>
            </w:r>
          </w:p>
        </w:tc>
        <w:tc>
          <w:tcPr>
            <w:tcW w:type="dxa" w:w="1949"/>
            <w:vAlign w:val="center"/>
          </w:tcPr>
          <w:p>
            <w:pPr>
              <w:spacing w:line="276" w:lineRule="auto" w:before="0" w:after="0"/>
            </w:pPr>
            <w:r/>
            <w:r>
              <w:rPr>
                <w:rFonts w:ascii="Figtree" w:hAnsi="Figtree"/>
                <w:b w:val="0"/>
                <w:i w:val="0"/>
                <w:sz w:val="20"/>
              </w:rPr>
              <w:t>Faster settlement reduces pre-funding requirement</w:t>
            </w:r>
          </w:p>
        </w:tc>
        <w:tc>
          <w:tcPr>
            <w:tcW w:type="dxa" w:w="1949"/>
            <w:vAlign w:val="center"/>
          </w:tcPr>
          <w:p>
            <w:pPr>
              <w:spacing w:line="276" w:lineRule="auto" w:before="0" w:after="0"/>
            </w:pPr>
            <w:r/>
            <w:r>
              <w:rPr>
                <w:rFonts w:ascii="Figtree" w:hAnsi="Figtree"/>
                <w:b w:val="0"/>
                <w:i w:val="0"/>
                <w:sz w:val="20"/>
              </w:rPr>
              <w:t>10% reduction</w:t>
            </w:r>
          </w:p>
        </w:tc>
        <w:tc>
          <w:tcPr>
            <w:tcW w:type="dxa" w:w="1949"/>
            <w:vAlign w:val="center"/>
          </w:tcPr>
          <w:p>
            <w:pPr>
              <w:spacing w:line="276" w:lineRule="auto" w:before="0" w:after="0"/>
            </w:pPr>
            <w:r/>
            <w:r>
              <w:rPr>
                <w:rFonts w:ascii="Figtree" w:hAnsi="Figtree"/>
                <w:b w:val="0"/>
                <w:i w:val="0"/>
                <w:sz w:val="20"/>
              </w:rPr>
              <w:t>20% reduction</w:t>
            </w:r>
          </w:p>
        </w:tc>
        <w:tc>
          <w:tcPr>
            <w:tcW w:type="dxa" w:w="1949"/>
            <w:vAlign w:val="center"/>
          </w:tcPr>
          <w:p>
            <w:pPr>
              <w:spacing w:line="276" w:lineRule="auto" w:before="0" w:after="0"/>
            </w:pPr>
            <w:r/>
            <w:r>
              <w:rPr>
                <w:rFonts w:ascii="Figtree" w:hAnsi="Figtree"/>
                <w:b w:val="0"/>
                <w:i w:val="0"/>
                <w:sz w:val="20"/>
              </w:rPr>
              <w:t>30% reduction</w:t>
            </w:r>
          </w:p>
        </w:tc>
      </w:tr>
      <w:tr>
        <w:trPr>
          <w:trHeight w:val="425" w:hRule="atLeast"/>
        </w:trPr>
        <w:tc>
          <w:tcPr>
            <w:tcW w:type="dxa" w:w="1949"/>
            <w:vAlign w:val="center"/>
          </w:tcPr>
          <w:p>
            <w:pPr>
              <w:spacing w:line="276" w:lineRule="auto" w:before="0" w:after="0"/>
            </w:pPr>
            <w:r/>
            <w:r>
              <w:rPr>
                <w:rFonts w:ascii="Figtree" w:hAnsi="Figtree"/>
                <w:b w:val="0"/>
                <w:i w:val="0"/>
                <w:sz w:val="20"/>
              </w:rPr>
              <w:t>Compliance evidence cost</w:t>
            </w:r>
          </w:p>
        </w:tc>
        <w:tc>
          <w:tcPr>
            <w:tcW w:type="dxa" w:w="1949"/>
            <w:vAlign w:val="center"/>
          </w:tcPr>
          <w:p>
            <w:pPr>
              <w:spacing w:line="276" w:lineRule="auto" w:before="0" w:after="0"/>
            </w:pPr>
            <w:r/>
            <w:r>
              <w:rPr>
                <w:rFonts w:ascii="Figtree" w:hAnsi="Figtree"/>
                <w:b w:val="0"/>
                <w:i w:val="0"/>
                <w:sz w:val="20"/>
              </w:rPr>
              <w:t>Automated evidence generation</w:t>
            </w:r>
          </w:p>
        </w:tc>
        <w:tc>
          <w:tcPr>
            <w:tcW w:type="dxa" w:w="1949"/>
            <w:vAlign w:val="center"/>
          </w:tcPr>
          <w:p>
            <w:pPr>
              <w:spacing w:line="276" w:lineRule="auto" w:before="0" w:after="0"/>
            </w:pPr>
            <w:r/>
            <w:r>
              <w:rPr>
                <w:rFonts w:ascii="Figtree" w:hAnsi="Figtree"/>
                <w:b w:val="0"/>
                <w:i w:val="0"/>
                <w:sz w:val="20"/>
              </w:rPr>
              <w:t>50% reduction in compliance support costs</w:t>
            </w:r>
          </w:p>
        </w:tc>
        <w:tc>
          <w:tcPr>
            <w:tcW w:type="dxa" w:w="1949"/>
            <w:vAlign w:val="center"/>
          </w:tcPr>
          <w:p>
            <w:pPr>
              <w:spacing w:line="276" w:lineRule="auto" w:before="0" w:after="0"/>
            </w:pPr>
            <w:r/>
            <w:r>
              <w:rPr>
                <w:rFonts w:ascii="Figtree" w:hAnsi="Figtree"/>
                <w:b w:val="0"/>
                <w:i w:val="0"/>
                <w:sz w:val="20"/>
              </w:rPr>
              <w:t>65% reduction</w:t>
            </w:r>
          </w:p>
        </w:tc>
        <w:tc>
          <w:tcPr>
            <w:tcW w:type="dxa" w:w="1949"/>
            <w:vAlign w:val="center"/>
          </w:tcPr>
          <w:p>
            <w:pPr>
              <w:spacing w:line="276" w:lineRule="auto" w:before="0" w:after="0"/>
            </w:pPr>
            <w:r/>
            <w:r>
              <w:rPr>
                <w:rFonts w:ascii="Figtree" w:hAnsi="Figtree"/>
                <w:b w:val="0"/>
                <w:i w:val="0"/>
                <w:sz w:val="20"/>
              </w:rPr>
              <w:t>80% reduction</w:t>
            </w:r>
          </w:p>
        </w:tc>
      </w:tr>
      <w:tr>
        <w:trPr>
          <w:trHeight w:val="425" w:hRule="atLeast"/>
        </w:trPr>
        <w:tc>
          <w:tcPr>
            <w:tcW w:type="dxa" w:w="1949"/>
            <w:vAlign w:val="center"/>
          </w:tcPr>
          <w:p>
            <w:pPr>
              <w:spacing w:line="276" w:lineRule="auto" w:before="0" w:after="0"/>
            </w:pPr>
            <w:r/>
            <w:r>
              <w:rPr>
                <w:rFonts w:ascii="Figtree" w:hAnsi="Figtree"/>
                <w:b w:val="0"/>
                <w:i w:val="0"/>
                <w:sz w:val="20"/>
              </w:rPr>
              <w:t>New corridor deployment time</w:t>
            </w:r>
          </w:p>
        </w:tc>
        <w:tc>
          <w:tcPr>
            <w:tcW w:type="dxa" w:w="1949"/>
            <w:vAlign w:val="center"/>
          </w:tcPr>
          <w:p>
            <w:pPr>
              <w:spacing w:line="276" w:lineRule="auto" w:before="0" w:after="0"/>
            </w:pPr>
            <w:r/>
            <w:r>
              <w:rPr>
                <w:rFonts w:ascii="Figtree" w:hAnsi="Figtree"/>
                <w:b w:val="0"/>
                <w:i w:val="0"/>
                <w:sz w:val="20"/>
              </w:rPr>
              <w:t>Configuration vs. development</w:t>
            </w:r>
          </w:p>
        </w:tc>
        <w:tc>
          <w:tcPr>
            <w:tcW w:type="dxa" w:w="1949"/>
            <w:vAlign w:val="center"/>
          </w:tcPr>
          <w:p>
            <w:pPr>
              <w:spacing w:line="276" w:lineRule="auto" w:before="0" w:after="0"/>
            </w:pPr>
            <w:r/>
            <w:r>
              <w:rPr>
                <w:rFonts w:ascii="Figtree" w:hAnsi="Figtree"/>
                <w:b w:val="0"/>
                <w:i w:val="0"/>
                <w:sz w:val="20"/>
              </w:rPr>
              <w:t>6 months faster per corridor</w:t>
            </w:r>
          </w:p>
        </w:tc>
        <w:tc>
          <w:tcPr>
            <w:tcW w:type="dxa" w:w="1949"/>
            <w:vAlign w:val="center"/>
          </w:tcPr>
          <w:p>
            <w:pPr>
              <w:spacing w:line="276" w:lineRule="auto" w:before="0" w:after="0"/>
            </w:pPr>
            <w:r/>
            <w:r>
              <w:rPr>
                <w:rFonts w:ascii="Figtree" w:hAnsi="Figtree"/>
                <w:b w:val="0"/>
                <w:i w:val="0"/>
                <w:sz w:val="20"/>
              </w:rPr>
              <w:t>8 months faster</w:t>
            </w:r>
          </w:p>
        </w:tc>
        <w:tc>
          <w:tcPr>
            <w:tcW w:type="dxa" w:w="1949"/>
            <w:vAlign w:val="center"/>
          </w:tcPr>
          <w:p>
            <w:pPr>
              <w:spacing w:line="276" w:lineRule="auto" w:before="0" w:after="0"/>
            </w:pPr>
            <w:r/>
            <w:r>
              <w:rPr>
                <w:rFonts w:ascii="Figtree" w:hAnsi="Figtree"/>
                <w:b w:val="0"/>
                <w:i w:val="0"/>
                <w:sz w:val="20"/>
              </w:rPr>
              <w:t>10 months faster</w:t>
            </w:r>
          </w:p>
        </w:tc>
      </w:tr>
    </w:tbl>
    <w:p>
      <w:pPr>
        <w:spacing w:before="0" w:after="0" w:line="120" w:lineRule="exact"/>
      </w:pPr>
    </w:p>
    <w:p>
      <w:r>
        <w:rPr>
          <w:rFonts w:ascii="Figtree" w:hAnsi="Figtree"/>
          <w:b w:val="0"/>
          <w:i w:val="0"/>
          <w:sz w:val="22"/>
        </w:rPr>
        <w:t>Assumptions:</w:t>
      </w:r>
    </w:p>
    <w:p>
      <w:pPr>
        <w:pStyle w:val="ListParagraph"/>
        <w:numPr>
          <w:ilvl w:val="0"/>
          <w:numId w:val="4"/>
        </w:numPr>
      </w:pPr>
      <w:r>
        <w:rPr>
          <w:rFonts w:ascii="Figtree" w:hAnsi="Figtree"/>
          <w:b w:val="0"/>
          <w:i w:val="0"/>
          <w:sz w:val="22"/>
        </w:rPr>
        <w:t>All percentage estimates are indicative and require validation against Bank of China's actual operational data during discovery.</w:t>
      </w:r>
    </w:p>
    <w:p>
      <w:pPr>
        <w:pStyle w:val="ListParagraph"/>
        <w:numPr>
          <w:ilvl w:val="0"/>
          <w:numId w:val="4"/>
        </w:numPr>
      </w:pPr>
      <w:r>
        <w:rPr>
          <w:rFonts w:ascii="Figtree" w:hAnsi="Figtree"/>
          <w:b w:val="0"/>
          <w:i w:val="0"/>
          <w:sz w:val="22"/>
        </w:rPr>
        <w:t>Nostro pre-funding reductions depend on actual settlement acceleration achieved in each corridor.</w:t>
      </w:r>
    </w:p>
    <w:p>
      <w:pPr>
        <w:pStyle w:val="ListParagraph"/>
        <w:numPr>
          <w:ilvl w:val="0"/>
          <w:numId w:val="4"/>
        </w:numPr>
      </w:pPr>
      <w:r>
        <w:rPr>
          <w:rFonts w:ascii="Figtree" w:hAnsi="Figtree"/>
          <w:b w:val="0"/>
          <w:i w:val="0"/>
          <w:sz w:val="22"/>
        </w:rPr>
        <w:t>ROI modelling will be completed in the commercial validation workshop following RFP award.</w:t>
      </w:r>
    </w:p>
    <w:p>
      <w:r>
        <w:br w:type="page"/>
      </w:r>
    </w:p>
    <w:p>
      <w:pPr>
        <w:pStyle w:val="H2"/>
        <w:numPr>
          <w:ilvl w:val="1"/>
          <w:numId w:val="1"/>
        </w:numPr>
      </w:pPr>
      <w:r>
        <w:t>3. Licensing Model</w:t>
      </w:r>
    </w:p>
    <w:p>
      <w:pPr>
        <w:pStyle w:val="H3"/>
        <w:numPr>
          <w:ilvl w:val="2"/>
          <w:numId w:val="1"/>
        </w:numPr>
      </w:pPr>
      <w:r>
        <w:t>3.1 Philosophy</w:t>
      </w:r>
    </w:p>
    <w:p>
      <w:r>
        <w:rPr>
          <w:rFonts w:ascii="Figtree" w:hAnsi="Figtree"/>
          <w:b w:val="0"/>
          <w:i w:val="0"/>
          <w:sz w:val="22"/>
        </w:rPr>
        <w:t>SettleMint's licensing model is designed for regulated financial institutions that need predictability and alignment between platform investment and operational scale. The model is platform-based: Bank of China pays for access to the full DALP capability set, not for individual transactions or individual compliance rules. As payment volumes grow, the license fee does not grow with them. This removes the perverse incentive that transaction-based pricing creates, where the vendor profits most when the client processes the most payments.</w:t>
      </w:r>
    </w:p>
    <w:p>
      <w:r>
        <w:rPr>
          <w:rFonts w:ascii="Figtree" w:hAnsi="Figtree"/>
          <w:b/>
          <w:i w:val="0"/>
          <w:sz w:val="22"/>
        </w:rPr>
        <w:t>Platform license vs. transaction-fee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2"/>
        <w:gridCol w:w="3456"/>
        <w:gridCol w:w="423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Characteristic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Risk to Buyer</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Fixed annual fee for full capability set</w:t>
            </w:r>
          </w:p>
        </w:tc>
        <w:tc>
          <w:tcPr>
            <w:tcW w:type="dxa" w:w="3249"/>
            <w:vAlign w:val="center"/>
          </w:tcPr>
          <w:p>
            <w:pPr>
              <w:spacing w:line="276" w:lineRule="auto" w:before="0" w:after="0"/>
            </w:pPr>
            <w:r/>
            <w:r>
              <w:rPr>
                <w:rFonts w:ascii="Figtree" w:hAnsi="Figtree"/>
                <w:b w:val="0"/>
                <w:i w:val="0"/>
                <w:sz w:val="20"/>
              </w:rPr>
              <w:t>Predictable; no volume surprises</w:t>
            </w:r>
          </w:p>
        </w:tc>
      </w:tr>
      <w:tr>
        <w:trPr>
          <w:trHeight w:val="425" w:hRule="atLeast"/>
        </w:trPr>
        <w:tc>
          <w:tcPr>
            <w:tcW w:type="dxa" w:w="3249"/>
            <w:vAlign w:val="center"/>
          </w:tcPr>
          <w:p>
            <w:pPr>
              <w:spacing w:line="276" w:lineRule="auto" w:before="0" w:after="0"/>
            </w:pPr>
            <w:r/>
            <w:r>
              <w:rPr>
                <w:rFonts w:ascii="Figtree" w:hAnsi="Figtree"/>
                <w:b w:val="0"/>
                <w:i w:val="0"/>
                <w:sz w:val="20"/>
              </w:rPr>
              <w:t>Transaction-fee</w:t>
            </w:r>
          </w:p>
        </w:tc>
        <w:tc>
          <w:tcPr>
            <w:tcW w:type="dxa" w:w="3249"/>
            <w:vAlign w:val="center"/>
          </w:tcPr>
          <w:p>
            <w:pPr>
              <w:spacing w:line="276" w:lineRule="auto" w:before="0" w:after="0"/>
            </w:pPr>
            <w:r/>
            <w:r>
              <w:rPr>
                <w:rFonts w:ascii="Figtree" w:hAnsi="Figtree"/>
                <w:b w:val="0"/>
                <w:i w:val="0"/>
                <w:sz w:val="20"/>
              </w:rPr>
              <w:t>Per-transaction charge</w:t>
            </w:r>
          </w:p>
        </w:tc>
        <w:tc>
          <w:tcPr>
            <w:tcW w:type="dxa" w:w="3249"/>
            <w:vAlign w:val="center"/>
          </w:tcPr>
          <w:p>
            <w:pPr>
              <w:spacing w:line="276" w:lineRule="auto" w:before="0" w:after="0"/>
            </w:pPr>
            <w:r/>
            <w:r>
              <w:rPr>
                <w:rFonts w:ascii="Figtree" w:hAnsi="Figtree"/>
                <w:b w:val="0"/>
                <w:i w:val="0"/>
                <w:sz w:val="20"/>
              </w:rPr>
              <w:t>Costs scale with success; hard to budget</w:t>
            </w:r>
          </w:p>
        </w:tc>
      </w:tr>
      <w:tr>
        <w:trPr>
          <w:trHeight w:val="425" w:hRule="atLeast"/>
        </w:trPr>
        <w:tc>
          <w:tcPr>
            <w:tcW w:type="dxa" w:w="3249"/>
            <w:vAlign w:val="center"/>
          </w:tcPr>
          <w:p>
            <w:pPr>
              <w:spacing w:line="276" w:lineRule="auto" w:before="0" w:after="0"/>
            </w:pPr>
            <w:r/>
            <w:r>
              <w:rPr>
                <w:rFonts w:ascii="Figtree" w:hAnsi="Figtree"/>
                <w:b w:val="0"/>
                <w:i w:val="0"/>
                <w:sz w:val="20"/>
              </w:rPr>
              <w:t>Per-corridor fee</w:t>
            </w:r>
          </w:p>
        </w:tc>
        <w:tc>
          <w:tcPr>
            <w:tcW w:type="dxa" w:w="3249"/>
            <w:vAlign w:val="center"/>
          </w:tcPr>
          <w:p>
            <w:pPr>
              <w:spacing w:line="276" w:lineRule="auto" w:before="0" w:after="0"/>
            </w:pPr>
            <w:r/>
            <w:r>
              <w:rPr>
                <w:rFonts w:ascii="Figtree" w:hAnsi="Figtree"/>
                <w:b w:val="0"/>
                <w:i w:val="0"/>
                <w:sz w:val="20"/>
              </w:rPr>
              <w:t>Fee per active payment corridor</w:t>
            </w:r>
          </w:p>
        </w:tc>
        <w:tc>
          <w:tcPr>
            <w:tcW w:type="dxa" w:w="3249"/>
            <w:vAlign w:val="center"/>
          </w:tcPr>
          <w:p>
            <w:pPr>
              <w:spacing w:line="276" w:lineRule="auto" w:before="0" w:after="0"/>
            </w:pPr>
            <w:r/>
            <w:r>
              <w:rPr>
                <w:rFonts w:ascii="Figtree" w:hAnsi="Figtree"/>
                <w:b w:val="0"/>
                <w:i w:val="0"/>
                <w:sz w:val="20"/>
              </w:rPr>
              <w:t>Penalises expansion; creates procurement friction</w:t>
            </w:r>
          </w:p>
        </w:tc>
      </w:tr>
    </w:tbl>
    <w:p>
      <w:pPr>
        <w:spacing w:before="0" w:after="0" w:line="120" w:lineRule="exact"/>
      </w:pPr>
    </w:p>
    <w:p>
      <w:r>
        <w:rPr>
          <w:rFonts w:ascii="Figtree" w:hAnsi="Figtree"/>
          <w:b w:val="0"/>
          <w:i w:val="0"/>
          <w:sz w:val="22"/>
        </w:rPr>
        <w:t>DALP uses platform licensing. Bank of China pays once per year for the right to operate the platform across its agreed scope. Volume growth, new corridors, and additional compliance modules within the platform capability set do not generate additional license fees.</w:t>
      </w:r>
    </w:p>
    <w:p>
      <w:pPr>
        <w:pStyle w:val="H3"/>
        <w:numPr>
          <w:ilvl w:val="2"/>
          <w:numId w:val="1"/>
        </w:numPr>
      </w:pPr>
      <w:r>
        <w:t>3.2 What's Included in the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92"/>
        <w:gridCol w:w="1626"/>
        <w:gridCol w:w="265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 Family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 in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Token lifecycle management</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All DALPAsset types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system</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All standard modules</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 extension</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Multi-party atomic settlement</w:t>
            </w:r>
          </w:p>
        </w:tc>
      </w:tr>
      <w:tr>
        <w:trPr>
          <w:trHeight w:val="425" w:hRule="atLeast"/>
        </w:trPr>
        <w:tc>
          <w:tcPr>
            <w:tcW w:type="dxa" w:w="3249"/>
            <w:vAlign w:val="center"/>
          </w:tcPr>
          <w:p>
            <w:pPr>
              <w:spacing w:line="276" w:lineRule="auto" w:before="0" w:after="0"/>
            </w:pPr>
            <w:r/>
            <w:r>
              <w:rPr>
                <w:rFonts w:ascii="Figtree" w:hAnsi="Figtree"/>
                <w:b w:val="0"/>
                <w:i w:val="0"/>
                <w:sz w:val="20"/>
              </w:rPr>
              <w:t>Maker-checker workflow</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Configurable authority matrix</w:t>
            </w:r>
          </w:p>
        </w:tc>
      </w:tr>
      <w:tr>
        <w:trPr>
          <w:trHeight w:val="425" w:hRule="atLeast"/>
        </w:trPr>
        <w:tc>
          <w:tcPr>
            <w:tcW w:type="dxa" w:w="3249"/>
            <w:vAlign w:val="center"/>
          </w:tcPr>
          <w:p>
            <w:pPr>
              <w:spacing w:line="276" w:lineRule="auto" w:before="0" w:after="0"/>
            </w:pPr>
            <w:r/>
            <w:r>
              <w:rPr>
                <w:rFonts w:ascii="Figtree" w:hAnsi="Figtree"/>
                <w:b w:val="0"/>
                <w:i w:val="0"/>
                <w:sz w:val="20"/>
              </w:rPr>
              <w:t>Key Guardian (software key management)</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HSM hardware is client-procured</w:t>
            </w:r>
          </w:p>
        </w:tc>
      </w:tr>
      <w:tr>
        <w:trPr>
          <w:trHeight w:val="425" w:hRule="atLeast"/>
        </w:trPr>
        <w:tc>
          <w:tcPr>
            <w:tcW w:type="dxa" w:w="3249"/>
            <w:vAlign w:val="center"/>
          </w:tcPr>
          <w:p>
            <w:pPr>
              <w:spacing w:line="276" w:lineRule="auto" w:before="0" w:after="0"/>
            </w:pPr>
            <w:r/>
            <w:r>
              <w:rPr>
                <w:rFonts w:ascii="Figtree" w:hAnsi="Figtree"/>
                <w:b w:val="0"/>
                <w:i w:val="0"/>
                <w:sz w:val="20"/>
              </w:rPr>
              <w:t>OpenAPI 3.1 interface</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All endpoints</w:t>
            </w:r>
          </w:p>
        </w:tc>
      </w:tr>
      <w:tr>
        <w:trPr>
          <w:trHeight w:val="425" w:hRule="atLeast"/>
        </w:trPr>
        <w:tc>
          <w:tcPr>
            <w:tcW w:type="dxa" w:w="3249"/>
            <w:vAlign w:val="center"/>
          </w:tcPr>
          <w:p>
            <w:pPr>
              <w:spacing w:line="276" w:lineRule="auto" w:before="0" w:after="0"/>
            </w:pPr>
            <w:r/>
            <w:r>
              <w:rPr>
                <w:rFonts w:ascii="Figtree" w:hAnsi="Figtree"/>
                <w:b w:val="0"/>
                <w:i w:val="0"/>
                <w:sz w:val="20"/>
              </w:rPr>
              <w:t>TypeScript SDK and CLI</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Developer tooling</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 (Grafana/VictoriaMetrics/Loki/Tempo)</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All standard dashboards</w:t>
            </w:r>
          </w:p>
        </w:tc>
      </w:tr>
      <w:tr>
        <w:trPr>
          <w:trHeight w:val="425" w:hRule="atLeast"/>
        </w:trPr>
        <w:tc>
          <w:tcPr>
            <w:tcW w:type="dxa" w:w="3249"/>
            <w:vAlign w:val="center"/>
          </w:tcPr>
          <w:p>
            <w:pPr>
              <w:spacing w:line="276" w:lineRule="auto" w:before="0" w:after="0"/>
            </w:pPr>
            <w:r/>
            <w:r>
              <w:rPr>
                <w:rFonts w:ascii="Figtree" w:hAnsi="Figtree"/>
                <w:b w:val="0"/>
                <w:i w:val="0"/>
                <w:sz w:val="20"/>
              </w:rPr>
              <w:t>Identity registry (OnchainID)</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Unlimited participants</w:t>
            </w:r>
          </w:p>
        </w:tc>
      </w:tr>
      <w:tr>
        <w:trPr>
          <w:trHeight w:val="425" w:hRule="atLeast"/>
        </w:trPr>
        <w:tc>
          <w:tcPr>
            <w:tcW w:type="dxa" w:w="3249"/>
            <w:vAlign w:val="center"/>
          </w:tcPr>
          <w:p>
            <w:pPr>
              <w:spacing w:line="276" w:lineRule="auto" w:before="0" w:after="0"/>
            </w:pPr>
            <w:r/>
            <w:r>
              <w:rPr>
                <w:rFonts w:ascii="Figtree" w:hAnsi="Figtree"/>
                <w:b w:val="0"/>
                <w:i w:val="0"/>
                <w:sz w:val="20"/>
              </w:rPr>
              <w:t>Asset Console (web UI)</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All standard views</w:t>
            </w:r>
          </w:p>
        </w:tc>
      </w:tr>
      <w:tr>
        <w:trPr>
          <w:trHeight w:val="425" w:hRule="atLeast"/>
        </w:trPr>
        <w:tc>
          <w:tcPr>
            <w:tcW w:type="dxa" w:w="3249"/>
            <w:vAlign w:val="center"/>
          </w:tcPr>
          <w:p>
            <w:pPr>
              <w:spacing w:line="276" w:lineRule="auto" w:before="0" w:after="0"/>
            </w:pPr>
            <w:r/>
            <w:r>
              <w:rPr>
                <w:rFonts w:ascii="Figtree" w:hAnsi="Figtree"/>
                <w:b w:val="0"/>
                <w:i w:val="0"/>
                <w:sz w:val="20"/>
              </w:rPr>
              <w:t>Major platform updates</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Annual release cadence</w:t>
            </w:r>
          </w:p>
        </w:tc>
      </w:tr>
      <w:tr>
        <w:trPr>
          <w:trHeight w:val="425" w:hRule="atLeast"/>
        </w:trPr>
        <w:tc>
          <w:tcPr>
            <w:tcW w:type="dxa" w:w="3249"/>
            <w:vAlign w:val="center"/>
          </w:tcPr>
          <w:p>
            <w:pPr>
              <w:spacing w:line="276" w:lineRule="auto" w:before="0" w:after="0"/>
            </w:pPr>
            <w:r/>
            <w:r>
              <w:rPr>
                <w:rFonts w:ascii="Figtree" w:hAnsi="Figtree"/>
                <w:b w:val="0"/>
                <w:i w:val="0"/>
                <w:sz w:val="20"/>
              </w:rPr>
              <w:t>Security patches</w:t>
            </w:r>
          </w:p>
        </w:tc>
        <w:tc>
          <w:tcPr>
            <w:tcW w:type="dxa" w:w="3249"/>
            <w:vAlign w:val="center"/>
          </w:tcPr>
          <w:p>
            <w:pPr>
              <w:spacing w:line="276" w:lineRule="auto" w:before="0" w:after="0"/>
            </w:pPr>
            <w:r/>
            <w:r>
              <w:rPr>
                <w:rFonts w:ascii="Figtree" w:hAnsi="Figtree"/>
                <w:b w:val="0"/>
                <w:i w:val="0"/>
                <w:sz w:val="20"/>
              </w:rPr>
              <w:t>Yes</w:t>
            </w:r>
          </w:p>
        </w:tc>
        <w:tc>
          <w:tcPr>
            <w:tcW w:type="dxa" w:w="3249"/>
            <w:vAlign w:val="center"/>
          </w:tcPr>
          <w:p>
            <w:pPr>
              <w:spacing w:line="276" w:lineRule="auto" w:before="0" w:after="0"/>
            </w:pPr>
            <w:r/>
            <w:r>
              <w:rPr>
                <w:rFonts w:ascii="Figtree" w:hAnsi="Figtree"/>
                <w:b w:val="0"/>
                <w:i w:val="0"/>
                <w:sz w:val="20"/>
              </w:rPr>
              <w:t>Immediate release</w:t>
            </w:r>
          </w:p>
        </w:tc>
      </w:tr>
    </w:tbl>
    <w:p>
      <w:pPr>
        <w:spacing w:before="0" w:after="0" w:line="120" w:lineRule="exact"/>
      </w:pPr>
    </w:p>
    <w:p>
      <w:pPr>
        <w:pStyle w:val="H3"/>
        <w:numPr>
          <w:ilvl w:val="2"/>
          <w:numId w:val="1"/>
        </w:numPr>
      </w:pPr>
      <w:r>
        <w:t>3.3 What Varies by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51"/>
        <w:gridCol w:w="3647"/>
        <w:gridCol w:w="32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Variable 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Client Choice</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Data sovereignty, regulatory compliance</w:t>
            </w:r>
          </w:p>
        </w:tc>
        <w:tc>
          <w:tcPr>
            <w:tcW w:type="dxa" w:w="3249"/>
            <w:vAlign w:val="center"/>
          </w:tcPr>
          <w:p>
            <w:pPr>
              <w:spacing w:line="276" w:lineRule="auto" w:before="0" w:after="0"/>
            </w:pPr>
            <w:r/>
            <w:r>
              <w:rPr>
                <w:rFonts w:ascii="Figtree" w:hAnsi="Figtree"/>
                <w:b w:val="0"/>
                <w:i w:val="0"/>
                <w:sz w:val="20"/>
              </w:rPr>
              <w:t>On-premises, private cloud, or SaaS</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count</w:t>
            </w:r>
          </w:p>
        </w:tc>
        <w:tc>
          <w:tcPr>
            <w:tcW w:type="dxa" w:w="3249"/>
            <w:vAlign w:val="center"/>
          </w:tcPr>
          <w:p>
            <w:pPr>
              <w:spacing w:line="276" w:lineRule="auto" w:before="0" w:after="0"/>
            </w:pPr>
            <w:r/>
            <w:r>
              <w:rPr>
                <w:rFonts w:ascii="Figtree" w:hAnsi="Figtree"/>
                <w:b w:val="0"/>
                <w:i w:val="0"/>
                <w:sz w:val="20"/>
              </w:rPr>
              <w:t>Development, testing, production, DR</w:t>
            </w:r>
          </w:p>
        </w:tc>
        <w:tc>
          <w:tcPr>
            <w:tcW w:type="dxa" w:w="3249"/>
            <w:vAlign w:val="center"/>
          </w:tcPr>
          <w:p>
            <w:pPr>
              <w:spacing w:line="276" w:lineRule="auto" w:before="0" w:after="0"/>
            </w:pPr>
            <w:r/>
            <w:r>
              <w:rPr>
                <w:rFonts w:ascii="Figtree" w:hAnsi="Figtree"/>
                <w:b w:val="0"/>
                <w:i w:val="0"/>
                <w:sz w:val="20"/>
              </w:rPr>
              <w:t>Scoped at discovery</w:t>
            </w:r>
          </w:p>
        </w:tc>
      </w:tr>
      <w:tr>
        <w:trPr>
          <w:trHeight w:val="425" w:hRule="atLeast"/>
        </w:trPr>
        <w:tc>
          <w:tcPr>
            <w:tcW w:type="dxa" w:w="3249"/>
            <w:vAlign w:val="center"/>
          </w:tcPr>
          <w:p>
            <w:pPr>
              <w:spacing w:line="276" w:lineRule="auto" w:before="0" w:after="0"/>
            </w:pPr>
            <w:r/>
            <w:r>
              <w:rPr>
                <w:rFonts w:ascii="Figtree" w:hAnsi="Figtree"/>
                <w:b w:val="0"/>
                <w:i w:val="0"/>
                <w:sz w:val="20"/>
              </w:rPr>
              <w:t>HSM hardware</w:t>
            </w:r>
          </w:p>
        </w:tc>
        <w:tc>
          <w:tcPr>
            <w:tcW w:type="dxa" w:w="3249"/>
            <w:vAlign w:val="center"/>
          </w:tcPr>
          <w:p>
            <w:pPr>
              <w:spacing w:line="276" w:lineRule="auto" w:before="0" w:after="0"/>
            </w:pPr>
            <w:r/>
            <w:r>
              <w:rPr>
                <w:rFonts w:ascii="Figtree" w:hAnsi="Figtree"/>
                <w:b w:val="0"/>
                <w:i w:val="0"/>
                <w:sz w:val="20"/>
              </w:rPr>
              <w:t>Security policy, budget</w:t>
            </w:r>
          </w:p>
        </w:tc>
        <w:tc>
          <w:tcPr>
            <w:tcW w:type="dxa" w:w="3249"/>
            <w:vAlign w:val="center"/>
          </w:tcPr>
          <w:p>
            <w:pPr>
              <w:spacing w:line="276" w:lineRule="auto" w:before="0" w:after="0"/>
            </w:pPr>
            <w:r/>
            <w:r>
              <w:rPr>
                <w:rFonts w:ascii="Figtree" w:hAnsi="Figtree"/>
                <w:b w:val="0"/>
                <w:i w:val="0"/>
                <w:sz w:val="20"/>
              </w:rPr>
              <w:t>Client-procured</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Criticality, internal capability</w:t>
            </w:r>
          </w:p>
        </w:tc>
        <w:tc>
          <w:tcPr>
            <w:tcW w:type="dxa" w:w="3249"/>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Programme scope, integration complexity</w:t>
            </w:r>
          </w:p>
        </w:tc>
        <w:tc>
          <w:tcPr>
            <w:tcW w:type="dxa" w:w="3249"/>
            <w:vAlign w:val="center"/>
          </w:tcPr>
          <w:p>
            <w:pPr>
              <w:spacing w:line="276" w:lineRule="auto" w:before="0" w:after="0"/>
            </w:pPr>
            <w:r/>
            <w:r>
              <w:rPr>
                <w:rFonts w:ascii="Figtree" w:hAnsi="Figtree"/>
                <w:b w:val="0"/>
                <w:i w:val="0"/>
                <w:sz w:val="20"/>
              </w:rPr>
              <w:t>Scoped at discovery</w:t>
            </w:r>
          </w:p>
        </w:tc>
      </w:tr>
      <w:tr>
        <w:trPr>
          <w:trHeight w:val="425" w:hRule="atLeast"/>
        </w:trPr>
        <w:tc>
          <w:tcPr>
            <w:tcW w:type="dxa" w:w="3249"/>
            <w:vAlign w:val="center"/>
          </w:tcPr>
          <w:p>
            <w:pPr>
              <w:spacing w:line="276" w:lineRule="auto" w:before="0" w:after="0"/>
            </w:pPr>
            <w:r/>
            <w:r>
              <w:rPr>
                <w:rFonts w:ascii="Figtree" w:hAnsi="Figtree"/>
                <w:b w:val="0"/>
                <w:i w:val="0"/>
                <w:sz w:val="20"/>
              </w:rPr>
              <w:t>Training scope</w:t>
            </w:r>
          </w:p>
        </w:tc>
        <w:tc>
          <w:tcPr>
            <w:tcW w:type="dxa" w:w="3249"/>
            <w:vAlign w:val="center"/>
          </w:tcPr>
          <w:p>
            <w:pPr>
              <w:spacing w:line="276" w:lineRule="auto" w:before="0" w:after="0"/>
            </w:pPr>
            <w:r/>
            <w:r>
              <w:rPr>
                <w:rFonts w:ascii="Figtree" w:hAnsi="Figtree"/>
                <w:b w:val="0"/>
                <w:i w:val="0"/>
                <w:sz w:val="20"/>
              </w:rPr>
              <w:t>Team size, role types</w:t>
            </w:r>
          </w:p>
        </w:tc>
        <w:tc>
          <w:tcPr>
            <w:tcW w:type="dxa" w:w="3249"/>
            <w:vAlign w:val="center"/>
          </w:tcPr>
          <w:p>
            <w:pPr>
              <w:spacing w:line="276" w:lineRule="auto" w:before="0" w:after="0"/>
            </w:pPr>
            <w:r/>
            <w:r>
              <w:rPr>
                <w:rFonts w:ascii="Figtree" w:hAnsi="Figtree"/>
                <w:b w:val="0"/>
                <w:i w:val="0"/>
                <w:sz w:val="20"/>
              </w:rPr>
              <w:t>Standard or extended</w:t>
            </w:r>
          </w:p>
        </w:tc>
      </w:tr>
    </w:tbl>
    <w:p>
      <w:pPr>
        <w:spacing w:before="0" w:after="0" w:line="120" w:lineRule="exact"/>
      </w:pPr>
    </w:p>
    <w:p>
      <w:pPr>
        <w:pStyle w:val="H3"/>
        <w:numPr>
          <w:ilvl w:val="2"/>
          <w:numId w:val="1"/>
        </w:numPr>
      </w:pPr>
      <w:r>
        <w:t>3.4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5"/>
        <w:gridCol w:w="4021"/>
        <w:gridCol w:w="1122"/>
        <w:gridCol w:w="1964"/>
        <w:gridCol w:w="102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Best Fit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Environments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Support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Price Basis</w:t>
            </w:r>
          </w:p>
        </w:tc>
      </w:tr>
      <w:tr>
        <w:trPr>
          <w:trHeight w:val="425" w:hRule="atLeast"/>
        </w:trPr>
        <w:tc>
          <w:tcPr>
            <w:tcW w:type="dxa" w:w="1949"/>
            <w:vAlign w:val="center"/>
          </w:tcPr>
          <w:p>
            <w:pPr>
              <w:spacing w:line="276" w:lineRule="auto" w:before="0" w:after="0"/>
            </w:pPr>
            <w:r/>
            <w:r>
              <w:rPr>
                <w:rFonts w:ascii="Figtree" w:hAnsi="Figtree"/>
                <w:b w:val="0"/>
                <w:i w:val="0"/>
                <w:sz w:val="20"/>
              </w:rPr>
              <w:t>Foundation</w:t>
            </w:r>
          </w:p>
        </w:tc>
        <w:tc>
          <w:tcPr>
            <w:tcW w:type="dxa" w:w="1949"/>
            <w:vAlign w:val="center"/>
          </w:tcPr>
          <w:p>
            <w:pPr>
              <w:spacing w:line="276" w:lineRule="auto" w:before="0" w:after="0"/>
            </w:pPr>
            <w:r/>
            <w:r>
              <w:rPr>
                <w:rFonts w:ascii="Figtree" w:hAnsi="Figtree"/>
                <w:b w:val="0"/>
                <w:i w:val="0"/>
                <w:sz w:val="20"/>
              </w:rPr>
              <w:t>Single use case, single legal entity</w:t>
            </w:r>
          </w:p>
        </w:tc>
        <w:tc>
          <w:tcPr>
            <w:tcW w:type="dxa" w:w="1949"/>
            <w:vAlign w:val="center"/>
          </w:tcPr>
          <w:p>
            <w:pPr>
              <w:spacing w:line="276" w:lineRule="auto" w:before="0" w:after="0"/>
            </w:pPr>
            <w:r/>
            <w:r>
              <w:rPr>
                <w:rFonts w:ascii="Figtree" w:hAnsi="Figtree"/>
                <w:b w:val="0"/>
                <w:i w:val="0"/>
                <w:sz w:val="20"/>
              </w:rPr>
              <w:t>Up to 3</w:t>
            </w:r>
          </w:p>
        </w:tc>
        <w:tc>
          <w:tcPr>
            <w:tcW w:type="dxa" w:w="1949"/>
            <w:vAlign w:val="center"/>
          </w:tcPr>
          <w:p>
            <w:pPr>
              <w:spacing w:line="276" w:lineRule="auto" w:before="0" w:after="0"/>
            </w:pPr>
            <w:r/>
            <w:r>
              <w:rPr>
                <w:rFonts w:ascii="Figtree" w:hAnsi="Figtree"/>
                <w:b w:val="0"/>
                <w:i w:val="0"/>
                <w:sz w:val="20"/>
              </w:rPr>
              <w:t>Standard</w:t>
            </w:r>
          </w:p>
        </w:tc>
        <w:tc>
          <w:tcPr>
            <w:tcW w:type="dxa" w:w="1949"/>
            <w:vAlign w:val="center"/>
          </w:tcPr>
          <w:p>
            <w:pPr>
              <w:spacing w:line="276" w:lineRule="auto" w:before="0" w:after="0"/>
            </w:pPr>
            <w:r/>
            <w:r>
              <w:rPr>
                <w:rFonts w:ascii="Figtree" w:hAnsi="Figtree"/>
                <w:b w:val="0"/>
                <w:i w:val="0"/>
                <w:sz w:val="20"/>
              </w:rPr>
              <w:t>[VARIABLE]</w:t>
            </w:r>
          </w:p>
        </w:tc>
      </w:tr>
      <w:tr>
        <w:trPr>
          <w:trHeight w:val="425" w:hRule="atLeast"/>
        </w:trPr>
        <w:tc>
          <w:tcPr>
            <w:tcW w:type="dxa" w:w="1949"/>
            <w:vAlign w:val="center"/>
          </w:tcPr>
          <w:p>
            <w:pPr>
              <w:spacing w:line="276" w:lineRule="auto" w:before="0" w:after="0"/>
            </w:pPr>
            <w:r/>
            <w:r>
              <w:rPr>
                <w:rFonts w:ascii="Figtree" w:hAnsi="Figtree"/>
                <w:b w:val="0"/>
                <w:i w:val="0"/>
                <w:sz w:val="20"/>
              </w:rPr>
              <w:t>Enterprise</w:t>
            </w:r>
          </w:p>
        </w:tc>
        <w:tc>
          <w:tcPr>
            <w:tcW w:type="dxa" w:w="1949"/>
            <w:vAlign w:val="center"/>
          </w:tcPr>
          <w:p>
            <w:pPr>
              <w:spacing w:line="276" w:lineRule="auto" w:before="0" w:after="0"/>
            </w:pPr>
            <w:r/>
            <w:r>
              <w:rPr>
                <w:rFonts w:ascii="Figtree" w:hAnsi="Figtree"/>
                <w:b w:val="0"/>
                <w:i w:val="0"/>
                <w:sz w:val="20"/>
              </w:rPr>
              <w:t>Multiple corridors, multiple legal entities</w:t>
            </w:r>
          </w:p>
        </w:tc>
        <w:tc>
          <w:tcPr>
            <w:tcW w:type="dxa" w:w="1949"/>
            <w:vAlign w:val="center"/>
          </w:tcPr>
          <w:p>
            <w:pPr>
              <w:spacing w:line="276" w:lineRule="auto" w:before="0" w:after="0"/>
            </w:pPr>
            <w:r/>
            <w:r>
              <w:rPr>
                <w:rFonts w:ascii="Figtree" w:hAnsi="Figtree"/>
                <w:b w:val="0"/>
                <w:i w:val="0"/>
                <w:sz w:val="20"/>
              </w:rPr>
              <w:t>Up to 8</w:t>
            </w:r>
          </w:p>
        </w:tc>
        <w:tc>
          <w:tcPr>
            <w:tcW w:type="dxa" w:w="1949"/>
            <w:vAlign w:val="center"/>
          </w:tcPr>
          <w:p>
            <w:pPr>
              <w:spacing w:line="276" w:lineRule="auto" w:before="0" w:after="0"/>
            </w:pPr>
            <w:r/>
            <w:r>
              <w:rPr>
                <w:rFonts w:ascii="Figtree" w:hAnsi="Figtree"/>
                <w:b w:val="0"/>
                <w:i w:val="0"/>
                <w:sz w:val="20"/>
              </w:rPr>
              <w:t>Premium or Enterprise</w:t>
            </w:r>
          </w:p>
        </w:tc>
        <w:tc>
          <w:tcPr>
            <w:tcW w:type="dxa" w:w="1949"/>
            <w:vAlign w:val="center"/>
          </w:tcPr>
          <w:p>
            <w:pPr>
              <w:spacing w:line="276" w:lineRule="auto" w:before="0" w:after="0"/>
            </w:pPr>
            <w:r/>
            <w:r>
              <w:rPr>
                <w:rFonts w:ascii="Figtree" w:hAnsi="Figtree"/>
                <w:b w:val="0"/>
                <w:i w:val="0"/>
                <w:sz w:val="20"/>
              </w:rPr>
              <w:t>[VARIABLE]</w:t>
            </w:r>
          </w:p>
        </w:tc>
      </w:tr>
      <w:tr>
        <w:trPr>
          <w:trHeight w:val="425" w:hRule="atLeast"/>
        </w:trPr>
        <w:tc>
          <w:tcPr>
            <w:tcW w:type="dxa" w:w="1949"/>
            <w:vAlign w:val="center"/>
          </w:tcPr>
          <w:p>
            <w:pPr>
              <w:spacing w:line="276" w:lineRule="auto" w:before="0" w:after="0"/>
            </w:pPr>
            <w:r/>
            <w:r>
              <w:rPr>
                <w:rFonts w:ascii="Figtree" w:hAnsi="Figtree"/>
                <w:b w:val="0"/>
                <w:i w:val="0"/>
                <w:sz w:val="20"/>
              </w:rPr>
              <w:t>Sovereign</w:t>
            </w:r>
          </w:p>
        </w:tc>
        <w:tc>
          <w:tcPr>
            <w:tcW w:type="dxa" w:w="1949"/>
            <w:vAlign w:val="center"/>
          </w:tcPr>
          <w:p>
            <w:pPr>
              <w:spacing w:line="276" w:lineRule="auto" w:before="0" w:after="0"/>
            </w:pPr>
            <w:r/>
            <w:r>
              <w:rPr>
                <w:rFonts w:ascii="Figtree" w:hAnsi="Figtree"/>
                <w:b w:val="0"/>
                <w:i w:val="0"/>
                <w:sz w:val="20"/>
              </w:rPr>
              <w:t>National-scale or central bank deployment</w:t>
            </w:r>
          </w:p>
        </w:tc>
        <w:tc>
          <w:tcPr>
            <w:tcW w:type="dxa" w:w="1949"/>
            <w:vAlign w:val="center"/>
          </w:tcPr>
          <w:p>
            <w:pPr>
              <w:spacing w:line="276" w:lineRule="auto" w:before="0" w:after="0"/>
            </w:pPr>
            <w:r/>
            <w:r>
              <w:rPr>
                <w:rFonts w:ascii="Figtree" w:hAnsi="Figtree"/>
                <w:b w:val="0"/>
                <w:i w:val="0"/>
                <w:sz w:val="20"/>
              </w:rPr>
              <w:t>Unlimited</w:t>
            </w:r>
          </w:p>
        </w:tc>
        <w:tc>
          <w:tcPr>
            <w:tcW w:type="dxa" w:w="1949"/>
            <w:vAlign w:val="center"/>
          </w:tcPr>
          <w:p>
            <w:pPr>
              <w:spacing w:line="276" w:lineRule="auto" w:before="0" w:after="0"/>
            </w:pPr>
            <w:r/>
            <w:r>
              <w:rPr>
                <w:rFonts w:ascii="Figtree" w:hAnsi="Figtree"/>
                <w:b w:val="0"/>
                <w:i w:val="0"/>
                <w:sz w:val="20"/>
              </w:rPr>
              <w:t>Dedicated</w:t>
            </w:r>
          </w:p>
        </w:tc>
        <w:tc>
          <w:tcPr>
            <w:tcW w:type="dxa" w:w="1949"/>
            <w:vAlign w:val="center"/>
          </w:tcPr>
          <w:p>
            <w:pPr>
              <w:spacing w:line="276" w:lineRule="auto" w:before="0" w:after="0"/>
            </w:pPr>
            <w:r/>
            <w:r>
              <w:rPr>
                <w:rFonts w:ascii="Figtree" w:hAnsi="Figtree"/>
                <w:b w:val="0"/>
                <w:i w:val="0"/>
                <w:sz w:val="20"/>
              </w:rPr>
              <w:t>[VARIABLE]</w:t>
            </w:r>
          </w:p>
        </w:tc>
      </w:tr>
    </w:tbl>
    <w:p>
      <w:pPr>
        <w:spacing w:before="0" w:after="0" w:line="120" w:lineRule="exact"/>
      </w:pPr>
    </w:p>
    <w:p>
      <w:r>
        <w:rPr>
          <w:rFonts w:ascii="Figtree" w:hAnsi="Figtree"/>
          <w:b/>
          <w:i w:val="0"/>
          <w:sz w:val="22"/>
        </w:rPr>
        <w:t>Recommended tier for Bank of China:</w:t>
      </w:r>
      <w:r>
        <w:rPr>
          <w:rFonts w:ascii="Figtree" w:hAnsi="Figtree"/>
          <w:b w:val="0"/>
          <w:i w:val="0"/>
          <w:sz w:val="22"/>
        </w:rPr>
        <w:t xml:space="preserve"> Enterprise, given the multi-corridor, multi-legal-entity scope and the 24/7 operational criticality of cross-border payment operations. The Enterprise Tier provides the environment count flexibility required to support production, DR, UAT, SIT, and development environments within a single license.</w:t>
      </w:r>
    </w:p>
    <w:p>
      <w:r>
        <w:br w:type="page"/>
      </w:r>
    </w:p>
    <w:p>
      <w:pPr>
        <w:pStyle w:val="H2"/>
        <w:numPr>
          <w:ilvl w:val="1"/>
          <w:numId w:val="1"/>
        </w:numPr>
      </w:pPr>
      <w:r>
        <w:t>4. Deployment Options and Pricing</w:t>
      </w:r>
    </w:p>
    <w:p>
      <w:pPr>
        <w:pStyle w:val="H3"/>
        <w:numPr>
          <w:ilvl w:val="2"/>
          <w:numId w:val="1"/>
        </w:numPr>
      </w:pPr>
      <w:r>
        <w:t>4.1 Recommended Deployment Model: On-Premises or China Private Cloud</w:t>
      </w:r>
    </w:p>
    <w:p>
      <w:r>
        <w:rPr>
          <w:rFonts w:ascii="Figtree" w:hAnsi="Figtree"/>
          <w:b w:val="0"/>
          <w:i w:val="0"/>
          <w:sz w:val="22"/>
        </w:rPr>
        <w:t>SettleMint recommends on-premises or China private cloud deployment for Bank of China, driven by:</w:t>
      </w:r>
    </w:p>
    <w:p>
      <w:pPr>
        <w:pStyle w:val="ListParagraph"/>
        <w:numPr>
          <w:ilvl w:val="0"/>
          <w:numId w:val="4"/>
        </w:numPr>
      </w:pPr>
      <w:r>
        <w:rPr>
          <w:rFonts w:ascii="Figtree" w:hAnsi="Figtree"/>
          <w:b/>
          <w:i w:val="0"/>
          <w:sz w:val="22"/>
        </w:rPr>
        <w:t>Data sovereignty:</w:t>
      </w:r>
      <w:r>
        <w:rPr>
          <w:rFonts w:ascii="Figtree" w:hAnsi="Figtree"/>
          <w:b w:val="0"/>
          <w:i w:val="0"/>
          <w:sz w:val="22"/>
        </w:rPr>
        <w:t xml:space="preserve"> PBOC and SAFE requirements for data localisation within China's network perimeter</w:t>
      </w:r>
    </w:p>
    <w:p>
      <w:pPr>
        <w:pStyle w:val="ListParagraph"/>
        <w:numPr>
          <w:ilvl w:val="0"/>
          <w:numId w:val="4"/>
        </w:numPr>
      </w:pPr>
      <w:r>
        <w:rPr>
          <w:rFonts w:ascii="Figtree" w:hAnsi="Figtree"/>
          <w:b/>
          <w:i w:val="0"/>
          <w:sz w:val="22"/>
        </w:rPr>
        <w:t>Cybersecurity Law compliance:</w:t>
      </w:r>
      <w:r>
        <w:rPr>
          <w:rFonts w:ascii="Figtree" w:hAnsi="Figtree"/>
          <w:b w:val="0"/>
          <w:i w:val="0"/>
          <w:sz w:val="22"/>
        </w:rPr>
        <w:t xml:space="preserve"> Requirement for network operators to store Chinese users' data domestically</w:t>
      </w:r>
    </w:p>
    <w:p>
      <w:pPr>
        <w:pStyle w:val="ListParagraph"/>
        <w:numPr>
          <w:ilvl w:val="0"/>
          <w:numId w:val="4"/>
        </w:numPr>
      </w:pPr>
      <w:r>
        <w:rPr>
          <w:rFonts w:ascii="Figtree" w:hAnsi="Figtree"/>
          <w:b/>
          <w:i w:val="0"/>
          <w:sz w:val="22"/>
        </w:rPr>
        <w:t>Security posture:</w:t>
      </w:r>
      <w:r>
        <w:rPr>
          <w:rFonts w:ascii="Figtree" w:hAnsi="Figtree"/>
          <w:b w:val="0"/>
          <w:i w:val="0"/>
          <w:sz w:val="22"/>
        </w:rPr>
        <w:t xml:space="preserve"> HSM integration requirements that favour on-premises key management</w:t>
      </w:r>
    </w:p>
    <w:p>
      <w:pPr>
        <w:pStyle w:val="ListParagraph"/>
        <w:numPr>
          <w:ilvl w:val="0"/>
          <w:numId w:val="4"/>
        </w:numPr>
      </w:pPr>
      <w:r>
        <w:rPr>
          <w:rFonts w:ascii="Figtree" w:hAnsi="Figtree"/>
          <w:b/>
          <w:i w:val="0"/>
          <w:sz w:val="22"/>
        </w:rPr>
        <w:t>Existing infrastructure:</w:t>
      </w:r>
      <w:r>
        <w:rPr>
          <w:rFonts w:ascii="Figtree" w:hAnsi="Figtree"/>
          <w:b w:val="0"/>
          <w:i w:val="0"/>
          <w:sz w:val="22"/>
        </w:rPr>
        <w:t xml:space="preserve"> Bank of China's existing data centre investments and cloud provider relationships</w:t>
      </w:r>
    </w:p>
    <w:p>
      <w:pPr>
        <w:pStyle w:val="H3"/>
        <w:numPr>
          <w:ilvl w:val="2"/>
          <w:numId w:val="1"/>
        </w:numPr>
      </w:pPr>
      <w:r>
        <w:t>4.2 Deployment Model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8"/>
        <w:gridCol w:w="2533"/>
        <w:gridCol w:w="2124"/>
        <w:gridCol w:w="21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 (China)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Configurable but external</w:t>
            </w:r>
          </w:p>
        </w:tc>
        <w:tc>
          <w:tcPr>
            <w:tcW w:type="dxa" w:w="2436"/>
            <w:vAlign w:val="center"/>
          </w:tcPr>
          <w:p>
            <w:pPr>
              <w:spacing w:line="276" w:lineRule="auto" w:before="0" w:after="0"/>
            </w:pPr>
            <w:r/>
            <w:r>
              <w:rPr>
                <w:rFonts w:ascii="Figtree" w:hAnsi="Figtree"/>
                <w:b w:val="0"/>
                <w:i w:val="0"/>
                <w:sz w:val="20"/>
              </w:rPr>
              <w:t>Full Chinese cloud control</w:t>
            </w:r>
          </w:p>
        </w:tc>
        <w:tc>
          <w:tcPr>
            <w:tcW w:type="dxa" w:w="2436"/>
            <w:vAlign w:val="center"/>
          </w:tcPr>
          <w:p>
            <w:pPr>
              <w:spacing w:line="276" w:lineRule="auto" w:before="0" w:after="0"/>
            </w:pPr>
            <w:r/>
            <w:r>
              <w:rPr>
                <w:rFonts w:ascii="Figtree" w:hAnsi="Figtree"/>
                <w:b w:val="0"/>
                <w:i w:val="0"/>
                <w:sz w:val="20"/>
              </w:rPr>
              <w:t>Full Bank of China control</w:t>
            </w:r>
          </w:p>
        </w:tc>
      </w:tr>
      <w:tr>
        <w:trPr>
          <w:trHeight w:val="425" w:hRule="atLeast"/>
        </w:trPr>
        <w:tc>
          <w:tcPr>
            <w:tcW w:type="dxa" w:w="2436"/>
            <w:vAlign w:val="center"/>
          </w:tcPr>
          <w:p>
            <w:pPr>
              <w:spacing w:line="276" w:lineRule="auto" w:before="0" w:after="0"/>
            </w:pPr>
            <w:r/>
            <w:r>
              <w:rPr>
                <w:rFonts w:ascii="Figtree" w:hAnsi="Figtree"/>
                <w:b w:val="0"/>
                <w:i w:val="0"/>
                <w:sz w:val="20"/>
              </w:rPr>
              <w:t>Cybersecurity Law compliance</w:t>
            </w:r>
          </w:p>
        </w:tc>
        <w:tc>
          <w:tcPr>
            <w:tcW w:type="dxa" w:w="2436"/>
            <w:vAlign w:val="center"/>
          </w:tcPr>
          <w:p>
            <w:pPr>
              <w:spacing w:line="276" w:lineRule="auto" w:before="0" w:after="0"/>
            </w:pPr>
            <w:r/>
            <w:r>
              <w:rPr>
                <w:rFonts w:ascii="Figtree" w:hAnsi="Figtree"/>
                <w:b w:val="0"/>
                <w:i w:val="0"/>
                <w:sz w:val="20"/>
              </w:rPr>
              <w:t>Requires specific configuration</w:t>
            </w:r>
          </w:p>
        </w:tc>
        <w:tc>
          <w:tcPr>
            <w:tcW w:type="dxa" w:w="2436"/>
            <w:vAlign w:val="center"/>
          </w:tcPr>
          <w:p>
            <w:pPr>
              <w:spacing w:line="276" w:lineRule="auto" w:before="0" w:after="0"/>
            </w:pPr>
            <w:r/>
            <w:r>
              <w:rPr>
                <w:rFonts w:ascii="Figtree" w:hAnsi="Figtree"/>
                <w:b w:val="0"/>
                <w:i w:val="0"/>
                <w:sz w:val="20"/>
              </w:rPr>
              <w:t>Native compliance</w:t>
            </w:r>
          </w:p>
        </w:tc>
        <w:tc>
          <w:tcPr>
            <w:tcW w:type="dxa" w:w="2436"/>
            <w:vAlign w:val="center"/>
          </w:tcPr>
          <w:p>
            <w:pPr>
              <w:spacing w:line="276" w:lineRule="auto" w:before="0" w:after="0"/>
            </w:pPr>
            <w:r/>
            <w:r>
              <w:rPr>
                <w:rFonts w:ascii="Figtree" w:hAnsi="Figtree"/>
                <w:b w:val="0"/>
                <w:i w:val="0"/>
                <w:sz w:val="20"/>
              </w:rPr>
              <w:t>Native compliance</w:t>
            </w:r>
          </w:p>
        </w:tc>
      </w:tr>
      <w:tr>
        <w:trPr>
          <w:trHeight w:val="425" w:hRule="atLeast"/>
        </w:trPr>
        <w:tc>
          <w:tcPr>
            <w:tcW w:type="dxa" w:w="2436"/>
            <w:vAlign w:val="center"/>
          </w:tcPr>
          <w:p>
            <w:pPr>
              <w:spacing w:line="276" w:lineRule="auto" w:before="0" w:after="0"/>
            </w:pPr>
            <w:r/>
            <w:r>
              <w:rPr>
                <w:rFonts w:ascii="Figtree" w:hAnsi="Figtree"/>
                <w:b w:val="0"/>
                <w:i w:val="0"/>
                <w:sz w:val="20"/>
              </w:rPr>
              <w:t>Management overhead</w:t>
            </w:r>
          </w:p>
        </w:tc>
        <w:tc>
          <w:tcPr>
            <w:tcW w:type="dxa" w:w="2436"/>
            <w:vAlign w:val="center"/>
          </w:tcPr>
          <w:p>
            <w:pPr>
              <w:spacing w:line="276" w:lineRule="auto" w:before="0" w:after="0"/>
            </w:pPr>
            <w:r/>
            <w:r>
              <w:rPr>
                <w:rFonts w:ascii="Figtree" w:hAnsi="Figtree"/>
                <w:b w:val="0"/>
                <w:i w:val="0"/>
                <w:sz w:val="20"/>
              </w:rPr>
              <w:t>Lowest</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Highest</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deployment</w:t>
            </w:r>
          </w:p>
        </w:tc>
        <w:tc>
          <w:tcPr>
            <w:tcW w:type="dxa" w:w="2436"/>
            <w:vAlign w:val="center"/>
          </w:tcPr>
          <w:p>
            <w:pPr>
              <w:spacing w:line="276" w:lineRule="auto" w:before="0" w:after="0"/>
            </w:pPr>
            <w:r/>
            <w:r>
              <w:rPr>
                <w:rFonts w:ascii="Figtree" w:hAnsi="Figtree"/>
                <w:b w:val="0"/>
                <w:i w:val="0"/>
                <w:sz w:val="20"/>
              </w:rPr>
              <w:t>8-10 weeks</w:t>
            </w:r>
          </w:p>
        </w:tc>
        <w:tc>
          <w:tcPr>
            <w:tcW w:type="dxa" w:w="2436"/>
            <w:vAlign w:val="center"/>
          </w:tcPr>
          <w:p>
            <w:pPr>
              <w:spacing w:line="276" w:lineRule="auto" w:before="0" w:after="0"/>
            </w:pPr>
            <w:r/>
            <w:r>
              <w:rPr>
                <w:rFonts w:ascii="Figtree" w:hAnsi="Figtree"/>
                <w:b w:val="0"/>
                <w:i w:val="0"/>
                <w:sz w:val="20"/>
              </w:rPr>
              <w:t>12-16 weeks</w:t>
            </w:r>
          </w:p>
        </w:tc>
        <w:tc>
          <w:tcPr>
            <w:tcW w:type="dxa" w:w="2436"/>
            <w:vAlign w:val="center"/>
          </w:tcPr>
          <w:p>
            <w:pPr>
              <w:spacing w:line="276" w:lineRule="auto" w:before="0" w:after="0"/>
            </w:pPr>
            <w:r/>
            <w:r>
              <w:rPr>
                <w:rFonts w:ascii="Figtree" w:hAnsi="Figtree"/>
                <w:b w:val="0"/>
                <w:i w:val="0"/>
                <w:sz w:val="20"/>
              </w:rPr>
              <w:t>16-20 weeks</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w:t>
            </w:r>
          </w:p>
        </w:tc>
        <w:tc>
          <w:tcPr>
            <w:tcW w:type="dxa" w:w="2436"/>
            <w:vAlign w:val="center"/>
          </w:tcPr>
          <w:p>
            <w:pPr>
              <w:spacing w:line="276" w:lineRule="auto" w:before="0" w:after="0"/>
            </w:pPr>
            <w:r/>
            <w:r>
              <w:rPr>
                <w:rFonts w:ascii="Figtree" w:hAnsi="Figtree"/>
                <w:b w:val="0"/>
                <w:i w:val="0"/>
                <w:sz w:val="20"/>
              </w:rPr>
              <w:t>Remote HSM required</w:t>
            </w:r>
          </w:p>
        </w:tc>
        <w:tc>
          <w:tcPr>
            <w:tcW w:type="dxa" w:w="2436"/>
            <w:vAlign w:val="center"/>
          </w:tcPr>
          <w:p>
            <w:pPr>
              <w:spacing w:line="276" w:lineRule="auto" w:before="0" w:after="0"/>
            </w:pPr>
            <w:r/>
            <w:r>
              <w:rPr>
                <w:rFonts w:ascii="Figtree" w:hAnsi="Figtree"/>
                <w:b w:val="0"/>
                <w:i w:val="0"/>
                <w:sz w:val="20"/>
              </w:rPr>
              <w:t>Local HSM</w:t>
            </w:r>
          </w:p>
        </w:tc>
        <w:tc>
          <w:tcPr>
            <w:tcW w:type="dxa" w:w="2436"/>
            <w:vAlign w:val="center"/>
          </w:tcPr>
          <w:p>
            <w:pPr>
              <w:spacing w:line="276" w:lineRule="auto" w:before="0" w:after="0"/>
            </w:pPr>
            <w:r/>
            <w:r>
              <w:rPr>
                <w:rFonts w:ascii="Figtree" w:hAnsi="Figtree"/>
                <w:b w:val="0"/>
                <w:i w:val="0"/>
                <w:sz w:val="20"/>
              </w:rPr>
              <w:t>Local HSM</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costs</w:t>
            </w:r>
          </w:p>
        </w:tc>
        <w:tc>
          <w:tcPr>
            <w:tcW w:type="dxa" w:w="2436"/>
            <w:vAlign w:val="center"/>
          </w:tcPr>
          <w:p>
            <w:pPr>
              <w:spacing w:line="276" w:lineRule="auto" w:before="0" w:after="0"/>
            </w:pPr>
            <w:r/>
            <w:r>
              <w:rPr>
                <w:rFonts w:ascii="Figtree" w:hAnsi="Figtree"/>
                <w:b w:val="0"/>
                <w:i w:val="0"/>
                <w:sz w:val="20"/>
              </w:rPr>
              <w:t>Included</w:t>
            </w:r>
          </w:p>
        </w:tc>
        <w:tc>
          <w:tcPr>
            <w:tcW w:type="dxa" w:w="2436"/>
            <w:vAlign w:val="center"/>
          </w:tcPr>
          <w:p>
            <w:pPr>
              <w:spacing w:line="276" w:lineRule="auto" w:before="0" w:after="0"/>
            </w:pPr>
            <w:r/>
            <w:r>
              <w:rPr>
                <w:rFonts w:ascii="Figtree" w:hAnsi="Figtree"/>
                <w:b w:val="0"/>
                <w:i w:val="0"/>
                <w:sz w:val="20"/>
              </w:rPr>
              <w:t>Client cloud costs</w:t>
            </w:r>
          </w:p>
        </w:tc>
        <w:tc>
          <w:tcPr>
            <w:tcW w:type="dxa" w:w="2436"/>
            <w:vAlign w:val="center"/>
          </w:tcPr>
          <w:p>
            <w:pPr>
              <w:spacing w:line="276" w:lineRule="auto" w:before="0" w:after="0"/>
            </w:pPr>
            <w:r/>
            <w:r>
              <w:rPr>
                <w:rFonts w:ascii="Figtree" w:hAnsi="Figtree"/>
                <w:b w:val="0"/>
                <w:i w:val="0"/>
                <w:sz w:val="20"/>
              </w:rPr>
              <w:t>Client hardware costs</w:t>
            </w:r>
          </w:p>
        </w:tc>
      </w:tr>
      <w:tr>
        <w:trPr>
          <w:trHeight w:val="425" w:hRule="atLeast"/>
        </w:trPr>
        <w:tc>
          <w:tcPr>
            <w:tcW w:type="dxa" w:w="2436"/>
            <w:vAlign w:val="center"/>
          </w:tcPr>
          <w:p>
            <w:pPr>
              <w:spacing w:line="276" w:lineRule="auto" w:before="0" w:after="0"/>
            </w:pPr>
            <w:r/>
            <w:r>
              <w:rPr>
                <w:rFonts w:ascii="Figtree" w:hAnsi="Figtree"/>
                <w:b w:val="0"/>
                <w:i w:val="0"/>
                <w:sz w:val="20"/>
              </w:rPr>
              <w:t>Recommended for</w:t>
            </w:r>
          </w:p>
        </w:tc>
        <w:tc>
          <w:tcPr>
            <w:tcW w:type="dxa" w:w="2436"/>
            <w:vAlign w:val="center"/>
          </w:tcPr>
          <w:p>
            <w:pPr>
              <w:spacing w:line="276" w:lineRule="auto" w:before="0" w:after="0"/>
            </w:pPr>
            <w:r/>
            <w:r>
              <w:rPr>
                <w:rFonts w:ascii="Figtree" w:hAnsi="Figtree"/>
                <w:b w:val="0"/>
                <w:i w:val="0"/>
                <w:sz w:val="20"/>
              </w:rPr>
              <w:t>Initial pilots only</w:t>
            </w:r>
          </w:p>
        </w:tc>
        <w:tc>
          <w:tcPr>
            <w:tcW w:type="dxa" w:w="2436"/>
            <w:vAlign w:val="center"/>
          </w:tcPr>
          <w:p>
            <w:pPr>
              <w:spacing w:line="276" w:lineRule="auto" w:before="0" w:after="0"/>
            </w:pPr>
            <w:r/>
            <w:r>
              <w:rPr>
                <w:rFonts w:ascii="Figtree" w:hAnsi="Figtree"/>
                <w:b w:val="0"/>
                <w:i w:val="0"/>
                <w:sz w:val="20"/>
              </w:rPr>
              <w:t>Primary recommendation</w:t>
            </w:r>
          </w:p>
        </w:tc>
        <w:tc>
          <w:tcPr>
            <w:tcW w:type="dxa" w:w="2436"/>
            <w:vAlign w:val="center"/>
          </w:tcPr>
          <w:p>
            <w:pPr>
              <w:spacing w:line="276" w:lineRule="auto" w:before="0" w:after="0"/>
            </w:pPr>
            <w:r/>
            <w:r>
              <w:rPr>
                <w:rFonts w:ascii="Figtree" w:hAnsi="Figtree"/>
                <w:b w:val="0"/>
                <w:i w:val="0"/>
                <w:sz w:val="20"/>
              </w:rPr>
              <w:t>Highest security control</w:t>
            </w:r>
          </w:p>
        </w:tc>
      </w:tr>
    </w:tbl>
    <w:p>
      <w:pPr>
        <w:spacing w:before="0" w:after="0" w:line="120" w:lineRule="exact"/>
      </w:pPr>
    </w:p>
    <w:p>
      <w:pPr>
        <w:pStyle w:val="H3"/>
        <w:numPr>
          <w:ilvl w:val="2"/>
          <w:numId w:val="1"/>
        </w:numPr>
      </w:pPr>
      <w:r>
        <w:t>4.3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3"/>
        <w:gridCol w:w="1463"/>
        <w:gridCol w:w="1316"/>
        <w:gridCol w:w="34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license (Enterprise Tier)</w:t>
            </w:r>
          </w:p>
        </w:tc>
        <w:tc>
          <w:tcPr>
            <w:tcW w:type="dxa" w:w="2436"/>
            <w:vAlign w:val="center"/>
          </w:tcPr>
          <w:p>
            <w:pPr>
              <w:spacing w:line="276" w:lineRule="auto" w:before="0" w:after="0"/>
            </w:pPr>
            <w:r/>
            <w:r>
              <w:rPr>
                <w:rFonts w:ascii="Figtree" w:hAnsi="Figtree"/>
                <w:b w:val="0"/>
                <w:i w:val="0"/>
                <w:sz w:val="20"/>
              </w:rPr>
              <w:t>Recurring annual</w:t>
            </w:r>
          </w:p>
        </w:tc>
        <w:tc>
          <w:tcPr>
            <w:tcW w:type="dxa" w:w="2436"/>
            <w:vAlign w:val="center"/>
          </w:tcPr>
          <w:p>
            <w:pPr>
              <w:spacing w:line="276" w:lineRule="auto" w:before="0" w:after="0"/>
            </w:pPr>
            <w:r/>
            <w:r>
              <w:rPr>
                <w:rFonts w:ascii="Figtree" w:hAnsi="Figtree"/>
                <w:b w:val="0"/>
                <w:i w:val="0"/>
                <w:sz w:val="20"/>
              </w:rPr>
              <w:t>Fixed</w:t>
            </w:r>
          </w:p>
        </w:tc>
        <w:tc>
          <w:tcPr>
            <w:tcW w:type="dxa" w:w="2436"/>
            <w:vAlign w:val="center"/>
          </w:tcPr>
          <w:p>
            <w:pPr>
              <w:spacing w:line="276" w:lineRule="auto" w:before="0" w:after="0"/>
            </w:pPr>
            <w:r/>
            <w:r>
              <w:rPr>
                <w:rFonts w:ascii="Figtree" w:hAnsi="Figtree"/>
                <w:b w:val="0"/>
                <w:i w:val="0"/>
                <w:sz w:val="20"/>
              </w:rPr>
              <w:t>[VARIABLE: CNY amount]</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(Bank of China cloud/DC)</w:t>
            </w:r>
          </w:p>
        </w:tc>
        <w:tc>
          <w:tcPr>
            <w:tcW w:type="dxa" w:w="2436"/>
            <w:vAlign w:val="center"/>
          </w:tcPr>
          <w:p>
            <w:pPr>
              <w:spacing w:line="276" w:lineRule="auto" w:before="0" w:after="0"/>
            </w:pPr>
            <w:r/>
            <w:r>
              <w:rPr>
                <w:rFonts w:ascii="Figtree" w:hAnsi="Figtree"/>
                <w:b w:val="0"/>
                <w:i w:val="0"/>
                <w:sz w:val="20"/>
              </w:rPr>
              <w:t>Recurring</w:t>
            </w:r>
          </w:p>
        </w:tc>
        <w:tc>
          <w:tcPr>
            <w:tcW w:type="dxa" w:w="2436"/>
            <w:vAlign w:val="center"/>
          </w:tcPr>
          <w:p>
            <w:pPr>
              <w:spacing w:line="276" w:lineRule="auto" w:before="0" w:after="0"/>
            </w:pPr>
            <w:r/>
            <w:r>
              <w:rPr>
                <w:rFonts w:ascii="Figtree" w:hAnsi="Figtree"/>
                <w:b w:val="0"/>
                <w:i w:val="0"/>
                <w:sz w:val="20"/>
              </w:rPr>
              <w:t>Pass-through</w:t>
            </w:r>
          </w:p>
        </w:tc>
        <w:tc>
          <w:tcPr>
            <w:tcW w:type="dxa" w:w="2436"/>
            <w:vAlign w:val="center"/>
          </w:tcPr>
          <w:p>
            <w:pPr>
              <w:spacing w:line="276" w:lineRule="auto" w:before="0" w:after="0"/>
            </w:pPr>
            <w:r/>
            <w:r>
              <w:rPr>
                <w:rFonts w:ascii="Figtree" w:hAnsi="Figtree"/>
                <w:b w:val="0"/>
                <w:i w:val="0"/>
                <w:sz w:val="20"/>
              </w:rPr>
              <w:t>Client-borne; estimated CNY [VARIABLE] annually</w:t>
            </w:r>
          </w:p>
        </w:tc>
      </w:tr>
      <w:tr>
        <w:trPr>
          <w:trHeight w:val="425" w:hRule="atLeast"/>
        </w:trPr>
        <w:tc>
          <w:tcPr>
            <w:tcW w:type="dxa" w:w="2436"/>
            <w:vAlign w:val="center"/>
          </w:tcPr>
          <w:p>
            <w:pPr>
              <w:spacing w:line="276" w:lineRule="auto" w:before="0" w:after="0"/>
            </w:pPr>
            <w:r/>
            <w:r>
              <w:rPr>
                <w:rFonts w:ascii="Figtree" w:hAnsi="Figtree"/>
                <w:b w:val="0"/>
                <w:i w:val="0"/>
                <w:sz w:val="20"/>
              </w:rPr>
              <w:t>HSM hardware and maintenance</w:t>
            </w:r>
          </w:p>
        </w:tc>
        <w:tc>
          <w:tcPr>
            <w:tcW w:type="dxa" w:w="2436"/>
            <w:vAlign w:val="center"/>
          </w:tcPr>
          <w:p>
            <w:pPr>
              <w:spacing w:line="276" w:lineRule="auto" w:before="0" w:after="0"/>
            </w:pPr>
            <w:r/>
            <w:r>
              <w:rPr>
                <w:rFonts w:ascii="Figtree" w:hAnsi="Figtree"/>
                <w:b w:val="0"/>
                <w:i w:val="0"/>
                <w:sz w:val="20"/>
              </w:rPr>
              <w:t>One-time + recurring</w:t>
            </w:r>
          </w:p>
        </w:tc>
        <w:tc>
          <w:tcPr>
            <w:tcW w:type="dxa" w:w="2436"/>
            <w:vAlign w:val="center"/>
          </w:tcPr>
          <w:p>
            <w:pPr>
              <w:spacing w:line="276" w:lineRule="auto" w:before="0" w:after="0"/>
            </w:pPr>
            <w:r/>
            <w:r>
              <w:rPr>
                <w:rFonts w:ascii="Figtree" w:hAnsi="Figtree"/>
                <w:b w:val="0"/>
                <w:i w:val="0"/>
                <w:sz w:val="20"/>
              </w:rPr>
              <w:t>Pass-through</w:t>
            </w:r>
          </w:p>
        </w:tc>
        <w:tc>
          <w:tcPr>
            <w:tcW w:type="dxa" w:w="2436"/>
            <w:vAlign w:val="center"/>
          </w:tcPr>
          <w:p>
            <w:pPr>
              <w:spacing w:line="276" w:lineRule="auto" w:before="0" w:after="0"/>
            </w:pPr>
            <w:r/>
            <w:r>
              <w:rPr>
                <w:rFonts w:ascii="Figtree" w:hAnsi="Figtree"/>
                <w:b w:val="0"/>
                <w:i w:val="0"/>
                <w:sz w:val="20"/>
              </w:rPr>
              <w:t>Client-procured; approximately CNY [VARIABLE]</w:t>
            </w:r>
          </w:p>
        </w:tc>
      </w:tr>
      <w:tr>
        <w:trPr>
          <w:trHeight w:val="425" w:hRule="atLeast"/>
        </w:trPr>
        <w:tc>
          <w:tcPr>
            <w:tcW w:type="dxa" w:w="2436"/>
            <w:vAlign w:val="center"/>
          </w:tcPr>
          <w:p>
            <w:pPr>
              <w:spacing w:line="276" w:lineRule="auto" w:before="0" w:after="0"/>
            </w:pPr>
            <w:r/>
            <w:r>
              <w:rPr>
                <w:rFonts w:ascii="Figtree" w:hAnsi="Figtree"/>
                <w:b w:val="0"/>
                <w:i w:val="0"/>
                <w:sz w:val="20"/>
              </w:rPr>
              <w:t>Implementation services</w:t>
            </w:r>
          </w:p>
        </w:tc>
        <w:tc>
          <w:tcPr>
            <w:tcW w:type="dxa" w:w="2436"/>
            <w:vAlign w:val="center"/>
          </w:tcPr>
          <w:p>
            <w:pPr>
              <w:spacing w:line="276" w:lineRule="auto" w:before="0" w:after="0"/>
            </w:pPr>
            <w:r/>
            <w:r>
              <w:rPr>
                <w:rFonts w:ascii="Figtree" w:hAnsi="Figtree"/>
                <w:b w:val="0"/>
                <w:i w:val="0"/>
                <w:sz w:val="20"/>
              </w:rPr>
              <w:t>One-time</w:t>
            </w:r>
          </w:p>
        </w:tc>
        <w:tc>
          <w:tcPr>
            <w:tcW w:type="dxa" w:w="2436"/>
            <w:vAlign w:val="center"/>
          </w:tcPr>
          <w:p>
            <w:pPr>
              <w:spacing w:line="276" w:lineRule="auto" w:before="0" w:after="0"/>
            </w:pPr>
            <w:r/>
            <w:r>
              <w:rPr>
                <w:rFonts w:ascii="Figtree" w:hAnsi="Figtree"/>
                <w:b w:val="0"/>
                <w:i w:val="0"/>
                <w:sz w:val="20"/>
              </w:rPr>
              <w:t>Time and materials</w:t>
            </w:r>
          </w:p>
        </w:tc>
        <w:tc>
          <w:tcPr>
            <w:tcW w:type="dxa" w:w="2436"/>
            <w:vAlign w:val="center"/>
          </w:tcPr>
          <w:p>
            <w:pPr>
              <w:spacing w:line="276" w:lineRule="auto" w:before="0" w:after="0"/>
            </w:pPr>
            <w:r/>
            <w:r>
              <w:rPr>
                <w:rFonts w:ascii="Figtree" w:hAnsi="Figtree"/>
                <w:b w:val="0"/>
                <w:i w:val="0"/>
                <w:sz w:val="20"/>
              </w:rPr>
              <w:t>CNY [VARIABLE: scoped at discovery]</w:t>
            </w:r>
          </w:p>
        </w:tc>
      </w:tr>
      <w:tr>
        <w:trPr>
          <w:trHeight w:val="425" w:hRule="atLeast"/>
        </w:trPr>
        <w:tc>
          <w:tcPr>
            <w:tcW w:type="dxa" w:w="2436"/>
            <w:vAlign w:val="center"/>
          </w:tcPr>
          <w:p>
            <w:pPr>
              <w:spacing w:line="276" w:lineRule="auto" w:before="0" w:after="0"/>
            </w:pPr>
            <w:r/>
            <w:r>
              <w:rPr>
                <w:rFonts w:ascii="Figtree" w:hAnsi="Figtree"/>
                <w:b w:val="0"/>
                <w:i w:val="0"/>
                <w:sz w:val="20"/>
              </w:rPr>
              <w:t>Enterprise support</w:t>
            </w:r>
          </w:p>
        </w:tc>
        <w:tc>
          <w:tcPr>
            <w:tcW w:type="dxa" w:w="2436"/>
            <w:vAlign w:val="center"/>
          </w:tcPr>
          <w:p>
            <w:pPr>
              <w:spacing w:line="276" w:lineRule="auto" w:before="0" w:after="0"/>
            </w:pPr>
            <w:r/>
            <w:r>
              <w:rPr>
                <w:rFonts w:ascii="Figtree" w:hAnsi="Figtree"/>
                <w:b w:val="0"/>
                <w:i w:val="0"/>
                <w:sz w:val="20"/>
              </w:rPr>
              <w:t>Recurring annual</w:t>
            </w:r>
          </w:p>
        </w:tc>
        <w:tc>
          <w:tcPr>
            <w:tcW w:type="dxa" w:w="2436"/>
            <w:vAlign w:val="center"/>
          </w:tcPr>
          <w:p>
            <w:pPr>
              <w:spacing w:line="276" w:lineRule="auto" w:before="0" w:after="0"/>
            </w:pPr>
            <w:r/>
            <w:r>
              <w:rPr>
                <w:rFonts w:ascii="Figtree" w:hAnsi="Figtree"/>
                <w:b w:val="0"/>
                <w:i w:val="0"/>
                <w:sz w:val="20"/>
              </w:rPr>
              <w:t>% of license</w:t>
            </w:r>
          </w:p>
        </w:tc>
        <w:tc>
          <w:tcPr>
            <w:tcW w:type="dxa" w:w="2436"/>
            <w:vAlign w:val="center"/>
          </w:tcPr>
          <w:p>
            <w:pPr>
              <w:spacing w:line="276" w:lineRule="auto" w:before="0" w:after="0"/>
            </w:pPr>
            <w:r/>
            <w:r>
              <w:rPr>
                <w:rFonts w:ascii="Figtree" w:hAnsi="Figtree"/>
                <w:b w:val="0"/>
                <w:i w:val="0"/>
                <w:sz w:val="20"/>
              </w:rPr>
              <w:t>CNY [VARIABLE]</w:t>
            </w:r>
          </w:p>
        </w:tc>
      </w:tr>
      <w:tr>
        <w:trPr>
          <w:trHeight w:val="425" w:hRule="atLeast"/>
        </w:trPr>
        <w:tc>
          <w:tcPr>
            <w:tcW w:type="dxa" w:w="2436"/>
            <w:vAlign w:val="center"/>
          </w:tcPr>
          <w:p>
            <w:pPr>
              <w:spacing w:line="276" w:lineRule="auto" w:before="0" w:after="0"/>
            </w:pPr>
            <w:r/>
            <w:r>
              <w:rPr>
                <w:rFonts w:ascii="Figtree" w:hAnsi="Figtree"/>
                <w:b w:val="0"/>
                <w:i w:val="0"/>
                <w:sz w:val="20"/>
              </w:rPr>
              <w:t>Training</w:t>
            </w:r>
          </w:p>
        </w:tc>
        <w:tc>
          <w:tcPr>
            <w:tcW w:type="dxa" w:w="2436"/>
            <w:vAlign w:val="center"/>
          </w:tcPr>
          <w:p>
            <w:pPr>
              <w:spacing w:line="276" w:lineRule="auto" w:before="0" w:after="0"/>
            </w:pPr>
            <w:r/>
            <w:r>
              <w:rPr>
                <w:rFonts w:ascii="Figtree" w:hAnsi="Figtree"/>
                <w:b w:val="0"/>
                <w:i w:val="0"/>
                <w:sz w:val="20"/>
              </w:rPr>
              <w:t>One-time</w:t>
            </w:r>
          </w:p>
        </w:tc>
        <w:tc>
          <w:tcPr>
            <w:tcW w:type="dxa" w:w="2436"/>
            <w:vAlign w:val="center"/>
          </w:tcPr>
          <w:p>
            <w:pPr>
              <w:spacing w:line="276" w:lineRule="auto" w:before="0" w:after="0"/>
            </w:pPr>
            <w:r/>
            <w:r>
              <w:rPr>
                <w:rFonts w:ascii="Figtree" w:hAnsi="Figtree"/>
                <w:b w:val="0"/>
                <w:i w:val="0"/>
                <w:sz w:val="20"/>
              </w:rPr>
              <w:t>Package</w:t>
            </w:r>
          </w:p>
        </w:tc>
        <w:tc>
          <w:tcPr>
            <w:tcW w:type="dxa" w:w="2436"/>
            <w:vAlign w:val="center"/>
          </w:tcPr>
          <w:p>
            <w:pPr>
              <w:spacing w:line="276" w:lineRule="auto" w:before="0" w:after="0"/>
            </w:pPr>
            <w:r/>
            <w:r>
              <w:rPr>
                <w:rFonts w:ascii="Figtree" w:hAnsi="Figtree"/>
                <w:b w:val="0"/>
                <w:i w:val="0"/>
                <w:sz w:val="20"/>
              </w:rPr>
              <w:t>CNY [VARIABLE]</w:t>
            </w:r>
          </w:p>
        </w:tc>
      </w:tr>
    </w:tbl>
    <w:p>
      <w:pPr>
        <w:spacing w:before="0" w:after="0" w:line="120" w:lineRule="exact"/>
      </w:pPr>
    </w:p>
    <w:p>
      <w:pPr>
        <w:pStyle w:val="H3"/>
        <w:numPr>
          <w:ilvl w:val="2"/>
          <w:numId w:val="1"/>
        </w:numPr>
      </w:pPr>
      <w:r>
        <w:t>4.4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56"/>
        <w:gridCol w:w="2239"/>
        <w:gridCol w:w="40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Multi-region deployment (mainland + HK corridor)</w:t>
            </w:r>
          </w:p>
        </w:tc>
        <w:tc>
          <w:tcPr>
            <w:tcW w:type="dxa" w:w="3249"/>
            <w:vAlign w:val="center"/>
          </w:tcPr>
          <w:p>
            <w:pPr>
              <w:spacing w:line="276" w:lineRule="auto" w:before="0" w:after="0"/>
            </w:pPr>
            <w:r/>
            <w:r>
              <w:rPr>
                <w:rFonts w:ascii="Figtree" w:hAnsi="Figtree"/>
                <w:b w:val="0"/>
                <w:i w:val="0"/>
                <w:sz w:val="20"/>
              </w:rPr>
              <w:t>Increases infrastructure and complexity</w:t>
            </w:r>
          </w:p>
        </w:tc>
        <w:tc>
          <w:tcPr>
            <w:tcW w:type="dxa" w:w="3249"/>
            <w:vAlign w:val="center"/>
          </w:tcPr>
          <w:p>
            <w:pPr>
              <w:spacing w:line="276" w:lineRule="auto" w:before="0" w:after="0"/>
            </w:pPr>
            <w:r/>
            <w:r>
              <w:rPr>
                <w:rFonts w:ascii="Figtree" w:hAnsi="Figtree"/>
                <w:b w:val="0"/>
                <w:i w:val="0"/>
                <w:sz w:val="20"/>
              </w:rPr>
              <w:t>Phase deployment; start single-region</w:t>
            </w:r>
          </w:p>
        </w:tc>
      </w:tr>
      <w:tr>
        <w:trPr>
          <w:trHeight w:val="425" w:hRule="atLeast"/>
        </w:trPr>
        <w:tc>
          <w:tcPr>
            <w:tcW w:type="dxa" w:w="3249"/>
            <w:vAlign w:val="center"/>
          </w:tcPr>
          <w:p>
            <w:pPr>
              <w:spacing w:line="276" w:lineRule="auto" w:before="0" w:after="0"/>
            </w:pPr>
            <w:r/>
            <w:r>
              <w:rPr>
                <w:rFonts w:ascii="Figtree" w:hAnsi="Figtree"/>
                <w:b w:val="0"/>
                <w:i w:val="0"/>
                <w:sz w:val="20"/>
              </w:rPr>
              <w:t>Heavy AML/CIPS integration complexity</w:t>
            </w:r>
          </w:p>
        </w:tc>
        <w:tc>
          <w:tcPr>
            <w:tcW w:type="dxa" w:w="3249"/>
            <w:vAlign w:val="center"/>
          </w:tcPr>
          <w:p>
            <w:pPr>
              <w:spacing w:line="276" w:lineRule="auto" w:before="0" w:after="0"/>
            </w:pPr>
            <w:r/>
            <w:r>
              <w:rPr>
                <w:rFonts w:ascii="Figtree" w:hAnsi="Figtree"/>
                <w:b w:val="0"/>
                <w:i w:val="0"/>
                <w:sz w:val="20"/>
              </w:rPr>
              <w:t>Extends integration phase duration</w:t>
            </w:r>
          </w:p>
        </w:tc>
        <w:tc>
          <w:tcPr>
            <w:tcW w:type="dxa" w:w="3249"/>
            <w:vAlign w:val="center"/>
          </w:tcPr>
          <w:p>
            <w:pPr>
              <w:spacing w:line="276" w:lineRule="auto" w:before="0" w:after="0"/>
            </w:pPr>
            <w:r/>
            <w:r>
              <w:rPr>
                <w:rFonts w:ascii="Figtree" w:hAnsi="Figtree"/>
                <w:b w:val="0"/>
                <w:i w:val="0"/>
                <w:sz w:val="20"/>
              </w:rPr>
              <w:t>Pre-agreement on integration specifications during discovery</w:t>
            </w:r>
          </w:p>
        </w:tc>
      </w:tr>
      <w:tr>
        <w:trPr>
          <w:trHeight w:val="425" w:hRule="atLeast"/>
        </w:trPr>
        <w:tc>
          <w:tcPr>
            <w:tcW w:type="dxa" w:w="3249"/>
            <w:vAlign w:val="center"/>
          </w:tcPr>
          <w:p>
            <w:pPr>
              <w:spacing w:line="276" w:lineRule="auto" w:before="0" w:after="0"/>
            </w:pPr>
            <w:r/>
            <w:r>
              <w:rPr>
                <w:rFonts w:ascii="Figtree" w:hAnsi="Figtree"/>
                <w:b w:val="0"/>
                <w:i w:val="0"/>
                <w:sz w:val="20"/>
              </w:rPr>
              <w:t>HSM on-premises procurement</w:t>
            </w:r>
          </w:p>
        </w:tc>
        <w:tc>
          <w:tcPr>
            <w:tcW w:type="dxa" w:w="3249"/>
            <w:vAlign w:val="center"/>
          </w:tcPr>
          <w:p>
            <w:pPr>
              <w:spacing w:line="276" w:lineRule="auto" w:before="0" w:after="0"/>
            </w:pPr>
            <w:r/>
            <w:r>
              <w:rPr>
                <w:rFonts w:ascii="Figtree" w:hAnsi="Figtree"/>
                <w:b w:val="0"/>
                <w:i w:val="0"/>
                <w:sz w:val="20"/>
              </w:rPr>
              <w:t>Adds 6-8 weeks to timeline</w:t>
            </w:r>
          </w:p>
        </w:tc>
        <w:tc>
          <w:tcPr>
            <w:tcW w:type="dxa" w:w="3249"/>
            <w:vAlign w:val="center"/>
          </w:tcPr>
          <w:p>
            <w:pPr>
              <w:spacing w:line="276" w:lineRule="auto" w:before="0" w:after="0"/>
            </w:pPr>
            <w:r/>
            <w:r>
              <w:rPr>
                <w:rFonts w:ascii="Figtree" w:hAnsi="Figtree"/>
                <w:b w:val="0"/>
                <w:i w:val="0"/>
                <w:sz w:val="20"/>
              </w:rPr>
              <w:t>Early HSM procurement; parallel HSM setup during platform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Large user base requiring training</w:t>
            </w:r>
          </w:p>
        </w:tc>
        <w:tc>
          <w:tcPr>
            <w:tcW w:type="dxa" w:w="3249"/>
            <w:vAlign w:val="center"/>
          </w:tcPr>
          <w:p>
            <w:pPr>
              <w:spacing w:line="276" w:lineRule="auto" w:before="0" w:after="0"/>
            </w:pPr>
            <w:r/>
            <w:r>
              <w:rPr>
                <w:rFonts w:ascii="Figtree" w:hAnsi="Figtree"/>
                <w:b w:val="0"/>
                <w:i w:val="0"/>
                <w:sz w:val="20"/>
              </w:rPr>
              <w:t>Increases training scope</w:t>
            </w:r>
          </w:p>
        </w:tc>
        <w:tc>
          <w:tcPr>
            <w:tcW w:type="dxa" w:w="3249"/>
            <w:vAlign w:val="center"/>
          </w:tcPr>
          <w:p>
            <w:pPr>
              <w:spacing w:line="276" w:lineRule="auto" w:before="0" w:after="0"/>
            </w:pPr>
            <w:r/>
            <w:r>
              <w:rPr>
                <w:rFonts w:ascii="Figtree" w:hAnsi="Figtree"/>
                <w:b w:val="0"/>
                <w:i w:val="0"/>
                <w:sz w:val="20"/>
              </w:rPr>
              <w:t>Role-based training packages; train-the-trainer approach</w:t>
            </w:r>
          </w:p>
        </w:tc>
      </w:tr>
      <w:tr>
        <w:trPr>
          <w:trHeight w:val="425" w:hRule="atLeast"/>
        </w:trPr>
        <w:tc>
          <w:tcPr>
            <w:tcW w:type="dxa" w:w="3249"/>
            <w:vAlign w:val="center"/>
          </w:tcPr>
          <w:p>
            <w:pPr>
              <w:spacing w:line="276" w:lineRule="auto" w:before="0" w:after="0"/>
            </w:pPr>
            <w:r/>
            <w:r>
              <w:rPr>
                <w:rFonts w:ascii="Figtree" w:hAnsi="Figtree"/>
                <w:b w:val="0"/>
                <w:i w:val="0"/>
                <w:sz w:val="20"/>
              </w:rPr>
              <w:t>Multi-year term commitment</w:t>
            </w:r>
          </w:p>
        </w:tc>
        <w:tc>
          <w:tcPr>
            <w:tcW w:type="dxa" w:w="3249"/>
            <w:vAlign w:val="center"/>
          </w:tcPr>
          <w:p>
            <w:pPr>
              <w:spacing w:line="276" w:lineRule="auto" w:before="0" w:after="0"/>
            </w:pPr>
            <w:r/>
            <w:r>
              <w:rPr>
                <w:rFonts w:ascii="Figtree" w:hAnsi="Figtree"/>
                <w:b w:val="0"/>
                <w:i w:val="0"/>
                <w:sz w:val="20"/>
              </w:rPr>
              <w:t>Reduces annual license cost</w:t>
            </w:r>
          </w:p>
        </w:tc>
        <w:tc>
          <w:tcPr>
            <w:tcW w:type="dxa" w:w="3249"/>
            <w:vAlign w:val="center"/>
          </w:tcPr>
          <w:p>
            <w:pPr>
              <w:spacing w:line="276" w:lineRule="auto" w:before="0" w:after="0"/>
            </w:pPr>
            <w:r/>
            <w:r>
              <w:rPr>
                <w:rFonts w:ascii="Figtree" w:hAnsi="Figtree"/>
                <w:b w:val="0"/>
                <w:i w:val="0"/>
                <w:sz w:val="20"/>
              </w:rPr>
              <w:t>Three-year commitment provides most favourable pricing</w:t>
            </w:r>
          </w:p>
        </w:tc>
      </w:tr>
    </w:tbl>
    <w:p>
      <w:pPr>
        <w:spacing w:before="0" w:after="0" w:line="120" w:lineRule="exact"/>
      </w:pPr>
    </w:p>
    <w:p>
      <w:r>
        <w:br w:type="page"/>
      </w:r>
    </w:p>
    <w:p>
      <w:pPr>
        <w:pStyle w:val="H2"/>
        <w:numPr>
          <w:ilvl w:val="1"/>
          <w:numId w:val="1"/>
        </w:numPr>
      </w:pPr>
      <w:r>
        <w:t>5. Support and SLA Framework</w:t>
      </w:r>
    </w:p>
    <w:p>
      <w:pPr>
        <w:pStyle w:val="H3"/>
        <w:numPr>
          <w:ilvl w:val="2"/>
          <w:numId w:val="1"/>
        </w:numPr>
      </w:pPr>
      <w:r>
        <w:t>5.1 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9"/>
        <w:gridCol w:w="1788"/>
        <w:gridCol w:w="1277"/>
        <w:gridCol w:w="25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18x5</w:t>
            </w:r>
          </w:p>
        </w:tc>
        <w:tc>
          <w:tcPr>
            <w:tcW w:type="dxa" w:w="2436"/>
            <w:vAlign w:val="center"/>
          </w:tcPr>
          <w:p>
            <w:pPr>
              <w:spacing w:line="276" w:lineRule="auto" w:before="0" w:after="0"/>
            </w:pPr>
            <w:r/>
            <w:r>
              <w:rPr>
                <w:rFonts w:ascii="Figtree" w:hAnsi="Figtree"/>
                <w:b w:val="0"/>
                <w:i w:val="0"/>
                <w:sz w:val="20"/>
              </w:rPr>
              <w:t>24x7</w:t>
            </w:r>
          </w:p>
        </w:tc>
      </w:tr>
      <w:tr>
        <w:trPr>
          <w:trHeight w:val="425" w:hRule="atLeast"/>
        </w:trPr>
        <w:tc>
          <w:tcPr>
            <w:tcW w:type="dxa" w:w="2436"/>
            <w:vAlign w:val="center"/>
          </w:tcPr>
          <w:p>
            <w:pPr>
              <w:spacing w:line="276" w:lineRule="auto" w:before="0" w:after="0"/>
            </w:pPr>
            <w:r/>
            <w:r>
              <w:rPr>
                <w:rFonts w:ascii="Figtree" w:hAnsi="Figtree"/>
                <w:b w:val="0"/>
                <w:i w:val="0"/>
                <w:sz w:val="20"/>
              </w:rPr>
              <w:t>P1 response time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val="0"/>
                <w:i w:val="0"/>
                <w:sz w:val="20"/>
              </w:rPr>
              <w:t>Named TAM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Named CSM</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Monthly review</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 with engineering</w:t>
            </w:r>
          </w:p>
        </w:tc>
      </w:tr>
      <w:tr>
        <w:trPr>
          <w:trHeight w:val="425" w:hRule="atLeast"/>
        </w:trPr>
        <w:tc>
          <w:tcPr>
            <w:tcW w:type="dxa" w:w="2436"/>
            <w:vAlign w:val="center"/>
          </w:tcPr>
          <w:p>
            <w:pPr>
              <w:spacing w:line="276" w:lineRule="auto" w:before="0" w:after="0"/>
            </w:pPr>
            <w:r/>
            <w:r>
              <w:rPr>
                <w:rFonts w:ascii="Figtree" w:hAnsi="Figtree"/>
                <w:b w:val="0"/>
                <w:i w:val="0"/>
                <w:sz w:val="20"/>
              </w:rPr>
              <w:t>Priority engineering access</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Annual price</w:t>
            </w:r>
          </w:p>
        </w:tc>
        <w:tc>
          <w:tcPr>
            <w:tcW w:type="dxa" w:w="2436"/>
            <w:vAlign w:val="center"/>
          </w:tcPr>
          <w:p>
            <w:pPr>
              <w:spacing w:line="276" w:lineRule="auto" w:before="0" w:after="0"/>
            </w:pPr>
            <w:r/>
            <w:r>
              <w:rPr>
                <w:rFonts w:ascii="Figtree" w:hAnsi="Figtree"/>
                <w:b w:val="0"/>
                <w:i w:val="0"/>
                <w:sz w:val="20"/>
              </w:rPr>
              <w:t>[VARIABLE]</w:t>
            </w:r>
          </w:p>
        </w:tc>
        <w:tc>
          <w:tcPr>
            <w:tcW w:type="dxa" w:w="2436"/>
            <w:vAlign w:val="center"/>
          </w:tcPr>
          <w:p>
            <w:pPr>
              <w:spacing w:line="276" w:lineRule="auto" w:before="0" w:after="0"/>
            </w:pPr>
            <w:r/>
            <w:r>
              <w:rPr>
                <w:rFonts w:ascii="Figtree" w:hAnsi="Figtree"/>
                <w:b w:val="0"/>
                <w:i w:val="0"/>
                <w:sz w:val="20"/>
              </w:rPr>
              <w:t>[VARIABLE]</w:t>
            </w:r>
          </w:p>
        </w:tc>
        <w:tc>
          <w:tcPr>
            <w:tcW w:type="dxa" w:w="2436"/>
            <w:vAlign w:val="center"/>
          </w:tcPr>
          <w:p>
            <w:pPr>
              <w:spacing w:line="276" w:lineRule="auto" w:before="0" w:after="0"/>
            </w:pPr>
            <w:r/>
            <w:r>
              <w:rPr>
                <w:rFonts w:ascii="Figtree" w:hAnsi="Figtree"/>
                <w:b w:val="0"/>
                <w:i w:val="0"/>
                <w:sz w:val="20"/>
              </w:rPr>
              <w:t>[VARIABLE]</w:t>
            </w:r>
          </w:p>
        </w:tc>
      </w:tr>
    </w:tbl>
    <w:p>
      <w:pPr>
        <w:spacing w:before="0" w:after="0" w:line="120" w:lineRule="exact"/>
      </w:pPr>
    </w:p>
    <w:p>
      <w:r>
        <w:rPr>
          <w:rFonts w:ascii="Figtree" w:hAnsi="Figtree"/>
          <w:b/>
          <w:i w:val="0"/>
          <w:sz w:val="22"/>
        </w:rPr>
        <w:t>Recommended: Enterprise</w:t>
      </w:r>
      <w:r>
        <w:rPr>
          <w:rFonts w:ascii="Figtree" w:hAnsi="Figtree"/>
          <w:b w:val="0"/>
          <w:i w:val="0"/>
          <w:sz w:val="22"/>
        </w:rPr>
        <w:t>, given cross-border payment programme criticality and PBOC operational resilience expectations.</w:t>
      </w:r>
    </w:p>
    <w:p>
      <w:pPr>
        <w:pStyle w:val="H3"/>
        <w:numPr>
          <w:ilvl w:val="2"/>
          <w:numId w:val="1"/>
        </w:numPr>
      </w:pPr>
      <w:r>
        <w:t>5.2 Severity Definitions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0"/>
        <w:gridCol w:w="4911"/>
        <w:gridCol w:w="34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3249"/>
            <w:vAlign w:val="center"/>
          </w:tcPr>
          <w:p>
            <w:pPr>
              <w:spacing w:line="276" w:lineRule="auto" w:before="0" w:after="0"/>
            </w:pPr>
            <w:r/>
            <w:r>
              <w:rPr>
                <w:rFonts w:ascii="Figtree" w:hAnsi="Figtree"/>
                <w:b w:val="0"/>
                <w:i w:val="0"/>
                <w:sz w:val="20"/>
              </w:rPr>
              <w:t>P1 Critical</w:t>
            </w:r>
          </w:p>
        </w:tc>
        <w:tc>
          <w:tcPr>
            <w:tcW w:type="dxa" w:w="3249"/>
            <w:vAlign w:val="center"/>
          </w:tcPr>
          <w:p>
            <w:pPr>
              <w:spacing w:line="276" w:lineRule="auto" w:before="0" w:after="0"/>
            </w:pPr>
            <w:r/>
            <w:r>
              <w:rPr>
                <w:rFonts w:ascii="Figtree" w:hAnsi="Figtree"/>
                <w:b w:val="0"/>
                <w:i w:val="0"/>
                <w:sz w:val="20"/>
              </w:rPr>
              <w:t>Complete production outage; all payment processing stopped</w:t>
            </w:r>
          </w:p>
        </w:tc>
        <w:tc>
          <w:tcPr>
            <w:tcW w:type="dxa" w:w="3249"/>
            <w:vAlign w:val="center"/>
          </w:tcPr>
          <w:p>
            <w:pPr>
              <w:spacing w:line="276" w:lineRule="auto" w:before="0" w:after="0"/>
            </w:pPr>
            <w:r/>
            <w:r>
              <w:rPr>
                <w:rFonts w:ascii="Figtree" w:hAnsi="Figtree"/>
                <w:b w:val="0"/>
                <w:i w:val="0"/>
                <w:sz w:val="20"/>
              </w:rPr>
              <w:t>Platform unreachable, all transactions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 High</w:t>
            </w:r>
          </w:p>
        </w:tc>
        <w:tc>
          <w:tcPr>
            <w:tcW w:type="dxa" w:w="3249"/>
            <w:vAlign w:val="center"/>
          </w:tcPr>
          <w:p>
            <w:pPr>
              <w:spacing w:line="276" w:lineRule="auto" w:before="0" w:after="0"/>
            </w:pPr>
            <w:r/>
            <w:r>
              <w:rPr>
                <w:rFonts w:ascii="Figtree" w:hAnsi="Figtree"/>
                <w:b w:val="0"/>
                <w:i w:val="0"/>
                <w:sz w:val="20"/>
              </w:rPr>
              <w:t>Significant degradation; some payment corridors or functions unavailable</w:t>
            </w:r>
          </w:p>
        </w:tc>
        <w:tc>
          <w:tcPr>
            <w:tcW w:type="dxa" w:w="3249"/>
            <w:vAlign w:val="center"/>
          </w:tcPr>
          <w:p>
            <w:pPr>
              <w:spacing w:line="276" w:lineRule="auto" w:before="0" w:after="0"/>
            </w:pPr>
            <w:r/>
            <w:r>
              <w:rPr>
                <w:rFonts w:ascii="Figtree" w:hAnsi="Figtree"/>
                <w:b w:val="0"/>
                <w:i w:val="0"/>
                <w:sz w:val="20"/>
              </w:rPr>
              <w:t>Single corridor down, compliance evaluation errors</w:t>
            </w:r>
          </w:p>
        </w:tc>
      </w:tr>
      <w:tr>
        <w:trPr>
          <w:trHeight w:val="425" w:hRule="atLeast"/>
        </w:trPr>
        <w:tc>
          <w:tcPr>
            <w:tcW w:type="dxa" w:w="3249"/>
            <w:vAlign w:val="center"/>
          </w:tcPr>
          <w:p>
            <w:pPr>
              <w:spacing w:line="276" w:lineRule="auto" w:before="0" w:after="0"/>
            </w:pPr>
            <w:r/>
            <w:r>
              <w:rPr>
                <w:rFonts w:ascii="Figtree" w:hAnsi="Figtree"/>
                <w:b w:val="0"/>
                <w:i w:val="0"/>
                <w:sz w:val="20"/>
              </w:rPr>
              <w:t>P3 Medium</w:t>
            </w:r>
          </w:p>
        </w:tc>
        <w:tc>
          <w:tcPr>
            <w:tcW w:type="dxa" w:w="3249"/>
            <w:vAlign w:val="center"/>
          </w:tcPr>
          <w:p>
            <w:pPr>
              <w:spacing w:line="276" w:lineRule="auto" w:before="0" w:after="0"/>
            </w:pPr>
            <w:r/>
            <w:r>
              <w:rPr>
                <w:rFonts w:ascii="Figtree" w:hAnsi="Figtree"/>
                <w:b w:val="0"/>
                <w:i w:val="0"/>
                <w:sz w:val="20"/>
              </w:rPr>
              <w:t>Minor degradation; workaround available</w:t>
            </w:r>
          </w:p>
        </w:tc>
        <w:tc>
          <w:tcPr>
            <w:tcW w:type="dxa" w:w="3249"/>
            <w:vAlign w:val="center"/>
          </w:tcPr>
          <w:p>
            <w:pPr>
              <w:spacing w:line="276" w:lineRule="auto" w:before="0" w:after="0"/>
            </w:pPr>
            <w:r/>
            <w:r>
              <w:rPr>
                <w:rFonts w:ascii="Figtree" w:hAnsi="Figtree"/>
                <w:b w:val="0"/>
                <w:i w:val="0"/>
                <w:sz w:val="20"/>
              </w:rPr>
              <w:t>Dashboard display issue, slow report generation</w:t>
            </w:r>
          </w:p>
        </w:tc>
      </w:tr>
      <w:tr>
        <w:trPr>
          <w:trHeight w:val="425" w:hRule="atLeast"/>
        </w:trPr>
        <w:tc>
          <w:tcPr>
            <w:tcW w:type="dxa" w:w="3249"/>
            <w:vAlign w:val="center"/>
          </w:tcPr>
          <w:p>
            <w:pPr>
              <w:spacing w:line="276" w:lineRule="auto" w:before="0" w:after="0"/>
            </w:pPr>
            <w:r/>
            <w:r>
              <w:rPr>
                <w:rFonts w:ascii="Figtree" w:hAnsi="Figtree"/>
                <w:b w:val="0"/>
                <w:i w:val="0"/>
                <w:sz w:val="20"/>
              </w:rPr>
              <w:t>P4 Low</w:t>
            </w:r>
          </w:p>
        </w:tc>
        <w:tc>
          <w:tcPr>
            <w:tcW w:type="dxa" w:w="3249"/>
            <w:vAlign w:val="center"/>
          </w:tcPr>
          <w:p>
            <w:pPr>
              <w:spacing w:line="276" w:lineRule="auto" w:before="0" w:after="0"/>
            </w:pPr>
            <w:r/>
            <w:r>
              <w:rPr>
                <w:rFonts w:ascii="Figtree" w:hAnsi="Figtree"/>
                <w:b w:val="0"/>
                <w:i w:val="0"/>
                <w:sz w:val="20"/>
              </w:rPr>
              <w:t>Non-urgent; no operational impact</w:t>
            </w:r>
          </w:p>
        </w:tc>
        <w:tc>
          <w:tcPr>
            <w:tcW w:type="dxa" w:w="3249"/>
            <w:vAlign w:val="center"/>
          </w:tcPr>
          <w:p>
            <w:pPr>
              <w:spacing w:line="276" w:lineRule="auto" w:before="0" w:after="0"/>
            </w:pPr>
            <w:r/>
            <w:r>
              <w:rPr>
                <w:rFonts w:ascii="Figtree" w:hAnsi="Figtree"/>
                <w:b w:val="0"/>
                <w:i w:val="0"/>
                <w:sz w:val="20"/>
              </w:rPr>
              <w:t>Documentation request, configuration advisory</w:t>
            </w:r>
          </w:p>
        </w:tc>
      </w:tr>
    </w:tbl>
    <w:p>
      <w:pPr>
        <w:spacing w:before="0" w:after="0" w:line="120" w:lineRule="exact"/>
      </w:pPr>
    </w:p>
    <w:p>
      <w:pPr>
        <w:pStyle w:val="H3"/>
        <w:numPr>
          <w:ilvl w:val="2"/>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08"/>
        <w:gridCol w:w="3786"/>
        <w:gridCol w:w="30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Measurement</w:t>
            </w:r>
          </w:p>
        </w:tc>
      </w:tr>
      <w:tr>
        <w:trPr>
          <w:trHeight w:val="425" w:hRule="atLeast"/>
        </w:trPr>
        <w:tc>
          <w:tcPr>
            <w:tcW w:type="dxa" w:w="3249"/>
            <w:vAlign w:val="center"/>
          </w:tcPr>
          <w:p>
            <w:pPr>
              <w:spacing w:line="276" w:lineRule="auto" w:before="0" w:after="0"/>
            </w:pPr>
            <w:r/>
            <w:r>
              <w:rPr>
                <w:rFonts w:ascii="Figtree" w:hAnsi="Figtree"/>
                <w:b w:val="0"/>
                <w:i w:val="0"/>
                <w:sz w:val="20"/>
              </w:rPr>
              <w:t>Platform API availability</w:t>
            </w:r>
          </w:p>
        </w:tc>
        <w:tc>
          <w:tcPr>
            <w:tcW w:type="dxa" w:w="3249"/>
            <w:vAlign w:val="center"/>
          </w:tcPr>
          <w:p>
            <w:pPr>
              <w:spacing w:line="276" w:lineRule="auto" w:before="0" w:after="0"/>
            </w:pPr>
            <w:r/>
            <w:r>
              <w:rPr>
                <w:rFonts w:ascii="Figtree" w:hAnsi="Figtree"/>
                <w:b w:val="0"/>
                <w:i w:val="0"/>
                <w:sz w:val="20"/>
              </w:rPr>
              <w:t>99.9% per calendar month</w:t>
            </w:r>
          </w:p>
        </w:tc>
        <w:tc>
          <w:tcPr>
            <w:tcW w:type="dxa" w:w="3249"/>
            <w:vAlign w:val="center"/>
          </w:tcPr>
          <w:p>
            <w:pPr>
              <w:spacing w:line="276" w:lineRule="auto" w:before="0" w:after="0"/>
            </w:pPr>
            <w:r/>
            <w:r>
              <w:rPr>
                <w:rFonts w:ascii="Figtree" w:hAnsi="Figtree"/>
                <w:b w:val="0"/>
                <w:i w:val="0"/>
                <w:sz w:val="20"/>
              </w:rPr>
              <w:t>External monitoring</w:t>
            </w:r>
          </w:p>
        </w:tc>
      </w:tr>
      <w:tr>
        <w:trPr>
          <w:trHeight w:val="425" w:hRule="atLeast"/>
        </w:trPr>
        <w:tc>
          <w:tcPr>
            <w:tcW w:type="dxa" w:w="3249"/>
            <w:vAlign w:val="center"/>
          </w:tcPr>
          <w:p>
            <w:pPr>
              <w:spacing w:line="276" w:lineRule="auto" w:before="0" w:after="0"/>
            </w:pPr>
            <w:r/>
            <w:r>
              <w:rPr>
                <w:rFonts w:ascii="Figtree" w:hAnsi="Figtree"/>
                <w:b w:val="0"/>
                <w:i w:val="0"/>
                <w:sz w:val="20"/>
              </w:rPr>
              <w:t>Maximum unplanned downtime</w:t>
            </w:r>
          </w:p>
        </w:tc>
        <w:tc>
          <w:tcPr>
            <w:tcW w:type="dxa" w:w="3249"/>
            <w:vAlign w:val="center"/>
          </w:tcPr>
          <w:p>
            <w:pPr>
              <w:spacing w:line="276" w:lineRule="auto" w:before="0" w:after="0"/>
            </w:pPr>
            <w:r/>
            <w:r>
              <w:rPr>
                <w:rFonts w:ascii="Figtree" w:hAnsi="Figtree"/>
                <w:b w:val="0"/>
                <w:i w:val="0"/>
                <w:sz w:val="20"/>
              </w:rPr>
              <w:t>43.8 minutes per month</w:t>
            </w:r>
          </w:p>
        </w:tc>
        <w:tc>
          <w:tcPr>
            <w:tcW w:type="dxa" w:w="3249"/>
            <w:vAlign w:val="center"/>
          </w:tcPr>
          <w:p>
            <w:pPr>
              <w:spacing w:line="276" w:lineRule="auto" w:before="0" w:after="0"/>
            </w:pPr>
            <w:r/>
            <w:r>
              <w:rPr>
                <w:rFonts w:ascii="Figtree" w:hAnsi="Figtree"/>
                <w:b w:val="0"/>
                <w:i w:val="0"/>
                <w:sz w:val="20"/>
              </w:rPr>
              <w:t>Calculated from monitoring data</w:t>
            </w:r>
          </w:p>
        </w:tc>
      </w:tr>
      <w:tr>
        <w:trPr>
          <w:trHeight w:val="425" w:hRule="atLeast"/>
        </w:trPr>
        <w:tc>
          <w:tcPr>
            <w:tcW w:type="dxa" w:w="3249"/>
            <w:vAlign w:val="center"/>
          </w:tcPr>
          <w:p>
            <w:pPr>
              <w:spacing w:line="276" w:lineRule="auto" w:before="0" w:after="0"/>
            </w:pPr>
            <w:r/>
            <w:r>
              <w:rPr>
                <w:rFonts w:ascii="Figtree" w:hAnsi="Figtree"/>
                <w:b w:val="0"/>
                <w:i w:val="0"/>
                <w:sz w:val="20"/>
              </w:rPr>
              <w:t>Scheduled maintenance window</w:t>
            </w:r>
          </w:p>
        </w:tc>
        <w:tc>
          <w:tcPr>
            <w:tcW w:type="dxa" w:w="3249"/>
            <w:vAlign w:val="center"/>
          </w:tcPr>
          <w:p>
            <w:pPr>
              <w:spacing w:line="276" w:lineRule="auto" w:before="0" w:after="0"/>
            </w:pPr>
            <w:r/>
            <w:r>
              <w:rPr>
                <w:rFonts w:ascii="Figtree" w:hAnsi="Figtree"/>
                <w:b w:val="0"/>
                <w:i w:val="0"/>
                <w:sz w:val="20"/>
              </w:rPr>
              <w:t>4 hours per month maximum</w:t>
            </w:r>
          </w:p>
        </w:tc>
        <w:tc>
          <w:tcPr>
            <w:tcW w:type="dxa" w:w="3249"/>
            <w:vAlign w:val="center"/>
          </w:tcPr>
          <w:p>
            <w:pPr>
              <w:spacing w:line="276" w:lineRule="auto" w:before="0" w:after="0"/>
            </w:pPr>
            <w:r/>
            <w:r>
              <w:rPr>
                <w:rFonts w:ascii="Figtree" w:hAnsi="Figtree"/>
                <w:b w:val="0"/>
                <w:i w:val="0"/>
                <w:sz w:val="20"/>
              </w:rPr>
              <w:t>Pre-notified 5 business days in advance</w:t>
            </w:r>
          </w:p>
        </w:tc>
      </w:tr>
      <w:tr>
        <w:trPr>
          <w:trHeight w:val="425" w:hRule="atLeast"/>
        </w:trPr>
        <w:tc>
          <w:tcPr>
            <w:tcW w:type="dxa" w:w="3249"/>
            <w:vAlign w:val="center"/>
          </w:tcPr>
          <w:p>
            <w:pPr>
              <w:spacing w:line="276" w:lineRule="auto" w:before="0" w:after="0"/>
            </w:pPr>
            <w:r/>
            <w:r>
              <w:rPr>
                <w:rFonts w:ascii="Figtree" w:hAnsi="Figtree"/>
                <w:b w:val="0"/>
                <w:i w:val="0"/>
                <w:sz w:val="20"/>
              </w:rPr>
              <w:t>Service credit (P1 breach)</w:t>
            </w:r>
          </w:p>
        </w:tc>
        <w:tc>
          <w:tcPr>
            <w:tcW w:type="dxa" w:w="3249"/>
            <w:vAlign w:val="center"/>
          </w:tcPr>
          <w:p>
            <w:pPr>
              <w:spacing w:line="276" w:lineRule="auto" w:before="0" w:after="0"/>
            </w:pPr>
            <w:r/>
            <w:r>
              <w:rPr>
                <w:rFonts w:ascii="Figtree" w:hAnsi="Figtree"/>
                <w:b w:val="0"/>
                <w:i w:val="0"/>
                <w:sz w:val="20"/>
              </w:rPr>
              <w:t>[VARIABLE: 10% of monthly fee per hour over SLA]</w:t>
            </w:r>
          </w:p>
        </w:tc>
        <w:tc>
          <w:tcPr>
            <w:tcW w:type="dxa" w:w="3249"/>
            <w:vAlign w:val="center"/>
          </w:tcPr>
          <w:p>
            <w:pPr>
              <w:spacing w:line="276" w:lineRule="auto" w:before="0" w:after="0"/>
            </w:pPr>
            <w:r/>
            <w:r>
              <w:rPr>
                <w:rFonts w:ascii="Figtree" w:hAnsi="Figtree"/>
                <w:b w:val="0"/>
                <w:i w:val="0"/>
                <w:sz w:val="20"/>
              </w:rPr>
              <w:t>Documented in MSA</w:t>
            </w:r>
          </w:p>
        </w:tc>
      </w:tr>
    </w:tbl>
    <w:p>
      <w:pPr>
        <w:spacing w:before="0" w:after="0" w:line="120" w:lineRule="exact"/>
      </w:pPr>
    </w:p>
    <w:p>
      <w:pPr>
        <w:pStyle w:val="H3"/>
        <w:numPr>
          <w:ilvl w:val="2"/>
          <w:numId w:val="1"/>
        </w:numPr>
      </w:pPr>
      <w:r>
        <w:t>5.4 Maintenance and Update Policy</w:t>
      </w:r>
    </w:p>
    <w:p>
      <w:r>
        <w:rPr>
          <w:rFonts w:ascii="Figtree" w:hAnsi="Figtree"/>
          <w:b w:val="0"/>
          <w:i w:val="0"/>
          <w:sz w:val="22"/>
        </w:rPr>
        <w:t>Platform updates follow a quarterly release cadence with patch releases as required for security issues. For Bank of China's on-premises deployment, update packages are delivered through SettleMint's Helm chart repository. Bank of China's release management team controls deployment timing within defined support windows.</w:t>
      </w:r>
    </w:p>
    <w:p>
      <w:r>
        <w:rPr>
          <w:rFonts w:ascii="Figtree" w:hAnsi="Figtree"/>
          <w:b w:val="0"/>
          <w:i w:val="0"/>
          <w:sz w:val="22"/>
        </w:rPr>
        <w:t>Emergency security patches are delivered within 24 hours of discovery and classified as P1 for deployment prioritisation.</w:t>
      </w:r>
    </w:p>
    <w:p>
      <w:r>
        <w:br w:type="page"/>
      </w:r>
    </w:p>
    <w:p>
      <w:pPr>
        <w:pStyle w:val="H2"/>
        <w:numPr>
          <w:ilvl w:val="1"/>
          <w:numId w:val="1"/>
        </w:numPr>
      </w:pPr>
      <w:r>
        <w:t>6. Implementation Investment</w:t>
      </w:r>
    </w:p>
    <w:p>
      <w:pPr>
        <w:pStyle w:val="H3"/>
        <w:numPr>
          <w:ilvl w:val="2"/>
          <w:numId w:val="1"/>
        </w:numPr>
      </w:pPr>
      <w:r>
        <w:t>6.1 Delivery Methodology</w:t>
      </w:r>
    </w:p>
    <w:p>
      <w:r>
        <w:rPr>
          <w:rFonts w:ascii="Figtree" w:hAnsi="Figtree"/>
          <w:b w:val="0"/>
          <w:i w:val="0"/>
          <w:sz w:val="22"/>
        </w:rPr>
        <w:t>SettleMint delivers DALP implementations through a phase-gated model with explicit exit criteria at each gate. Phases do not overlap without formal approval from the programme steering committee. This model reduces risk by ensuring that critical decisions are made in sequence, based on validated outputs from the preceding phase.</w:t>
      </w:r>
    </w:p>
    <w:p>
      <w:r>
        <w:rPr>
          <w:rFonts w:ascii="Figtree" w:hAnsi="Figtree"/>
          <w:b/>
          <w:i w:val="0"/>
          <w:sz w:val="22"/>
        </w:rPr>
        <w:t>Programme governance structure:</w:t>
      </w:r>
    </w:p>
    <w:p>
      <w:pPr>
        <w:pStyle w:val="ListParagraph"/>
        <w:numPr>
          <w:ilvl w:val="0"/>
          <w:numId w:val="4"/>
        </w:numPr>
      </w:pPr>
      <w:r>
        <w:rPr>
          <w:rFonts w:ascii="Figtree" w:hAnsi="Figtree"/>
          <w:b w:val="0"/>
          <w:i w:val="0"/>
          <w:sz w:val="22"/>
        </w:rPr>
        <w:t>Programme Steering Committee: Monthly; includes Bank of China executives and SettleMint programme leadership</w:t>
      </w:r>
    </w:p>
    <w:p>
      <w:pPr>
        <w:pStyle w:val="ListParagraph"/>
        <w:numPr>
          <w:ilvl w:val="0"/>
          <w:numId w:val="4"/>
        </w:numPr>
      </w:pPr>
      <w:r>
        <w:rPr>
          <w:rFonts w:ascii="Figtree" w:hAnsi="Figtree"/>
          <w:b w:val="0"/>
          <w:i w:val="0"/>
          <w:sz w:val="22"/>
        </w:rPr>
        <w:t>Design Authority: Weekly; includes Bank of China architects and SettleMint solution architects</w:t>
      </w:r>
    </w:p>
    <w:p>
      <w:pPr>
        <w:pStyle w:val="ListParagraph"/>
        <w:numPr>
          <w:ilvl w:val="0"/>
          <w:numId w:val="4"/>
        </w:numPr>
      </w:pPr>
      <w:r>
        <w:rPr>
          <w:rFonts w:ascii="Figtree" w:hAnsi="Figtree"/>
          <w:b w:val="0"/>
          <w:i w:val="0"/>
          <w:sz w:val="22"/>
        </w:rPr>
        <w:t>Operational Working Group: Daily during active phases; includes implementation team leads</w:t>
      </w:r>
    </w:p>
    <w:p>
      <w:pPr>
        <w:pStyle w:val="H3"/>
        <w:numPr>
          <w:ilvl w:val="2"/>
          <w:numId w:val="1"/>
        </w:numPr>
      </w:pPr>
      <w:r>
        <w:t>6.2 Phase Descriptions and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0"/>
        <w:gridCol w:w="680"/>
        <w:gridCol w:w="2803"/>
        <w:gridCol w:w="2336"/>
        <w:gridCol w:w="257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Activities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Bank of China Activities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Gate Criteria</w:t>
            </w:r>
          </w:p>
        </w:tc>
      </w:tr>
      <w:tr>
        <w:trPr>
          <w:trHeight w:val="425" w:hRule="atLeast"/>
        </w:trPr>
        <w:tc>
          <w:tcPr>
            <w:tcW w:type="dxa" w:w="1949"/>
            <w:vAlign w:val="center"/>
          </w:tcPr>
          <w:p>
            <w:pPr>
              <w:spacing w:line="276" w:lineRule="auto" w:before="0" w:after="0"/>
            </w:pPr>
            <w:r/>
            <w:r>
              <w:rPr>
                <w:rFonts w:ascii="Figtree" w:hAnsi="Figtree"/>
                <w:b w:val="0"/>
                <w:i w:val="0"/>
                <w:sz w:val="20"/>
              </w:rPr>
              <w:t>1. Discovery</w:t>
            </w:r>
          </w:p>
        </w:tc>
        <w:tc>
          <w:tcPr>
            <w:tcW w:type="dxa" w:w="1949"/>
            <w:vAlign w:val="center"/>
          </w:tcPr>
          <w:p>
            <w:pPr>
              <w:spacing w:line="276" w:lineRule="auto" w:before="0" w:after="0"/>
            </w:pPr>
            <w:r/>
            <w:r>
              <w:rPr>
                <w:rFonts w:ascii="Figtree" w:hAnsi="Figtree"/>
                <w:b w:val="0"/>
                <w:i w:val="0"/>
                <w:sz w:val="20"/>
              </w:rPr>
              <w:t>6 weeks</w:t>
            </w:r>
          </w:p>
        </w:tc>
        <w:tc>
          <w:tcPr>
            <w:tcW w:type="dxa" w:w="1949"/>
            <w:vAlign w:val="center"/>
          </w:tcPr>
          <w:p>
            <w:pPr>
              <w:spacing w:line="276" w:lineRule="auto" w:before="0" w:after="0"/>
            </w:pPr>
            <w:r/>
            <w:r>
              <w:rPr>
                <w:rFonts w:ascii="Figtree" w:hAnsi="Figtree"/>
                <w:b w:val="0"/>
                <w:i w:val="0"/>
                <w:sz w:val="20"/>
              </w:rPr>
              <w:t>Architecture validation, risk register, integration inventory, compliance mapping</w:t>
            </w:r>
          </w:p>
        </w:tc>
        <w:tc>
          <w:tcPr>
            <w:tcW w:type="dxa" w:w="1949"/>
            <w:vAlign w:val="center"/>
          </w:tcPr>
          <w:p>
            <w:pPr>
              <w:spacing w:line="276" w:lineRule="auto" w:before="0" w:after="0"/>
            </w:pPr>
            <w:r/>
            <w:r>
              <w:rPr>
                <w:rFonts w:ascii="Figtree" w:hAnsi="Figtree"/>
                <w:b w:val="0"/>
                <w:i w:val="0"/>
                <w:sz w:val="20"/>
              </w:rPr>
              <w:t>Business SME availability, system documentation, regulatory briefing</w:t>
            </w:r>
          </w:p>
        </w:tc>
        <w:tc>
          <w:tcPr>
            <w:tcW w:type="dxa" w:w="1949"/>
            <w:vAlign w:val="center"/>
          </w:tcPr>
          <w:p>
            <w:pPr>
              <w:spacing w:line="276" w:lineRule="auto" w:before="0" w:after="0"/>
            </w:pPr>
            <w:r/>
            <w:r>
              <w:rPr>
                <w:rFonts w:ascii="Figtree" w:hAnsi="Figtree"/>
                <w:b w:val="0"/>
                <w:i w:val="0"/>
                <w:sz w:val="20"/>
              </w:rPr>
              <w:t>Signed architecture document, compliance mapping sign-off</w:t>
            </w:r>
          </w:p>
        </w:tc>
      </w:tr>
      <w:tr>
        <w:trPr>
          <w:trHeight w:val="425" w:hRule="atLeast"/>
        </w:trPr>
        <w:tc>
          <w:tcPr>
            <w:tcW w:type="dxa" w:w="1949"/>
            <w:vAlign w:val="center"/>
          </w:tcPr>
          <w:p>
            <w:pPr>
              <w:spacing w:line="276" w:lineRule="auto" w:before="0" w:after="0"/>
            </w:pPr>
            <w:r/>
            <w:r>
              <w:rPr>
                <w:rFonts w:ascii="Figtree" w:hAnsi="Figtree"/>
                <w:b w:val="0"/>
                <w:i w:val="0"/>
                <w:sz w:val="20"/>
              </w:rPr>
              <w:t>2. Configuration</w:t>
            </w:r>
          </w:p>
        </w:tc>
        <w:tc>
          <w:tcPr>
            <w:tcW w:type="dxa" w:w="1949"/>
            <w:vAlign w:val="center"/>
          </w:tcPr>
          <w:p>
            <w:pPr>
              <w:spacing w:line="276" w:lineRule="auto" w:before="0" w:after="0"/>
            </w:pPr>
            <w:r/>
            <w:r>
              <w:rPr>
                <w:rFonts w:ascii="Figtree" w:hAnsi="Figtree"/>
                <w:b w:val="0"/>
                <w:i w:val="0"/>
                <w:sz w:val="20"/>
              </w:rPr>
              <w:t>8 weeks</w:t>
            </w:r>
          </w:p>
        </w:tc>
        <w:tc>
          <w:tcPr>
            <w:tcW w:type="dxa" w:w="1949"/>
            <w:vAlign w:val="center"/>
          </w:tcPr>
          <w:p>
            <w:pPr>
              <w:spacing w:line="276" w:lineRule="auto" w:before="0" w:after="0"/>
            </w:pPr>
            <w:r/>
            <w:r>
              <w:rPr>
                <w:rFonts w:ascii="Figtree" w:hAnsi="Figtree"/>
                <w:b w:val="0"/>
                <w:i w:val="0"/>
                <w:sz w:val="20"/>
              </w:rPr>
              <w:t>Environment setup, compliance module configuration, IAM integration, HSM connection</w:t>
            </w:r>
          </w:p>
        </w:tc>
        <w:tc>
          <w:tcPr>
            <w:tcW w:type="dxa" w:w="1949"/>
            <w:vAlign w:val="center"/>
          </w:tcPr>
          <w:p>
            <w:pPr>
              <w:spacing w:line="276" w:lineRule="auto" w:before="0" w:after="0"/>
            </w:pPr>
            <w:r/>
            <w:r>
              <w:rPr>
                <w:rFonts w:ascii="Figtree" w:hAnsi="Figtree"/>
                <w:b w:val="0"/>
                <w:i w:val="0"/>
                <w:sz w:val="20"/>
              </w:rPr>
              <w:t>Infrastructure provisioning, HSM procurement, IAM administrator access</w:t>
            </w:r>
          </w:p>
        </w:tc>
        <w:tc>
          <w:tcPr>
            <w:tcW w:type="dxa" w:w="1949"/>
            <w:vAlign w:val="center"/>
          </w:tcPr>
          <w:p>
            <w:pPr>
              <w:spacing w:line="276" w:lineRule="auto" w:before="0" w:after="0"/>
            </w:pPr>
            <w:r/>
            <w:r>
              <w:rPr>
                <w:rFonts w:ascii="Figtree" w:hAnsi="Figtree"/>
                <w:b w:val="0"/>
                <w:i w:val="0"/>
                <w:sz w:val="20"/>
              </w:rPr>
              <w:t>All environments operational, compliance modules passing automated validation</w:t>
            </w:r>
          </w:p>
        </w:tc>
      </w:tr>
      <w:tr>
        <w:trPr>
          <w:trHeight w:val="425" w:hRule="atLeast"/>
        </w:trPr>
        <w:tc>
          <w:tcPr>
            <w:tcW w:type="dxa" w:w="1949"/>
            <w:vAlign w:val="center"/>
          </w:tcPr>
          <w:p>
            <w:pPr>
              <w:spacing w:line="276" w:lineRule="auto" w:before="0" w:after="0"/>
            </w:pPr>
            <w:r/>
            <w:r>
              <w:rPr>
                <w:rFonts w:ascii="Figtree" w:hAnsi="Figtree"/>
                <w:b w:val="0"/>
                <w:i w:val="0"/>
                <w:sz w:val="20"/>
              </w:rPr>
              <w:t>3. Integration</w:t>
            </w:r>
          </w:p>
        </w:tc>
        <w:tc>
          <w:tcPr>
            <w:tcW w:type="dxa" w:w="1949"/>
            <w:vAlign w:val="center"/>
          </w:tcPr>
          <w:p>
            <w:pPr>
              <w:spacing w:line="276" w:lineRule="auto" w:before="0" w:after="0"/>
            </w:pPr>
            <w:r/>
            <w:r>
              <w:rPr>
                <w:rFonts w:ascii="Figtree" w:hAnsi="Figtree"/>
                <w:b w:val="0"/>
                <w:i w:val="0"/>
                <w:sz w:val="20"/>
              </w:rPr>
              <w:t>8 weeks</w:t>
            </w:r>
          </w:p>
        </w:tc>
        <w:tc>
          <w:tcPr>
            <w:tcW w:type="dxa" w:w="1949"/>
            <w:vAlign w:val="center"/>
          </w:tcPr>
          <w:p>
            <w:pPr>
              <w:spacing w:line="276" w:lineRule="auto" w:before="0" w:after="0"/>
            </w:pPr>
            <w:r/>
            <w:r>
              <w:rPr>
                <w:rFonts w:ascii="Figtree" w:hAnsi="Figtree"/>
                <w:b w:val="0"/>
                <w:i w:val="0"/>
                <w:sz w:val="20"/>
              </w:rPr>
              <w:t>Core banking integration, CIPS/SWIFT connection, AML screening, regulatory reporting</w:t>
            </w:r>
          </w:p>
        </w:tc>
        <w:tc>
          <w:tcPr>
            <w:tcW w:type="dxa" w:w="1949"/>
            <w:vAlign w:val="center"/>
          </w:tcPr>
          <w:p>
            <w:pPr>
              <w:spacing w:line="276" w:lineRule="auto" w:before="0" w:after="0"/>
            </w:pPr>
            <w:r/>
            <w:r>
              <w:rPr>
                <w:rFonts w:ascii="Figtree" w:hAnsi="Figtree"/>
                <w:b w:val="0"/>
                <w:i w:val="0"/>
                <w:sz w:val="20"/>
              </w:rPr>
              <w:t>Integration team availability, API access, test data provision</w:t>
            </w:r>
          </w:p>
        </w:tc>
        <w:tc>
          <w:tcPr>
            <w:tcW w:type="dxa" w:w="1949"/>
            <w:vAlign w:val="center"/>
          </w:tcPr>
          <w:p>
            <w:pPr>
              <w:spacing w:line="276" w:lineRule="auto" w:before="0" w:after="0"/>
            </w:pPr>
            <w:r/>
            <w:r>
              <w:rPr>
                <w:rFonts w:ascii="Figtree" w:hAnsi="Figtree"/>
                <w:b w:val="0"/>
                <w:i w:val="0"/>
                <w:sz w:val="20"/>
              </w:rPr>
              <w:t>All integrations passing automated integration tests</w:t>
            </w:r>
          </w:p>
        </w:tc>
      </w:tr>
      <w:tr>
        <w:trPr>
          <w:trHeight w:val="425" w:hRule="atLeast"/>
        </w:trPr>
        <w:tc>
          <w:tcPr>
            <w:tcW w:type="dxa" w:w="1949"/>
            <w:vAlign w:val="center"/>
          </w:tcPr>
          <w:p>
            <w:pPr>
              <w:spacing w:line="276" w:lineRule="auto" w:before="0" w:after="0"/>
            </w:pPr>
            <w:r/>
            <w:r>
              <w:rPr>
                <w:rFonts w:ascii="Figtree" w:hAnsi="Figtree"/>
                <w:b w:val="0"/>
                <w:i w:val="0"/>
                <w:sz w:val="20"/>
              </w:rPr>
              <w:t>4. Testing</w:t>
            </w:r>
          </w:p>
        </w:tc>
        <w:tc>
          <w:tcPr>
            <w:tcW w:type="dxa" w:w="1949"/>
            <w:vAlign w:val="center"/>
          </w:tcPr>
          <w:p>
            <w:pPr>
              <w:spacing w:line="276" w:lineRule="auto" w:before="0" w:after="0"/>
            </w:pPr>
            <w:r/>
            <w:r>
              <w:rPr>
                <w:rFonts w:ascii="Figtree" w:hAnsi="Figtree"/>
                <w:b w:val="0"/>
                <w:i w:val="0"/>
                <w:sz w:val="20"/>
              </w:rPr>
              <w:t>8 weeks</w:t>
            </w:r>
          </w:p>
        </w:tc>
        <w:tc>
          <w:tcPr>
            <w:tcW w:type="dxa" w:w="1949"/>
            <w:vAlign w:val="center"/>
          </w:tcPr>
          <w:p>
            <w:pPr>
              <w:spacing w:line="276" w:lineRule="auto" w:before="0" w:after="0"/>
            </w:pPr>
            <w:r/>
            <w:r>
              <w:rPr>
                <w:rFonts w:ascii="Figtree" w:hAnsi="Figtree"/>
                <w:b w:val="0"/>
                <w:i w:val="0"/>
                <w:sz w:val="20"/>
              </w:rPr>
              <w:t>SIT execution, performance testing, security review support</w:t>
            </w:r>
          </w:p>
        </w:tc>
        <w:tc>
          <w:tcPr>
            <w:tcW w:type="dxa" w:w="1949"/>
            <w:vAlign w:val="center"/>
          </w:tcPr>
          <w:p>
            <w:pPr>
              <w:spacing w:line="276" w:lineRule="auto" w:before="0" w:after="0"/>
            </w:pPr>
            <w:r/>
            <w:r>
              <w:rPr>
                <w:rFonts w:ascii="Figtree" w:hAnsi="Figtree"/>
                <w:b w:val="0"/>
                <w:i w:val="0"/>
                <w:sz w:val="20"/>
              </w:rPr>
              <w:t>UAT execution, UAT sign-off</w:t>
            </w:r>
          </w:p>
        </w:tc>
        <w:tc>
          <w:tcPr>
            <w:tcW w:type="dxa" w:w="1949"/>
            <w:vAlign w:val="center"/>
          </w:tcPr>
          <w:p>
            <w:pPr>
              <w:spacing w:line="276" w:lineRule="auto" w:before="0" w:after="0"/>
            </w:pPr>
            <w:r/>
            <w:r>
              <w:rPr>
                <w:rFonts w:ascii="Figtree" w:hAnsi="Figtree"/>
                <w:b w:val="0"/>
                <w:i w:val="0"/>
                <w:sz w:val="20"/>
              </w:rPr>
              <w:t>UAT letter, security acceptance, performance baseline validated</w:t>
            </w:r>
          </w:p>
        </w:tc>
      </w:tr>
      <w:tr>
        <w:trPr>
          <w:trHeight w:val="425" w:hRule="atLeast"/>
        </w:trPr>
        <w:tc>
          <w:tcPr>
            <w:tcW w:type="dxa" w:w="1949"/>
            <w:vAlign w:val="center"/>
          </w:tcPr>
          <w:p>
            <w:pPr>
              <w:spacing w:line="276" w:lineRule="auto" w:before="0" w:after="0"/>
            </w:pPr>
            <w:r/>
            <w:r>
              <w:rPr>
                <w:rFonts w:ascii="Figtree" w:hAnsi="Figtree"/>
                <w:b w:val="0"/>
                <w:i w:val="0"/>
                <w:sz w:val="20"/>
              </w:rPr>
              <w:t>5. Go-Live</w:t>
            </w:r>
          </w:p>
        </w:tc>
        <w:tc>
          <w:tcPr>
            <w:tcW w:type="dxa" w:w="1949"/>
            <w:vAlign w:val="center"/>
          </w:tcPr>
          <w:p>
            <w:pPr>
              <w:spacing w:line="276" w:lineRule="auto" w:before="0" w:after="0"/>
            </w:pPr>
            <w:r/>
            <w:r>
              <w:rPr>
                <w:rFonts w:ascii="Figtree" w:hAnsi="Figtree"/>
                <w:b w:val="0"/>
                <w:i w:val="0"/>
                <w:sz w:val="20"/>
              </w:rPr>
              <w:t>2 weeks</w:t>
            </w:r>
          </w:p>
        </w:tc>
        <w:tc>
          <w:tcPr>
            <w:tcW w:type="dxa" w:w="1949"/>
            <w:vAlign w:val="center"/>
          </w:tcPr>
          <w:p>
            <w:pPr>
              <w:spacing w:line="276" w:lineRule="auto" w:before="0" w:after="0"/>
            </w:pPr>
            <w:r/>
            <w:r>
              <w:rPr>
                <w:rFonts w:ascii="Figtree" w:hAnsi="Figtree"/>
                <w:b w:val="0"/>
                <w:i w:val="0"/>
                <w:sz w:val="20"/>
              </w:rPr>
              <w:t>Cutover execution, smoke test, hypercare start</w:t>
            </w:r>
          </w:p>
        </w:tc>
        <w:tc>
          <w:tcPr>
            <w:tcW w:type="dxa" w:w="1949"/>
            <w:vAlign w:val="center"/>
          </w:tcPr>
          <w:p>
            <w:pPr>
              <w:spacing w:line="276" w:lineRule="auto" w:before="0" w:after="0"/>
            </w:pPr>
            <w:r/>
            <w:r>
              <w:rPr>
                <w:rFonts w:ascii="Figtree" w:hAnsi="Figtree"/>
                <w:b w:val="0"/>
                <w:i w:val="0"/>
                <w:sz w:val="20"/>
              </w:rPr>
              <w:t>Change management, user readiness, operational team on standby</w:t>
            </w:r>
          </w:p>
        </w:tc>
        <w:tc>
          <w:tcPr>
            <w:tcW w:type="dxa" w:w="1949"/>
            <w:vAlign w:val="center"/>
          </w:tcPr>
          <w:p>
            <w:pPr>
              <w:spacing w:line="276" w:lineRule="auto" w:before="0" w:after="0"/>
            </w:pPr>
            <w:r/>
            <w:r>
              <w:rPr>
                <w:rFonts w:ascii="Figtree" w:hAnsi="Figtree"/>
                <w:b w:val="0"/>
                <w:i w:val="0"/>
                <w:sz w:val="20"/>
              </w:rPr>
              <w:t>Steering committee go/no-go approval</w:t>
            </w:r>
          </w:p>
        </w:tc>
      </w:tr>
      <w:tr>
        <w:trPr>
          <w:trHeight w:val="425" w:hRule="atLeast"/>
        </w:trPr>
        <w:tc>
          <w:tcPr>
            <w:tcW w:type="dxa" w:w="1949"/>
            <w:vAlign w:val="center"/>
          </w:tcPr>
          <w:p>
            <w:pPr>
              <w:spacing w:line="276" w:lineRule="auto" w:before="0" w:after="0"/>
            </w:pPr>
            <w:r/>
            <w:r>
              <w:rPr>
                <w:rFonts w:ascii="Figtree" w:hAnsi="Figtree"/>
                <w:b w:val="0"/>
                <w:i w:val="0"/>
                <w:sz w:val="20"/>
              </w:rPr>
              <w:t>6. Hypercare</w:t>
            </w:r>
          </w:p>
        </w:tc>
        <w:tc>
          <w:tcPr>
            <w:tcW w:type="dxa" w:w="1949"/>
            <w:vAlign w:val="center"/>
          </w:tcPr>
          <w:p>
            <w:pPr>
              <w:spacing w:line="276" w:lineRule="auto" w:before="0" w:after="0"/>
            </w:pPr>
            <w:r/>
            <w:r>
              <w:rPr>
                <w:rFonts w:ascii="Figtree" w:hAnsi="Figtree"/>
                <w:b w:val="0"/>
                <w:i w:val="0"/>
                <w:sz w:val="20"/>
              </w:rPr>
              <w:t>6 weeks</w:t>
            </w:r>
          </w:p>
        </w:tc>
        <w:tc>
          <w:tcPr>
            <w:tcW w:type="dxa" w:w="1949"/>
            <w:vAlign w:val="center"/>
          </w:tcPr>
          <w:p>
            <w:pPr>
              <w:spacing w:line="276" w:lineRule="auto" w:before="0" w:after="0"/>
            </w:pPr>
            <w:r/>
            <w:r>
              <w:rPr>
                <w:rFonts w:ascii="Figtree" w:hAnsi="Figtree"/>
                <w:b w:val="0"/>
                <w:i w:val="0"/>
                <w:sz w:val="20"/>
              </w:rPr>
              <w:t>Intensive monitoring, issue triage, BAU transition</w:t>
            </w:r>
          </w:p>
        </w:tc>
        <w:tc>
          <w:tcPr>
            <w:tcW w:type="dxa" w:w="1949"/>
            <w:vAlign w:val="center"/>
          </w:tcPr>
          <w:p>
            <w:pPr>
              <w:spacing w:line="276" w:lineRule="auto" w:before="0" w:after="0"/>
            </w:pPr>
            <w:r/>
            <w:r>
              <w:rPr>
                <w:rFonts w:ascii="Figtree" w:hAnsi="Figtree"/>
                <w:b w:val="0"/>
                <w:i w:val="0"/>
                <w:sz w:val="20"/>
              </w:rPr>
              <w:t>First-line team shadow SettleMint, runbook validation</w:t>
            </w:r>
          </w:p>
        </w:tc>
        <w:tc>
          <w:tcPr>
            <w:tcW w:type="dxa" w:w="1949"/>
            <w:vAlign w:val="center"/>
          </w:tcPr>
          <w:p>
            <w:pPr>
              <w:spacing w:line="276" w:lineRule="auto" w:before="0" w:after="0"/>
            </w:pPr>
            <w:r/>
            <w:r>
              <w:rPr>
                <w:rFonts w:ascii="Figtree" w:hAnsi="Figtree"/>
                <w:b w:val="0"/>
                <w:i w:val="0"/>
                <w:sz w:val="20"/>
              </w:rPr>
              <w:t>KPI targets met for 10 consecutive days</w:t>
            </w:r>
          </w:p>
        </w:tc>
      </w:tr>
    </w:tbl>
    <w:p>
      <w:pPr>
        <w:spacing w:before="0" w:after="0" w:line="120" w:lineRule="exact"/>
      </w:pPr>
    </w:p>
    <w:p>
      <w:pPr>
        <w:pStyle w:val="H3"/>
        <w:numPr>
          <w:ilvl w:val="2"/>
          <w:numId w:val="1"/>
        </w:numPr>
      </w:pPr>
      <w:r>
        <w:t>6.3 Implementation 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9"/>
        <w:gridCol w:w="1909"/>
        <w:gridCol w:w="50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Investment (CNY)</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8 weeks</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[VARIABLE]</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38 weeks</w:t>
            </w:r>
          </w:p>
        </w:tc>
        <w:tc>
          <w:tcPr>
            <w:tcW w:type="dxa" w:w="3249"/>
            <w:vAlign w:val="center"/>
          </w:tcPr>
          <w:p>
            <w:pPr>
              <w:spacing w:line="276" w:lineRule="auto" w:before="0" w:after="0"/>
            </w:pPr>
            <w:r/>
            <w:r>
              <w:rPr>
                <w:rFonts w:ascii="Figtree" w:hAnsi="Figtree"/>
                <w:b/>
                <w:i w:val="0"/>
                <w:sz w:val="20"/>
              </w:rPr>
              <w:t>[VARIABLE: CNY to be scoped]</w:t>
            </w:r>
          </w:p>
        </w:tc>
      </w:tr>
    </w:tbl>
    <w:p>
      <w:pPr>
        <w:spacing w:before="0" w:after="0" w:line="120" w:lineRule="exact"/>
      </w:pPr>
    </w:p>
    <w:p>
      <w:r>
        <w:rPr>
          <w:rFonts w:ascii="Figtree" w:hAnsi="Figtree"/>
          <w:b w:val="0"/>
          <w:i w:val="0"/>
          <w:sz w:val="22"/>
        </w:rPr>
        <w:t>All implementation pricing is indicative and will be confirmed following the discovery phase, when integration complexity and scope are fully defined.</w:t>
      </w:r>
    </w:p>
    <w:p>
      <w:pPr>
        <w:pStyle w:val="H3"/>
        <w:numPr>
          <w:ilvl w:val="2"/>
          <w:numId w:val="1"/>
        </w:numPr>
      </w:pPr>
      <w:r>
        <w:t>6.4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61"/>
        <w:gridCol w:w="4155"/>
        <w:gridCol w:w="41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3249"/>
            <w:vAlign w:val="center"/>
          </w:tcPr>
          <w:p>
            <w:pPr>
              <w:spacing w:line="276" w:lineRule="auto" w:before="0" w:after="0"/>
            </w:pPr>
            <w:r/>
            <w:r>
              <w:rPr>
                <w:rFonts w:ascii="Figtree" w:hAnsi="Figtree"/>
                <w:b w:val="0"/>
                <w:i w:val="0"/>
                <w:sz w:val="20"/>
              </w:rPr>
              <w:t>Accelerator</w:t>
            </w:r>
          </w:p>
        </w:tc>
        <w:tc>
          <w:tcPr>
            <w:tcW w:type="dxa" w:w="3249"/>
            <w:vAlign w:val="center"/>
          </w:tcPr>
          <w:p>
            <w:pPr>
              <w:spacing w:line="276" w:lineRule="auto" w:before="0" w:after="0"/>
            </w:pPr>
            <w:r/>
            <w:r>
              <w:rPr>
                <w:rFonts w:ascii="Figtree" w:hAnsi="Figtree"/>
                <w:b w:val="0"/>
                <w:i w:val="0"/>
                <w:sz w:val="20"/>
              </w:rPr>
              <w:t>DALP Helm deployment automation</w:t>
            </w:r>
          </w:p>
        </w:tc>
        <w:tc>
          <w:tcPr>
            <w:tcW w:type="dxa" w:w="3249"/>
            <w:vAlign w:val="center"/>
          </w:tcPr>
          <w:p>
            <w:pPr>
              <w:spacing w:line="276" w:lineRule="auto" w:before="0" w:after="0"/>
            </w:pPr>
            <w:r/>
            <w:r>
              <w:rPr>
                <w:rFonts w:ascii="Figtree" w:hAnsi="Figtree"/>
                <w:b w:val="0"/>
                <w:i w:val="0"/>
                <w:sz w:val="20"/>
              </w:rPr>
              <w:t>Reduces environment setup from weeks to days</w:t>
            </w:r>
          </w:p>
        </w:tc>
      </w:tr>
      <w:tr>
        <w:trPr>
          <w:trHeight w:val="425" w:hRule="atLeast"/>
        </w:trPr>
        <w:tc>
          <w:tcPr>
            <w:tcW w:type="dxa" w:w="3249"/>
            <w:vAlign w:val="center"/>
          </w:tcPr>
          <w:p>
            <w:pPr>
              <w:spacing w:line="276" w:lineRule="auto" w:before="0" w:after="0"/>
            </w:pPr>
            <w:r/>
            <w:r>
              <w:rPr>
                <w:rFonts w:ascii="Figtree" w:hAnsi="Figtree"/>
                <w:b w:val="0"/>
                <w:i w:val="0"/>
                <w:sz w:val="20"/>
              </w:rPr>
              <w:t>Accelerator</w:t>
            </w:r>
          </w:p>
        </w:tc>
        <w:tc>
          <w:tcPr>
            <w:tcW w:type="dxa" w:w="3249"/>
            <w:vAlign w:val="center"/>
          </w:tcPr>
          <w:p>
            <w:pPr>
              <w:spacing w:line="276" w:lineRule="auto" w:before="0" w:after="0"/>
            </w:pPr>
            <w:r/>
            <w:r>
              <w:rPr>
                <w:rFonts w:ascii="Figtree" w:hAnsi="Figtree"/>
                <w:b w:val="0"/>
                <w:i w:val="0"/>
                <w:sz w:val="20"/>
              </w:rPr>
              <w:t>Pre-built compliance module templates for AML/KYC</w:t>
            </w:r>
          </w:p>
        </w:tc>
        <w:tc>
          <w:tcPr>
            <w:tcW w:type="dxa" w:w="3249"/>
            <w:vAlign w:val="center"/>
          </w:tcPr>
          <w:p>
            <w:pPr>
              <w:spacing w:line="276" w:lineRule="auto" w:before="0" w:after="0"/>
            </w:pPr>
            <w:r/>
            <w:r>
              <w:rPr>
                <w:rFonts w:ascii="Figtree" w:hAnsi="Figtree"/>
                <w:b w:val="0"/>
                <w:i w:val="0"/>
                <w:sz w:val="20"/>
              </w:rPr>
              <w:t>Reduces compliance configuration by 30-40%</w:t>
            </w:r>
          </w:p>
        </w:tc>
      </w:tr>
      <w:tr>
        <w:trPr>
          <w:trHeight w:val="425" w:hRule="atLeast"/>
        </w:trPr>
        <w:tc>
          <w:tcPr>
            <w:tcW w:type="dxa" w:w="3249"/>
            <w:vAlign w:val="center"/>
          </w:tcPr>
          <w:p>
            <w:pPr>
              <w:spacing w:line="276" w:lineRule="auto" w:before="0" w:after="0"/>
            </w:pPr>
            <w:r/>
            <w:r>
              <w:rPr>
                <w:rFonts w:ascii="Figtree" w:hAnsi="Figtree"/>
                <w:b w:val="0"/>
                <w:i w:val="0"/>
                <w:sz w:val="20"/>
              </w:rPr>
              <w:t>Accelerator</w:t>
            </w:r>
          </w:p>
        </w:tc>
        <w:tc>
          <w:tcPr>
            <w:tcW w:type="dxa" w:w="3249"/>
            <w:vAlign w:val="center"/>
          </w:tcPr>
          <w:p>
            <w:pPr>
              <w:spacing w:line="276" w:lineRule="auto" w:before="0" w:after="0"/>
            </w:pPr>
            <w:r/>
            <w:r>
              <w:rPr>
                <w:rFonts w:ascii="Figtree" w:hAnsi="Figtree"/>
                <w:b w:val="0"/>
                <w:i w:val="0"/>
                <w:sz w:val="20"/>
              </w:rPr>
              <w:t>OpenAPI SDK for integration development</w:t>
            </w:r>
          </w:p>
        </w:tc>
        <w:tc>
          <w:tcPr>
            <w:tcW w:type="dxa" w:w="3249"/>
            <w:vAlign w:val="center"/>
          </w:tcPr>
          <w:p>
            <w:pPr>
              <w:spacing w:line="276" w:lineRule="auto" w:before="0" w:after="0"/>
            </w:pPr>
            <w:r/>
            <w:r>
              <w:rPr>
                <w:rFonts w:ascii="Figtree" w:hAnsi="Figtree"/>
                <w:b w:val="0"/>
                <w:i w:val="0"/>
                <w:sz w:val="20"/>
              </w:rPr>
              <w:t>Reduces integration development time by 20-30%</w:t>
            </w:r>
          </w:p>
        </w:tc>
      </w:tr>
      <w:tr>
        <w:trPr>
          <w:trHeight w:val="425" w:hRule="atLeast"/>
        </w:trPr>
        <w:tc>
          <w:tcPr>
            <w:tcW w:type="dxa" w:w="3249"/>
            <w:vAlign w:val="center"/>
          </w:tcPr>
          <w:p>
            <w:pPr>
              <w:spacing w:line="276" w:lineRule="auto" w:before="0" w:after="0"/>
            </w:pPr>
            <w:r/>
            <w:r>
              <w:rPr>
                <w:rFonts w:ascii="Figtree" w:hAnsi="Figtree"/>
                <w:b w:val="0"/>
                <w:i w:val="0"/>
                <w:sz w:val="20"/>
              </w:rPr>
              <w:t>Risk</w:t>
            </w:r>
          </w:p>
        </w:tc>
        <w:tc>
          <w:tcPr>
            <w:tcW w:type="dxa" w:w="3249"/>
            <w:vAlign w:val="center"/>
          </w:tcPr>
          <w:p>
            <w:pPr>
              <w:spacing w:line="276" w:lineRule="auto" w:before="0" w:after="0"/>
            </w:pPr>
            <w:r/>
            <w:r>
              <w:rPr>
                <w:rFonts w:ascii="Figtree" w:hAnsi="Figtree"/>
                <w:b w:val="0"/>
                <w:i w:val="0"/>
                <w:sz w:val="20"/>
              </w:rPr>
              <w:t>HSM procurement lead time</w:t>
            </w:r>
          </w:p>
        </w:tc>
        <w:tc>
          <w:tcPr>
            <w:tcW w:type="dxa" w:w="3249"/>
            <w:vAlign w:val="center"/>
          </w:tcPr>
          <w:p>
            <w:pPr>
              <w:spacing w:line="276" w:lineRule="auto" w:before="0" w:after="0"/>
            </w:pPr>
            <w:r/>
            <w:r>
              <w:rPr>
                <w:rFonts w:ascii="Figtree" w:hAnsi="Figtree"/>
                <w:b w:val="0"/>
                <w:i w:val="0"/>
                <w:sz w:val="20"/>
              </w:rPr>
              <w:t>Extend timeline by 6-8 weeks if not ordered at project start</w:t>
            </w:r>
          </w:p>
        </w:tc>
      </w:tr>
      <w:tr>
        <w:trPr>
          <w:trHeight w:val="425" w:hRule="atLeast"/>
        </w:trPr>
        <w:tc>
          <w:tcPr>
            <w:tcW w:type="dxa" w:w="3249"/>
            <w:vAlign w:val="center"/>
          </w:tcPr>
          <w:p>
            <w:pPr>
              <w:spacing w:line="276" w:lineRule="auto" w:before="0" w:after="0"/>
            </w:pPr>
            <w:r/>
            <w:r>
              <w:rPr>
                <w:rFonts w:ascii="Figtree" w:hAnsi="Figtree"/>
                <w:b w:val="0"/>
                <w:i w:val="0"/>
                <w:sz w:val="20"/>
              </w:rPr>
              <w:t>Risk</w:t>
            </w:r>
          </w:p>
        </w:tc>
        <w:tc>
          <w:tcPr>
            <w:tcW w:type="dxa" w:w="3249"/>
            <w:vAlign w:val="center"/>
          </w:tcPr>
          <w:p>
            <w:pPr>
              <w:spacing w:line="276" w:lineRule="auto" w:before="0" w:after="0"/>
            </w:pPr>
            <w:r/>
            <w:r>
              <w:rPr>
                <w:rFonts w:ascii="Figtree" w:hAnsi="Figtree"/>
                <w:b w:val="0"/>
                <w:i w:val="0"/>
                <w:sz w:val="20"/>
              </w:rPr>
              <w:t>PBOC/SAFE regulatory interpretation for specific corridors</w:t>
            </w:r>
          </w:p>
        </w:tc>
        <w:tc>
          <w:tcPr>
            <w:tcW w:type="dxa" w:w="3249"/>
            <w:vAlign w:val="center"/>
          </w:tcPr>
          <w:p>
            <w:pPr>
              <w:spacing w:line="276" w:lineRule="auto" w:before="0" w:after="0"/>
            </w:pPr>
            <w:r/>
            <w:r>
              <w:rPr>
                <w:rFonts w:ascii="Figtree" w:hAnsi="Figtree"/>
                <w:b w:val="0"/>
                <w:i w:val="0"/>
                <w:sz w:val="20"/>
              </w:rPr>
              <w:t>May require legal review adding 4-6 weeks</w:t>
            </w:r>
          </w:p>
        </w:tc>
      </w:tr>
      <w:tr>
        <w:trPr>
          <w:trHeight w:val="425" w:hRule="atLeast"/>
        </w:trPr>
        <w:tc>
          <w:tcPr>
            <w:tcW w:type="dxa" w:w="3249"/>
            <w:vAlign w:val="center"/>
          </w:tcPr>
          <w:p>
            <w:pPr>
              <w:spacing w:line="276" w:lineRule="auto" w:before="0" w:after="0"/>
            </w:pPr>
            <w:r/>
            <w:r>
              <w:rPr>
                <w:rFonts w:ascii="Figtree" w:hAnsi="Figtree"/>
                <w:b w:val="0"/>
                <w:i w:val="0"/>
                <w:sz w:val="20"/>
              </w:rPr>
              <w:t>Risk</w:t>
            </w:r>
          </w:p>
        </w:tc>
        <w:tc>
          <w:tcPr>
            <w:tcW w:type="dxa" w:w="3249"/>
            <w:vAlign w:val="center"/>
          </w:tcPr>
          <w:p>
            <w:pPr>
              <w:spacing w:line="276" w:lineRule="auto" w:before="0" w:after="0"/>
            </w:pPr>
            <w:r/>
            <w:r>
              <w:rPr>
                <w:rFonts w:ascii="Figtree" w:hAnsi="Figtree"/>
                <w:b w:val="0"/>
                <w:i w:val="0"/>
                <w:sz w:val="20"/>
              </w:rPr>
              <w:t>Core banking API availability and documentation quality</w:t>
            </w:r>
          </w:p>
        </w:tc>
        <w:tc>
          <w:tcPr>
            <w:tcW w:type="dxa" w:w="3249"/>
            <w:vAlign w:val="center"/>
          </w:tcPr>
          <w:p>
            <w:pPr>
              <w:spacing w:line="276" w:lineRule="auto" w:before="0" w:after="0"/>
            </w:pPr>
            <w:r/>
            <w:r>
              <w:rPr>
                <w:rFonts w:ascii="Figtree" w:hAnsi="Figtree"/>
                <w:b w:val="0"/>
                <w:i w:val="0"/>
                <w:sz w:val="20"/>
              </w:rPr>
              <w:t>Undocumented APIs extend integration phase</w:t>
            </w:r>
          </w:p>
        </w:tc>
      </w:tr>
      <w:tr>
        <w:trPr>
          <w:trHeight w:val="425" w:hRule="atLeast"/>
        </w:trPr>
        <w:tc>
          <w:tcPr>
            <w:tcW w:type="dxa" w:w="3249"/>
            <w:vAlign w:val="center"/>
          </w:tcPr>
          <w:p>
            <w:pPr>
              <w:spacing w:line="276" w:lineRule="auto" w:before="0" w:after="0"/>
            </w:pPr>
            <w:r/>
            <w:r>
              <w:rPr>
                <w:rFonts w:ascii="Figtree" w:hAnsi="Figtree"/>
                <w:b w:val="0"/>
                <w:i w:val="0"/>
                <w:sz w:val="20"/>
              </w:rPr>
              <w:t>Risk</w:t>
            </w:r>
          </w:p>
        </w:tc>
        <w:tc>
          <w:tcPr>
            <w:tcW w:type="dxa" w:w="3249"/>
            <w:vAlign w:val="center"/>
          </w:tcPr>
          <w:p>
            <w:pPr>
              <w:spacing w:line="276" w:lineRule="auto" w:before="0" w:after="0"/>
            </w:pPr>
            <w:r/>
            <w:r>
              <w:rPr>
                <w:rFonts w:ascii="Figtree" w:hAnsi="Figtree"/>
                <w:b w:val="0"/>
                <w:i w:val="0"/>
                <w:sz w:val="20"/>
              </w:rPr>
              <w:t>Slow governance approval for compliance module configuration</w:t>
            </w:r>
          </w:p>
        </w:tc>
        <w:tc>
          <w:tcPr>
            <w:tcW w:type="dxa" w:w="3249"/>
            <w:vAlign w:val="center"/>
          </w:tcPr>
          <w:p>
            <w:pPr>
              <w:spacing w:line="276" w:lineRule="auto" w:before="0" w:after="0"/>
            </w:pPr>
            <w:r/>
            <w:r>
              <w:rPr>
                <w:rFonts w:ascii="Figtree" w:hAnsi="Figtree"/>
                <w:b w:val="0"/>
                <w:i w:val="0"/>
                <w:sz w:val="20"/>
              </w:rPr>
              <w:t>Approval delays cascade into subsequent phases</w:t>
            </w:r>
          </w:p>
        </w:tc>
      </w:tr>
    </w:tbl>
    <w:p>
      <w:pPr>
        <w:spacing w:before="0" w:after="0" w:line="120" w:lineRule="exact"/>
      </w:pPr>
    </w:p>
    <w:p>
      <w:pPr>
        <w:pStyle w:val="H3"/>
        <w:numPr>
          <w:ilvl w:val="2"/>
          <w:numId w:val="1"/>
        </w:numPr>
      </w:pPr>
      <w:r>
        <w:t>6.5 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6"/>
        <w:gridCol w:w="5240"/>
        <w:gridCol w:w="717"/>
        <w:gridCol w:w="13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Infrastructure, configuration management, release process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Instructor-led</w:t>
            </w:r>
          </w:p>
        </w:tc>
      </w:tr>
      <w:tr>
        <w:trPr>
          <w:trHeight w:val="425" w:hRule="atLeast"/>
        </w:trPr>
        <w:tc>
          <w:tcPr>
            <w:tcW w:type="dxa" w:w="2436"/>
            <w:vAlign w:val="center"/>
          </w:tcPr>
          <w:p>
            <w:pPr>
              <w:spacing w:line="276" w:lineRule="auto" w:before="0" w:after="0"/>
            </w:pPr>
            <w:r/>
            <w:r>
              <w:rPr>
                <w:rFonts w:ascii="Figtree" w:hAnsi="Figtree"/>
                <w:b w:val="0"/>
                <w:i w:val="0"/>
                <w:sz w:val="20"/>
              </w:rPr>
              <w:t>Operations team</w:t>
            </w:r>
          </w:p>
        </w:tc>
        <w:tc>
          <w:tcPr>
            <w:tcW w:type="dxa" w:w="2436"/>
            <w:vAlign w:val="center"/>
          </w:tcPr>
          <w:p>
            <w:pPr>
              <w:spacing w:line="276" w:lineRule="auto" w:before="0" w:after="0"/>
            </w:pPr>
            <w:r/>
            <w:r>
              <w:rPr>
                <w:rFonts w:ascii="Figtree" w:hAnsi="Figtree"/>
                <w:b w:val="0"/>
                <w:i w:val="0"/>
                <w:sz w:val="20"/>
              </w:rPr>
              <w:t>Asset Console, queue management, exception handling, runbooks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Instructor-led</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Compliance module management, exception adjudication, evidence export</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Instructor-led</w:t>
            </w:r>
          </w:p>
        </w:tc>
      </w:tr>
      <w:tr>
        <w:trPr>
          <w:trHeight w:val="425" w:hRule="atLeast"/>
        </w:trPr>
        <w:tc>
          <w:tcPr>
            <w:tcW w:type="dxa" w:w="2436"/>
            <w:vAlign w:val="center"/>
          </w:tcPr>
          <w:p>
            <w:pPr>
              <w:spacing w:line="276" w:lineRule="auto" w:before="0" w:after="0"/>
            </w:pPr>
            <w:r/>
            <w:r>
              <w:rPr>
                <w:rFonts w:ascii="Figtree" w:hAnsi="Figtree"/>
                <w:b w:val="0"/>
                <w:i w:val="0"/>
                <w:sz w:val="20"/>
              </w:rPr>
              <w:t>Internal audit</w:t>
            </w:r>
          </w:p>
        </w:tc>
        <w:tc>
          <w:tcPr>
            <w:tcW w:type="dxa" w:w="2436"/>
            <w:vAlign w:val="center"/>
          </w:tcPr>
          <w:p>
            <w:pPr>
              <w:spacing w:line="276" w:lineRule="auto" w:before="0" w:after="0"/>
            </w:pPr>
            <w:r/>
            <w:r>
              <w:rPr>
                <w:rFonts w:ascii="Figtree" w:hAnsi="Figtree"/>
                <w:b w:val="0"/>
                <w:i w:val="0"/>
                <w:sz w:val="20"/>
              </w:rPr>
              <w:t>Audit trail navigation, evidence export, reporting</w:t>
            </w:r>
          </w:p>
        </w:tc>
        <w:tc>
          <w:tcPr>
            <w:tcW w:type="dxa" w:w="2436"/>
            <w:vAlign w:val="center"/>
          </w:tcPr>
          <w:p>
            <w:pPr>
              <w:spacing w:line="276" w:lineRule="auto" w:before="0" w:after="0"/>
            </w:pPr>
            <w:r/>
            <w:r>
              <w:rPr>
                <w:rFonts w:ascii="Figtree" w:hAnsi="Figtree"/>
                <w:b w:val="0"/>
                <w:i w:val="0"/>
                <w:sz w:val="20"/>
              </w:rPr>
              <w:t>0.5 days</w:t>
            </w:r>
          </w:p>
        </w:tc>
        <w:tc>
          <w:tcPr>
            <w:tcW w:type="dxa" w:w="2436"/>
            <w:vAlign w:val="center"/>
          </w:tcPr>
          <w:p>
            <w:pPr>
              <w:spacing w:line="276" w:lineRule="auto" w:before="0" w:after="0"/>
            </w:pPr>
            <w:r/>
            <w:r>
              <w:rPr>
                <w:rFonts w:ascii="Figtree" w:hAnsi="Figtree"/>
                <w:b w:val="0"/>
                <w:i w:val="0"/>
                <w:sz w:val="20"/>
              </w:rPr>
              <w:t>Instructor-led</w:t>
            </w:r>
          </w:p>
        </w:tc>
      </w:tr>
      <w:tr>
        <w:trPr>
          <w:trHeight w:val="425" w:hRule="atLeast"/>
        </w:trPr>
        <w:tc>
          <w:tcPr>
            <w:tcW w:type="dxa" w:w="2436"/>
            <w:vAlign w:val="center"/>
          </w:tcPr>
          <w:p>
            <w:pPr>
              <w:spacing w:line="276" w:lineRule="auto" w:before="0" w:after="0"/>
            </w:pPr>
            <w:r/>
            <w:r>
              <w:rPr>
                <w:rFonts w:ascii="Figtree" w:hAnsi="Figtree"/>
                <w:b w:val="0"/>
                <w:i w:val="0"/>
                <w:sz w:val="20"/>
              </w:rPr>
              <w:t>Integration developers</w:t>
            </w:r>
          </w:p>
        </w:tc>
        <w:tc>
          <w:tcPr>
            <w:tcW w:type="dxa" w:w="2436"/>
            <w:vAlign w:val="center"/>
          </w:tcPr>
          <w:p>
            <w:pPr>
              <w:spacing w:line="276" w:lineRule="auto" w:before="0" w:after="0"/>
            </w:pPr>
            <w:r/>
            <w:r>
              <w:rPr>
                <w:rFonts w:ascii="Figtree" w:hAnsi="Figtree"/>
                <w:b w:val="0"/>
                <w:i w:val="0"/>
                <w:sz w:val="20"/>
              </w:rPr>
              <w:t>OpenAPI, SDK, event streams, reconciliation interfaces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workshop</w:t>
            </w:r>
          </w:p>
        </w:tc>
      </w:tr>
    </w:tbl>
    <w:p>
      <w:pPr>
        <w:spacing w:before="0" w:after="0" w:line="120" w:lineRule="exact"/>
      </w:pPr>
    </w:p>
    <w:p>
      <w:r>
        <w:br w:type="page"/>
      </w:r>
    </w:p>
    <w:p>
      <w:pPr>
        <w:pStyle w:val="H2"/>
        <w:numPr>
          <w:ilvl w:val="1"/>
          <w:numId w:val="1"/>
        </w:numPr>
      </w:pPr>
      <w:r>
        <w:t>7. Commercial Terms</w:t>
      </w:r>
    </w:p>
    <w:p>
      <w:pPr>
        <w:pStyle w:val="H3"/>
        <w:numPr>
          <w:ilvl w:val="2"/>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0"/>
        <w:gridCol w:w="4644"/>
        <w:gridCol w:w="18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Party</w:t>
            </w:r>
          </w:p>
        </w:tc>
      </w:tr>
      <w:tr>
        <w:trPr>
          <w:trHeight w:val="425" w:hRule="atLeast"/>
        </w:trPr>
        <w:tc>
          <w:tcPr>
            <w:tcW w:type="dxa" w:w="3249"/>
            <w:vAlign w:val="center"/>
          </w:tcPr>
          <w:p>
            <w:pPr>
              <w:spacing w:line="276" w:lineRule="auto" w:before="0" w:after="0"/>
            </w:pPr>
            <w:r/>
            <w:r>
              <w:rPr>
                <w:rFonts w:ascii="Figtree" w:hAnsi="Figtree"/>
                <w:b w:val="0"/>
                <w:i w:val="0"/>
                <w:sz w:val="20"/>
              </w:rPr>
              <w:t>Master Subscription Agreement (MSA)</w:t>
            </w:r>
          </w:p>
        </w:tc>
        <w:tc>
          <w:tcPr>
            <w:tcW w:type="dxa" w:w="3249"/>
            <w:vAlign w:val="center"/>
          </w:tcPr>
          <w:p>
            <w:pPr>
              <w:spacing w:line="276" w:lineRule="auto" w:before="0" w:after="0"/>
            </w:pPr>
            <w:r/>
            <w:r>
              <w:rPr>
                <w:rFonts w:ascii="Figtree" w:hAnsi="Figtree"/>
                <w:b w:val="0"/>
                <w:i w:val="0"/>
                <w:sz w:val="20"/>
              </w:rPr>
              <w:t>Platform license terms, IP, liability, confidentiality</w:t>
            </w:r>
          </w:p>
        </w:tc>
        <w:tc>
          <w:tcPr>
            <w:tcW w:type="dxa" w:w="3249"/>
            <w:vAlign w:val="center"/>
          </w:tcPr>
          <w:p>
            <w:pPr>
              <w:spacing w:line="276" w:lineRule="auto" w:before="0" w:after="0"/>
            </w:pPr>
            <w:r/>
            <w:r>
              <w:rPr>
                <w:rFonts w:ascii="Figtree" w:hAnsi="Figtree"/>
                <w:b w:val="0"/>
                <w:i w:val="0"/>
                <w:sz w:val="20"/>
              </w:rPr>
              <w:t>SettleMint + Bank of China</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Implementation services scope, deliverables, milestones, pricing</w:t>
            </w:r>
          </w:p>
        </w:tc>
        <w:tc>
          <w:tcPr>
            <w:tcW w:type="dxa" w:w="3249"/>
            <w:vAlign w:val="center"/>
          </w:tcPr>
          <w:p>
            <w:pPr>
              <w:spacing w:line="276" w:lineRule="auto" w:before="0" w:after="0"/>
            </w:pPr>
            <w:r/>
            <w:r>
              <w:rPr>
                <w:rFonts w:ascii="Figtree" w:hAnsi="Figtree"/>
                <w:b w:val="0"/>
                <w:i w:val="0"/>
                <w:sz w:val="20"/>
              </w:rPr>
              <w:t>SettleMint + Bank of China</w:t>
            </w:r>
          </w:p>
        </w:tc>
      </w:tr>
      <w:tr>
        <w:trPr>
          <w:trHeight w:val="425" w:hRule="atLeast"/>
        </w:trPr>
        <w:tc>
          <w:tcPr>
            <w:tcW w:type="dxa" w:w="3249"/>
            <w:vAlign w:val="center"/>
          </w:tcPr>
          <w:p>
            <w:pPr>
              <w:spacing w:line="276" w:lineRule="auto" w:before="0" w:after="0"/>
            </w:pPr>
            <w:r/>
            <w:r>
              <w:rPr>
                <w:rFonts w:ascii="Figtree" w:hAnsi="Figtree"/>
                <w:b w:val="0"/>
                <w:i w:val="0"/>
                <w:sz w:val="20"/>
              </w:rPr>
              <w:t>Support Agreement</w:t>
            </w:r>
          </w:p>
        </w:tc>
        <w:tc>
          <w:tcPr>
            <w:tcW w:type="dxa" w:w="3249"/>
            <w:vAlign w:val="center"/>
          </w:tcPr>
          <w:p>
            <w:pPr>
              <w:spacing w:line="276" w:lineRule="auto" w:before="0" w:after="0"/>
            </w:pPr>
            <w:r/>
            <w:r>
              <w:rPr>
                <w:rFonts w:ascii="Figtree" w:hAnsi="Figtree"/>
                <w:b w:val="0"/>
                <w:i w:val="0"/>
                <w:sz w:val="20"/>
              </w:rPr>
              <w:t>Support tier, SLA commitments, escalation, service credits</w:t>
            </w:r>
          </w:p>
        </w:tc>
        <w:tc>
          <w:tcPr>
            <w:tcW w:type="dxa" w:w="3249"/>
            <w:vAlign w:val="center"/>
          </w:tcPr>
          <w:p>
            <w:pPr>
              <w:spacing w:line="276" w:lineRule="auto" w:before="0" w:after="0"/>
            </w:pPr>
            <w:r/>
            <w:r>
              <w:rPr>
                <w:rFonts w:ascii="Figtree" w:hAnsi="Figtree"/>
                <w:b w:val="0"/>
                <w:i w:val="0"/>
                <w:sz w:val="20"/>
              </w:rPr>
              <w:t>SettleMint + Bank of China</w:t>
            </w:r>
          </w:p>
        </w:tc>
      </w:tr>
      <w:tr>
        <w:trPr>
          <w:trHeight w:val="425" w:hRule="atLeast"/>
        </w:trPr>
        <w:tc>
          <w:tcPr>
            <w:tcW w:type="dxa" w:w="3249"/>
            <w:vAlign w:val="center"/>
          </w:tcPr>
          <w:p>
            <w:pPr>
              <w:spacing w:line="276" w:lineRule="auto" w:before="0" w:after="0"/>
            </w:pPr>
            <w:r/>
            <w:r>
              <w:rPr>
                <w:rFonts w:ascii="Figtree" w:hAnsi="Figtree"/>
                <w:b w:val="0"/>
                <w:i w:val="0"/>
                <w:sz w:val="20"/>
              </w:rPr>
              <w:t>Data Processing Agreement (DPA)</w:t>
            </w:r>
          </w:p>
        </w:tc>
        <w:tc>
          <w:tcPr>
            <w:tcW w:type="dxa" w:w="3249"/>
            <w:vAlign w:val="center"/>
          </w:tcPr>
          <w:p>
            <w:pPr>
              <w:spacing w:line="276" w:lineRule="auto" w:before="0" w:after="0"/>
            </w:pPr>
            <w:r/>
            <w:r>
              <w:rPr>
                <w:rFonts w:ascii="Figtree" w:hAnsi="Figtree"/>
                <w:b w:val="0"/>
                <w:i w:val="0"/>
                <w:sz w:val="20"/>
              </w:rPr>
              <w:t>PIPL and data protection obligations</w:t>
            </w:r>
          </w:p>
        </w:tc>
        <w:tc>
          <w:tcPr>
            <w:tcW w:type="dxa" w:w="3249"/>
            <w:vAlign w:val="center"/>
          </w:tcPr>
          <w:p>
            <w:pPr>
              <w:spacing w:line="276" w:lineRule="auto" w:before="0" w:after="0"/>
            </w:pPr>
            <w:r/>
            <w:r>
              <w:rPr>
                <w:rFonts w:ascii="Figtree" w:hAnsi="Figtree"/>
                <w:b w:val="0"/>
                <w:i w:val="0"/>
                <w:sz w:val="20"/>
              </w:rPr>
              <w:t>SettleMint + Bank of China</w:t>
            </w:r>
          </w:p>
        </w:tc>
      </w:tr>
    </w:tbl>
    <w:p>
      <w:pPr>
        <w:spacing w:before="0" w:after="0" w:line="120" w:lineRule="exact"/>
      </w:pPr>
    </w:p>
    <w:p>
      <w:r>
        <w:rPr>
          <w:rFonts w:ascii="Figtree" w:hAnsi="Figtree"/>
          <w:b w:val="0"/>
          <w:i w:val="0"/>
          <w:sz w:val="22"/>
        </w:rPr>
        <w:t>The MSA, SoW, and Support Agreement are co-terminous. The DPA operates independently and survives termination for the data retention period.</w:t>
      </w:r>
    </w:p>
    <w:p>
      <w:pPr>
        <w:pStyle w:val="H3"/>
        <w:numPr>
          <w:ilvl w:val="2"/>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08"/>
        <w:gridCol w:w="2128"/>
        <w:gridCol w:w="31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 of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Signed MSA and SoW</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 completion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Signed architecture document</w:t>
            </w:r>
          </w:p>
        </w:tc>
      </w:tr>
      <w:tr>
        <w:trPr>
          <w:trHeight w:val="425" w:hRule="atLeast"/>
        </w:trPr>
        <w:tc>
          <w:tcPr>
            <w:tcW w:type="dxa" w:w="3249"/>
            <w:vAlign w:val="center"/>
          </w:tcPr>
          <w:p>
            <w:pPr>
              <w:spacing w:line="276" w:lineRule="auto" w:before="0" w:after="0"/>
            </w:pPr>
            <w:r/>
            <w:r>
              <w:rPr>
                <w:rFonts w:ascii="Figtree" w:hAnsi="Figtree"/>
                <w:b w:val="0"/>
                <w:i w:val="0"/>
                <w:sz w:val="20"/>
              </w:rPr>
              <w:t>Phase 2 (Configuration) completion</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Environment acceptance</w:t>
            </w:r>
          </w:p>
        </w:tc>
      </w:tr>
      <w:tr>
        <w:trPr>
          <w:trHeight w:val="425" w:hRule="atLeast"/>
        </w:trPr>
        <w:tc>
          <w:tcPr>
            <w:tcW w:type="dxa" w:w="3249"/>
            <w:vAlign w:val="center"/>
          </w:tcPr>
          <w:p>
            <w:pPr>
              <w:spacing w:line="276" w:lineRule="auto" w:before="0" w:after="0"/>
            </w:pPr>
            <w:r/>
            <w:r>
              <w:rPr>
                <w:rFonts w:ascii="Figtree" w:hAnsi="Figtree"/>
                <w:b w:val="0"/>
                <w:i w:val="0"/>
                <w:sz w:val="20"/>
              </w:rPr>
              <w:t>Phase 3 (Integration) completion</w:t>
            </w:r>
          </w:p>
        </w:tc>
        <w:tc>
          <w:tcPr>
            <w:tcW w:type="dxa" w:w="3249"/>
            <w:vAlign w:val="center"/>
          </w:tcPr>
          <w:p>
            <w:pPr>
              <w:spacing w:line="276" w:lineRule="auto" w:before="0" w:after="0"/>
            </w:pPr>
            <w:r/>
            <w:r>
              <w:rPr>
                <w:rFonts w:ascii="Figtree" w:hAnsi="Figtree"/>
                <w:b w:val="0"/>
                <w:i w:val="0"/>
                <w:sz w:val="20"/>
              </w:rPr>
              <w:t>20%</w:t>
            </w:r>
          </w:p>
        </w:tc>
        <w:tc>
          <w:tcPr>
            <w:tcW w:type="dxa" w:w="3249"/>
            <w:vAlign w:val="center"/>
          </w:tcPr>
          <w:p>
            <w:pPr>
              <w:spacing w:line="276" w:lineRule="auto" w:before="0" w:after="0"/>
            </w:pPr>
            <w:r/>
            <w:r>
              <w:rPr>
                <w:rFonts w:ascii="Figtree" w:hAnsi="Figtree"/>
                <w:b w:val="0"/>
                <w:i w:val="0"/>
                <w:sz w:val="20"/>
              </w:rPr>
              <w:t>Integration test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4 (Testing) completion</w:t>
            </w:r>
          </w:p>
        </w:tc>
        <w:tc>
          <w:tcPr>
            <w:tcW w:type="dxa" w:w="3249"/>
            <w:vAlign w:val="center"/>
          </w:tcPr>
          <w:p>
            <w:pPr>
              <w:spacing w:line="276" w:lineRule="auto" w:before="0" w:after="0"/>
            </w:pPr>
            <w:r/>
            <w:r>
              <w:rPr>
                <w:rFonts w:ascii="Figtree" w:hAnsi="Figtree"/>
                <w:b w:val="0"/>
                <w:i w:val="0"/>
                <w:sz w:val="20"/>
              </w:rPr>
              <w:t>15%</w:t>
            </w:r>
          </w:p>
        </w:tc>
        <w:tc>
          <w:tcPr>
            <w:tcW w:type="dxa" w:w="3249"/>
            <w:vAlign w:val="center"/>
          </w:tcPr>
          <w:p>
            <w:pPr>
              <w:spacing w:line="276" w:lineRule="auto" w:before="0" w:after="0"/>
            </w:pPr>
            <w:r/>
            <w:r>
              <w:rPr>
                <w:rFonts w:ascii="Figtree" w:hAnsi="Figtree"/>
                <w:b w:val="0"/>
                <w:i w:val="0"/>
                <w:sz w:val="20"/>
              </w:rPr>
              <w:t>UAT sign-off</w:t>
            </w:r>
          </w:p>
        </w:tc>
      </w:tr>
      <w:tr>
        <w:trPr>
          <w:trHeight w:val="425" w:hRule="atLeast"/>
        </w:trPr>
        <w:tc>
          <w:tcPr>
            <w:tcW w:type="dxa" w:w="3249"/>
            <w:vAlign w:val="center"/>
          </w:tcPr>
          <w:p>
            <w:pPr>
              <w:spacing w:line="276" w:lineRule="auto" w:before="0" w:after="0"/>
            </w:pPr>
            <w:r/>
            <w:r>
              <w:rPr>
                <w:rFonts w:ascii="Figtree" w:hAnsi="Figtree"/>
                <w:b w:val="0"/>
                <w:i w:val="0"/>
                <w:sz w:val="20"/>
              </w:rPr>
              <w:t>Phase 5-6 (Go-Live and Hypercare)</w:t>
            </w:r>
          </w:p>
        </w:tc>
        <w:tc>
          <w:tcPr>
            <w:tcW w:type="dxa" w:w="3249"/>
            <w:vAlign w:val="center"/>
          </w:tcPr>
          <w:p>
            <w:pPr>
              <w:spacing w:line="276" w:lineRule="auto" w:before="0" w:after="0"/>
            </w:pPr>
            <w:r/>
            <w:r>
              <w:rPr>
                <w:rFonts w:ascii="Figtree" w:hAnsi="Figtree"/>
                <w:b w:val="0"/>
                <w:i w:val="0"/>
                <w:sz w:val="20"/>
              </w:rPr>
              <w:t>10%</w:t>
            </w:r>
          </w:p>
        </w:tc>
        <w:tc>
          <w:tcPr>
            <w:tcW w:type="dxa" w:w="3249"/>
            <w:vAlign w:val="center"/>
          </w:tcPr>
          <w:p>
            <w:pPr>
              <w:spacing w:line="276" w:lineRule="auto" w:before="0" w:after="0"/>
            </w:pPr>
            <w:r/>
            <w:r>
              <w:rPr>
                <w:rFonts w:ascii="Figtree" w:hAnsi="Figtree"/>
                <w:b w:val="0"/>
                <w:i w:val="0"/>
                <w:sz w:val="20"/>
              </w:rPr>
              <w:t>BAU transition acceptance</w:t>
            </w:r>
          </w:p>
        </w:tc>
      </w:tr>
    </w:tbl>
    <w:p>
      <w:pPr>
        <w:spacing w:before="0" w:after="0" w:line="120" w:lineRule="exact"/>
      </w:pPr>
    </w:p>
    <w:p>
      <w:r>
        <w:rPr>
          <w:rFonts w:ascii="Figtree" w:hAnsi="Figtree"/>
          <w:b w:val="0"/>
          <w:i w:val="0"/>
          <w:sz w:val="22"/>
        </w:rPr>
        <w:t>Annual license and support fees are invoiced annually in advance. First-year license and support are invoiced at contract execution.</w:t>
      </w:r>
    </w:p>
    <w:p>
      <w:pPr>
        <w:pStyle w:val="H3"/>
        <w:numPr>
          <w:ilvl w:val="2"/>
          <w:numId w:val="1"/>
        </w:numPr>
      </w:pPr>
      <w:r>
        <w:t>7.3 Duration and Renewal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34"/>
        <w:gridCol w:w="65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Initial license term</w:t>
            </w:r>
          </w:p>
        </w:tc>
        <w:tc>
          <w:tcPr>
            <w:tcW w:type="dxa" w:w="4873"/>
            <w:vAlign w:val="center"/>
          </w:tcPr>
          <w:p>
            <w:pPr>
              <w:spacing w:line="276" w:lineRule="auto" w:before="0" w:after="0"/>
            </w:pPr>
            <w:r/>
            <w:r>
              <w:rPr>
                <w:rFonts w:ascii="Figtree" w:hAnsi="Figtree"/>
                <w:b w:val="0"/>
                <w:i w:val="0"/>
                <w:sz w:val="20"/>
              </w:rPr>
              <w:t>3 years (recommended for best commercial terms)</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Annual renewal thereafter; auto-renew with 90-day notice to cancel</w:t>
            </w:r>
          </w:p>
        </w:tc>
      </w:tr>
      <w:tr>
        <w:trPr>
          <w:trHeight w:val="425" w:hRule="atLeast"/>
        </w:trPr>
        <w:tc>
          <w:tcPr>
            <w:tcW w:type="dxa" w:w="4873"/>
            <w:vAlign w:val="center"/>
          </w:tcPr>
          <w:p>
            <w:pPr>
              <w:spacing w:line="276" w:lineRule="auto" w:before="0" w:after="0"/>
            </w:pPr>
            <w:r/>
            <w:r>
              <w:rPr>
                <w:rFonts w:ascii="Figtree" w:hAnsi="Figtree"/>
                <w:b w:val="0"/>
                <w:i w:val="0"/>
                <w:sz w:val="20"/>
              </w:rPr>
              <w:t>License activation</w:t>
            </w:r>
          </w:p>
        </w:tc>
        <w:tc>
          <w:tcPr>
            <w:tcW w:type="dxa" w:w="4873"/>
            <w:vAlign w:val="center"/>
          </w:tcPr>
          <w:p>
            <w:pPr>
              <w:spacing w:line="276" w:lineRule="auto" w:before="0" w:after="0"/>
            </w:pPr>
            <w:r/>
            <w:r>
              <w:rPr>
                <w:rFonts w:ascii="Figtree" w:hAnsi="Figtree"/>
                <w:b w:val="0"/>
                <w:i w:val="0"/>
                <w:sz w:val="20"/>
              </w:rPr>
              <w:t>From production go-live date, not contract execution</w:t>
            </w:r>
          </w:p>
        </w:tc>
      </w:tr>
      <w:tr>
        <w:trPr>
          <w:trHeight w:val="425" w:hRule="atLeast"/>
        </w:trPr>
        <w:tc>
          <w:tcPr>
            <w:tcW w:type="dxa" w:w="4873"/>
            <w:vAlign w:val="center"/>
          </w:tcPr>
          <w:p>
            <w:pPr>
              <w:spacing w:line="276" w:lineRule="auto" w:before="0" w:after="0"/>
            </w:pPr>
            <w:r/>
            <w:r>
              <w:rPr>
                <w:rFonts w:ascii="Figtree" w:hAnsi="Figtree"/>
                <w:b w:val="0"/>
                <w:i w:val="0"/>
                <w:sz w:val="20"/>
              </w:rPr>
              <w:t>Multi-year discount</w:t>
            </w:r>
          </w:p>
        </w:tc>
        <w:tc>
          <w:tcPr>
            <w:tcW w:type="dxa" w:w="4873"/>
            <w:vAlign w:val="center"/>
          </w:tcPr>
          <w:p>
            <w:pPr>
              <w:spacing w:line="276" w:lineRule="auto" w:before="0" w:after="0"/>
            </w:pPr>
            <w:r/>
            <w:r>
              <w:rPr>
                <w:rFonts w:ascii="Figtree" w:hAnsi="Figtree"/>
                <w:b w:val="0"/>
                <w:i w:val="0"/>
                <w:sz w:val="20"/>
              </w:rPr>
              <w:t>[VARIABLE: 10-15% for 3-year commitment vs. annual]</w:t>
            </w:r>
          </w:p>
        </w:tc>
      </w:tr>
    </w:tbl>
    <w:p>
      <w:pPr>
        <w:spacing w:before="0" w:after="0" w:line="120" w:lineRule="exact"/>
      </w:pPr>
    </w:p>
    <w:p>
      <w:pPr>
        <w:pStyle w:val="H3"/>
        <w:numPr>
          <w:ilvl w:val="2"/>
          <w:numId w:val="1"/>
        </w:numPr>
      </w:pPr>
      <w:r>
        <w:t>7.4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82"/>
        <w:gridCol w:w="35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and SMART Protocol</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Bank of China configuration (compliance rules, workflow definitions)</w:t>
            </w:r>
          </w:p>
        </w:tc>
        <w:tc>
          <w:tcPr>
            <w:tcW w:type="dxa" w:w="4873"/>
            <w:vAlign w:val="center"/>
          </w:tcPr>
          <w:p>
            <w:pPr>
              <w:spacing w:line="276" w:lineRule="auto" w:before="0" w:after="0"/>
            </w:pPr>
            <w:r/>
            <w:r>
              <w:rPr>
                <w:rFonts w:ascii="Figtree" w:hAnsi="Figtree"/>
                <w:b w:val="0"/>
                <w:i w:val="0"/>
                <w:sz w:val="20"/>
              </w:rPr>
              <w:t>Bank of China</w:t>
            </w:r>
          </w:p>
        </w:tc>
      </w:tr>
      <w:tr>
        <w:trPr>
          <w:trHeight w:val="425" w:hRule="atLeast"/>
        </w:trPr>
        <w:tc>
          <w:tcPr>
            <w:tcW w:type="dxa" w:w="4873"/>
            <w:vAlign w:val="center"/>
          </w:tcPr>
          <w:p>
            <w:pPr>
              <w:spacing w:line="276" w:lineRule="auto" w:before="0" w:after="0"/>
            </w:pPr>
            <w:r/>
            <w:r>
              <w:rPr>
                <w:rFonts w:ascii="Figtree" w:hAnsi="Figtree"/>
                <w:b w:val="0"/>
                <w:i w:val="0"/>
                <w:sz w:val="20"/>
              </w:rPr>
              <w:t>Bank of China transaction data and operational records</w:t>
            </w:r>
          </w:p>
        </w:tc>
        <w:tc>
          <w:tcPr>
            <w:tcW w:type="dxa" w:w="4873"/>
            <w:vAlign w:val="center"/>
          </w:tcPr>
          <w:p>
            <w:pPr>
              <w:spacing w:line="276" w:lineRule="auto" w:before="0" w:after="0"/>
            </w:pPr>
            <w:r/>
            <w:r>
              <w:rPr>
                <w:rFonts w:ascii="Figtree" w:hAnsi="Figtree"/>
                <w:b w:val="0"/>
                <w:i w:val="0"/>
                <w:sz w:val="20"/>
              </w:rPr>
              <w:t>Bank of China</w:t>
            </w:r>
          </w:p>
        </w:tc>
      </w:tr>
      <w:tr>
        <w:trPr>
          <w:trHeight w:val="425" w:hRule="atLeast"/>
        </w:trPr>
        <w:tc>
          <w:tcPr>
            <w:tcW w:type="dxa" w:w="4873"/>
            <w:vAlign w:val="center"/>
          </w:tcPr>
          <w:p>
            <w:pPr>
              <w:spacing w:line="276" w:lineRule="auto" w:before="0" w:after="0"/>
            </w:pPr>
            <w:r/>
            <w:r>
              <w:rPr>
                <w:rFonts w:ascii="Figtree" w:hAnsi="Figtree"/>
                <w:b w:val="0"/>
                <w:i w:val="0"/>
                <w:sz w:val="20"/>
              </w:rPr>
              <w:t>Integration code developed by joint team</w:t>
            </w:r>
          </w:p>
        </w:tc>
        <w:tc>
          <w:tcPr>
            <w:tcW w:type="dxa" w:w="4873"/>
            <w:vAlign w:val="center"/>
          </w:tcPr>
          <w:p>
            <w:pPr>
              <w:spacing w:line="276" w:lineRule="auto" w:before="0" w:after="0"/>
            </w:pPr>
            <w:r/>
            <w:r>
              <w:rPr>
                <w:rFonts w:ascii="Figtree" w:hAnsi="Figtree"/>
                <w:b w:val="0"/>
                <w:i w:val="0"/>
                <w:sz w:val="20"/>
              </w:rPr>
              <w:t>Joint ownership (negotiable)</w:t>
            </w:r>
          </w:p>
        </w:tc>
      </w:tr>
      <w:tr>
        <w:trPr>
          <w:trHeight w:val="425" w:hRule="atLeast"/>
        </w:trPr>
        <w:tc>
          <w:tcPr>
            <w:tcW w:type="dxa" w:w="4873"/>
            <w:vAlign w:val="center"/>
          </w:tcPr>
          <w:p>
            <w:pPr>
              <w:spacing w:line="276" w:lineRule="auto" w:before="0" w:after="0"/>
            </w:pPr>
            <w:r/>
            <w:r>
              <w:rPr>
                <w:rFonts w:ascii="Figtree" w:hAnsi="Figtree"/>
                <w:b w:val="0"/>
                <w:i w:val="0"/>
                <w:sz w:val="20"/>
              </w:rPr>
              <w:t>Documentation produced during implementation</w:t>
            </w:r>
          </w:p>
        </w:tc>
        <w:tc>
          <w:tcPr>
            <w:tcW w:type="dxa" w:w="4873"/>
            <w:vAlign w:val="center"/>
          </w:tcPr>
          <w:p>
            <w:pPr>
              <w:spacing w:line="276" w:lineRule="auto" w:before="0" w:after="0"/>
            </w:pPr>
            <w:r/>
            <w:r>
              <w:rPr>
                <w:rFonts w:ascii="Figtree" w:hAnsi="Figtree"/>
                <w:b w:val="0"/>
                <w:i w:val="0"/>
                <w:sz w:val="20"/>
              </w:rPr>
              <w:t>Bank of China (with SettleMint usage rights)</w:t>
            </w:r>
          </w:p>
        </w:tc>
      </w:tr>
    </w:tbl>
    <w:p>
      <w:pPr>
        <w:spacing w:before="0" w:after="0" w:line="120" w:lineRule="exact"/>
      </w:pPr>
    </w:p>
    <w:p>
      <w:pPr>
        <w:pStyle w:val="H3"/>
        <w:numPr>
          <w:ilvl w:val="2"/>
          <w:numId w:val="1"/>
        </w:numPr>
      </w:pPr>
      <w:r>
        <w:t>7.5 Liability</w:t>
      </w:r>
    </w:p>
    <w:p>
      <w:r>
        <w:rPr>
          <w:rFonts w:ascii="Figtree" w:hAnsi="Figtree"/>
          <w:b w:val="0"/>
          <w:i w:val="0"/>
          <w:sz w:val="22"/>
        </w:rPr>
        <w:t>Liability is limited to the total fees paid in the twelve months preceding the claim. Consequential damages, loss of profit, and loss of data are excluded except in cases of gross negligence or wilful misconduct. Full liability terms are set out in the MSA.</w:t>
      </w:r>
    </w:p>
    <w:p>
      <w:pPr>
        <w:pStyle w:val="H3"/>
        <w:numPr>
          <w:ilvl w:val="2"/>
          <w:numId w:val="1"/>
        </w:numPr>
      </w:pPr>
      <w:r>
        <w:t>7.6 Confidentiality</w:t>
      </w:r>
    </w:p>
    <w:p>
      <w:r>
        <w:rPr>
          <w:rFonts w:ascii="Figtree" w:hAnsi="Figtree"/>
          <w:b w:val="0"/>
          <w:i w:val="0"/>
          <w:sz w:val="22"/>
        </w:rPr>
        <w:t>Mutual confidentiality applies for 5 years from disclosure. Standard exceptions for public domain information, independent development, and regulatory disclosure apply.</w:t>
      </w:r>
    </w:p>
    <w:p>
      <w:pPr>
        <w:pStyle w:val="H3"/>
        <w:numPr>
          <w:ilvl w:val="2"/>
          <w:numId w:val="1"/>
        </w:numPr>
      </w:pPr>
      <w:r>
        <w:t>7.7 Exit and Data Portability</w:t>
      </w:r>
    </w:p>
    <w:p>
      <w:r>
        <w:rPr>
          <w:rFonts w:ascii="Figtree" w:hAnsi="Figtree"/>
          <w:b w:val="0"/>
          <w:i w:val="0"/>
          <w:sz w:val="22"/>
        </w:rPr>
        <w:t>Upon termination, Bank of China receives a complete data export in JSON and CSV formats covering all transaction records, compliance events, configuration history, and audit logs. Export tooling is provided at no additional charge. A 90-day transition support period is available at hourly rates to assist with data migration to a successor platform.</w:t>
      </w:r>
    </w:p>
    <w:p>
      <w:r>
        <w:br w:type="page"/>
      </w:r>
    </w:p>
    <w:p>
      <w:pPr>
        <w:pStyle w:val="H2"/>
        <w:numPr>
          <w:ilvl w:val="1"/>
          <w:numId w:val="1"/>
        </w:numPr>
      </w:pPr>
      <w:r>
        <w:t>8. Total Cost of Ownership</w:t>
      </w:r>
    </w:p>
    <w:p>
      <w:pPr>
        <w:pStyle w:val="H3"/>
        <w:numPr>
          <w:ilvl w:val="2"/>
          <w:numId w:val="1"/>
        </w:numPr>
      </w:pPr>
      <w:r>
        <w:t>8.1 TCO Framework</w:t>
      </w:r>
    </w:p>
    <w:p>
      <w:r>
        <w:rPr>
          <w:rFonts w:ascii="Figtree" w:hAnsi="Figtree"/>
          <w:b w:val="0"/>
          <w:i w:val="0"/>
          <w:sz w:val="22"/>
        </w:rPr>
        <w:t>The TCO comparison covers three categories of cost: platform and license, infrastructure and operations, and governance and compliance overhead. The comparison is made across three scenarios: DALP, build in-house, and multi-vendor assembly.</w:t>
      </w:r>
    </w:p>
    <w:p>
      <w:r>
        <w:rPr>
          <w:rFonts w:ascii="Figtree" w:hAnsi="Figtree"/>
          <w:b w:val="0"/>
          <w:i w:val="0"/>
          <w:sz w:val="22"/>
        </w:rPr>
        <w:t>All figures are indicative and require validation against Bank of China's actual operational data. The framework is designed to be updated during the commercial validation workshop.</w:t>
      </w:r>
    </w:p>
    <w:p>
      <w:pPr>
        <w:pStyle w:val="H3"/>
        <w:numPr>
          <w:ilvl w:val="2"/>
          <w:numId w:val="1"/>
        </w:numPr>
      </w:pPr>
      <w:r>
        <w:t>8.2 3-Year TCO Model (DALP)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37"/>
        <w:gridCol w:w="770"/>
        <w:gridCol w:w="941"/>
        <w:gridCol w:w="941"/>
        <w:gridCol w:w="1027"/>
        <w:gridCol w:w="205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Platform license</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Enterprise Tier</w:t>
            </w:r>
          </w:p>
        </w:tc>
      </w:tr>
      <w:tr>
        <w:trPr>
          <w:trHeight w:val="425" w:hRule="atLeast"/>
        </w:trPr>
        <w:tc>
          <w:tcPr>
            <w:tcW w:type="dxa" w:w="1624"/>
            <w:vAlign w:val="center"/>
          </w:tcPr>
          <w:p>
            <w:pPr>
              <w:spacing w:line="276" w:lineRule="auto" w:before="0" w:after="0"/>
            </w:pPr>
            <w:r/>
            <w:r>
              <w:rPr>
                <w:rFonts w:ascii="Figtree" w:hAnsi="Figtree"/>
                <w:b w:val="0"/>
                <w:i w:val="0"/>
                <w:sz w:val="20"/>
              </w:rPr>
              <w:t>Implementation services</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Front-loaded</w:t>
            </w:r>
          </w:p>
        </w:tc>
      </w:tr>
      <w:tr>
        <w:trPr>
          <w:trHeight w:val="425" w:hRule="atLeast"/>
        </w:trPr>
        <w:tc>
          <w:tcPr>
            <w:tcW w:type="dxa" w:w="1624"/>
            <w:vAlign w:val="center"/>
          </w:tcPr>
          <w:p>
            <w:pPr>
              <w:spacing w:line="276" w:lineRule="auto" w:before="0" w:after="0"/>
            </w:pPr>
            <w:r/>
            <w:r>
              <w:rPr>
                <w:rFonts w:ascii="Figtree" w:hAnsi="Figtree"/>
                <w:b w:val="0"/>
                <w:i w:val="0"/>
                <w:sz w:val="20"/>
              </w:rPr>
              <w:t>Support</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Enterprise Tier</w:t>
            </w:r>
          </w:p>
        </w:tc>
      </w:tr>
      <w:tr>
        <w:trPr>
          <w:trHeight w:val="425" w:hRule="atLeast"/>
        </w:trPr>
        <w:tc>
          <w:tcPr>
            <w:tcW w:type="dxa" w:w="1624"/>
            <w:vAlign w:val="center"/>
          </w:tcPr>
          <w:p>
            <w:pPr>
              <w:spacing w:line="276" w:lineRule="auto" w:before="0" w:after="0"/>
            </w:pPr>
            <w:r/>
            <w:r>
              <w:rPr>
                <w:rFonts w:ascii="Figtree" w:hAnsi="Figtree"/>
                <w:b w:val="0"/>
                <w:i w:val="0"/>
                <w:sz w:val="20"/>
              </w:rPr>
              <w:t>Infrastructure (Bank of China cloud/DC)</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Client-estimated</w:t>
            </w:r>
          </w:p>
        </w:tc>
      </w:tr>
      <w:tr>
        <w:trPr>
          <w:trHeight w:val="425" w:hRule="atLeast"/>
        </w:trPr>
        <w:tc>
          <w:tcPr>
            <w:tcW w:type="dxa" w:w="1624"/>
            <w:vAlign w:val="center"/>
          </w:tcPr>
          <w:p>
            <w:pPr>
              <w:spacing w:line="276" w:lineRule="auto" w:before="0" w:after="0"/>
            </w:pPr>
            <w:r/>
            <w:r>
              <w:rPr>
                <w:rFonts w:ascii="Figtree" w:hAnsi="Figtree"/>
                <w:b w:val="0"/>
                <w:i w:val="0"/>
                <w:sz w:val="20"/>
              </w:rPr>
              <w:t>HSM hardware</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maintenance</w:t>
            </w:r>
          </w:p>
        </w:tc>
        <w:tc>
          <w:tcPr>
            <w:tcW w:type="dxa" w:w="1624"/>
            <w:vAlign w:val="center"/>
          </w:tcPr>
          <w:p>
            <w:pPr>
              <w:spacing w:line="276" w:lineRule="auto" w:before="0" w:after="0"/>
            </w:pPr>
            <w:r/>
            <w:r>
              <w:rPr>
                <w:rFonts w:ascii="Figtree" w:hAnsi="Figtree"/>
                <w:b w:val="0"/>
                <w:i w:val="0"/>
                <w:sz w:val="20"/>
              </w:rPr>
              <w:t>maintenance</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Client-procured</w:t>
            </w:r>
          </w:p>
        </w:tc>
      </w:tr>
      <w:tr>
        <w:trPr>
          <w:trHeight w:val="425" w:hRule="atLeast"/>
        </w:trPr>
        <w:tc>
          <w:tcPr>
            <w:tcW w:type="dxa" w:w="1624"/>
            <w:vAlign w:val="center"/>
          </w:tcPr>
          <w:p>
            <w:pPr>
              <w:spacing w:line="276" w:lineRule="auto" w:before="0" w:after="0"/>
            </w:pPr>
            <w:r/>
            <w:r>
              <w:rPr>
                <w:rFonts w:ascii="Figtree" w:hAnsi="Figtree"/>
                <w:b w:val="0"/>
                <w:i w:val="0"/>
                <w:sz w:val="20"/>
              </w:rPr>
              <w:t>Training</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0</w:t>
            </w:r>
          </w:p>
        </w:tc>
        <w:tc>
          <w:tcPr>
            <w:tcW w:type="dxa" w:w="1624"/>
            <w:vAlign w:val="center"/>
          </w:tcPr>
          <w:p>
            <w:pPr>
              <w:spacing w:line="276" w:lineRule="auto" w:before="0" w:after="0"/>
            </w:pPr>
            <w:r/>
            <w:r>
              <w:rPr>
                <w:rFonts w:ascii="Figtree" w:hAnsi="Figtree"/>
                <w:b w:val="0"/>
                <w:i w:val="0"/>
                <w:sz w:val="20"/>
              </w:rPr>
              <w:t>[VAR]</w:t>
            </w:r>
          </w:p>
        </w:tc>
        <w:tc>
          <w:tcPr>
            <w:tcW w:type="dxa" w:w="1624"/>
            <w:vAlign w:val="center"/>
          </w:tcPr>
          <w:p>
            <w:pPr>
              <w:spacing w:line="276" w:lineRule="auto" w:before="0" w:after="0"/>
            </w:pPr>
            <w:r/>
            <w:r>
              <w:rPr>
                <w:rFonts w:ascii="Figtree" w:hAnsi="Figtree"/>
                <w:b w:val="0"/>
                <w:i w:val="0"/>
                <w:sz w:val="20"/>
              </w:rPr>
              <w:t>Initial + annual refresh</w:t>
            </w:r>
          </w:p>
        </w:tc>
      </w:tr>
      <w:tr>
        <w:trPr>
          <w:trHeight w:val="425" w:hRule="atLeast"/>
        </w:trPr>
        <w:tc>
          <w:tcPr>
            <w:tcW w:type="dxa" w:w="1624"/>
            <w:vAlign w:val="center"/>
          </w:tcPr>
          <w:p>
            <w:pPr>
              <w:spacing w:line="276" w:lineRule="auto" w:before="0" w:after="0"/>
            </w:pPr>
            <w:r/>
            <w:r>
              <w:rPr>
                <w:rFonts w:ascii="Figtree" w:hAnsi="Figtree"/>
                <w:b/>
                <w:i w:val="0"/>
                <w:sz w:val="20"/>
              </w:rPr>
              <w:t>Total DALP</w:t>
            </w:r>
          </w:p>
        </w:tc>
        <w:tc>
          <w:tcPr>
            <w:tcW w:type="dxa" w:w="1624"/>
            <w:vAlign w:val="center"/>
          </w:tcPr>
          <w:p>
            <w:pPr>
              <w:spacing w:line="276" w:lineRule="auto" w:before="0" w:after="0"/>
            </w:pPr>
            <w:r/>
            <w:r>
              <w:rPr>
                <w:rFonts w:ascii="Figtree" w:hAnsi="Figtree"/>
                <w:b/>
                <w:i w:val="0"/>
                <w:sz w:val="20"/>
              </w:rPr>
              <w:t>[VAR]</w:t>
            </w:r>
          </w:p>
        </w:tc>
        <w:tc>
          <w:tcPr>
            <w:tcW w:type="dxa" w:w="1624"/>
            <w:vAlign w:val="center"/>
          </w:tcPr>
          <w:p>
            <w:pPr>
              <w:spacing w:line="276" w:lineRule="auto" w:before="0" w:after="0"/>
            </w:pPr>
            <w:r/>
            <w:r>
              <w:rPr>
                <w:rFonts w:ascii="Figtree" w:hAnsi="Figtree"/>
                <w:b/>
                <w:i w:val="0"/>
                <w:sz w:val="20"/>
              </w:rPr>
              <w:t>[VAR]</w:t>
            </w:r>
          </w:p>
        </w:tc>
        <w:tc>
          <w:tcPr>
            <w:tcW w:type="dxa" w:w="1624"/>
            <w:vAlign w:val="center"/>
          </w:tcPr>
          <w:p>
            <w:pPr>
              <w:spacing w:line="276" w:lineRule="auto" w:before="0" w:after="0"/>
            </w:pPr>
            <w:r/>
            <w:r>
              <w:rPr>
                <w:rFonts w:ascii="Figtree" w:hAnsi="Figtree"/>
                <w:b/>
                <w:i w:val="0"/>
                <w:sz w:val="20"/>
              </w:rPr>
              <w:t>[VAR]</w:t>
            </w:r>
          </w:p>
        </w:tc>
        <w:tc>
          <w:tcPr>
            <w:tcW w:type="dxa" w:w="1624"/>
            <w:vAlign w:val="center"/>
          </w:tcPr>
          <w:p>
            <w:pPr>
              <w:spacing w:line="276" w:lineRule="auto" w:before="0" w:after="0"/>
            </w:pPr>
            <w:r/>
            <w:r>
              <w:rPr>
                <w:rFonts w:ascii="Figtree" w:hAnsi="Figtree"/>
                <w:b/>
                <w:i w:val="0"/>
                <w:sz w:val="20"/>
              </w:rPr>
              <w:t>[VAR]</w:t>
            </w:r>
          </w:p>
        </w:tc>
        <w:tc>
          <w:tcPr>
            <w:tcW w:type="dxa" w:w="1624"/>
            <w:vAlign w:val="center"/>
          </w:tcPr>
          <w:p>
            <w:pPr>
              <w:spacing w:line="276" w:lineRule="auto" w:before="0" w:after="0"/>
            </w:pPr>
            <w:r/>
          </w:p>
        </w:tc>
      </w:tr>
    </w:tbl>
    <w:p>
      <w:pPr>
        <w:spacing w:before="0" w:after="0" w:line="120" w:lineRule="exact"/>
      </w:pPr>
    </w:p>
    <w:p>
      <w:pPr>
        <w:pStyle w:val="H3"/>
        <w:numPr>
          <w:ilvl w:val="2"/>
          <w:numId w:val="1"/>
        </w:numPr>
      </w:pPr>
      <w:r>
        <w:t>8.3 5-Year TCO Model (DALP)</w:t>
      </w:r>
    </w:p>
    <w:p>
      <w:r>
        <w:rPr>
          <w:rFonts w:ascii="Figtree" w:hAnsi="Figtree"/>
          <w:b w:val="0"/>
          <w:i w:val="0"/>
          <w:sz w:val="22"/>
        </w:rPr>
        <w:t>Year 4 and Year 5 assumptions: no new implementation costs; license renewal with multi-year discount applied; infrastructure costs stable; expansion to 2 additional corridors via configuration (no additional license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8"/>
        <w:gridCol w:w="1512"/>
        <w:gridCol w:w="1008"/>
        <w:gridCol w:w="1008"/>
        <w:gridCol w:w="201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Years 1-3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(all)</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val="0"/>
                <w:i w:val="0"/>
                <w:sz w:val="20"/>
              </w:rPr>
              <w:t>Operations</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c>
          <w:tcPr>
            <w:tcW w:type="dxa" w:w="1949"/>
            <w:vAlign w:val="center"/>
          </w:tcPr>
          <w:p>
            <w:pPr>
              <w:spacing w:line="276" w:lineRule="auto" w:before="0" w:after="0"/>
            </w:pPr>
            <w:r/>
            <w:r>
              <w:rPr>
                <w:rFonts w:ascii="Figtree" w:hAnsi="Figtree"/>
                <w:b w:val="0"/>
                <w:i w:val="0"/>
                <w:sz w:val="20"/>
              </w:rPr>
              <w:t>[VAR]</w:t>
            </w:r>
          </w:p>
        </w:tc>
      </w:tr>
      <w:tr>
        <w:trPr>
          <w:trHeight w:val="425" w:hRule="atLeast"/>
        </w:trPr>
        <w:tc>
          <w:tcPr>
            <w:tcW w:type="dxa" w:w="1949"/>
            <w:vAlign w:val="center"/>
          </w:tcPr>
          <w:p>
            <w:pPr>
              <w:spacing w:line="276" w:lineRule="auto" w:before="0" w:after="0"/>
            </w:pPr>
            <w:r/>
            <w:r>
              <w:rPr>
                <w:rFonts w:ascii="Figtree" w:hAnsi="Figtree"/>
                <w:b/>
                <w:i w:val="0"/>
                <w:sz w:val="20"/>
              </w:rPr>
              <w:t>Total DALP 5-year</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[VAR]</w:t>
            </w:r>
          </w:p>
        </w:tc>
      </w:tr>
    </w:tbl>
    <w:p>
      <w:pPr>
        <w:spacing w:before="0" w:after="0" w:line="120" w:lineRule="exact"/>
      </w:pPr>
    </w:p>
    <w:p>
      <w:pPr>
        <w:pStyle w:val="H3"/>
        <w:numPr>
          <w:ilvl w:val="2"/>
          <w:numId w:val="1"/>
        </w:numPr>
      </w:pPr>
      <w:r>
        <w:t>8.4 Comparative TCO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3"/>
        <w:gridCol w:w="1637"/>
        <w:gridCol w:w="2523"/>
        <w:gridCol w:w="313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Time to first production</w:t>
            </w:r>
          </w:p>
        </w:tc>
        <w:tc>
          <w:tcPr>
            <w:tcW w:type="dxa" w:w="2436"/>
            <w:vAlign w:val="center"/>
          </w:tcPr>
          <w:p>
            <w:pPr>
              <w:spacing w:line="276" w:lineRule="auto" w:before="0" w:after="0"/>
            </w:pPr>
            <w:r/>
            <w:r>
              <w:rPr>
                <w:rFonts w:ascii="Figtree" w:hAnsi="Figtree"/>
                <w:b w:val="0"/>
                <w:i w:val="0"/>
                <w:sz w:val="20"/>
              </w:rPr>
              <w:t>9-10 months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Engineering team required</w:t>
            </w:r>
          </w:p>
        </w:tc>
        <w:tc>
          <w:tcPr>
            <w:tcW w:type="dxa" w:w="2436"/>
            <w:vAlign w:val="center"/>
          </w:tcPr>
          <w:p>
            <w:pPr>
              <w:spacing w:line="276" w:lineRule="auto" w:before="0" w:after="0"/>
            </w:pPr>
            <w:r/>
            <w:r>
              <w:rPr>
                <w:rFonts w:ascii="Figtree" w:hAnsi="Figtree"/>
                <w:b w:val="0"/>
                <w:i w:val="0"/>
                <w:sz w:val="20"/>
              </w:rPr>
              <w:t>0 FTE (operational only)</w:t>
            </w:r>
          </w:p>
        </w:tc>
        <w:tc>
          <w:tcPr>
            <w:tcW w:type="dxa" w:w="2436"/>
            <w:vAlign w:val="center"/>
          </w:tcPr>
          <w:p>
            <w:pPr>
              <w:spacing w:line="276" w:lineRule="auto" w:before="0" w:after="0"/>
            </w:pPr>
            <w:r/>
            <w:r>
              <w:rPr>
                <w:rFonts w:ascii="Figtree" w:hAnsi="Figtree"/>
                <w:b w:val="0"/>
                <w:i w:val="0"/>
                <w:sz w:val="20"/>
              </w:rPr>
              <w:t>8-12 FTE permanent</w:t>
            </w:r>
          </w:p>
        </w:tc>
        <w:tc>
          <w:tcPr>
            <w:tcW w:type="dxa" w:w="2436"/>
            <w:vAlign w:val="center"/>
          </w:tcPr>
          <w:p>
            <w:pPr>
              <w:spacing w:line="276" w:lineRule="auto" w:before="0" w:after="0"/>
            </w:pPr>
            <w:r/>
            <w:r>
              <w:rPr>
                <w:rFonts w:ascii="Figtree" w:hAnsi="Figtree"/>
                <w:b w:val="0"/>
                <w:i w:val="0"/>
                <w:sz w:val="20"/>
              </w:rPr>
              <w:t>4-6 FTE integration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updates</w:t>
            </w:r>
          </w:p>
        </w:tc>
        <w:tc>
          <w:tcPr>
            <w:tcW w:type="dxa" w:w="2436"/>
            <w:vAlign w:val="center"/>
          </w:tcPr>
          <w:p>
            <w:pPr>
              <w:spacing w:line="276" w:lineRule="auto" w:before="0" w:after="0"/>
            </w:pPr>
            <w:r/>
            <w:r>
              <w:rPr>
                <w:rFonts w:ascii="Figtree" w:hAnsi="Figtree"/>
                <w:b w:val="0"/>
                <w:i w:val="0"/>
                <w:sz w:val="20"/>
              </w:rPr>
              <w:t>Included in license</w:t>
            </w:r>
          </w:p>
        </w:tc>
        <w:tc>
          <w:tcPr>
            <w:tcW w:type="dxa" w:w="2436"/>
            <w:vAlign w:val="center"/>
          </w:tcPr>
          <w:p>
            <w:pPr>
              <w:spacing w:line="276" w:lineRule="auto" w:before="0" w:after="0"/>
            </w:pPr>
            <w:r/>
            <w:r>
              <w:rPr>
                <w:rFonts w:ascii="Figtree" w:hAnsi="Figtree"/>
                <w:b w:val="0"/>
                <w:i w:val="0"/>
                <w:sz w:val="20"/>
              </w:rPr>
              <w:t>Engineering cycles</w:t>
            </w:r>
          </w:p>
        </w:tc>
        <w:tc>
          <w:tcPr>
            <w:tcW w:type="dxa" w:w="2436"/>
            <w:vAlign w:val="center"/>
          </w:tcPr>
          <w:p>
            <w:pPr>
              <w:spacing w:line="276" w:lineRule="auto" w:before="0" w:after="0"/>
            </w:pPr>
            <w:r/>
            <w:r>
              <w:rPr>
                <w:rFonts w:ascii="Figtree" w:hAnsi="Figtree"/>
                <w:b w:val="0"/>
                <w:i w:val="0"/>
                <w:sz w:val="20"/>
              </w:rPr>
              <w:t>Separate procurement each time</w:t>
            </w:r>
          </w:p>
        </w:tc>
      </w:tr>
      <w:tr>
        <w:trPr>
          <w:trHeight w:val="425" w:hRule="atLeast"/>
        </w:trPr>
        <w:tc>
          <w:tcPr>
            <w:tcW w:type="dxa" w:w="2436"/>
            <w:vAlign w:val="center"/>
          </w:tcPr>
          <w:p>
            <w:pPr>
              <w:spacing w:line="276" w:lineRule="auto" w:before="0" w:after="0"/>
            </w:pPr>
            <w:r/>
            <w:r>
              <w:rPr>
                <w:rFonts w:ascii="Figtree" w:hAnsi="Figtree"/>
                <w:b w:val="0"/>
                <w:i w:val="0"/>
                <w:sz w:val="20"/>
              </w:rPr>
              <w:t>Settlement certainty</w:t>
            </w:r>
          </w:p>
        </w:tc>
        <w:tc>
          <w:tcPr>
            <w:tcW w:type="dxa" w:w="2436"/>
            <w:vAlign w:val="center"/>
          </w:tcPr>
          <w:p>
            <w:pPr>
              <w:spacing w:line="276" w:lineRule="auto" w:before="0" w:after="0"/>
            </w:pPr>
            <w:r/>
            <w:r>
              <w:rPr>
                <w:rFonts w:ascii="Figtree" w:hAnsi="Figtree"/>
                <w:b w:val="0"/>
                <w:i w:val="0"/>
                <w:sz w:val="20"/>
              </w:rPr>
              <w:t>Atomic (DvP/XvP)</w:t>
            </w:r>
          </w:p>
        </w:tc>
        <w:tc>
          <w:tcPr>
            <w:tcW w:type="dxa" w:w="2436"/>
            <w:vAlign w:val="center"/>
          </w:tcPr>
          <w:p>
            <w:pPr>
              <w:spacing w:line="276" w:lineRule="auto" w:before="0" w:after="0"/>
            </w:pPr>
            <w:r/>
            <w:r>
              <w:rPr>
                <w:rFonts w:ascii="Figtree" w:hAnsi="Figtree"/>
                <w:b w:val="0"/>
                <w:i w:val="0"/>
                <w:sz w:val="20"/>
              </w:rPr>
              <w:t>Depends on build quality</w:t>
            </w:r>
          </w:p>
        </w:tc>
        <w:tc>
          <w:tcPr>
            <w:tcW w:type="dxa" w:w="2436"/>
            <w:vAlign w:val="center"/>
          </w:tcPr>
          <w:p>
            <w:pPr>
              <w:spacing w:line="276" w:lineRule="auto" w:before="0" w:after="0"/>
            </w:pPr>
            <w:r/>
            <w:r>
              <w:rPr>
                <w:rFonts w:ascii="Figtree" w:hAnsi="Figtree"/>
                <w:b w:val="0"/>
                <w:i w:val="0"/>
                <w:sz w:val="20"/>
              </w:rPr>
              <w:t>Depends on vendor integration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audit evidence</w:t>
            </w:r>
          </w:p>
        </w:tc>
        <w:tc>
          <w:tcPr>
            <w:tcW w:type="dxa" w:w="2436"/>
            <w:vAlign w:val="center"/>
          </w:tcPr>
          <w:p>
            <w:pPr>
              <w:spacing w:line="276" w:lineRule="auto" w:before="0" w:after="0"/>
            </w:pPr>
            <w:r/>
            <w:r>
              <w:rPr>
                <w:rFonts w:ascii="Figtree" w:hAnsi="Figtree"/>
                <w:b w:val="0"/>
                <w:i w:val="0"/>
                <w:sz w:val="20"/>
              </w:rPr>
              <w:t>Automated, built-in</w:t>
            </w:r>
          </w:p>
        </w:tc>
        <w:tc>
          <w:tcPr>
            <w:tcW w:type="dxa" w:w="2436"/>
            <w:vAlign w:val="center"/>
          </w:tcPr>
          <w:p>
            <w:pPr>
              <w:spacing w:line="276" w:lineRule="auto" w:before="0" w:after="0"/>
            </w:pPr>
            <w:r/>
            <w:r>
              <w:rPr>
                <w:rFonts w:ascii="Figtree" w:hAnsi="Figtree"/>
                <w:b w:val="0"/>
                <w:i w:val="0"/>
                <w:sz w:val="20"/>
              </w:rPr>
              <w:t>Custom engineering</w:t>
            </w:r>
          </w:p>
        </w:tc>
        <w:tc>
          <w:tcPr>
            <w:tcW w:type="dxa" w:w="2436"/>
            <w:vAlign w:val="center"/>
          </w:tcPr>
          <w:p>
            <w:pPr>
              <w:spacing w:line="276" w:lineRule="auto" w:before="0" w:after="0"/>
            </w:pPr>
            <w:r/>
            <w:r>
              <w:rPr>
                <w:rFonts w:ascii="Figtree" w:hAnsi="Figtree"/>
                <w:b w:val="0"/>
                <w:i w:val="0"/>
                <w:sz w:val="20"/>
              </w:rPr>
              <w:t>Fragmented</w:t>
            </w:r>
          </w:p>
        </w:tc>
      </w:tr>
      <w:tr>
        <w:trPr>
          <w:trHeight w:val="425" w:hRule="atLeast"/>
        </w:trPr>
        <w:tc>
          <w:tcPr>
            <w:tcW w:type="dxa" w:w="2436"/>
            <w:vAlign w:val="center"/>
          </w:tcPr>
          <w:p>
            <w:pPr>
              <w:spacing w:line="276" w:lineRule="auto" w:before="0" w:after="0"/>
            </w:pPr>
            <w:r/>
            <w:r>
              <w:rPr>
                <w:rFonts w:ascii="Figtree" w:hAnsi="Figtree"/>
                <w:b w:val="0"/>
                <w:i w:val="0"/>
                <w:sz w:val="20"/>
              </w:rPr>
              <w:t>Expansion to new corridors</w:t>
            </w:r>
          </w:p>
        </w:tc>
        <w:tc>
          <w:tcPr>
            <w:tcW w:type="dxa" w:w="2436"/>
            <w:vAlign w:val="center"/>
          </w:tcPr>
          <w:p>
            <w:pPr>
              <w:spacing w:line="276" w:lineRule="auto" w:before="0" w:after="0"/>
            </w:pPr>
            <w:r/>
            <w:r>
              <w:rPr>
                <w:rFonts w:ascii="Figtree" w:hAnsi="Figtree"/>
                <w:b w:val="0"/>
                <w:i w:val="0"/>
                <w:sz w:val="20"/>
              </w:rPr>
              <w:t>Configuration (weeks)</w:t>
            </w:r>
          </w:p>
        </w:tc>
        <w:tc>
          <w:tcPr>
            <w:tcW w:type="dxa" w:w="2436"/>
            <w:vAlign w:val="center"/>
          </w:tcPr>
          <w:p>
            <w:pPr>
              <w:spacing w:line="276" w:lineRule="auto" w:before="0" w:after="0"/>
            </w:pPr>
            <w:r/>
            <w:r>
              <w:rPr>
                <w:rFonts w:ascii="Figtree" w:hAnsi="Figtree"/>
                <w:b w:val="0"/>
                <w:i w:val="0"/>
                <w:sz w:val="20"/>
              </w:rPr>
              <w:t>New development (months)</w:t>
            </w:r>
          </w:p>
        </w:tc>
        <w:tc>
          <w:tcPr>
            <w:tcW w:type="dxa" w:w="2436"/>
            <w:vAlign w:val="center"/>
          </w:tcPr>
          <w:p>
            <w:pPr>
              <w:spacing w:line="276" w:lineRule="auto" w:before="0" w:after="0"/>
            </w:pPr>
            <w:r/>
            <w:r>
              <w:rPr>
                <w:rFonts w:ascii="Figtree" w:hAnsi="Figtree"/>
                <w:b w:val="0"/>
                <w:i w:val="0"/>
                <w:sz w:val="20"/>
              </w:rPr>
              <w:t>New procurement (months)</w:t>
            </w:r>
          </w:p>
        </w:tc>
      </w:tr>
      <w:tr>
        <w:trPr>
          <w:trHeight w:val="425" w:hRule="atLeast"/>
        </w:trPr>
        <w:tc>
          <w:tcPr>
            <w:tcW w:type="dxa" w:w="2436"/>
            <w:vAlign w:val="center"/>
          </w:tcPr>
          <w:p>
            <w:pPr>
              <w:spacing w:line="276" w:lineRule="auto" w:before="0" w:after="0"/>
            </w:pPr>
            <w:r/>
            <w:r>
              <w:rPr>
                <w:rFonts w:ascii="Figtree" w:hAnsi="Figtree"/>
                <w:b w:val="0"/>
                <w:i w:val="0"/>
                <w:sz w:val="20"/>
              </w:rPr>
              <w:t>Year 3 recurring cost</w:t>
            </w:r>
          </w:p>
        </w:tc>
        <w:tc>
          <w:tcPr>
            <w:tcW w:type="dxa" w:w="2436"/>
            <w:vAlign w:val="center"/>
          </w:tcPr>
          <w:p>
            <w:pPr>
              <w:spacing w:line="276" w:lineRule="auto" w:before="0" w:after="0"/>
            </w:pPr>
            <w:r/>
            <w:r>
              <w:rPr>
                <w:rFonts w:ascii="Figtree" w:hAnsi="Figtree"/>
                <w:b w:val="0"/>
                <w:i w:val="0"/>
                <w:sz w:val="20"/>
              </w:rPr>
              <w:t>[VAR]</w:t>
            </w:r>
          </w:p>
        </w:tc>
        <w:tc>
          <w:tcPr>
            <w:tcW w:type="dxa" w:w="2436"/>
            <w:vAlign w:val="center"/>
          </w:tcPr>
          <w:p>
            <w:pPr>
              <w:spacing w:line="276" w:lineRule="auto" w:before="0" w:after="0"/>
            </w:pPr>
            <w:r/>
            <w:r>
              <w:rPr>
                <w:rFonts w:ascii="Figtree" w:hAnsi="Figtree"/>
                <w:b w:val="0"/>
                <w:i w:val="0"/>
                <w:sz w:val="20"/>
              </w:rPr>
              <w:t>Higher due to engineering maintenance</w:t>
            </w:r>
          </w:p>
        </w:tc>
        <w:tc>
          <w:tcPr>
            <w:tcW w:type="dxa" w:w="2436"/>
            <w:vAlign w:val="center"/>
          </w:tcPr>
          <w:p>
            <w:pPr>
              <w:spacing w:line="276" w:lineRule="auto" w:before="0" w:after="0"/>
            </w:pPr>
            <w:r/>
            <w:r>
              <w:rPr>
                <w:rFonts w:ascii="Figtree" w:hAnsi="Figtree"/>
                <w:b w:val="0"/>
                <w:i w:val="0"/>
                <w:sz w:val="20"/>
              </w:rPr>
              <w:t>Similar to DALP but with coordination overhead</w:t>
            </w:r>
          </w:p>
        </w:tc>
      </w:tr>
    </w:tbl>
    <w:p>
      <w:pPr>
        <w:spacing w:before="0" w:after="0" w:line="120" w:lineRule="exact"/>
      </w:pPr>
    </w:p>
    <w:p>
      <w:r>
        <w:rPr>
          <w:rFonts w:ascii="Figtree" w:hAnsi="Figtree"/>
          <w:b/>
          <w:i w:val="0"/>
          <w:sz w:val="22"/>
        </w:rPr>
        <w:t>Conclusion:</w:t>
      </w:r>
      <w:r>
        <w:rPr>
          <w:rFonts w:ascii="Figtree" w:hAnsi="Figtree"/>
          <w:b w:val="0"/>
          <w:i w:val="0"/>
          <w:sz w:val="22"/>
        </w:rPr>
        <w:t xml:space="preserve"> Build-in-house carries the highest long-term cost due to permanent engineering maintenance burden and the compounding cost of compliance module updates, which require engineering cycles rather than configuration. Multi-vendor assembly appears cheaper upfront but creates fragmented governance, fragmented audit evidence, and high coordination costs as the programme scales. DALP provides the lowest total cost of ownership over a five-year horizon for a programme of this complexity.</w:t>
      </w:r>
    </w:p>
    <w:p>
      <w:r>
        <w:br w:type="page"/>
      </w:r>
    </w:p>
    <w:p>
      <w:pPr>
        <w:pStyle w:val="H2"/>
        <w:numPr>
          <w:ilvl w:val="1"/>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0"/>
        <w:gridCol w:w="710"/>
        <w:gridCol w:w="2061"/>
        <w:gridCol w:w="1260"/>
        <w:gridCol w:w="377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1949"/>
            <w:vAlign w:val="center"/>
          </w:tcPr>
          <w:p>
            <w:pPr>
              <w:spacing w:line="276" w:lineRule="auto" w:before="0" w:after="0"/>
            </w:pPr>
            <w:r/>
            <w:r>
              <w:rPr>
                <w:rFonts w:ascii="Figtree" w:hAnsi="Figtree"/>
                <w:b w:val="0"/>
                <w:i w:val="0"/>
                <w:sz w:val="20"/>
              </w:rPr>
              <w:t>DBS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Tokenized deposits and trade finance</w:t>
            </w:r>
          </w:p>
        </w:tc>
        <w:tc>
          <w:tcPr>
            <w:tcW w:type="dxa" w:w="1949"/>
            <w:vAlign w:val="center"/>
          </w:tcPr>
          <w:p>
            <w:pPr>
              <w:spacing w:line="276" w:lineRule="auto" w:before="0" w:after="0"/>
            </w:pPr>
            <w:r/>
            <w:r>
              <w:rPr>
                <w:rFonts w:ascii="Figtree" w:hAnsi="Figtree"/>
                <w:b w:val="0"/>
                <w:i w:val="0"/>
                <w:sz w:val="20"/>
              </w:rPr>
              <w:t>2,000+ tx/day</w:t>
            </w:r>
          </w:p>
        </w:tc>
        <w:tc>
          <w:tcPr>
            <w:tcW w:type="dxa" w:w="1949"/>
            <w:vAlign w:val="center"/>
          </w:tcPr>
          <w:p>
            <w:pPr>
              <w:spacing w:line="276" w:lineRule="auto" w:before="0" w:after="0"/>
            </w:pPr>
            <w:r/>
            <w:r>
              <w:rPr>
                <w:rFonts w:ascii="Figtree" w:hAnsi="Figtree"/>
                <w:b w:val="0"/>
                <w:i w:val="0"/>
                <w:sz w:val="20"/>
              </w:rPr>
              <w:t>T+0 settlement; zero reconciliation breaks in 12 months production</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Tokenized wealth products</w:t>
            </w:r>
          </w:p>
        </w:tc>
        <w:tc>
          <w:tcPr>
            <w:tcW w:type="dxa" w:w="1949"/>
            <w:vAlign w:val="center"/>
          </w:tcPr>
          <w:p>
            <w:pPr>
              <w:spacing w:line="276" w:lineRule="auto" w:before="0" w:after="0"/>
            </w:pPr>
            <w:r/>
            <w:r>
              <w:rPr>
                <w:rFonts w:ascii="Figtree" w:hAnsi="Figtree"/>
                <w:b w:val="0"/>
                <w:i w:val="0"/>
                <w:sz w:val="20"/>
              </w:rPr>
              <w:t>Multiple asset classes</w:t>
            </w:r>
          </w:p>
        </w:tc>
        <w:tc>
          <w:tcPr>
            <w:tcW w:type="dxa" w:w="1949"/>
            <w:vAlign w:val="center"/>
          </w:tcPr>
          <w:p>
            <w:pPr>
              <w:spacing w:line="276" w:lineRule="auto" w:before="0" w:after="0"/>
            </w:pPr>
            <w:r/>
            <w:r>
              <w:rPr>
                <w:rFonts w:ascii="Figtree" w:hAnsi="Figtree"/>
                <w:b w:val="0"/>
                <w:i w:val="0"/>
                <w:sz w:val="20"/>
              </w:rPr>
              <w:t>MAS-compliant; 34 weeks to production</w:t>
            </w:r>
          </w:p>
        </w:tc>
      </w:tr>
      <w:tr>
        <w:trPr>
          <w:trHeight w:val="425" w:hRule="atLeast"/>
        </w:trPr>
        <w:tc>
          <w:tcPr>
            <w:tcW w:type="dxa" w:w="1949"/>
            <w:vAlign w:val="center"/>
          </w:tcPr>
          <w:p>
            <w:pPr>
              <w:spacing w:line="276" w:lineRule="auto" w:before="0" w:after="0"/>
            </w:pPr>
            <w:r/>
            <w:r>
              <w:rPr>
                <w:rFonts w:ascii="Figtree" w:hAnsi="Figtree"/>
                <w:b w:val="0"/>
                <w:i w:val="0"/>
                <w:sz w:val="20"/>
              </w:rPr>
              <w:t>Commonwealth Bank</w:t>
            </w:r>
          </w:p>
        </w:tc>
        <w:tc>
          <w:tcPr>
            <w:tcW w:type="dxa" w:w="1949"/>
            <w:vAlign w:val="center"/>
          </w:tcPr>
          <w:p>
            <w:pPr>
              <w:spacing w:line="276" w:lineRule="auto" w:before="0" w:after="0"/>
            </w:pPr>
            <w:r/>
            <w:r>
              <w:rPr>
                <w:rFonts w:ascii="Figtree" w:hAnsi="Figtree"/>
                <w:b w:val="0"/>
                <w:i w:val="0"/>
                <w:sz w:val="20"/>
              </w:rPr>
              <w:t>Australia</w:t>
            </w:r>
          </w:p>
        </w:tc>
        <w:tc>
          <w:tcPr>
            <w:tcW w:type="dxa" w:w="1949"/>
            <w:vAlign w:val="center"/>
          </w:tcPr>
          <w:p>
            <w:pPr>
              <w:spacing w:line="276" w:lineRule="auto" w:before="0" w:after="0"/>
            </w:pPr>
            <w:r/>
            <w:r>
              <w:rPr>
                <w:rFonts w:ascii="Figtree" w:hAnsi="Figtree"/>
                <w:b w:val="0"/>
                <w:i w:val="0"/>
                <w:sz w:val="20"/>
              </w:rPr>
              <w:t>Tokenized bond issuance</w:t>
            </w:r>
          </w:p>
        </w:tc>
        <w:tc>
          <w:tcPr>
            <w:tcW w:type="dxa" w:w="1949"/>
            <w:vAlign w:val="center"/>
          </w:tcPr>
          <w:p>
            <w:pPr>
              <w:spacing w:line="276" w:lineRule="auto" w:before="0" w:after="0"/>
            </w:pPr>
            <w:r/>
            <w:r>
              <w:rPr>
                <w:rFonts w:ascii="Figtree" w:hAnsi="Figtree"/>
                <w:b w:val="0"/>
                <w:i w:val="0"/>
                <w:sz w:val="20"/>
              </w:rPr>
              <w:t>AUD bond programmes</w:t>
            </w:r>
          </w:p>
        </w:tc>
        <w:tc>
          <w:tcPr>
            <w:tcW w:type="dxa" w:w="1949"/>
            <w:vAlign w:val="center"/>
          </w:tcPr>
          <w:p>
            <w:pPr>
              <w:spacing w:line="276" w:lineRule="auto" w:before="0" w:after="0"/>
            </w:pPr>
            <w:r/>
            <w:r>
              <w:rPr>
                <w:rFonts w:ascii="Figtree" w:hAnsi="Figtree"/>
                <w:b w:val="0"/>
                <w:i w:val="0"/>
                <w:sz w:val="20"/>
              </w:rPr>
              <w:t>APRA/ASIC compliant</w:t>
            </w:r>
          </w:p>
        </w:tc>
      </w:tr>
      <w:tr>
        <w:trPr>
          <w:trHeight w:val="425" w:hRule="atLeast"/>
        </w:trPr>
        <w:tc>
          <w:tcPr>
            <w:tcW w:type="dxa" w:w="1949"/>
            <w:vAlign w:val="center"/>
          </w:tcPr>
          <w:p>
            <w:pPr>
              <w:spacing w:line="276" w:lineRule="auto" w:before="0" w:after="0"/>
            </w:pPr>
            <w:r/>
            <w:r>
              <w:rPr>
                <w:rFonts w:ascii="Figtree" w:hAnsi="Figtree"/>
                <w:b w:val="0"/>
                <w:i w:val="0"/>
                <w:sz w:val="20"/>
              </w:rPr>
              <w:t>ANZ Bank</w:t>
            </w:r>
          </w:p>
        </w:tc>
        <w:tc>
          <w:tcPr>
            <w:tcW w:type="dxa" w:w="1949"/>
            <w:vAlign w:val="center"/>
          </w:tcPr>
          <w:p>
            <w:pPr>
              <w:spacing w:line="276" w:lineRule="auto" w:before="0" w:after="0"/>
            </w:pPr>
            <w:r/>
            <w:r>
              <w:rPr>
                <w:rFonts w:ascii="Figtree" w:hAnsi="Figtree"/>
                <w:b w:val="0"/>
                <w:i w:val="0"/>
                <w:sz w:val="20"/>
              </w:rPr>
              <w:t>Australia</w:t>
            </w:r>
          </w:p>
        </w:tc>
        <w:tc>
          <w:tcPr>
            <w:tcW w:type="dxa" w:w="1949"/>
            <w:vAlign w:val="center"/>
          </w:tcPr>
          <w:p>
            <w:pPr>
              <w:spacing w:line="276" w:lineRule="auto" w:before="0" w:after="0"/>
            </w:pPr>
            <w:r/>
            <w:r>
              <w:rPr>
                <w:rFonts w:ascii="Figtree" w:hAnsi="Figtree"/>
                <w:b w:val="0"/>
                <w:i w:val="0"/>
                <w:sz w:val="20"/>
              </w:rPr>
              <w:t>Tokenized commodity finance</w:t>
            </w:r>
          </w:p>
        </w:tc>
        <w:tc>
          <w:tcPr>
            <w:tcW w:type="dxa" w:w="1949"/>
            <w:vAlign w:val="center"/>
          </w:tcPr>
          <w:p>
            <w:pPr>
              <w:spacing w:line="276" w:lineRule="auto" w:before="0" w:after="0"/>
            </w:pPr>
            <w:r/>
            <w:r>
              <w:rPr>
                <w:rFonts w:ascii="Figtree" w:hAnsi="Figtree"/>
                <w:b w:val="0"/>
                <w:i w:val="0"/>
                <w:sz w:val="20"/>
              </w:rPr>
              <w:t>Multiple commodities</w:t>
            </w:r>
          </w:p>
        </w:tc>
        <w:tc>
          <w:tcPr>
            <w:tcW w:type="dxa" w:w="1949"/>
            <w:vAlign w:val="center"/>
          </w:tcPr>
          <w:p>
            <w:pPr>
              <w:spacing w:line="276" w:lineRule="auto" w:before="0" w:after="0"/>
            </w:pPr>
            <w:r/>
            <w:r>
              <w:rPr>
                <w:rFonts w:ascii="Figtree" w:hAnsi="Figtree"/>
                <w:b w:val="0"/>
                <w:i w:val="0"/>
                <w:sz w:val="20"/>
              </w:rPr>
              <w:t>Multi-entity deployment</w:t>
            </w:r>
          </w:p>
        </w:tc>
      </w:tr>
      <w:tr>
        <w:trPr>
          <w:trHeight w:val="425" w:hRule="atLeast"/>
        </w:trPr>
        <w:tc>
          <w:tcPr>
            <w:tcW w:type="dxa" w:w="1949"/>
            <w:vAlign w:val="center"/>
          </w:tcPr>
          <w:p>
            <w:pPr>
              <w:spacing w:line="276" w:lineRule="auto" w:before="0" w:after="0"/>
            </w:pPr>
            <w:r/>
            <w:r>
              <w:rPr>
                <w:rFonts w:ascii="Figtree" w:hAnsi="Figtree"/>
                <w:b w:val="0"/>
                <w:i w:val="0"/>
                <w:sz w:val="20"/>
              </w:rPr>
              <w:t>Mashreq Bank</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Digital asset payment rails</w:t>
            </w:r>
          </w:p>
        </w:tc>
        <w:tc>
          <w:tcPr>
            <w:tcW w:type="dxa" w:w="1949"/>
            <w:vAlign w:val="center"/>
          </w:tcPr>
          <w:p>
            <w:pPr>
              <w:spacing w:line="276" w:lineRule="auto" w:before="0" w:after="0"/>
            </w:pPr>
            <w:r/>
            <w:r>
              <w:rPr>
                <w:rFonts w:ascii="Figtree" w:hAnsi="Figtree"/>
                <w:b w:val="0"/>
                <w:i w:val="0"/>
                <w:sz w:val="20"/>
              </w:rPr>
              <w:t>Cross-border corridors</w:t>
            </w:r>
          </w:p>
        </w:tc>
        <w:tc>
          <w:tcPr>
            <w:tcW w:type="dxa" w:w="1949"/>
            <w:vAlign w:val="center"/>
          </w:tcPr>
          <w:p>
            <w:pPr>
              <w:spacing w:line="276" w:lineRule="auto" w:before="0" w:after="0"/>
            </w:pPr>
            <w:r/>
            <w:r>
              <w:rPr>
                <w:rFonts w:ascii="Figtree" w:hAnsi="Figtree"/>
                <w:b w:val="0"/>
                <w:i w:val="0"/>
                <w:sz w:val="20"/>
              </w:rPr>
              <w:t>CBUAE regulatory approval</w:t>
            </w:r>
          </w:p>
        </w:tc>
      </w:tr>
      <w:tr>
        <w:trPr>
          <w:trHeight w:val="425" w:hRule="atLeast"/>
        </w:trPr>
        <w:tc>
          <w:tcPr>
            <w:tcW w:type="dxa" w:w="1949"/>
            <w:vAlign w:val="center"/>
          </w:tcPr>
          <w:p>
            <w:pPr>
              <w:spacing w:line="276" w:lineRule="auto" w:before="0" w:after="0"/>
            </w:pPr>
            <w:r/>
            <w:r>
              <w:rPr>
                <w:rFonts w:ascii="Figtree" w:hAnsi="Figtree"/>
                <w:b w:val="0"/>
                <w:i w:val="0"/>
                <w:sz w:val="20"/>
              </w:rPr>
              <w:t>National Bank of Egypt</w:t>
            </w:r>
          </w:p>
        </w:tc>
        <w:tc>
          <w:tcPr>
            <w:tcW w:type="dxa" w:w="1949"/>
            <w:vAlign w:val="center"/>
          </w:tcPr>
          <w:p>
            <w:pPr>
              <w:spacing w:line="276" w:lineRule="auto" w:before="0" w:after="0"/>
            </w:pPr>
            <w:r/>
            <w:r>
              <w:rPr>
                <w:rFonts w:ascii="Figtree" w:hAnsi="Figtree"/>
                <w:b w:val="0"/>
                <w:i w:val="0"/>
                <w:sz w:val="20"/>
              </w:rPr>
              <w:t>Egypt</w:t>
            </w:r>
          </w:p>
        </w:tc>
        <w:tc>
          <w:tcPr>
            <w:tcW w:type="dxa" w:w="1949"/>
            <w:vAlign w:val="center"/>
          </w:tcPr>
          <w:p>
            <w:pPr>
              <w:spacing w:line="276" w:lineRule="auto" w:before="0" w:after="0"/>
            </w:pPr>
            <w:r/>
            <w:r>
              <w:rPr>
                <w:rFonts w:ascii="Figtree" w:hAnsi="Figtree"/>
                <w:b w:val="0"/>
                <w:i w:val="0"/>
                <w:sz w:val="20"/>
              </w:rPr>
              <w:t>Digital asset core infrastructure</w:t>
            </w:r>
          </w:p>
        </w:tc>
        <w:tc>
          <w:tcPr>
            <w:tcW w:type="dxa" w:w="1949"/>
            <w:vAlign w:val="center"/>
          </w:tcPr>
          <w:p>
            <w:pPr>
              <w:spacing w:line="276" w:lineRule="auto" w:before="0" w:after="0"/>
            </w:pPr>
            <w:r/>
            <w:r>
              <w:rPr>
                <w:rFonts w:ascii="Figtree" w:hAnsi="Figtree"/>
                <w:b w:val="0"/>
                <w:i w:val="0"/>
                <w:sz w:val="20"/>
              </w:rPr>
              <w:t>On-premises deployment</w:t>
            </w:r>
          </w:p>
        </w:tc>
        <w:tc>
          <w:tcPr>
            <w:tcW w:type="dxa" w:w="1949"/>
            <w:vAlign w:val="center"/>
          </w:tcPr>
          <w:p>
            <w:pPr>
              <w:spacing w:line="276" w:lineRule="auto" w:before="0" w:after="0"/>
            </w:pPr>
            <w:r/>
            <w:r>
              <w:rPr>
                <w:rFonts w:ascii="Figtree" w:hAnsi="Figtree"/>
                <w:b w:val="0"/>
                <w:i w:val="0"/>
                <w:sz w:val="20"/>
              </w:rPr>
              <w:t>CBE regulatory readiness</w:t>
            </w:r>
          </w:p>
        </w:tc>
      </w:tr>
    </w:tbl>
    <w:p>
      <w:pPr>
        <w:spacing w:before="0" w:after="0" w:line="120" w:lineRule="exact"/>
      </w:pPr>
    </w:p>
    <w:p>
      <w:r>
        <w:br w:type="page"/>
      </w:r>
    </w:p>
    <w:p>
      <w:pPr>
        <w:pStyle w:val="H2"/>
        <w:numPr>
          <w:ilvl w:val="1"/>
          <w:numId w:val="1"/>
        </w:numPr>
      </w:pPr>
      <w:r>
        <w:t>10. Next Steps</w:t>
      </w:r>
    </w:p>
    <w:p>
      <w:r>
        <w:rPr>
          <w:rFonts w:ascii="Figtree" w:hAnsi="Figtree"/>
          <w:b w:val="0"/>
          <w:i w:val="0"/>
          <w:sz w:val="22"/>
        </w:rPr>
        <w:t>The following steps are proposed to move from proposal submission to validated commercial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1"/>
        <w:gridCol w:w="2102"/>
        <w:gridCol w:w="3761"/>
        <w:gridCol w:w="12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Output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Timing</w:t>
            </w:r>
          </w:p>
        </w:tc>
      </w:tr>
      <w:tr>
        <w:trPr>
          <w:trHeight w:val="425" w:hRule="atLeast"/>
        </w:trPr>
        <w:tc>
          <w:tcPr>
            <w:tcW w:type="dxa" w:w="2436"/>
            <w:vAlign w:val="center"/>
          </w:tcPr>
          <w:p>
            <w:pPr>
              <w:spacing w:line="276" w:lineRule="auto" w:before="0" w:after="0"/>
            </w:pPr>
            <w:r/>
            <w:r>
              <w:rPr>
                <w:rFonts w:ascii="Figtree" w:hAnsi="Figtree"/>
                <w:b w:val="0"/>
                <w:i w:val="0"/>
                <w:sz w:val="20"/>
              </w:rPr>
              <w:t>Proposal review meeting</w:t>
            </w:r>
          </w:p>
        </w:tc>
        <w:tc>
          <w:tcPr>
            <w:tcW w:type="dxa" w:w="2436"/>
            <w:vAlign w:val="center"/>
          </w:tcPr>
          <w:p>
            <w:pPr>
              <w:spacing w:line="276" w:lineRule="auto" w:before="0" w:after="0"/>
            </w:pPr>
            <w:r/>
            <w:r>
              <w:rPr>
                <w:rFonts w:ascii="Figtree" w:hAnsi="Figtree"/>
                <w:b w:val="0"/>
                <w:i w:val="0"/>
                <w:sz w:val="20"/>
              </w:rPr>
              <w:t>Bank of China + SettleMint</w:t>
            </w:r>
          </w:p>
        </w:tc>
        <w:tc>
          <w:tcPr>
            <w:tcW w:type="dxa" w:w="2436"/>
            <w:vAlign w:val="center"/>
          </w:tcPr>
          <w:p>
            <w:pPr>
              <w:spacing w:line="276" w:lineRule="auto" w:before="0" w:after="0"/>
            </w:pPr>
            <w:r/>
            <w:r>
              <w:rPr>
                <w:rFonts w:ascii="Figtree" w:hAnsi="Figtree"/>
                <w:b w:val="0"/>
                <w:i w:val="0"/>
                <w:sz w:val="20"/>
              </w:rPr>
              <w:t>Questions clarified, evaluation timeline confirmed</w:t>
            </w:r>
          </w:p>
        </w:tc>
        <w:tc>
          <w:tcPr>
            <w:tcW w:type="dxa" w:w="2436"/>
            <w:vAlign w:val="center"/>
          </w:tcPr>
          <w:p>
            <w:pPr>
              <w:spacing w:line="276" w:lineRule="auto" w:before="0" w:after="0"/>
            </w:pPr>
            <w:r/>
            <w:r>
              <w:rPr>
                <w:rFonts w:ascii="Figtree" w:hAnsi="Figtree"/>
                <w:b w:val="0"/>
                <w:i w:val="0"/>
                <w:sz w:val="20"/>
              </w:rPr>
              <w:t>Week 1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Technical architecture workshop</w:t>
            </w:r>
          </w:p>
        </w:tc>
        <w:tc>
          <w:tcPr>
            <w:tcW w:type="dxa" w:w="2436"/>
            <w:vAlign w:val="center"/>
          </w:tcPr>
          <w:p>
            <w:pPr>
              <w:spacing w:line="276" w:lineRule="auto" w:before="0" w:after="0"/>
            </w:pPr>
            <w:r/>
            <w:r>
              <w:rPr>
                <w:rFonts w:ascii="Figtree" w:hAnsi="Figtree"/>
                <w:b w:val="0"/>
                <w:i w:val="0"/>
                <w:sz w:val="20"/>
              </w:rPr>
              <w:t>Joint technical teams</w:t>
            </w:r>
          </w:p>
        </w:tc>
        <w:tc>
          <w:tcPr>
            <w:tcW w:type="dxa" w:w="2436"/>
            <w:vAlign w:val="center"/>
          </w:tcPr>
          <w:p>
            <w:pPr>
              <w:spacing w:line="276" w:lineRule="auto" w:before="0" w:after="0"/>
            </w:pPr>
            <w:r/>
            <w:r>
              <w:rPr>
                <w:rFonts w:ascii="Figtree" w:hAnsi="Figtree"/>
                <w:b w:val="0"/>
                <w:i w:val="0"/>
                <w:sz w:val="20"/>
              </w:rPr>
              <w:t>Architecture decisions confirmed, integration requirements validated</w:t>
            </w:r>
          </w:p>
        </w:tc>
        <w:tc>
          <w:tcPr>
            <w:tcW w:type="dxa" w:w="2436"/>
            <w:vAlign w:val="center"/>
          </w:tcPr>
          <w:p>
            <w:pPr>
              <w:spacing w:line="276" w:lineRule="auto" w:before="0" w:after="0"/>
            </w:pPr>
            <w:r/>
            <w:r>
              <w:rPr>
                <w:rFonts w:ascii="Figtree" w:hAnsi="Figtree"/>
                <w:b w:val="0"/>
                <w:i w:val="0"/>
                <w:sz w:val="20"/>
              </w:rPr>
              <w:t>Week 3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Commercial validation workshop</w:t>
            </w:r>
          </w:p>
        </w:tc>
        <w:tc>
          <w:tcPr>
            <w:tcW w:type="dxa" w:w="2436"/>
            <w:vAlign w:val="center"/>
          </w:tcPr>
          <w:p>
            <w:pPr>
              <w:spacing w:line="276" w:lineRule="auto" w:before="0" w:after="0"/>
            </w:pPr>
            <w:r/>
            <w:r>
              <w:rPr>
                <w:rFonts w:ascii="Figtree" w:hAnsi="Figtree"/>
                <w:b w:val="0"/>
                <w:i w:val="0"/>
                <w:sz w:val="20"/>
              </w:rPr>
              <w:t>Bank of China procurement + SettleMint</w:t>
            </w:r>
          </w:p>
        </w:tc>
        <w:tc>
          <w:tcPr>
            <w:tcW w:type="dxa" w:w="2436"/>
            <w:vAlign w:val="center"/>
          </w:tcPr>
          <w:p>
            <w:pPr>
              <w:spacing w:line="276" w:lineRule="auto" w:before="0" w:after="0"/>
            </w:pPr>
            <w:r/>
            <w:r>
              <w:rPr>
                <w:rFonts w:ascii="Figtree" w:hAnsi="Figtree"/>
                <w:b w:val="0"/>
                <w:i w:val="0"/>
                <w:sz w:val="20"/>
              </w:rPr>
              <w:t>TCO model validated, commercial terms negotiated</w:t>
            </w:r>
          </w:p>
        </w:tc>
        <w:tc>
          <w:tcPr>
            <w:tcW w:type="dxa" w:w="2436"/>
            <w:vAlign w:val="center"/>
          </w:tcPr>
          <w:p>
            <w:pPr>
              <w:spacing w:line="276" w:lineRule="auto" w:before="0" w:after="0"/>
            </w:pPr>
            <w:r/>
            <w:r>
              <w:rPr>
                <w:rFonts w:ascii="Figtree" w:hAnsi="Figtree"/>
                <w:b w:val="0"/>
                <w:i w:val="0"/>
                <w:sz w:val="20"/>
              </w:rPr>
              <w:t>Week 4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Contract red-line exchange</w:t>
            </w:r>
          </w:p>
        </w:tc>
        <w:tc>
          <w:tcPr>
            <w:tcW w:type="dxa" w:w="2436"/>
            <w:vAlign w:val="center"/>
          </w:tcPr>
          <w:p>
            <w:pPr>
              <w:spacing w:line="276" w:lineRule="auto" w:before="0" w:after="0"/>
            </w:pPr>
            <w:r/>
            <w:r>
              <w:rPr>
                <w:rFonts w:ascii="Figtree" w:hAnsi="Figtree"/>
                <w:b w:val="0"/>
                <w:i w:val="0"/>
                <w:sz w:val="20"/>
              </w:rPr>
              <w:t>Legal teams</w:t>
            </w:r>
          </w:p>
        </w:tc>
        <w:tc>
          <w:tcPr>
            <w:tcW w:type="dxa" w:w="2436"/>
            <w:vAlign w:val="center"/>
          </w:tcPr>
          <w:p>
            <w:pPr>
              <w:spacing w:line="276" w:lineRule="auto" w:before="0" w:after="0"/>
            </w:pPr>
            <w:r/>
            <w:r>
              <w:rPr>
                <w:rFonts w:ascii="Figtree" w:hAnsi="Figtree"/>
                <w:b w:val="0"/>
                <w:i w:val="0"/>
                <w:sz w:val="20"/>
              </w:rPr>
              <w:t>MSA, SoW, DPA drafts exchanged</w:t>
            </w:r>
          </w:p>
        </w:tc>
        <w:tc>
          <w:tcPr>
            <w:tcW w:type="dxa" w:w="2436"/>
            <w:vAlign w:val="center"/>
          </w:tcPr>
          <w:p>
            <w:pPr>
              <w:spacing w:line="276" w:lineRule="auto" w:before="0" w:after="0"/>
            </w:pPr>
            <w:r/>
            <w:r>
              <w:rPr>
                <w:rFonts w:ascii="Figtree" w:hAnsi="Figtree"/>
                <w:b w:val="0"/>
                <w:i w:val="0"/>
                <w:sz w:val="20"/>
              </w:rPr>
              <w:t>Week 5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Best-and-final commercial submission</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Confirmed pricing with validated scope</w:t>
            </w:r>
          </w:p>
        </w:tc>
        <w:tc>
          <w:tcPr>
            <w:tcW w:type="dxa" w:w="2436"/>
            <w:vAlign w:val="center"/>
          </w:tcPr>
          <w:p>
            <w:pPr>
              <w:spacing w:line="276" w:lineRule="auto" w:before="0" w:after="0"/>
            </w:pPr>
            <w:r/>
            <w:r>
              <w:rPr>
                <w:rFonts w:ascii="Figtree" w:hAnsi="Figtree"/>
                <w:b w:val="0"/>
                <w:i w:val="0"/>
                <w:sz w:val="20"/>
              </w:rPr>
              <w:t>Week 6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w:t>
            </w:r>
          </w:p>
        </w:tc>
        <w:tc>
          <w:tcPr>
            <w:tcW w:type="dxa" w:w="2436"/>
            <w:vAlign w:val="center"/>
          </w:tcPr>
          <w:p>
            <w:pPr>
              <w:spacing w:line="276" w:lineRule="auto" w:before="0" w:after="0"/>
            </w:pPr>
            <w:r/>
            <w:r>
              <w:rPr>
                <w:rFonts w:ascii="Figtree" w:hAnsi="Figtree"/>
                <w:b w:val="0"/>
                <w:i w:val="0"/>
                <w:sz w:val="20"/>
              </w:rPr>
              <w:t>Bank of China + SettleMint</w:t>
            </w:r>
          </w:p>
        </w:tc>
        <w:tc>
          <w:tcPr>
            <w:tcW w:type="dxa" w:w="2436"/>
            <w:vAlign w:val="center"/>
          </w:tcPr>
          <w:p>
            <w:pPr>
              <w:spacing w:line="276" w:lineRule="auto" w:before="0" w:after="0"/>
            </w:pPr>
            <w:r/>
            <w:r>
              <w:rPr>
                <w:rFonts w:ascii="Figtree" w:hAnsi="Figtree"/>
                <w:b w:val="0"/>
                <w:i w:val="0"/>
                <w:sz w:val="20"/>
              </w:rPr>
              <w:t>Signed agreements</w:t>
            </w:r>
          </w:p>
        </w:tc>
        <w:tc>
          <w:tcPr>
            <w:tcW w:type="dxa" w:w="2436"/>
            <w:vAlign w:val="center"/>
          </w:tcPr>
          <w:p>
            <w:pPr>
              <w:spacing w:line="276" w:lineRule="auto" w:before="0" w:after="0"/>
            </w:pPr>
            <w:r/>
            <w:r>
              <w:rPr>
                <w:rFonts w:ascii="Figtree" w:hAnsi="Figtree"/>
                <w:b w:val="0"/>
                <w:i w:val="0"/>
                <w:sz w:val="20"/>
              </w:rPr>
              <w:t>Week 8 post-submission</w:t>
            </w:r>
          </w:p>
        </w:tc>
      </w:tr>
      <w:tr>
        <w:trPr>
          <w:trHeight w:val="425" w:hRule="atLeast"/>
        </w:trPr>
        <w:tc>
          <w:tcPr>
            <w:tcW w:type="dxa" w:w="2436"/>
            <w:vAlign w:val="center"/>
          </w:tcPr>
          <w:p>
            <w:pPr>
              <w:spacing w:line="276" w:lineRule="auto" w:before="0" w:after="0"/>
            </w:pPr>
            <w:r/>
            <w:r>
              <w:rPr>
                <w:rFonts w:ascii="Figtree" w:hAnsi="Figtree"/>
                <w:b w:val="0"/>
                <w:i w:val="0"/>
                <w:sz w:val="20"/>
              </w:rPr>
              <w:t>Programme mobilisation</w:t>
            </w:r>
          </w:p>
        </w:tc>
        <w:tc>
          <w:tcPr>
            <w:tcW w:type="dxa" w:w="2436"/>
            <w:vAlign w:val="center"/>
          </w:tcPr>
          <w:p>
            <w:pPr>
              <w:spacing w:line="276" w:lineRule="auto" w:before="0" w:after="0"/>
            </w:pPr>
            <w:r/>
            <w:r>
              <w:rPr>
                <w:rFonts w:ascii="Figtree" w:hAnsi="Figtree"/>
                <w:b w:val="0"/>
                <w:i w:val="0"/>
                <w:sz w:val="20"/>
              </w:rPr>
              <w:t>Joint programme team</w:t>
            </w:r>
          </w:p>
        </w:tc>
        <w:tc>
          <w:tcPr>
            <w:tcW w:type="dxa" w:w="2436"/>
            <w:vAlign w:val="center"/>
          </w:tcPr>
          <w:p>
            <w:pPr>
              <w:spacing w:line="276" w:lineRule="auto" w:before="0" w:after="0"/>
            </w:pPr>
            <w:r/>
            <w:r>
              <w:rPr>
                <w:rFonts w:ascii="Figtree" w:hAnsi="Figtree"/>
                <w:b w:val="0"/>
                <w:i w:val="0"/>
                <w:sz w:val="20"/>
              </w:rPr>
              <w:t>Kick-off workshop; Phase 1 begins</w:t>
            </w:r>
          </w:p>
        </w:tc>
        <w:tc>
          <w:tcPr>
            <w:tcW w:type="dxa" w:w="2436"/>
            <w:vAlign w:val="center"/>
          </w:tcPr>
          <w:p>
            <w:pPr>
              <w:spacing w:line="276" w:lineRule="auto" w:before="0" w:after="0"/>
            </w:pPr>
            <w:r/>
            <w:r>
              <w:rPr>
                <w:rFonts w:ascii="Figtree" w:hAnsi="Figtree"/>
                <w:b w:val="0"/>
                <w:i w:val="0"/>
                <w:sz w:val="20"/>
              </w:rPr>
              <w:t>Week 9 post-submission</w:t>
            </w:r>
          </w:p>
        </w:tc>
      </w:tr>
    </w:tbl>
    <w:p>
      <w:pPr>
        <w:spacing w:before="0" w:after="0" w:line="120" w:lineRule="exact"/>
      </w:pPr>
    </w:p>
    <w:p>
      <w:r>
        <w:rPr>
          <w:rFonts w:ascii="Figtree" w:hAnsi="Figtree"/>
          <w:b w:val="0"/>
          <w:i w:val="0"/>
          <w:sz w:val="22"/>
        </w:rPr>
        <w:t>All timings are indicative and subject to Bank of China's procurement governance and approval processes. SettleMint will align to Bank of China's procurement rhythm.</w:t>
      </w:r>
    </w:p>
    <w:p>
      <w:r>
        <w:rPr>
          <w:rFonts w:ascii="Figtree" w:hAnsi="Figtree"/>
          <w:b w:val="0"/>
          <w:i w:val="0"/>
          <w:sz w:val="22"/>
        </w:rPr>
        <w:t>For any questions regarding this proposal, please contact:</w:t>
      </w:r>
    </w:p>
    <w:p>
      <w:r>
        <w:rPr>
          <w:rFonts w:ascii="Figtree" w:hAnsi="Figtree"/>
          <w:b/>
          <w:i w:val="0"/>
          <w:sz w:val="22"/>
        </w:rPr>
        <w:t>SettleMint Commercial Lead:</w:t>
      </w:r>
      <w:r>
        <w:rPr>
          <w:rFonts w:ascii="Figtree" w:hAnsi="Figtree"/>
          <w:b w:val="0"/>
          <w:i w:val="0"/>
          <w:sz w:val="22"/>
        </w:rPr>
        <w:t xml:space="preserve"> [VARIABLE: named contact]</w:t>
      </w:r>
    </w:p>
    <w:p>
      <w:r>
        <w:rPr>
          <w:rFonts w:ascii="Figtree" w:hAnsi="Figtree"/>
          <w:b/>
          <w:i w:val="0"/>
          <w:sz w:val="22"/>
        </w:rPr>
        <w:t>SettleMint Technical Lead:</w:t>
      </w:r>
      <w:r>
        <w:rPr>
          <w:rFonts w:ascii="Figtree" w:hAnsi="Figtree"/>
          <w:b w:val="0"/>
          <w:i w:val="0"/>
          <w:sz w:val="22"/>
        </w:rPr>
        <w:t xml:space="preserve"> [VARIABLE: named contact]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