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 Cross-Border Tokenized Payments</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Cover Page</w:t>
          </w:r>
          <w:r>
            <w:tab/>
          </w:r>
          <w:r>
            <w:t xml:space="preserve">5</w:t>
          </w:r>
        </w:p>
        <w:p>
          <w:pPr>
            <w:pStyle w:val="TOC2"/>
            <w:tabs>
              <w:tab w:val="right" w:leader="dot" w:pos="9072"/>
            </w:tabs>
          </w:pPr>
          <w:r>
            <w:t xml:space="preserve">2. Commercial Summary</w:t>
          </w:r>
          <w:r>
            <w:tab/>
          </w:r>
          <w:r>
            <w:t xml:space="preserve">6</w:t>
          </w:r>
        </w:p>
        <w:p>
          <w:pPr>
            <w:pStyle w:val="TOC2"/>
            <w:tabs>
              <w:tab w:val="right" w:leader="dot" w:pos="9072"/>
            </w:tabs>
          </w:pPr>
          <w:r>
            <w:t xml:space="preserve">3. Licensing Model and Principles</w:t>
          </w:r>
          <w:r>
            <w:tab/>
          </w:r>
          <w:r>
            <w:t xml:space="preserve">7</w:t>
          </w:r>
        </w:p>
        <w:p>
          <w:pPr>
            <w:pStyle w:val="TOC3"/>
            <w:tabs>
              <w:tab w:val="right" w:leader="dot" w:pos="9072"/>
            </w:tabs>
          </w:pPr>
          <w:r>
            <w:t xml:space="preserve">3.1 Platform Licensing Philosophy</w:t>
          </w:r>
          <w:r>
            <w:tab/>
          </w:r>
          <w:r>
            <w:t xml:space="preserve">8</w:t>
          </w:r>
        </w:p>
        <w:p>
          <w:pPr>
            <w:pStyle w:val="TOC3"/>
            <w:tabs>
              <w:tab w:val="right" w:leader="dot" w:pos="9072"/>
            </w:tabs>
          </w:pPr>
          <w:r>
            <w:t xml:space="preserve">3.2 License Tiers</w:t>
          </w:r>
          <w:r>
            <w:tab/>
          </w:r>
          <w:r>
            <w:t xml:space="preserve">9</w:t>
          </w:r>
        </w:p>
        <w:p>
          <w:pPr>
            <w:pStyle w:val="TOC3"/>
            <w:tabs>
              <w:tab w:val="right" w:leader="dot" w:pos="9072"/>
            </w:tabs>
          </w:pPr>
          <w:r>
            <w:t xml:space="preserve">3.3 License Fee Schedule</w:t>
          </w:r>
          <w:r>
            <w:tab/>
          </w:r>
          <w:r>
            <w:t xml:space="preserve">10</w:t>
          </w:r>
        </w:p>
        <w:p>
          <w:pPr>
            <w:pStyle w:val="TOC2"/>
            <w:tabs>
              <w:tab w:val="right" w:leader="dot" w:pos="9072"/>
            </w:tabs>
          </w:pPr>
          <w:r>
            <w:t xml:space="preserve">4. Implementation Services Pricing</w:t>
          </w:r>
          <w:r>
            <w:tab/>
          </w:r>
          <w:r>
            <w:t xml:space="preserve">11</w:t>
          </w:r>
        </w:p>
        <w:p>
          <w:pPr>
            <w:pStyle w:val="TOC3"/>
            <w:tabs>
              <w:tab w:val="right" w:leader="dot" w:pos="9072"/>
            </w:tabs>
          </w:pPr>
          <w:r>
            <w:t xml:space="preserve">4.1 Implementation Phases and Costs</w:t>
          </w:r>
          <w:r>
            <w:tab/>
          </w:r>
          <w:r>
            <w:t xml:space="preserve">12</w:t>
          </w:r>
        </w:p>
        <w:p>
          <w:pPr>
            <w:pStyle w:val="TOC3"/>
            <w:tabs>
              <w:tab w:val="right" w:leader="dot" w:pos="9072"/>
            </w:tabs>
          </w:pPr>
          <w:r>
            <w:t xml:space="preserve">4.2 Bank of China Resource Requirements</w:t>
          </w:r>
          <w:r>
            <w:tab/>
          </w:r>
          <w:r>
            <w:t xml:space="preserve">13</w:t>
          </w:r>
        </w:p>
        <w:p>
          <w:pPr>
            <w:pStyle w:val="TOC3"/>
            <w:tabs>
              <w:tab w:val="right" w:leader="dot" w:pos="9072"/>
            </w:tabs>
          </w:pPr>
          <w:r>
            <w:t xml:space="preserve">4.3 Optional Implementation Add-Ons</w:t>
          </w:r>
          <w:r>
            <w:tab/>
          </w:r>
          <w:r>
            <w:t xml:space="preserve">14</w:t>
          </w:r>
        </w:p>
        <w:p>
          <w:pPr>
            <w:pStyle w:val="TOC2"/>
            <w:tabs>
              <w:tab w:val="right" w:leader="dot" w:pos="9072"/>
            </w:tabs>
          </w:pPr>
          <w:r>
            <w:t xml:space="preserve">5. Environment and Infrastructure Costs</w:t>
          </w:r>
          <w:r>
            <w:tab/>
          </w:r>
          <w:r>
            <w:t xml:space="preserve">15</w:t>
          </w:r>
        </w:p>
        <w:p>
          <w:pPr>
            <w:pStyle w:val="TOC3"/>
            <w:tabs>
              <w:tab w:val="right" w:leader="dot" w:pos="9072"/>
            </w:tabs>
          </w:pPr>
          <w:r>
            <w:t xml:space="preserve">5.1 Infrastructure Cost Structure</w:t>
          </w:r>
          <w:r>
            <w:tab/>
          </w:r>
          <w:r>
            <w:t xml:space="preserve">16</w:t>
          </w:r>
        </w:p>
        <w:p>
          <w:pPr>
            <w:pStyle w:val="TOC2"/>
            <w:tabs>
              <w:tab w:val="right" w:leader="dot" w:pos="9072"/>
            </w:tabs>
          </w:pPr>
          <w:r>
            <w:t xml:space="preserve">6. Support and Maintenance Fees</w:t>
          </w:r>
          <w:r>
            <w:tab/>
          </w:r>
          <w:r>
            <w:t xml:space="preserve">17</w:t>
          </w:r>
        </w:p>
        <w:p>
          <w:pPr>
            <w:pStyle w:val="TOC3"/>
            <w:tabs>
              <w:tab w:val="right" w:leader="dot" w:pos="9072"/>
            </w:tabs>
          </w:pPr>
          <w:r>
            <w:t xml:space="preserve">6.1 Support Tiers</w:t>
          </w:r>
          <w:r>
            <w:tab/>
          </w:r>
          <w:r>
            <w:t xml:space="preserve">18</w:t>
          </w:r>
        </w:p>
        <w:p>
          <w:pPr>
            <w:pStyle w:val="TOC2"/>
            <w:tabs>
              <w:tab w:val="right" w:leader="dot" w:pos="9072"/>
            </w:tabs>
          </w:pPr>
          <w:r>
            <w:t xml:space="preserve">7. Total Cost of Ownership Analysis</w:t>
          </w:r>
          <w:r>
            <w:tab/>
          </w:r>
          <w:r>
            <w:t xml:space="preserve">19</w:t>
          </w:r>
        </w:p>
        <w:p>
          <w:pPr>
            <w:pStyle w:val="TOC3"/>
            <w:tabs>
              <w:tab w:val="right" w:leader="dot" w:pos="9072"/>
            </w:tabs>
          </w:pPr>
          <w:r>
            <w:t xml:space="preserve">7.1 5-Year TCO Model</w:t>
          </w:r>
          <w:r>
            <w:tab/>
          </w:r>
          <w:r>
            <w:t xml:space="preserve">20</w:t>
          </w:r>
        </w:p>
        <w:p>
          <w:pPr>
            <w:pStyle w:val="TOC3"/>
            <w:tabs>
              <w:tab w:val="right" w:leader="dot" w:pos="9072"/>
            </w:tabs>
          </w:pPr>
          <w:r>
            <w:t xml:space="preserve">7.2 Per-Payment Unit Economics</w:t>
          </w:r>
          <w:r>
            <w:tab/>
          </w:r>
          <w:r>
            <w:t xml:space="preserve">21</w:t>
          </w:r>
        </w:p>
        <w:p>
          <w:pPr>
            <w:pStyle w:val="TOC2"/>
            <w:tabs>
              <w:tab w:val="right" w:leader="dot" w:pos="9072"/>
            </w:tabs>
          </w:pPr>
          <w:r>
            <w:t xml:space="preserve">8. Build vs. Buy Analysis</w:t>
          </w:r>
          <w:r>
            <w:tab/>
          </w:r>
          <w:r>
            <w:t xml:space="preserve">22</w:t>
          </w:r>
        </w:p>
        <w:p>
          <w:pPr>
            <w:pStyle w:val="TOC3"/>
            <w:tabs>
              <w:tab w:val="right" w:leader="dot" w:pos="9072"/>
            </w:tabs>
          </w:pPr>
          <w:r>
            <w:t xml:space="preserve">8.1 Custom Build Cost Estimate</w:t>
          </w:r>
          <w:r>
            <w:tab/>
          </w:r>
          <w:r>
            <w:t xml:space="preserve">23</w:t>
          </w:r>
        </w:p>
        <w:p>
          <w:pPr>
            <w:pStyle w:val="TOC3"/>
            <w:tabs>
              <w:tab w:val="right" w:leader="dot" w:pos="9072"/>
            </w:tabs>
          </w:pPr>
          <w:r>
            <w:t xml:space="preserve">8.2 DALP vs. Custom Build Comparison</w:t>
          </w:r>
          <w:r>
            <w:tab/>
          </w:r>
          <w:r>
            <w:t xml:space="preserve">24</w:t>
          </w:r>
        </w:p>
        <w:p>
          <w:pPr>
            <w:pStyle w:val="TOC2"/>
            <w:tabs>
              <w:tab w:val="right" w:leader="dot" w:pos="9072"/>
            </w:tabs>
          </w:pPr>
          <w:r>
            <w:t xml:space="preserve">9. ROI Analysis and Payback Period</w:t>
          </w:r>
          <w:r>
            <w:tab/>
          </w:r>
          <w:r>
            <w:t xml:space="preserve">25</w:t>
          </w:r>
        </w:p>
        <w:p>
          <w:pPr>
            <w:pStyle w:val="TOC3"/>
            <w:tabs>
              <w:tab w:val="right" w:leader="dot" w:pos="9072"/>
            </w:tabs>
          </w:pPr>
          <w:r>
            <w:t xml:space="preserve">9.1 Value Drivers</w:t>
          </w:r>
          <w:r>
            <w:tab/>
          </w:r>
          <w:r>
            <w:t xml:space="preserve">26</w:t>
          </w:r>
        </w:p>
        <w:p>
          <w:pPr>
            <w:pStyle w:val="TOC3"/>
            <w:tabs>
              <w:tab w:val="right" w:leader="dot" w:pos="9072"/>
            </w:tabs>
          </w:pPr>
          <w:r>
            <w:t xml:space="preserve">9.2 Indicative Payback Period</w:t>
          </w:r>
          <w:r>
            <w:tab/>
          </w:r>
          <w:r>
            <w:t xml:space="preserve">27</w:t>
          </w:r>
        </w:p>
        <w:p>
          <w:pPr>
            <w:pStyle w:val="TOC2"/>
            <w:tabs>
              <w:tab w:val="right" w:leader="dot" w:pos="9072"/>
            </w:tabs>
          </w:pPr>
          <w:r>
            <w:t xml:space="preserve">10. Scenario Pricing</w:t>
          </w:r>
          <w:r>
            <w:tab/>
          </w:r>
          <w:r>
            <w:t xml:space="preserve">28</w:t>
          </w:r>
        </w:p>
        <w:p>
          <w:pPr>
            <w:pStyle w:val="TOC3"/>
            <w:tabs>
              <w:tab w:val="right" w:leader="dot" w:pos="9072"/>
            </w:tabs>
          </w:pPr>
          <w:r>
            <w:t xml:space="preserve">10.1 Scenario A: Pilot Programme (3 Corridors, 20 Counterparties)</w:t>
          </w:r>
          <w:r>
            <w:tab/>
          </w:r>
          <w:r>
            <w:t xml:space="preserve">29</w:t>
          </w:r>
        </w:p>
        <w:p>
          <w:pPr>
            <w:pStyle w:val="TOC3"/>
            <w:tabs>
              <w:tab w:val="right" w:leader="dot" w:pos="9072"/>
            </w:tabs>
          </w:pPr>
          <w:r>
            <w:t xml:space="preserve">10.2 Scenario B: Enterprise Programme (10 Corridors, 100 Counterparties) - Recommended</w:t>
          </w:r>
          <w:r>
            <w:tab/>
          </w:r>
          <w:r>
            <w:t xml:space="preserve">30</w:t>
          </w:r>
        </w:p>
        <w:p>
          <w:pPr>
            <w:pStyle w:val="TOC3"/>
            <w:tabs>
              <w:tab w:val="right" w:leader="dot" w:pos="9072"/>
            </w:tabs>
          </w:pPr>
          <w:r>
            <w:t xml:space="preserve">10.3 Scenario C: Multi-Programme (Payments + Trade Finance + Deposits)</w:t>
          </w:r>
          <w:r>
            <w:tab/>
          </w:r>
          <w:r>
            <w:t xml:space="preserve">31</w:t>
          </w:r>
        </w:p>
        <w:p>
          <w:pPr>
            <w:pStyle w:val="TOC2"/>
            <w:tabs>
              <w:tab w:val="right" w:leader="dot" w:pos="9072"/>
            </w:tabs>
          </w:pPr>
          <w:r>
            <w:t xml:space="preserve">11. Payment Terms and Milestones</w:t>
          </w:r>
          <w:r>
            <w:tab/>
          </w:r>
          <w:r>
            <w:t xml:space="preserve">32</w:t>
          </w:r>
        </w:p>
        <w:p>
          <w:pPr>
            <w:pStyle w:val="TOC3"/>
            <w:tabs>
              <w:tab w:val="right" w:leader="dot" w:pos="9072"/>
            </w:tabs>
          </w:pPr>
          <w:r>
            <w:t xml:space="preserve">11.1 License Payment Terms</w:t>
          </w:r>
          <w:r>
            <w:tab/>
          </w:r>
          <w:r>
            <w:t xml:space="preserve">33</w:t>
          </w:r>
        </w:p>
        <w:p>
          <w:pPr>
            <w:pStyle w:val="TOC3"/>
            <w:tabs>
              <w:tab w:val="right" w:leader="dot" w:pos="9072"/>
            </w:tabs>
          </w:pPr>
          <w:r>
            <w:t xml:space="preserve">11.2 Implementation Services Payment Terms</w:t>
          </w:r>
          <w:r>
            <w:tab/>
          </w:r>
          <w:r>
            <w:t xml:space="preserve">34</w:t>
          </w:r>
        </w:p>
        <w:p>
          <w:pPr>
            <w:pStyle w:val="TOC3"/>
            <w:tabs>
              <w:tab w:val="right" w:leader="dot" w:pos="9072"/>
            </w:tabs>
          </w:pPr>
          <w:r>
            <w:t xml:space="preserve">11.3 Minimum Commitment</w:t>
          </w:r>
          <w:r>
            <w:tab/>
          </w:r>
          <w:r>
            <w:t xml:space="preserve">35</w:t>
          </w:r>
        </w:p>
        <w:p>
          <w:pPr>
            <w:pStyle w:val="TOC2"/>
            <w:tabs>
              <w:tab w:val="right" w:leader="dot" w:pos="9072"/>
            </w:tabs>
          </w:pPr>
          <w:r>
            <w:t xml:space="preserve">12. Commercial Assumptions Register</w:t>
          </w:r>
          <w:r>
            <w:tab/>
          </w:r>
          <w:r>
            <w:t xml:space="preserve">36</w:t>
          </w:r>
        </w:p>
        <w:p>
          <w:pPr>
            <w:pStyle w:val="TOC2"/>
            <w:tabs>
              <w:tab w:val="right" w:leader="dot" w:pos="9072"/>
            </w:tabs>
          </w:pPr>
          <w:r>
            <w:t xml:space="preserve">13. Commercial Risk Register</w:t>
          </w:r>
          <w:r>
            <w:tab/>
          </w:r>
          <w:r>
            <w:t xml:space="preserve">37</w:t>
          </w:r>
        </w:p>
        <w:p>
          <w:pPr>
            <w:pStyle w:val="TOC2"/>
            <w:tabs>
              <w:tab w:val="right" w:leader="dot" w:pos="9072"/>
            </w:tabs>
          </w:pPr>
          <w:r>
            <w:t xml:space="preserve">14. Exit and Transition Terms</w:t>
          </w:r>
          <w:r>
            <w:tab/>
          </w:r>
          <w:r>
            <w:t xml:space="preserve">38</w:t>
          </w:r>
        </w:p>
        <w:p>
          <w:pPr>
            <w:pStyle w:val="TOC3"/>
            <w:tabs>
              <w:tab w:val="right" w:leader="dot" w:pos="9072"/>
            </w:tabs>
          </w:pPr>
          <w:r>
            <w:t xml:space="preserve">14.1 Data Portability</w:t>
          </w:r>
          <w:r>
            <w:tab/>
          </w:r>
          <w:r>
            <w:t xml:space="preserve">39</w:t>
          </w:r>
        </w:p>
        <w:p>
          <w:pPr>
            <w:pStyle w:val="TOC3"/>
            <w:tabs>
              <w:tab w:val="right" w:leader="dot" w:pos="9072"/>
            </w:tabs>
          </w:pPr>
          <w:r>
            <w:t xml:space="preserve">14.2 Intellectual Property</w:t>
          </w:r>
          <w:r>
            <w:tab/>
          </w:r>
          <w:r>
            <w:t xml:space="preserve">40</w:t>
          </w:r>
        </w:p>
        <w:p>
          <w:pPr>
            <w:pStyle w:val="TOC3"/>
            <w:tabs>
              <w:tab w:val="right" w:leader="dot" w:pos="9072"/>
            </w:tabs>
          </w:pPr>
          <w:r>
            <w:t xml:space="preserve">14.3 Post-Termination Access</w:t>
          </w:r>
          <w:r>
            <w:tab/>
          </w:r>
          <w:r>
            <w:t xml:space="preserve">41</w:t>
          </w:r>
        </w:p>
        <w:p>
          <w:pPr>
            <w:pStyle w:val="TOC2"/>
            <w:tabs>
              <w:tab w:val="right" w:leader="dot" w:pos="9072"/>
            </w:tabs>
          </w:pPr>
          <w:r>
            <w:t xml:space="preserve">15. Value Justification</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document-title: "Commercial Proposal — Cross-Border Tokenized Payments"</w:t>
      </w:r>
    </w:p>
    <w:p>
      <w:r>
        <w:rPr>
          <w:rFonts w:ascii="Figtree" w:hAnsi="Figtree"/>
          <w:b w:val="0"/>
          <w:i w:val="0"/>
          <w:sz w:val="22"/>
        </w:rPr>
        <w:t>client: "Bank of China"</w:t>
      </w:r>
    </w:p>
    <w:p>
      <w:r>
        <w:rPr>
          <w:rFonts w:ascii="Figtree" w:hAnsi="Figtree"/>
          <w:b w:val="0"/>
          <w:i w:val="0"/>
          <w:sz w:val="22"/>
        </w:rPr>
        <w:t>date: "March 2026"</w:t>
      </w:r>
    </w:p>
    <w:p>
      <w:r>
        <w:rPr>
          <w:rFonts w:ascii="Figtree" w:hAnsi="Figtree"/>
          <w:b w:val="0"/>
          <w:i w:val="0"/>
          <w:sz w:val="22"/>
        </w:rPr>
        <w:t>version: "1.0"</w:t>
      </w:r>
    </w:p>
    <w:p>
      <w:r>
        <w:rPr>
          <w:rFonts w:ascii="Figtree" w:hAnsi="Figtree"/>
          <w:b w:val="0"/>
          <w:i w:val="0"/>
          <w:sz w:val="22"/>
        </w:rPr>
        <w:t>classification: "SettleMint Confidential"</w:t>
      </w:r>
    </w:p>
    <w:p>
      <w:r>
        <w:rPr>
          <w:rFonts w:ascii="Figtree" w:hAnsi="Figtree"/>
          <w:b w:val="0"/>
          <w:i w:val="0"/>
          <w:sz w:val="22"/>
        </w:rPr>
        <w:t>rfp-reference: "BANK-OF-CHINA-RFP-202603"</w:t>
      </w:r>
    </w:p>
    <w:p>
      <w:r>
        <w:br w:type="page"/>
      </w:r>
    </w:p>
    <w:p>
      <w:pPr>
        <w:pStyle w:val="H1"/>
        <w:numPr>
          <w:ilvl w:val="0"/>
          <w:numId w:val="1"/>
        </w:numPr>
      </w:pPr>
      <w:r>
        <w:t>Commercial Proposal — Cross-Border Tokenized Payments</w:t>
      </w:r>
    </w:p>
    <w:p>
      <w:r>
        <w:rPr>
          <w:rFonts w:ascii="Figtree" w:hAnsi="Figtree"/>
          <w:b/>
          <w:i w:val="0"/>
          <w:sz w:val="22"/>
        </w:rPr>
        <w:t>Prepared for:</w:t>
      </w:r>
      <w:r>
        <w:rPr>
          <w:rFonts w:ascii="Figtree" w:hAnsi="Figtree"/>
          <w:b w:val="0"/>
          <w:i w:val="0"/>
          <w:sz w:val="22"/>
        </w:rPr>
        <w:t xml:space="preserve"> Bank of China</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BANK-OF-CHINA-RFP-202603</w:t>
      </w:r>
    </w:p>
    <w:p>
      <w:r>
        <w:rPr>
          <w:rFonts w:ascii="Figtree" w:hAnsi="Figtree"/>
          <w:b w:val="0"/>
          <w:i/>
          <w:sz w:val="22"/>
        </w:rPr>
        <w:t>All prices are stated in EUR. CNY/EUR exchange rate treatment is addressed in Section 12. All prices exclude applicable taxes. GST/VAT treatment is addressed in Section 12.</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 and Principles</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Build vs. Buy Analysis</w:t>
      </w:r>
    </w:p>
    <w:p>
      <w:pPr>
        <w:pStyle w:val="ListParagraph"/>
        <w:numPr>
          <w:ilvl w:val="0"/>
          <w:numId w:val="6"/>
        </w:numPr>
      </w:pPr>
      <w:r>
        <w:rPr>
          <w:rFonts w:ascii="Figtree" w:hAnsi="Figtree"/>
          <w:b w:val="0"/>
          <w:i w:val="0"/>
          <w:sz w:val="22"/>
        </w:rPr>
        <w:t>ROI Analysis and Payback Period</w:t>
      </w:r>
    </w:p>
    <w:p>
      <w:pPr>
        <w:pStyle w:val="ListParagraph"/>
        <w:numPr>
          <w:ilvl w:val="0"/>
          <w:numId w:val="6"/>
        </w:numPr>
      </w:pPr>
      <w:r>
        <w:rPr>
          <w:rFonts w:ascii="Figtree" w:hAnsi="Figtree"/>
          <w:b w:val="0"/>
          <w:i w:val="0"/>
          <w:sz w:val="22"/>
        </w:rPr>
        <w:t>Scenario Pricing</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Commercial Risk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 Cross-Border Tokenized Payments</w:t>
      </w:r>
    </w:p>
    <w:p>
      <w:r>
        <w:rPr>
          <w:rFonts w:ascii="Figtree" w:hAnsi="Figtree"/>
          <w:b/>
          <w:i w:val="0"/>
          <w:sz w:val="22"/>
        </w:rPr>
        <w:t>Client:</w:t>
      </w:r>
      <w:r>
        <w:rPr>
          <w:rFonts w:ascii="Figtree" w:hAnsi="Figtree"/>
          <w:b w:val="0"/>
          <w:i w:val="0"/>
          <w:sz w:val="22"/>
        </w:rPr>
        <w:t xml:space="preserve"> Bank of China</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Distribution is restricted to Bank of China's evaluation committee.</w:t>
      </w:r>
    </w:p>
    <w:p>
      <w:r>
        <w:br w:type="page"/>
      </w:r>
    </w:p>
    <w:p>
      <w:pPr>
        <w:pStyle w:val="H2"/>
        <w:numPr>
          <w:ilvl w:val="1"/>
          <w:numId w:val="1"/>
        </w:numPr>
      </w:pPr>
      <w:r>
        <w:t>2. Commercial Summary</w:t>
      </w:r>
    </w:p>
    <w:p>
      <w:r>
        <w:rPr>
          <w:rFonts w:ascii="Figtree" w:hAnsi="Figtree"/>
          <w:b/>
          <w:i w:val="0"/>
          <w:sz w:val="22"/>
        </w:rPr>
        <w:t>Year 1 Cost Estimate (EUR):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80"/>
        <w:gridCol w:w="27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(Enterprise Tier)</w:t>
            </w:r>
          </w:p>
        </w:tc>
        <w:tc>
          <w:tcPr>
            <w:tcW w:type="dxa" w:w="4873"/>
            <w:vAlign w:val="center"/>
          </w:tcPr>
          <w:p>
            <w:pPr>
              <w:spacing w:line="276" w:lineRule="auto" w:before="0" w:after="0"/>
            </w:pPr>
            <w:r/>
            <w:r>
              <w:rPr>
                <w:rFonts w:ascii="Figtree" w:hAnsi="Figtree"/>
                <w:b w:val="0"/>
                <w:i w:val="0"/>
                <w:sz w:val="20"/>
              </w:rPr>
              <w:t>360,000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and SIT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(22-week programme)</w:t>
            </w:r>
          </w:p>
        </w:tc>
        <w:tc>
          <w:tcPr>
            <w:tcW w:type="dxa" w:w="4873"/>
            <w:vAlign w:val="center"/>
          </w:tcPr>
          <w:p>
            <w:pPr>
              <w:spacing w:line="276" w:lineRule="auto" w:before="0" w:after="0"/>
            </w:pPr>
            <w:r/>
            <w:r>
              <w:rPr>
                <w:rFonts w:ascii="Figtree" w:hAnsi="Figtree"/>
                <w:b w:val="0"/>
                <w:i w:val="0"/>
                <w:sz w:val="20"/>
              </w:rPr>
              <w:t>380,000 to 520,000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w:t>
            </w:r>
          </w:p>
        </w:tc>
        <w:tc>
          <w:tcPr>
            <w:tcW w:type="dxa" w:w="4873"/>
            <w:vAlign w:val="center"/>
          </w:tcPr>
          <w:p>
            <w:pPr>
              <w:spacing w:line="276" w:lineRule="auto" w:before="0" w:after="0"/>
            </w:pPr>
            <w:r/>
            <w:r>
              <w:rPr>
                <w:rFonts w:ascii="Figtree" w:hAnsi="Figtree"/>
                <w:b w:val="0"/>
                <w:i w:val="0"/>
                <w:sz w:val="20"/>
              </w:rPr>
              <w:t>72,000 to 108,000</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(Private cloud non-prod; on-premises prod excluded)</w:t>
            </w:r>
          </w:p>
        </w:tc>
        <w:tc>
          <w:tcPr>
            <w:tcW w:type="dxa" w:w="4873"/>
            <w:vAlign w:val="center"/>
          </w:tcPr>
          <w:p>
            <w:pPr>
              <w:spacing w:line="276" w:lineRule="auto" w:before="0" w:after="0"/>
            </w:pPr>
            <w:r/>
            <w:r>
              <w:rPr>
                <w:rFonts w:ascii="Figtree" w:hAnsi="Figtree"/>
                <w:b w:val="0"/>
                <w:i w:val="0"/>
                <w:sz w:val="20"/>
              </w:rPr>
              <w:t>45,000 to 80,000</w:t>
            </w:r>
          </w:p>
        </w:tc>
      </w:tr>
      <w:tr>
        <w:trPr>
          <w:trHeight w:val="425" w:hRule="atLeast"/>
        </w:trPr>
        <w:tc>
          <w:tcPr>
            <w:tcW w:type="dxa" w:w="4873"/>
            <w:vAlign w:val="center"/>
          </w:tcPr>
          <w:p>
            <w:pPr>
              <w:spacing w:line="276" w:lineRule="auto" w:before="0" w:after="0"/>
            </w:pPr>
            <w:r/>
            <w:r>
              <w:rPr>
                <w:rFonts w:ascii="Figtree" w:hAnsi="Figtree"/>
                <w:b/>
                <w:i w:val="0"/>
                <w:sz w:val="20"/>
              </w:rPr>
              <w:t>Estimated Year 1 Total</w:t>
            </w:r>
          </w:p>
        </w:tc>
        <w:tc>
          <w:tcPr>
            <w:tcW w:type="dxa" w:w="4873"/>
            <w:vAlign w:val="center"/>
          </w:tcPr>
          <w:p>
            <w:pPr>
              <w:spacing w:line="276" w:lineRule="auto" w:before="0" w:after="0"/>
            </w:pPr>
            <w:r/>
            <w:r>
              <w:rPr>
                <w:rFonts w:ascii="Figtree" w:hAnsi="Figtree"/>
                <w:b/>
                <w:i w:val="0"/>
                <w:sz w:val="20"/>
              </w:rPr>
              <w:t>977,000 to 1,188,000</w:t>
            </w:r>
          </w:p>
        </w:tc>
      </w:tr>
    </w:tbl>
    <w:p>
      <w:pPr>
        <w:spacing w:before="0" w:after="0" w:line="120" w:lineRule="exact"/>
      </w:pPr>
    </w:p>
    <w:p>
      <w:r>
        <w:rPr>
          <w:rFonts w:ascii="Figtree" w:hAnsi="Figtree"/>
          <w:b/>
          <w:i w:val="0"/>
          <w:sz w:val="22"/>
        </w:rPr>
        <w:t>Commercial Headline:</w:t>
      </w:r>
      <w:r>
        <w:rPr>
          <w:rFonts w:ascii="Figtree" w:hAnsi="Figtree"/>
          <w:b w:val="0"/>
          <w:i w:val="0"/>
          <w:sz w:val="22"/>
        </w:rPr>
        <w:t xml:space="preserve"> DALP's 5-year total cost of approximately EUR 3.2 to 4.0 million represents an estimated 12 to 20% of the cost of building equivalent capability from scratch (estimated CNY 180 to 300 million for a bespoke cross-border tokenized payment platform at Bank of China's scale). The 22-week deployment timeline against 24 to 36 months for a custom build captures 2 to 2.5 years of operational benefit earlier and eliminates the technology risk of bespoke development in a rapidly evolving regulatory environment.</w:t>
      </w:r>
    </w:p>
    <w:p>
      <w:r>
        <w:br w:type="page"/>
      </w:r>
    </w:p>
    <w:p>
      <w:pPr>
        <w:pStyle w:val="H2"/>
        <w:numPr>
          <w:ilvl w:val="1"/>
          <w:numId w:val="1"/>
        </w:numPr>
      </w:pPr>
      <w:r>
        <w:t>3. Licensing Model and Principles</w:t>
      </w:r>
    </w:p>
    <w:p>
      <w:pPr>
        <w:pStyle w:val="H3"/>
        <w:numPr>
          <w:ilvl w:val="2"/>
          <w:numId w:val="1"/>
        </w:numPr>
      </w:pPr>
      <w:r>
        <w:t>3.1 Platform Licensing Philosophy</w:t>
      </w:r>
    </w:p>
    <w:p>
      <w:r>
        <w:rPr>
          <w:rFonts w:ascii="Figtree" w:hAnsi="Figtree"/>
          <w:b w:val="0"/>
          <w:i w:val="0"/>
          <w:sz w:val="22"/>
        </w:rPr>
        <w:t>DALP is licensed as a platform, not billed per transaction, per payment instruction, per counterparty, or per token operation. This model is fundamental to how Bank of China should evaluate the commercial relationship:</w:t>
      </w:r>
    </w:p>
    <w:p>
      <w:r>
        <w:rPr>
          <w:rFonts w:ascii="Figtree" w:hAnsi="Figtree"/>
          <w:b/>
          <w:i w:val="0"/>
          <w:sz w:val="22"/>
        </w:rPr>
        <w:t>No per-payment fees.</w:t>
      </w:r>
      <w:r>
        <w:rPr>
          <w:rFonts w:ascii="Figtree" w:hAnsi="Figtree"/>
          <w:b w:val="0"/>
          <w:i w:val="0"/>
          <w:sz w:val="22"/>
        </w:rPr>
        <w:t xml:space="preserve"> Bank of China processes thousands of cross-border payments per day. A per-transaction pricing model would make cost proportional to payment volume, creating a perverse incentive to minimize platform usage or to resist scaling the programme. DALP's flat-rate annual license means payment volume growth has zero marginal licensing cost.</w:t>
      </w:r>
    </w:p>
    <w:p>
      <w:r>
        <w:rPr>
          <w:rFonts w:ascii="Figtree" w:hAnsi="Figtree"/>
          <w:b/>
          <w:i w:val="0"/>
          <w:sz w:val="22"/>
        </w:rPr>
        <w:t>No per-counterparty fees.</w:t>
      </w:r>
      <w:r>
        <w:rPr>
          <w:rFonts w:ascii="Figtree" w:hAnsi="Figtree"/>
          <w:b w:val="0"/>
          <w:i w:val="0"/>
          <w:sz w:val="22"/>
        </w:rPr>
        <w:t xml:space="preserve"> Expanding from 10 to 100 to 1,000 registered payment counterparties does not change the license cost. Bank of China can grow the network without commercial friction.</w:t>
      </w:r>
    </w:p>
    <w:p>
      <w:r>
        <w:rPr>
          <w:rFonts w:ascii="Figtree" w:hAnsi="Figtree"/>
          <w:b/>
          <w:i w:val="0"/>
          <w:sz w:val="22"/>
        </w:rPr>
        <w:t>No per-currency-corridor fees.</w:t>
      </w:r>
      <w:r>
        <w:rPr>
          <w:rFonts w:ascii="Figtree" w:hAnsi="Figtree"/>
          <w:b w:val="0"/>
          <w:i w:val="0"/>
          <w:sz w:val="22"/>
        </w:rPr>
        <w:t xml:space="preserve"> Adding a new currency corridor (e.g., CNY/USD, CNY/EUR, CNY/HKD) requires configuration effort, not a license extension. All corridors operate under the same platform license.</w:t>
      </w:r>
    </w:p>
    <w:p>
      <w:r>
        <w:rPr>
          <w:rFonts w:ascii="Figtree" w:hAnsi="Figtree"/>
          <w:b/>
          <w:i w:val="0"/>
          <w:sz w:val="22"/>
        </w:rPr>
        <w:t>Predictable annual subscription.</w:t>
      </w:r>
      <w:r>
        <w:rPr>
          <w:rFonts w:ascii="Figtree" w:hAnsi="Figtree"/>
          <w:b w:val="0"/>
          <w:i w:val="0"/>
          <w:sz w:val="22"/>
        </w:rPr>
        <w:t xml:space="preserve"> Year 1 includes implementation services (one-off) plus annual recurring license and support. Years 2 onwards are annual recurring costs only, providing budget predictability.</w:t>
      </w:r>
    </w:p>
    <w:p>
      <w:pPr>
        <w:pStyle w:val="H3"/>
        <w:numPr>
          <w:ilvl w:val="2"/>
          <w:numId w:val="1"/>
        </w:numPr>
      </w:pPr>
      <w:r>
        <w:t>3.2 License Tiers</w:t>
      </w:r>
    </w:p>
    <w:p>
      <w:r>
        <w:rPr>
          <w:rFonts w:ascii="Figtree" w:hAnsi="Figtree"/>
          <w:b w:val="0"/>
          <w:i w:val="0"/>
          <w:sz w:val="22"/>
        </w:rPr>
        <w:t>DALP is structured across three tiers. Bank of China's cross-border payment programme is recommended for the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1186"/>
        <w:gridCol w:w="58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220,000</w:t>
            </w:r>
          </w:p>
        </w:tc>
        <w:tc>
          <w:tcPr>
            <w:tcW w:type="dxa" w:w="3249"/>
            <w:vAlign w:val="center"/>
          </w:tcPr>
          <w:p>
            <w:pPr>
              <w:spacing w:line="276" w:lineRule="auto" w:before="0" w:after="0"/>
            </w:pPr>
            <w:r/>
            <w:r>
              <w:rPr>
                <w:rFonts w:ascii="Figtree" w:hAnsi="Figtree"/>
                <w:b w:val="0"/>
                <w:i w:val="0"/>
                <w:sz w:val="20"/>
              </w:rPr>
              <w:t>Single production environment, single network, standard support</w:t>
            </w:r>
          </w:p>
        </w:tc>
      </w:tr>
      <w:tr>
        <w:trPr>
          <w:trHeight w:val="425" w:hRule="atLeast"/>
        </w:trPr>
        <w:tc>
          <w:tcPr>
            <w:tcW w:type="dxa" w:w="3249"/>
            <w:vAlign w:val="center"/>
          </w:tcPr>
          <w:p>
            <w:pPr>
              <w:spacing w:line="276" w:lineRule="auto" w:before="0" w:after="0"/>
            </w:pPr>
            <w:r/>
            <w:r>
              <w:rPr>
                <w:rFonts w:ascii="Figtree" w:hAnsi="Figtree"/>
                <w:b w:val="0"/>
                <w:i w:val="0"/>
                <w:sz w:val="20"/>
              </w:rPr>
              <w:t>Enterprise (Recommended)</w:t>
            </w:r>
          </w:p>
        </w:tc>
        <w:tc>
          <w:tcPr>
            <w:tcW w:type="dxa" w:w="3249"/>
            <w:vAlign w:val="center"/>
          </w:tcPr>
          <w:p>
            <w:pPr>
              <w:spacing w:line="276" w:lineRule="auto" w:before="0" w:after="0"/>
            </w:pPr>
            <w:r/>
            <w:r>
              <w:rPr>
                <w:rFonts w:ascii="Figtree" w:hAnsi="Figtree"/>
                <w:b w:val="0"/>
                <w:i w:val="0"/>
                <w:sz w:val="20"/>
              </w:rPr>
              <w:t>EUR 360,000</w:t>
            </w:r>
          </w:p>
        </w:tc>
        <w:tc>
          <w:tcPr>
            <w:tcW w:type="dxa" w:w="3249"/>
            <w:vAlign w:val="center"/>
          </w:tcPr>
          <w:p>
            <w:pPr>
              <w:spacing w:line="276" w:lineRule="auto" w:before="0" w:after="0"/>
            </w:pPr>
            <w:r/>
            <w:r>
              <w:rPr>
                <w:rFonts w:ascii="Figtree" w:hAnsi="Figtree"/>
                <w:b w:val="0"/>
                <w:i w:val="0"/>
                <w:sz w:val="20"/>
              </w:rPr>
              <w:t>Multiple environments, multi-network support, multi-corridor, Premium support</w:t>
            </w:r>
          </w:p>
        </w:tc>
      </w:tr>
      <w:tr>
        <w:trPr>
          <w:trHeight w:val="425" w:hRule="atLeast"/>
        </w:trPr>
        <w:tc>
          <w:tcPr>
            <w:tcW w:type="dxa" w:w="3249"/>
            <w:vAlign w:val="center"/>
          </w:tcPr>
          <w:p>
            <w:pPr>
              <w:spacing w:line="276" w:lineRule="auto" w:before="0" w:after="0"/>
            </w:pPr>
            <w:r/>
            <w:r>
              <w:rPr>
                <w:rFonts w:ascii="Figtree" w:hAnsi="Figtree"/>
                <w:b w:val="0"/>
                <w:i w:val="0"/>
                <w:sz w:val="20"/>
              </w:rPr>
              <w:t>Sovereign / Strategic</w:t>
            </w:r>
          </w:p>
        </w:tc>
        <w:tc>
          <w:tcPr>
            <w:tcW w:type="dxa" w:w="3249"/>
            <w:vAlign w:val="center"/>
          </w:tcPr>
          <w:p>
            <w:pPr>
              <w:spacing w:line="276" w:lineRule="auto" w:before="0" w:after="0"/>
            </w:pPr>
            <w:r/>
            <w:r>
              <w:rPr>
                <w:rFonts w:ascii="Figtree" w:hAnsi="Figtree"/>
                <w:b w:val="0"/>
                <w:i w:val="0"/>
                <w:sz w:val="20"/>
              </w:rPr>
              <w:t>EUR 550,000+</w:t>
            </w:r>
          </w:p>
        </w:tc>
        <w:tc>
          <w:tcPr>
            <w:tcW w:type="dxa" w:w="3249"/>
            <w:vAlign w:val="center"/>
          </w:tcPr>
          <w:p>
            <w:pPr>
              <w:spacing w:line="276" w:lineRule="auto" w:before="0" w:after="0"/>
            </w:pPr>
            <w:r/>
            <w:r>
              <w:rPr>
                <w:rFonts w:ascii="Figtree" w:hAnsi="Figtree"/>
                <w:b w:val="0"/>
                <w:i w:val="0"/>
                <w:sz w:val="20"/>
              </w:rPr>
              <w:t>Unlimited environments, dedicated SRE, custom SLA, strategic advisory</w:t>
            </w:r>
          </w:p>
        </w:tc>
      </w:tr>
    </w:tbl>
    <w:p>
      <w:pPr>
        <w:spacing w:before="0" w:after="0" w:line="120" w:lineRule="exact"/>
      </w:pPr>
    </w:p>
    <w:p>
      <w:r>
        <w:rPr>
          <w:rFonts w:ascii="Figtree" w:hAnsi="Figtree"/>
          <w:b/>
          <w:i w:val="0"/>
          <w:sz w:val="22"/>
        </w:rPr>
        <w:t>Enterprise Tier includes:</w:t>
      </w:r>
    </w:p>
    <w:p>
      <w:pPr>
        <w:pStyle w:val="ListParagraph"/>
        <w:numPr>
          <w:ilvl w:val="0"/>
          <w:numId w:val="4"/>
        </w:numPr>
      </w:pPr>
      <w:r>
        <w:rPr>
          <w:rFonts w:ascii="Figtree" w:hAnsi="Figtree"/>
          <w:b w:val="0"/>
          <w:i w:val="0"/>
          <w:sz w:val="22"/>
        </w:rPr>
        <w:t>Production environment (on-premises) + up to 3 non-production environments (private cloud)</w:t>
      </w:r>
    </w:p>
    <w:p>
      <w:pPr>
        <w:pStyle w:val="ListParagraph"/>
        <w:numPr>
          <w:ilvl w:val="0"/>
          <w:numId w:val="4"/>
        </w:numPr>
      </w:pPr>
      <w:r>
        <w:rPr>
          <w:rFonts w:ascii="Figtree" w:hAnsi="Figtree"/>
          <w:b w:val="0"/>
          <w:i w:val="0"/>
          <w:sz w:val="22"/>
        </w:rPr>
        <w:t>All seven DALP asset classes plus Configurable Token (all currency corridors covered)</w:t>
      </w:r>
    </w:p>
    <w:p>
      <w:pPr>
        <w:pStyle w:val="ListParagraph"/>
        <w:numPr>
          <w:ilvl w:val="0"/>
          <w:numId w:val="4"/>
        </w:numPr>
      </w:pPr>
      <w:r>
        <w:rPr>
          <w:rFonts w:ascii="Figtree" w:hAnsi="Figtree"/>
          <w:b w:val="0"/>
          <w:i w:val="0"/>
          <w:sz w:val="22"/>
        </w:rPr>
        <w:t>All 18 compliance module types (no per-module fees)</w:t>
      </w:r>
    </w:p>
    <w:p>
      <w:pPr>
        <w:pStyle w:val="ListParagraph"/>
        <w:numPr>
          <w:ilvl w:val="0"/>
          <w:numId w:val="4"/>
        </w:numPr>
      </w:pPr>
      <w:r>
        <w:rPr>
          <w:rFonts w:ascii="Figtree" w:hAnsi="Figtree"/>
          <w:b w:val="0"/>
          <w:i w:val="0"/>
          <w:sz w:val="22"/>
        </w:rPr>
        <w:t>Full API surface: REST v2, GraphQL, webhooks, CLI, SDK</w:t>
      </w:r>
    </w:p>
    <w:p>
      <w:pPr>
        <w:pStyle w:val="ListParagraph"/>
        <w:numPr>
          <w:ilvl w:val="0"/>
          <w:numId w:val="4"/>
        </w:numPr>
      </w:pPr>
      <w:r>
        <w:rPr>
          <w:rFonts w:ascii="Figtree" w:hAnsi="Figtree"/>
          <w:b w:val="0"/>
          <w:i w:val="0"/>
          <w:sz w:val="22"/>
        </w:rPr>
        <w:t>Observability stack (VictoriaMetrics, Loki, Tempo, Grafana, Alertmanager)</w:t>
      </w:r>
    </w:p>
    <w:p>
      <w:pPr>
        <w:pStyle w:val="ListParagraph"/>
        <w:numPr>
          <w:ilvl w:val="0"/>
          <w:numId w:val="4"/>
        </w:numPr>
      </w:pPr>
      <w:r>
        <w:rPr>
          <w:rFonts w:ascii="Figtree" w:hAnsi="Figtree"/>
          <w:b w:val="0"/>
          <w:i w:val="0"/>
          <w:sz w:val="22"/>
        </w:rPr>
        <w:t>All platform updates, security patches, and new capabilities during license term</w:t>
      </w:r>
    </w:p>
    <w:p>
      <w:pPr>
        <w:pStyle w:val="ListParagraph"/>
        <w:numPr>
          <w:ilvl w:val="0"/>
          <w:numId w:val="4"/>
        </w:numPr>
      </w:pPr>
      <w:r>
        <w:rPr>
          <w:rFonts w:ascii="Figtree" w:hAnsi="Figtree"/>
          <w:b w:val="0"/>
          <w:i w:val="0"/>
          <w:sz w:val="22"/>
        </w:rPr>
        <w:t>Premium Support package (24/7 P1, business hours P2/P3, named engineer)</w:t>
      </w:r>
    </w:p>
    <w:p>
      <w:pPr>
        <w:pStyle w:val="H3"/>
        <w:numPr>
          <w:ilvl w:val="2"/>
          <w:numId w:val="1"/>
        </w:numPr>
      </w:pPr>
      <w:r>
        <w:t>3.3 License Fee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64"/>
        <w:gridCol w:w="2592"/>
        <w:gridCol w:w="2736"/>
        <w:gridCol w:w="28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Production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Development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Annual License</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EUR 360,000</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480,000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EUR 360,000</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480,000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EUR 360,000</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480,000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EUR 360,000</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480,000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EUR 360,000</w:t>
            </w:r>
          </w:p>
        </w:tc>
        <w:tc>
          <w:tcPr>
            <w:tcW w:type="dxa" w:w="2436"/>
            <w:vAlign w:val="center"/>
          </w:tcPr>
          <w:p>
            <w:pPr>
              <w:spacing w:line="276" w:lineRule="auto" w:before="0" w:after="0"/>
            </w:pPr>
            <w:r/>
            <w:r>
              <w:rPr>
                <w:rFonts w:ascii="Figtree" w:hAnsi="Figtree"/>
                <w:b w:val="0"/>
                <w:i w:val="0"/>
                <w:sz w:val="20"/>
              </w:rPr>
              <w:t>EUR 120,000</w:t>
            </w:r>
          </w:p>
        </w:tc>
        <w:tc>
          <w:tcPr>
            <w:tcW w:type="dxa" w:w="2436"/>
            <w:vAlign w:val="center"/>
          </w:tcPr>
          <w:p>
            <w:pPr>
              <w:spacing w:line="276" w:lineRule="auto" w:before="0" w:after="0"/>
            </w:pPr>
            <w:r/>
            <w:r>
              <w:rPr>
                <w:rFonts w:ascii="Figtree" w:hAnsi="Figtree"/>
                <w:b w:val="0"/>
                <w:i w:val="0"/>
                <w:sz w:val="20"/>
              </w:rPr>
              <w:t>EUR 480,000</w:t>
            </w:r>
          </w:p>
        </w:tc>
      </w:tr>
    </w:tbl>
    <w:p>
      <w:pPr>
        <w:spacing w:before="0" w:after="0" w:line="120" w:lineRule="exact"/>
      </w:pPr>
    </w:p>
    <w:p>
      <w:r>
        <w:rPr>
          <w:rFonts w:ascii="Figtree" w:hAnsi="Figtree"/>
          <w:b w:val="0"/>
          <w:i w:val="0"/>
          <w:sz w:val="22"/>
        </w:rPr>
        <w:t>License fees are fixed for the initial 3-year term. Years 4 and 5 are subject to annual CPI adjustment capped at 3%.</w:t>
      </w:r>
    </w:p>
    <w:p>
      <w:r>
        <w:br w:type="page"/>
      </w:r>
    </w:p>
    <w:p>
      <w:pPr>
        <w:pStyle w:val="H2"/>
        <w:numPr>
          <w:ilvl w:val="1"/>
          <w:numId w:val="1"/>
        </w:numPr>
      </w:pPr>
      <w:r>
        <w:t>4. Implementation Services Pricing</w:t>
      </w:r>
    </w:p>
    <w:p>
      <w:pPr>
        <w:pStyle w:val="H3"/>
        <w:numPr>
          <w:ilvl w:val="2"/>
          <w:numId w:val="1"/>
        </w:numPr>
      </w:pPr>
      <w:r>
        <w:t>4.1 Implementation Phases and Costs</w:t>
      </w:r>
    </w:p>
    <w:p>
      <w:r>
        <w:rPr>
          <w:rFonts w:ascii="Figtree" w:hAnsi="Figtree"/>
          <w:b w:val="0"/>
          <w:i w:val="0"/>
          <w:sz w:val="22"/>
        </w:rPr>
        <w:t>Implementation services are priced on a time-and-materials basis within a capped budget. The following estimates are based on the 22-week programme described in the technical proposal: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41"/>
        <w:gridCol w:w="1134"/>
        <w:gridCol w:w="1417"/>
        <w:gridCol w:w="207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Days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 Cost (EUR)</w:t>
            </w:r>
          </w:p>
        </w:tc>
      </w:tr>
      <w:tr>
        <w:trPr>
          <w:trHeight w:val="425" w:hRule="atLeast"/>
        </w:trPr>
        <w:tc>
          <w:tcPr>
            <w:tcW w:type="dxa" w:w="2436"/>
            <w:vAlign w:val="center"/>
          </w:tcPr>
          <w:p>
            <w:pPr>
              <w:spacing w:line="276" w:lineRule="auto" w:before="0" w:after="0"/>
            </w:pPr>
            <w:r/>
            <w:r>
              <w:rPr>
                <w:rFonts w:ascii="Figtree" w:hAnsi="Figtree"/>
                <w:b w:val="0"/>
                <w:i w:val="0"/>
                <w:sz w:val="20"/>
              </w:rPr>
              <w:t>Phase 1: Architecture and Governance</w:t>
            </w:r>
          </w:p>
        </w:tc>
        <w:tc>
          <w:tcPr>
            <w:tcW w:type="dxa" w:w="2436"/>
            <w:vAlign w:val="center"/>
          </w:tcPr>
          <w:p>
            <w:pPr>
              <w:spacing w:line="276" w:lineRule="auto" w:before="0" w:after="0"/>
            </w:pPr>
            <w:r/>
            <w:r>
              <w:rPr>
                <w:rFonts w:ascii="Figtree" w:hAnsi="Figtree"/>
                <w:b w:val="0"/>
                <w:i w:val="0"/>
                <w:sz w:val="20"/>
              </w:rPr>
              <w:t>1 to 5</w:t>
            </w:r>
          </w:p>
        </w:tc>
        <w:tc>
          <w:tcPr>
            <w:tcW w:type="dxa" w:w="2436"/>
            <w:vAlign w:val="center"/>
          </w:tcPr>
          <w:p>
            <w:pPr>
              <w:spacing w:line="276" w:lineRule="auto" w:before="0" w:after="0"/>
            </w:pPr>
            <w:r/>
            <w:r>
              <w:rPr>
                <w:rFonts w:ascii="Figtree" w:hAnsi="Figtree"/>
                <w:b w:val="0"/>
                <w:i w:val="0"/>
                <w:sz w:val="20"/>
              </w:rPr>
              <w:t>35 days</w:t>
            </w:r>
          </w:p>
        </w:tc>
        <w:tc>
          <w:tcPr>
            <w:tcW w:type="dxa" w:w="2436"/>
            <w:vAlign w:val="center"/>
          </w:tcPr>
          <w:p>
            <w:pPr>
              <w:spacing w:line="276" w:lineRule="auto" w:before="0" w:after="0"/>
            </w:pPr>
            <w:r/>
            <w:r>
              <w:rPr>
                <w:rFonts w:ascii="Figtree" w:hAnsi="Figtree"/>
                <w:b w:val="0"/>
                <w:i w:val="0"/>
                <w:sz w:val="20"/>
              </w:rPr>
              <w:t>87,500 to 105,000</w:t>
            </w:r>
          </w:p>
        </w:tc>
      </w:tr>
      <w:tr>
        <w:trPr>
          <w:trHeight w:val="425" w:hRule="atLeast"/>
        </w:trPr>
        <w:tc>
          <w:tcPr>
            <w:tcW w:type="dxa" w:w="2436"/>
            <w:vAlign w:val="center"/>
          </w:tcPr>
          <w:p>
            <w:pPr>
              <w:spacing w:line="276" w:lineRule="auto" w:before="0" w:after="0"/>
            </w:pPr>
            <w:r/>
            <w:r>
              <w:rPr>
                <w:rFonts w:ascii="Figtree" w:hAnsi="Figtree"/>
                <w:b w:val="0"/>
                <w:i w:val="0"/>
                <w:sz w:val="20"/>
              </w:rPr>
              <w:t>Phase 2: Platform Deployment and Integration</w:t>
            </w:r>
          </w:p>
        </w:tc>
        <w:tc>
          <w:tcPr>
            <w:tcW w:type="dxa" w:w="2436"/>
            <w:vAlign w:val="center"/>
          </w:tcPr>
          <w:p>
            <w:pPr>
              <w:spacing w:line="276" w:lineRule="auto" w:before="0" w:after="0"/>
            </w:pPr>
            <w:r/>
            <w:r>
              <w:rPr>
                <w:rFonts w:ascii="Figtree" w:hAnsi="Figtree"/>
                <w:b w:val="0"/>
                <w:i w:val="0"/>
                <w:sz w:val="20"/>
              </w:rPr>
              <w:t>6 to 12</w:t>
            </w:r>
          </w:p>
        </w:tc>
        <w:tc>
          <w:tcPr>
            <w:tcW w:type="dxa" w:w="2436"/>
            <w:vAlign w:val="center"/>
          </w:tcPr>
          <w:p>
            <w:pPr>
              <w:spacing w:line="276" w:lineRule="auto" w:before="0" w:after="0"/>
            </w:pPr>
            <w:r/>
            <w:r>
              <w:rPr>
                <w:rFonts w:ascii="Figtree" w:hAnsi="Figtree"/>
                <w:b w:val="0"/>
                <w:i w:val="0"/>
                <w:sz w:val="20"/>
              </w:rPr>
              <w:t>55 days</w:t>
            </w:r>
          </w:p>
        </w:tc>
        <w:tc>
          <w:tcPr>
            <w:tcW w:type="dxa" w:w="2436"/>
            <w:vAlign w:val="center"/>
          </w:tcPr>
          <w:p>
            <w:pPr>
              <w:spacing w:line="276" w:lineRule="auto" w:before="0" w:after="0"/>
            </w:pPr>
            <w:r/>
            <w:r>
              <w:rPr>
                <w:rFonts w:ascii="Figtree" w:hAnsi="Figtree"/>
                <w:b w:val="0"/>
                <w:i w:val="0"/>
                <w:sz w:val="20"/>
              </w:rPr>
              <w:t>137,500 to 165,000</w:t>
            </w:r>
          </w:p>
        </w:tc>
      </w:tr>
      <w:tr>
        <w:trPr>
          <w:trHeight w:val="425" w:hRule="atLeast"/>
        </w:trPr>
        <w:tc>
          <w:tcPr>
            <w:tcW w:type="dxa" w:w="2436"/>
            <w:vAlign w:val="center"/>
          </w:tcPr>
          <w:p>
            <w:pPr>
              <w:spacing w:line="276" w:lineRule="auto" w:before="0" w:after="0"/>
            </w:pPr>
            <w:r/>
            <w:r>
              <w:rPr>
                <w:rFonts w:ascii="Figtree" w:hAnsi="Figtree"/>
                <w:b w:val="0"/>
                <w:i w:val="0"/>
                <w:sz w:val="20"/>
              </w:rPr>
              <w:t>Phase 3: Compliance Configuration and Testing</w:t>
            </w:r>
          </w:p>
        </w:tc>
        <w:tc>
          <w:tcPr>
            <w:tcW w:type="dxa" w:w="2436"/>
            <w:vAlign w:val="center"/>
          </w:tcPr>
          <w:p>
            <w:pPr>
              <w:spacing w:line="276" w:lineRule="auto" w:before="0" w:after="0"/>
            </w:pPr>
            <w:r/>
            <w:r>
              <w:rPr>
                <w:rFonts w:ascii="Figtree" w:hAnsi="Figtree"/>
                <w:b w:val="0"/>
                <w:i w:val="0"/>
                <w:sz w:val="20"/>
              </w:rPr>
              <w:t>13 to 18</w:t>
            </w:r>
          </w:p>
        </w:tc>
        <w:tc>
          <w:tcPr>
            <w:tcW w:type="dxa" w:w="2436"/>
            <w:vAlign w:val="center"/>
          </w:tcPr>
          <w:p>
            <w:pPr>
              <w:spacing w:line="276" w:lineRule="auto" w:before="0" w:after="0"/>
            </w:pPr>
            <w:r/>
            <w:r>
              <w:rPr>
                <w:rFonts w:ascii="Figtree" w:hAnsi="Figtree"/>
                <w:b w:val="0"/>
                <w:i w:val="0"/>
                <w:sz w:val="20"/>
              </w:rPr>
              <w:t>50 days</w:t>
            </w:r>
          </w:p>
        </w:tc>
        <w:tc>
          <w:tcPr>
            <w:tcW w:type="dxa" w:w="2436"/>
            <w:vAlign w:val="center"/>
          </w:tcPr>
          <w:p>
            <w:pPr>
              <w:spacing w:line="276" w:lineRule="auto" w:before="0" w:after="0"/>
            </w:pPr>
            <w:r/>
            <w:r>
              <w:rPr>
                <w:rFonts w:ascii="Figtree" w:hAnsi="Figtree"/>
                <w:b w:val="0"/>
                <w:i w:val="0"/>
                <w:sz w:val="20"/>
              </w:rPr>
              <w:t>125,000 to 150,000</w:t>
            </w:r>
          </w:p>
        </w:tc>
      </w:tr>
      <w:tr>
        <w:trPr>
          <w:trHeight w:val="425" w:hRule="atLeast"/>
        </w:trPr>
        <w:tc>
          <w:tcPr>
            <w:tcW w:type="dxa" w:w="2436"/>
            <w:vAlign w:val="center"/>
          </w:tcPr>
          <w:p>
            <w:pPr>
              <w:spacing w:line="276" w:lineRule="auto" w:before="0" w:after="0"/>
            </w:pPr>
            <w:r/>
            <w:r>
              <w:rPr>
                <w:rFonts w:ascii="Figtree" w:hAnsi="Figtree"/>
                <w:b w:val="0"/>
                <w:i w:val="0"/>
                <w:sz w:val="20"/>
              </w:rPr>
              <w:t>Phase 4: Production Cutover and Stabilization</w:t>
            </w:r>
          </w:p>
        </w:tc>
        <w:tc>
          <w:tcPr>
            <w:tcW w:type="dxa" w:w="2436"/>
            <w:vAlign w:val="center"/>
          </w:tcPr>
          <w:p>
            <w:pPr>
              <w:spacing w:line="276" w:lineRule="auto" w:before="0" w:after="0"/>
            </w:pPr>
            <w:r/>
            <w:r>
              <w:rPr>
                <w:rFonts w:ascii="Figtree" w:hAnsi="Figtree"/>
                <w:b w:val="0"/>
                <w:i w:val="0"/>
                <w:sz w:val="20"/>
              </w:rPr>
              <w:t>19 to 22</w:t>
            </w:r>
          </w:p>
        </w:tc>
        <w:tc>
          <w:tcPr>
            <w:tcW w:type="dxa" w:w="2436"/>
            <w:vAlign w:val="center"/>
          </w:tcPr>
          <w:p>
            <w:pPr>
              <w:spacing w:line="276" w:lineRule="auto" w:before="0" w:after="0"/>
            </w:pPr>
            <w:r/>
            <w:r>
              <w:rPr>
                <w:rFonts w:ascii="Figtree" w:hAnsi="Figtree"/>
                <w:b w:val="0"/>
                <w:i w:val="0"/>
                <w:sz w:val="20"/>
              </w:rPr>
              <w:t>30 days</w:t>
            </w:r>
          </w:p>
        </w:tc>
        <w:tc>
          <w:tcPr>
            <w:tcW w:type="dxa" w:w="2436"/>
            <w:vAlign w:val="center"/>
          </w:tcPr>
          <w:p>
            <w:pPr>
              <w:spacing w:line="276" w:lineRule="auto" w:before="0" w:after="0"/>
            </w:pPr>
            <w:r/>
            <w:r>
              <w:rPr>
                <w:rFonts w:ascii="Figtree" w:hAnsi="Figtree"/>
                <w:b w:val="0"/>
                <w:i w:val="0"/>
                <w:sz w:val="20"/>
              </w:rPr>
              <w:t>75,000 to 90,000</w:t>
            </w:r>
          </w:p>
        </w:tc>
      </w:tr>
      <w:tr>
        <w:trPr>
          <w:trHeight w:val="425" w:hRule="atLeast"/>
        </w:trPr>
        <w:tc>
          <w:tcPr>
            <w:tcW w:type="dxa" w:w="2436"/>
            <w:vAlign w:val="center"/>
          </w:tcPr>
          <w:p>
            <w:pPr>
              <w:spacing w:line="276" w:lineRule="auto" w:before="0" w:after="0"/>
            </w:pPr>
            <w:r/>
            <w:r>
              <w:rPr>
                <w:rFonts w:ascii="Figtree" w:hAnsi="Figtree"/>
                <w:b w:val="0"/>
                <w:i w:val="0"/>
                <w:sz w:val="20"/>
              </w:rPr>
              <w:t>Travel and Expenses (estimated, actuals billed)</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25,000 to 35,000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 (indicative)</w:t>
            </w:r>
          </w:p>
        </w:tc>
        <w:tc>
          <w:tcPr>
            <w:tcW w:type="dxa" w:w="2436"/>
            <w:vAlign w:val="center"/>
          </w:tcPr>
          <w:p>
            <w:pPr>
              <w:spacing w:line="276" w:lineRule="auto" w:before="0" w:after="0"/>
            </w:pPr>
            <w:r/>
            <w:r>
              <w:rPr>
                <w:rFonts w:ascii="Figtree" w:hAnsi="Figtree"/>
                <w:b/>
                <w:i w:val="0"/>
                <w:sz w:val="20"/>
              </w:rPr>
              <w:t>22 weeks</w:t>
            </w:r>
          </w:p>
        </w:tc>
        <w:tc>
          <w:tcPr>
            <w:tcW w:type="dxa" w:w="2436"/>
            <w:vAlign w:val="center"/>
          </w:tcPr>
          <w:p>
            <w:pPr>
              <w:spacing w:line="276" w:lineRule="auto" w:before="0" w:after="0"/>
            </w:pPr>
            <w:r/>
            <w:r>
              <w:rPr>
                <w:rFonts w:ascii="Figtree" w:hAnsi="Figtree"/>
                <w:b/>
                <w:i w:val="0"/>
                <w:sz w:val="20"/>
              </w:rPr>
              <w:t>170 days</w:t>
            </w:r>
          </w:p>
        </w:tc>
        <w:tc>
          <w:tcPr>
            <w:tcW w:type="dxa" w:w="2436"/>
            <w:vAlign w:val="center"/>
          </w:tcPr>
          <w:p>
            <w:pPr>
              <w:spacing w:line="276" w:lineRule="auto" w:before="0" w:after="0"/>
            </w:pPr>
            <w:r/>
            <w:r>
              <w:rPr>
                <w:rFonts w:ascii="Figtree" w:hAnsi="Figtree"/>
                <w:b/>
                <w:i w:val="0"/>
                <w:sz w:val="20"/>
              </w:rPr>
              <w:t>450,000 to 545,000</w:t>
            </w:r>
          </w:p>
        </w:tc>
      </w:tr>
    </w:tbl>
    <w:p>
      <w:pPr>
        <w:spacing w:before="0" w:after="0" w:line="120" w:lineRule="exact"/>
      </w:pPr>
    </w:p>
    <w:p>
      <w:r>
        <w:rPr>
          <w:rFonts w:ascii="Figtree" w:hAnsi="Figtree"/>
          <w:b w:val="0"/>
          <w:i/>
          <w:sz w:val="22"/>
        </w:rPr>
        <w:t>Day rate: EUR 2,500 per consultant day (Solution Architect, Programme Manager, Integration Engineer). Key Management Specialist: EUR 3,000 per day. Travel and expenses billed at cost with receipts.</w:t>
      </w:r>
    </w:p>
    <w:p>
      <w:pPr>
        <w:pStyle w:val="H3"/>
        <w:numPr>
          <w:ilvl w:val="2"/>
          <w:numId w:val="1"/>
        </w:numPr>
      </w:pPr>
      <w:r>
        <w:t>4.2 Bank of China Resource Requirements</w:t>
      </w:r>
    </w:p>
    <w:p>
      <w:r>
        <w:rPr>
          <w:rFonts w:ascii="Figtree" w:hAnsi="Figtree"/>
          <w:b w:val="0"/>
          <w:i w:val="0"/>
          <w:sz w:val="22"/>
        </w:rPr>
        <w:t>Bank of China's implementation resource commitment affects both programme cost and timeline. The following BOC resources are required at no cost to SettleMint's commercial: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5"/>
        <w:gridCol w:w="4187"/>
        <w:gridCol w:w="191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w:t>
            </w:r>
          </w:p>
        </w:tc>
      </w:tr>
      <w:tr>
        <w:trPr>
          <w:trHeight w:val="425" w:hRule="atLeast"/>
        </w:trPr>
        <w:tc>
          <w:tcPr>
            <w:tcW w:type="dxa" w:w="3249"/>
            <w:vAlign w:val="center"/>
          </w:tcPr>
          <w:p>
            <w:pPr>
              <w:spacing w:line="276" w:lineRule="auto" w:before="0" w:after="0"/>
            </w:pPr>
            <w:r/>
            <w:r>
              <w:rPr>
                <w:rFonts w:ascii="Figtree" w:hAnsi="Figtree"/>
                <w:b w:val="0"/>
                <w:i w:val="0"/>
                <w:sz w:val="20"/>
              </w:rPr>
              <w:t>Technology Lead</w:t>
            </w:r>
          </w:p>
        </w:tc>
        <w:tc>
          <w:tcPr>
            <w:tcW w:type="dxa" w:w="3249"/>
            <w:vAlign w:val="center"/>
          </w:tcPr>
          <w:p>
            <w:pPr>
              <w:spacing w:line="276" w:lineRule="auto" w:before="0" w:after="0"/>
            </w:pPr>
            <w:r/>
            <w:r>
              <w:rPr>
                <w:rFonts w:ascii="Figtree" w:hAnsi="Figtree"/>
                <w:b w:val="0"/>
                <w:i w:val="0"/>
                <w:sz w:val="20"/>
              </w:rPr>
              <w:t>Full-time (5 days/week)</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Compliance SME</w:t>
            </w:r>
          </w:p>
        </w:tc>
        <w:tc>
          <w:tcPr>
            <w:tcW w:type="dxa" w:w="3249"/>
            <w:vAlign w:val="center"/>
          </w:tcPr>
          <w:p>
            <w:pPr>
              <w:spacing w:line="276" w:lineRule="auto" w:before="0" w:after="0"/>
            </w:pPr>
            <w:r/>
            <w:r>
              <w:rPr>
                <w:rFonts w:ascii="Figtree" w:hAnsi="Figtree"/>
                <w:b w:val="0"/>
                <w:i w:val="0"/>
                <w:sz w:val="20"/>
              </w:rPr>
              <w:t>Part-time (3 days/week)</w:t>
            </w:r>
          </w:p>
        </w:tc>
        <w:tc>
          <w:tcPr>
            <w:tcW w:type="dxa" w:w="3249"/>
            <w:vAlign w:val="center"/>
          </w:tcPr>
          <w:p>
            <w:pPr>
              <w:spacing w:line="276" w:lineRule="auto" w:before="0" w:after="0"/>
            </w:pPr>
            <w:r/>
            <w:r>
              <w:rPr>
                <w:rFonts w:ascii="Figtree" w:hAnsi="Figtree"/>
                <w:b w:val="0"/>
                <w:i w:val="0"/>
                <w:sz w:val="20"/>
              </w:rPr>
              <w:t>Phases 1, 3</w:t>
            </w:r>
          </w:p>
        </w:tc>
      </w:tr>
      <w:tr>
        <w:trPr>
          <w:trHeight w:val="425" w:hRule="atLeast"/>
        </w:trPr>
        <w:tc>
          <w:tcPr>
            <w:tcW w:type="dxa" w:w="3249"/>
            <w:vAlign w:val="center"/>
          </w:tcPr>
          <w:p>
            <w:pPr>
              <w:spacing w:line="276" w:lineRule="auto" w:before="0" w:after="0"/>
            </w:pPr>
            <w:r/>
            <w:r>
              <w:rPr>
                <w:rFonts w:ascii="Figtree" w:hAnsi="Figtree"/>
                <w:b w:val="0"/>
                <w:i w:val="0"/>
                <w:sz w:val="20"/>
              </w:rPr>
              <w:t>CIPS/SWIFT SME</w:t>
            </w:r>
          </w:p>
        </w:tc>
        <w:tc>
          <w:tcPr>
            <w:tcW w:type="dxa" w:w="3249"/>
            <w:vAlign w:val="center"/>
          </w:tcPr>
          <w:p>
            <w:pPr>
              <w:spacing w:line="276" w:lineRule="auto" w:before="0" w:after="0"/>
            </w:pPr>
            <w:r/>
            <w:r>
              <w:rPr>
                <w:rFonts w:ascii="Figtree" w:hAnsi="Figtree"/>
                <w:b w:val="0"/>
                <w:i w:val="0"/>
                <w:sz w:val="20"/>
              </w:rPr>
              <w:t>Part-time (3 days/week)</w:t>
            </w:r>
          </w:p>
        </w:tc>
        <w:tc>
          <w:tcPr>
            <w:tcW w:type="dxa" w:w="3249"/>
            <w:vAlign w:val="center"/>
          </w:tcPr>
          <w:p>
            <w:pPr>
              <w:spacing w:line="276" w:lineRule="auto" w:before="0" w:after="0"/>
            </w:pPr>
            <w:r/>
            <w:r>
              <w:rPr>
                <w:rFonts w:ascii="Figtree" w:hAnsi="Figtree"/>
                <w:b w:val="0"/>
                <w:i w:val="0"/>
                <w:sz w:val="20"/>
              </w:rPr>
              <w:t>Phases 1, 2</w:t>
            </w:r>
          </w:p>
        </w:tc>
      </w:tr>
      <w:tr>
        <w:trPr>
          <w:trHeight w:val="425" w:hRule="atLeast"/>
        </w:trPr>
        <w:tc>
          <w:tcPr>
            <w:tcW w:type="dxa" w:w="3249"/>
            <w:vAlign w:val="center"/>
          </w:tcPr>
          <w:p>
            <w:pPr>
              <w:spacing w:line="276" w:lineRule="auto" w:before="0" w:after="0"/>
            </w:pPr>
            <w:r/>
            <w:r>
              <w:rPr>
                <w:rFonts w:ascii="Figtree" w:hAnsi="Figtree"/>
                <w:b w:val="0"/>
                <w:i w:val="0"/>
                <w:sz w:val="20"/>
              </w:rPr>
              <w:t>HSM/Security Lead</w:t>
            </w:r>
          </w:p>
        </w:tc>
        <w:tc>
          <w:tcPr>
            <w:tcW w:type="dxa" w:w="3249"/>
            <w:vAlign w:val="center"/>
          </w:tcPr>
          <w:p>
            <w:pPr>
              <w:spacing w:line="276" w:lineRule="auto" w:before="0" w:after="0"/>
            </w:pPr>
            <w:r/>
            <w:r>
              <w:rPr>
                <w:rFonts w:ascii="Figtree" w:hAnsi="Figtree"/>
                <w:b w:val="0"/>
                <w:i w:val="0"/>
                <w:sz w:val="20"/>
              </w:rPr>
              <w:t>Part-time (3 days/week)</w:t>
            </w:r>
          </w:p>
        </w:tc>
        <w:tc>
          <w:tcPr>
            <w:tcW w:type="dxa" w:w="3249"/>
            <w:vAlign w:val="center"/>
          </w:tcPr>
          <w:p>
            <w:pPr>
              <w:spacing w:line="276" w:lineRule="auto" w:before="0" w:after="0"/>
            </w:pPr>
            <w:r/>
            <w:r>
              <w:rPr>
                <w:rFonts w:ascii="Figtree" w:hAnsi="Figtree"/>
                <w:b w:val="0"/>
                <w:i w:val="0"/>
                <w:sz w:val="20"/>
              </w:rPr>
              <w:t>Phases 1, 2</w:t>
            </w:r>
          </w:p>
        </w:tc>
      </w:tr>
      <w:tr>
        <w:trPr>
          <w:trHeight w:val="425" w:hRule="atLeast"/>
        </w:trPr>
        <w:tc>
          <w:tcPr>
            <w:tcW w:type="dxa" w:w="3249"/>
            <w:vAlign w:val="center"/>
          </w:tcPr>
          <w:p>
            <w:pPr>
              <w:spacing w:line="276" w:lineRule="auto" w:before="0" w:after="0"/>
            </w:pPr>
            <w:r/>
            <w:r>
              <w:rPr>
                <w:rFonts w:ascii="Figtree" w:hAnsi="Figtree"/>
                <w:b w:val="0"/>
                <w:i w:val="0"/>
                <w:sz w:val="20"/>
              </w:rPr>
              <w:t>Operations Lead</w:t>
            </w:r>
          </w:p>
        </w:tc>
        <w:tc>
          <w:tcPr>
            <w:tcW w:type="dxa" w:w="3249"/>
            <w:vAlign w:val="center"/>
          </w:tcPr>
          <w:p>
            <w:pPr>
              <w:spacing w:line="276" w:lineRule="auto" w:before="0" w:after="0"/>
            </w:pPr>
            <w:r/>
            <w:r>
              <w:rPr>
                <w:rFonts w:ascii="Figtree" w:hAnsi="Figtree"/>
                <w:b w:val="0"/>
                <w:i w:val="0"/>
                <w:sz w:val="20"/>
              </w:rPr>
              <w:t>Full-time (5 days/week)</w:t>
            </w:r>
          </w:p>
        </w:tc>
        <w:tc>
          <w:tcPr>
            <w:tcW w:type="dxa" w:w="3249"/>
            <w:vAlign w:val="center"/>
          </w:tcPr>
          <w:p>
            <w:pPr>
              <w:spacing w:line="276" w:lineRule="auto" w:before="0" w:after="0"/>
            </w:pPr>
            <w:r/>
            <w:r>
              <w:rPr>
                <w:rFonts w:ascii="Figtree" w:hAnsi="Figtree"/>
                <w:b w:val="0"/>
                <w:i w:val="0"/>
                <w:sz w:val="20"/>
              </w:rPr>
              <w:t>Phases 3, 4</w:t>
            </w:r>
          </w:p>
        </w:tc>
      </w:tr>
      <w:tr>
        <w:trPr>
          <w:trHeight w:val="425" w:hRule="atLeast"/>
        </w:trPr>
        <w:tc>
          <w:tcPr>
            <w:tcW w:type="dxa" w:w="3249"/>
            <w:vAlign w:val="center"/>
          </w:tcPr>
          <w:p>
            <w:pPr>
              <w:spacing w:line="276" w:lineRule="auto" w:before="0" w:after="0"/>
            </w:pPr>
            <w:r/>
            <w:r>
              <w:rPr>
                <w:rFonts w:ascii="Figtree" w:hAnsi="Figtree"/>
                <w:b w:val="0"/>
                <w:i w:val="0"/>
                <w:sz w:val="20"/>
              </w:rPr>
              <w:t>Legal Counsel</w:t>
            </w:r>
          </w:p>
        </w:tc>
        <w:tc>
          <w:tcPr>
            <w:tcW w:type="dxa" w:w="3249"/>
            <w:vAlign w:val="center"/>
          </w:tcPr>
          <w:p>
            <w:pPr>
              <w:spacing w:line="276" w:lineRule="auto" w:before="0" w:after="0"/>
            </w:pPr>
            <w:r/>
            <w:r>
              <w:rPr>
                <w:rFonts w:ascii="Figtree" w:hAnsi="Figtree"/>
                <w:b w:val="0"/>
                <w:i w:val="0"/>
                <w:sz w:val="20"/>
              </w:rPr>
              <w:t>Part-time (1 day/week)</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Business Sponsor</w:t>
            </w:r>
          </w:p>
        </w:tc>
        <w:tc>
          <w:tcPr>
            <w:tcW w:type="dxa" w:w="3249"/>
            <w:vAlign w:val="center"/>
          </w:tcPr>
          <w:p>
            <w:pPr>
              <w:spacing w:line="276" w:lineRule="auto" w:before="0" w:after="0"/>
            </w:pPr>
            <w:r/>
            <w:r>
              <w:rPr>
                <w:rFonts w:ascii="Figtree" w:hAnsi="Figtree"/>
                <w:b w:val="0"/>
                <w:i w:val="0"/>
                <w:sz w:val="20"/>
              </w:rPr>
              <w:t>Part-time (0.5 day/week)</w:t>
            </w:r>
          </w:p>
        </w:tc>
        <w:tc>
          <w:tcPr>
            <w:tcW w:type="dxa" w:w="3249"/>
            <w:vAlign w:val="center"/>
          </w:tcPr>
          <w:p>
            <w:pPr>
              <w:spacing w:line="276" w:lineRule="auto" w:before="0" w:after="0"/>
            </w:pPr>
            <w:r/>
            <w:r>
              <w:rPr>
                <w:rFonts w:ascii="Figtree" w:hAnsi="Figtree"/>
                <w:b w:val="0"/>
                <w:i w:val="0"/>
                <w:sz w:val="20"/>
              </w:rPr>
              <w:t>All phases</w:t>
            </w:r>
          </w:p>
        </w:tc>
      </w:tr>
    </w:tbl>
    <w:p>
      <w:pPr>
        <w:spacing w:before="0" w:after="0" w:line="120" w:lineRule="exact"/>
      </w:pPr>
    </w:p>
    <w:p>
      <w:r>
        <w:rPr>
          <w:rFonts w:ascii="Figtree" w:hAnsi="Figtree"/>
          <w:b w:val="0"/>
          <w:i w:val="0"/>
          <w:sz w:val="22"/>
        </w:rPr>
        <w:t>Under-resourcing of BOC's implementation team is a material programme risk. SettleMint reserves the right to adjust the timeline and re-price implementation services if BOC resource commitments are not met per the agreed resource plan.</w:t>
      </w:r>
    </w:p>
    <w:p>
      <w:pPr>
        <w:pStyle w:val="H3"/>
        <w:numPr>
          <w:ilvl w:val="2"/>
          <w:numId w:val="1"/>
        </w:numPr>
      </w:pPr>
      <w:r>
        <w:t>4.3 Optional Implementation Add-Ons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2"/>
        <w:gridCol w:w="4889"/>
        <w:gridCol w:w="20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Add-On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UAT Support</w:t>
            </w:r>
          </w:p>
        </w:tc>
        <w:tc>
          <w:tcPr>
            <w:tcW w:type="dxa" w:w="3249"/>
            <w:vAlign w:val="center"/>
          </w:tcPr>
          <w:p>
            <w:pPr>
              <w:spacing w:line="276" w:lineRule="auto" w:before="0" w:after="0"/>
            </w:pPr>
            <w:r/>
            <w:r>
              <w:rPr>
                <w:rFonts w:ascii="Figtree" w:hAnsi="Figtree"/>
                <w:b w:val="0"/>
                <w:i w:val="0"/>
                <w:sz w:val="20"/>
              </w:rPr>
              <w:t>Extended UAT execution support (beyond standard 10 days)</w:t>
            </w:r>
          </w:p>
        </w:tc>
        <w:tc>
          <w:tcPr>
            <w:tcW w:type="dxa" w:w="3249"/>
            <w:vAlign w:val="center"/>
          </w:tcPr>
          <w:p>
            <w:pPr>
              <w:spacing w:line="276" w:lineRule="auto" w:before="0" w:after="0"/>
            </w:pPr>
            <w:r/>
            <w:r>
              <w:rPr>
                <w:rFonts w:ascii="Figtree" w:hAnsi="Figtree"/>
                <w:b w:val="0"/>
                <w:i w:val="0"/>
                <w:sz w:val="20"/>
              </w:rPr>
              <w:t>EUR 2,500/day</w:t>
            </w:r>
          </w:p>
        </w:tc>
      </w:tr>
      <w:tr>
        <w:trPr>
          <w:trHeight w:val="425" w:hRule="atLeast"/>
        </w:trPr>
        <w:tc>
          <w:tcPr>
            <w:tcW w:type="dxa" w:w="3249"/>
            <w:vAlign w:val="center"/>
          </w:tcPr>
          <w:p>
            <w:pPr>
              <w:spacing w:line="276" w:lineRule="auto" w:before="0" w:after="0"/>
            </w:pPr>
            <w:r/>
            <w:r>
              <w:rPr>
                <w:rFonts w:ascii="Figtree" w:hAnsi="Figtree"/>
                <w:b w:val="0"/>
                <w:i w:val="0"/>
                <w:sz w:val="20"/>
              </w:rPr>
              <w:t>Regulatory Evidence Pack</w:t>
            </w:r>
          </w:p>
        </w:tc>
        <w:tc>
          <w:tcPr>
            <w:tcW w:type="dxa" w:w="3249"/>
            <w:vAlign w:val="center"/>
          </w:tcPr>
          <w:p>
            <w:pPr>
              <w:spacing w:line="276" w:lineRule="auto" w:before="0" w:after="0"/>
            </w:pPr>
            <w:r/>
            <w:r>
              <w:rPr>
                <w:rFonts w:ascii="Figtree" w:hAnsi="Figtree"/>
                <w:b w:val="0"/>
                <w:i w:val="0"/>
                <w:sz w:val="20"/>
              </w:rPr>
              <w:t>Preparation of PBOC/SAFE-specific evidence documentation</w:t>
            </w:r>
          </w:p>
        </w:tc>
        <w:tc>
          <w:tcPr>
            <w:tcW w:type="dxa" w:w="3249"/>
            <w:vAlign w:val="center"/>
          </w:tcPr>
          <w:p>
            <w:pPr>
              <w:spacing w:line="276" w:lineRule="auto" w:before="0" w:after="0"/>
            </w:pPr>
            <w:r/>
            <w:r>
              <w:rPr>
                <w:rFonts w:ascii="Figtree" w:hAnsi="Figtree"/>
                <w:b w:val="0"/>
                <w:i w:val="0"/>
                <w:sz w:val="20"/>
              </w:rPr>
              <w:t>EUR 25,000 to 40,000</w:t>
            </w:r>
          </w:p>
        </w:tc>
      </w:tr>
      <w:tr>
        <w:trPr>
          <w:trHeight w:val="425" w:hRule="atLeast"/>
        </w:trPr>
        <w:tc>
          <w:tcPr>
            <w:tcW w:type="dxa" w:w="3249"/>
            <w:vAlign w:val="center"/>
          </w:tcPr>
          <w:p>
            <w:pPr>
              <w:spacing w:line="276" w:lineRule="auto" w:before="0" w:after="0"/>
            </w:pPr>
            <w:r/>
            <w:r>
              <w:rPr>
                <w:rFonts w:ascii="Figtree" w:hAnsi="Figtree"/>
                <w:b w:val="0"/>
                <w:i w:val="0"/>
                <w:sz w:val="20"/>
              </w:rPr>
              <w:t>Additional Pilot Counterparty Onboarding</w:t>
            </w:r>
          </w:p>
        </w:tc>
        <w:tc>
          <w:tcPr>
            <w:tcW w:type="dxa" w:w="3249"/>
            <w:vAlign w:val="center"/>
          </w:tcPr>
          <w:p>
            <w:pPr>
              <w:spacing w:line="276" w:lineRule="auto" w:before="0" w:after="0"/>
            </w:pPr>
            <w:r/>
            <w:r>
              <w:rPr>
                <w:rFonts w:ascii="Figtree" w:hAnsi="Figtree"/>
                <w:b w:val="0"/>
                <w:i w:val="0"/>
                <w:sz w:val="20"/>
              </w:rPr>
              <w:t>Onboarding support for more than 10 initial counterparties</w:t>
            </w:r>
          </w:p>
        </w:tc>
        <w:tc>
          <w:tcPr>
            <w:tcW w:type="dxa" w:w="3249"/>
            <w:vAlign w:val="center"/>
          </w:tcPr>
          <w:p>
            <w:pPr>
              <w:spacing w:line="276" w:lineRule="auto" w:before="0" w:after="0"/>
            </w:pPr>
            <w:r/>
            <w:r>
              <w:rPr>
                <w:rFonts w:ascii="Figtree" w:hAnsi="Figtree"/>
                <w:b w:val="0"/>
                <w:i w:val="0"/>
                <w:sz w:val="20"/>
              </w:rPr>
              <w:t>EUR 1,500 per additional counterparty</w:t>
            </w:r>
          </w:p>
        </w:tc>
      </w:tr>
      <w:tr>
        <w:trPr>
          <w:trHeight w:val="425" w:hRule="atLeast"/>
        </w:trPr>
        <w:tc>
          <w:tcPr>
            <w:tcW w:type="dxa" w:w="3249"/>
            <w:vAlign w:val="center"/>
          </w:tcPr>
          <w:p>
            <w:pPr>
              <w:spacing w:line="276" w:lineRule="auto" w:before="0" w:after="0"/>
            </w:pPr>
            <w:r/>
            <w:r>
              <w:rPr>
                <w:rFonts w:ascii="Figtree" w:hAnsi="Figtree"/>
                <w:b w:val="0"/>
                <w:i w:val="0"/>
                <w:sz w:val="20"/>
              </w:rPr>
              <w:t>Multi-Currency Corridor Setup</w:t>
            </w:r>
          </w:p>
        </w:tc>
        <w:tc>
          <w:tcPr>
            <w:tcW w:type="dxa" w:w="3249"/>
            <w:vAlign w:val="center"/>
          </w:tcPr>
          <w:p>
            <w:pPr>
              <w:spacing w:line="276" w:lineRule="auto" w:before="0" w:after="0"/>
            </w:pPr>
            <w:r/>
            <w:r>
              <w:rPr>
                <w:rFonts w:ascii="Figtree" w:hAnsi="Figtree"/>
                <w:b w:val="0"/>
                <w:i w:val="0"/>
                <w:sz w:val="20"/>
              </w:rPr>
              <w:t>Configuration and testing for each additional currency corridor beyond CNY/USD and CNY/EUR</w:t>
            </w:r>
          </w:p>
        </w:tc>
        <w:tc>
          <w:tcPr>
            <w:tcW w:type="dxa" w:w="3249"/>
            <w:vAlign w:val="center"/>
          </w:tcPr>
          <w:p>
            <w:pPr>
              <w:spacing w:line="276" w:lineRule="auto" w:before="0" w:after="0"/>
            </w:pPr>
            <w:r/>
            <w:r>
              <w:rPr>
                <w:rFonts w:ascii="Figtree" w:hAnsi="Figtree"/>
                <w:b w:val="0"/>
                <w:i w:val="0"/>
                <w:sz w:val="20"/>
              </w:rPr>
              <w:t>EUR 30,000 to 50,000 per corridor</w:t>
            </w:r>
          </w:p>
        </w:tc>
      </w:tr>
      <w:tr>
        <w:trPr>
          <w:trHeight w:val="425" w:hRule="atLeast"/>
        </w:trPr>
        <w:tc>
          <w:tcPr>
            <w:tcW w:type="dxa" w:w="3249"/>
            <w:vAlign w:val="center"/>
          </w:tcPr>
          <w:p>
            <w:pPr>
              <w:spacing w:line="276" w:lineRule="auto" w:before="0" w:after="0"/>
            </w:pPr>
            <w:r/>
            <w:r>
              <w:rPr>
                <w:rFonts w:ascii="Figtree" w:hAnsi="Figtree"/>
                <w:b w:val="0"/>
                <w:i w:val="0"/>
                <w:sz w:val="20"/>
              </w:rPr>
              <w:t>Advanced Reporting Configuration</w:t>
            </w:r>
          </w:p>
        </w:tc>
        <w:tc>
          <w:tcPr>
            <w:tcW w:type="dxa" w:w="3249"/>
            <w:vAlign w:val="center"/>
          </w:tcPr>
          <w:p>
            <w:pPr>
              <w:spacing w:line="276" w:lineRule="auto" w:before="0" w:after="0"/>
            </w:pPr>
            <w:r/>
            <w:r>
              <w:rPr>
                <w:rFonts w:ascii="Figtree" w:hAnsi="Figtree"/>
                <w:b w:val="0"/>
                <w:i w:val="0"/>
                <w:sz w:val="20"/>
              </w:rPr>
              <w:t>Custom Grafana dashboard development beyond pre-built set</w:t>
            </w:r>
          </w:p>
        </w:tc>
        <w:tc>
          <w:tcPr>
            <w:tcW w:type="dxa" w:w="3249"/>
            <w:vAlign w:val="center"/>
          </w:tcPr>
          <w:p>
            <w:pPr>
              <w:spacing w:line="276" w:lineRule="auto" w:before="0" w:after="0"/>
            </w:pPr>
            <w:r/>
            <w:r>
              <w:rPr>
                <w:rFonts w:ascii="Figtree" w:hAnsi="Figtree"/>
                <w:b w:val="0"/>
                <w:i w:val="0"/>
                <w:sz w:val="20"/>
              </w:rPr>
              <w:t>EUR 15,000 to 25,000</w:t>
            </w:r>
          </w:p>
        </w:tc>
      </w:tr>
    </w:tbl>
    <w:p>
      <w:pPr>
        <w:spacing w:before="0" w:after="0" w:line="120" w:lineRule="exact"/>
      </w:pPr>
    </w:p>
    <w:p>
      <w:r>
        <w:br w:type="page"/>
      </w:r>
    </w:p>
    <w:p>
      <w:pPr>
        <w:pStyle w:val="H2"/>
        <w:numPr>
          <w:ilvl w:val="1"/>
          <w:numId w:val="1"/>
        </w:numPr>
      </w:pPr>
      <w:r>
        <w:t>5. Environment and Infrastructure Costs</w:t>
      </w:r>
    </w:p>
    <w:p>
      <w:pPr>
        <w:pStyle w:val="H3"/>
        <w:numPr>
          <w:ilvl w:val="2"/>
          <w:numId w:val="1"/>
        </w:numPr>
      </w:pPr>
      <w:r>
        <w:t>5.1 Infrastructure Cost Structure</w:t>
      </w:r>
    </w:p>
    <w:p>
      <w:r>
        <w:rPr>
          <w:rFonts w:ascii="Figtree" w:hAnsi="Figtree"/>
          <w:b w:val="0"/>
          <w:i w:val="0"/>
          <w:sz w:val="22"/>
        </w:rPr>
        <w:t>SettleMint does not provide or resell infrastructure. Bank of China provides its own on-premises hardware for production and DR environments, and its own private cloud (Alibaba Cloud, Tencent Cloud, or Huawei Cloud) for non-production environments.</w:t>
      </w:r>
    </w:p>
    <w:p>
      <w:r>
        <w:rPr>
          <w:rFonts w:ascii="Figtree" w:hAnsi="Figtree"/>
          <w:b/>
          <w:i w:val="0"/>
          <w:sz w:val="22"/>
        </w:rPr>
        <w:t>On-Premises Production Infrastructure (Bank of China CAPEX):</w:t>
      </w:r>
    </w:p>
    <w:p>
      <w:r>
        <w:rPr>
          <w:rFonts w:ascii="Figtree" w:hAnsi="Figtree"/>
          <w:b w:val="0"/>
          <w:i w:val="0"/>
          <w:sz w:val="22"/>
        </w:rPr>
        <w:t>The following hardware configuration is required for production and DR. Sizing is based on estimated 200 payments per hour sustained throughput at 2x peak headroom: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482"/>
        <w:gridCol w:w="3053"/>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Quantity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Unit Cost (EUR)</w:t>
            </w:r>
          </w:p>
        </w:tc>
      </w:tr>
      <w:tr>
        <w:trPr>
          <w:trHeight w:val="425" w:hRule="atLeast"/>
        </w:trPr>
        <w:tc>
          <w:tcPr>
            <w:tcW w:type="dxa" w:w="2436"/>
            <w:vAlign w:val="center"/>
          </w:tcPr>
          <w:p>
            <w:pPr>
              <w:spacing w:line="276" w:lineRule="auto" w:before="0" w:after="0"/>
            </w:pPr>
            <w:r/>
            <w:r>
              <w:rPr>
                <w:rFonts w:ascii="Figtree" w:hAnsi="Figtree"/>
                <w:b w:val="0"/>
                <w:i w:val="0"/>
                <w:sz w:val="20"/>
              </w:rPr>
              <w:t>Application servers</w:t>
            </w:r>
          </w:p>
        </w:tc>
        <w:tc>
          <w:tcPr>
            <w:tcW w:type="dxa" w:w="2436"/>
            <w:vAlign w:val="center"/>
          </w:tcPr>
          <w:p>
            <w:pPr>
              <w:spacing w:line="276" w:lineRule="auto" w:before="0" w:after="0"/>
            </w:pPr>
            <w:r/>
            <w:r>
              <w:rPr>
                <w:rFonts w:ascii="Figtree" w:hAnsi="Figtree"/>
                <w:b w:val="0"/>
                <w:i w:val="0"/>
                <w:sz w:val="20"/>
              </w:rPr>
              <w:t>6 (3 prod + 3 DR)</w:t>
            </w:r>
          </w:p>
        </w:tc>
        <w:tc>
          <w:tcPr>
            <w:tcW w:type="dxa" w:w="2436"/>
            <w:vAlign w:val="center"/>
          </w:tcPr>
          <w:p>
            <w:pPr>
              <w:spacing w:line="276" w:lineRule="auto" w:before="0" w:after="0"/>
            </w:pPr>
            <w:r/>
            <w:r>
              <w:rPr>
                <w:rFonts w:ascii="Figtree" w:hAnsi="Figtree"/>
                <w:b w:val="0"/>
                <w:i w:val="0"/>
                <w:sz w:val="20"/>
              </w:rPr>
              <w:t>16-core CPU, 64GB RAM, 500GB SSD</w:t>
            </w:r>
          </w:p>
        </w:tc>
        <w:tc>
          <w:tcPr>
            <w:tcW w:type="dxa" w:w="2436"/>
            <w:vAlign w:val="center"/>
          </w:tcPr>
          <w:p>
            <w:pPr>
              <w:spacing w:line="276" w:lineRule="auto" w:before="0" w:after="0"/>
            </w:pPr>
            <w:r/>
            <w:r>
              <w:rPr>
                <w:rFonts w:ascii="Figtree" w:hAnsi="Figtree"/>
                <w:b w:val="0"/>
                <w:i w:val="0"/>
                <w:sz w:val="20"/>
              </w:rPr>
              <w:t>15,000 to 25,000 each</w:t>
            </w:r>
          </w:p>
        </w:tc>
      </w:tr>
      <w:tr>
        <w:trPr>
          <w:trHeight w:val="425" w:hRule="atLeast"/>
        </w:trPr>
        <w:tc>
          <w:tcPr>
            <w:tcW w:type="dxa" w:w="2436"/>
            <w:vAlign w:val="center"/>
          </w:tcPr>
          <w:p>
            <w:pPr>
              <w:spacing w:line="276" w:lineRule="auto" w:before="0" w:after="0"/>
            </w:pPr>
            <w:r/>
            <w:r>
              <w:rPr>
                <w:rFonts w:ascii="Figtree" w:hAnsi="Figtree"/>
                <w:b w:val="0"/>
                <w:i w:val="0"/>
                <w:sz w:val="20"/>
              </w:rPr>
              <w:t>Blockchain validator nodes</w:t>
            </w:r>
          </w:p>
        </w:tc>
        <w:tc>
          <w:tcPr>
            <w:tcW w:type="dxa" w:w="2436"/>
            <w:vAlign w:val="center"/>
          </w:tcPr>
          <w:p>
            <w:pPr>
              <w:spacing w:line="276" w:lineRule="auto" w:before="0" w:after="0"/>
            </w:pPr>
            <w:r/>
            <w:r>
              <w:rPr>
                <w:rFonts w:ascii="Figtree" w:hAnsi="Figtree"/>
                <w:b w:val="0"/>
                <w:i w:val="0"/>
                <w:sz w:val="20"/>
              </w:rPr>
              <w:t>5 (3 prod + 2 DR)</w:t>
            </w:r>
          </w:p>
        </w:tc>
        <w:tc>
          <w:tcPr>
            <w:tcW w:type="dxa" w:w="2436"/>
            <w:vAlign w:val="center"/>
          </w:tcPr>
          <w:p>
            <w:pPr>
              <w:spacing w:line="276" w:lineRule="auto" w:before="0" w:after="0"/>
            </w:pPr>
            <w:r/>
            <w:r>
              <w:rPr>
                <w:rFonts w:ascii="Figtree" w:hAnsi="Figtree"/>
                <w:b w:val="0"/>
                <w:i w:val="0"/>
                <w:sz w:val="20"/>
              </w:rPr>
              <w:t>8-core CPU, 32GB RAM, 1TB NVMe</w:t>
            </w:r>
          </w:p>
        </w:tc>
        <w:tc>
          <w:tcPr>
            <w:tcW w:type="dxa" w:w="2436"/>
            <w:vAlign w:val="center"/>
          </w:tcPr>
          <w:p>
            <w:pPr>
              <w:spacing w:line="276" w:lineRule="auto" w:before="0" w:after="0"/>
            </w:pPr>
            <w:r/>
            <w:r>
              <w:rPr>
                <w:rFonts w:ascii="Figtree" w:hAnsi="Figtree"/>
                <w:b w:val="0"/>
                <w:i w:val="0"/>
                <w:sz w:val="20"/>
              </w:rPr>
              <w:t>10,000 to 18,000 each</w:t>
            </w:r>
          </w:p>
        </w:tc>
      </w:tr>
      <w:tr>
        <w:trPr>
          <w:trHeight w:val="425" w:hRule="atLeast"/>
        </w:trPr>
        <w:tc>
          <w:tcPr>
            <w:tcW w:type="dxa" w:w="2436"/>
            <w:vAlign w:val="center"/>
          </w:tcPr>
          <w:p>
            <w:pPr>
              <w:spacing w:line="276" w:lineRule="auto" w:before="0" w:after="0"/>
            </w:pPr>
            <w:r/>
            <w:r>
              <w:rPr>
                <w:rFonts w:ascii="Figtree" w:hAnsi="Figtree"/>
                <w:b w:val="0"/>
                <w:i w:val="0"/>
                <w:sz w:val="20"/>
              </w:rPr>
              <w:t>Database servers</w:t>
            </w:r>
          </w:p>
        </w:tc>
        <w:tc>
          <w:tcPr>
            <w:tcW w:type="dxa" w:w="2436"/>
            <w:vAlign w:val="center"/>
          </w:tcPr>
          <w:p>
            <w:pPr>
              <w:spacing w:line="276" w:lineRule="auto" w:before="0" w:after="0"/>
            </w:pPr>
            <w:r/>
            <w:r>
              <w:rPr>
                <w:rFonts w:ascii="Figtree" w:hAnsi="Figtree"/>
                <w:b w:val="0"/>
                <w:i w:val="0"/>
                <w:sz w:val="20"/>
              </w:rPr>
              <w:t>4 (2 prod + 2 DR)</w:t>
            </w:r>
          </w:p>
        </w:tc>
        <w:tc>
          <w:tcPr>
            <w:tcW w:type="dxa" w:w="2436"/>
            <w:vAlign w:val="center"/>
          </w:tcPr>
          <w:p>
            <w:pPr>
              <w:spacing w:line="276" w:lineRule="auto" w:before="0" w:after="0"/>
            </w:pPr>
            <w:r/>
            <w:r>
              <w:rPr>
                <w:rFonts w:ascii="Figtree" w:hAnsi="Figtree"/>
                <w:b w:val="0"/>
                <w:i w:val="0"/>
                <w:sz w:val="20"/>
              </w:rPr>
              <w:t>16-core CPU, 128GB RAM, 2TB NVMe</w:t>
            </w:r>
          </w:p>
        </w:tc>
        <w:tc>
          <w:tcPr>
            <w:tcW w:type="dxa" w:w="2436"/>
            <w:vAlign w:val="center"/>
          </w:tcPr>
          <w:p>
            <w:pPr>
              <w:spacing w:line="276" w:lineRule="auto" w:before="0" w:after="0"/>
            </w:pPr>
            <w:r/>
            <w:r>
              <w:rPr>
                <w:rFonts w:ascii="Figtree" w:hAnsi="Figtree"/>
                <w:b w:val="0"/>
                <w:i w:val="0"/>
                <w:sz w:val="20"/>
              </w:rPr>
              <w:t>20,000 to 35,000 each</w:t>
            </w:r>
          </w:p>
        </w:tc>
      </w:tr>
      <w:tr>
        <w:trPr>
          <w:trHeight w:val="425" w:hRule="atLeast"/>
        </w:trPr>
        <w:tc>
          <w:tcPr>
            <w:tcW w:type="dxa" w:w="2436"/>
            <w:vAlign w:val="center"/>
          </w:tcPr>
          <w:p>
            <w:pPr>
              <w:spacing w:line="276" w:lineRule="auto" w:before="0" w:after="0"/>
            </w:pPr>
            <w:r/>
            <w:r>
              <w:rPr>
                <w:rFonts w:ascii="Figtree" w:hAnsi="Figtree"/>
                <w:b w:val="0"/>
                <w:i w:val="0"/>
                <w:sz w:val="20"/>
              </w:rPr>
              <w:t>HSM units</w:t>
            </w:r>
          </w:p>
        </w:tc>
        <w:tc>
          <w:tcPr>
            <w:tcW w:type="dxa" w:w="2436"/>
            <w:vAlign w:val="center"/>
          </w:tcPr>
          <w:p>
            <w:pPr>
              <w:spacing w:line="276" w:lineRule="auto" w:before="0" w:after="0"/>
            </w:pPr>
            <w:r/>
            <w:r>
              <w:rPr>
                <w:rFonts w:ascii="Figtree" w:hAnsi="Figtree"/>
                <w:b w:val="0"/>
                <w:i w:val="0"/>
                <w:sz w:val="20"/>
              </w:rPr>
              <w:t>3 (2 prod + 1 DR)</w:t>
            </w:r>
          </w:p>
        </w:tc>
        <w:tc>
          <w:tcPr>
            <w:tcW w:type="dxa" w:w="2436"/>
            <w:vAlign w:val="center"/>
          </w:tcPr>
          <w:p>
            <w:pPr>
              <w:spacing w:line="276" w:lineRule="auto" w:before="0" w:after="0"/>
            </w:pPr>
            <w:r/>
            <w:r>
              <w:rPr>
                <w:rFonts w:ascii="Figtree" w:hAnsi="Figtree"/>
                <w:b w:val="0"/>
                <w:i w:val="0"/>
                <w:sz w:val="20"/>
              </w:rPr>
              <w:t>Thales Luna or equivalent</w:t>
            </w:r>
          </w:p>
        </w:tc>
        <w:tc>
          <w:tcPr>
            <w:tcW w:type="dxa" w:w="2436"/>
            <w:vAlign w:val="center"/>
          </w:tcPr>
          <w:p>
            <w:pPr>
              <w:spacing w:line="276" w:lineRule="auto" w:before="0" w:after="0"/>
            </w:pPr>
            <w:r/>
            <w:r>
              <w:rPr>
                <w:rFonts w:ascii="Figtree" w:hAnsi="Figtree"/>
                <w:b w:val="0"/>
                <w:i w:val="0"/>
                <w:sz w:val="20"/>
              </w:rPr>
              <w:t>30,000 to 50,000 each</w:t>
            </w:r>
          </w:p>
        </w:tc>
      </w:tr>
      <w:tr>
        <w:trPr>
          <w:trHeight w:val="425" w:hRule="atLeast"/>
        </w:trPr>
        <w:tc>
          <w:tcPr>
            <w:tcW w:type="dxa" w:w="2436"/>
            <w:vAlign w:val="center"/>
          </w:tcPr>
          <w:p>
            <w:pPr>
              <w:spacing w:line="276" w:lineRule="auto" w:before="0" w:after="0"/>
            </w:pPr>
            <w:r/>
            <w:r>
              <w:rPr>
                <w:rFonts w:ascii="Figtree" w:hAnsi="Figtree"/>
                <w:b w:val="0"/>
                <w:i w:val="0"/>
                <w:sz w:val="20"/>
              </w:rPr>
              <w:t>Network equipment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Load balancers, firewalls, switches</w:t>
            </w:r>
          </w:p>
        </w:tc>
        <w:tc>
          <w:tcPr>
            <w:tcW w:type="dxa" w:w="2436"/>
            <w:vAlign w:val="center"/>
          </w:tcPr>
          <w:p>
            <w:pPr>
              <w:spacing w:line="276" w:lineRule="auto" w:before="0" w:after="0"/>
            </w:pPr>
            <w:r/>
            <w:r>
              <w:rPr>
                <w:rFonts w:ascii="Figtree" w:hAnsi="Figtree"/>
                <w:b w:val="0"/>
                <w:i w:val="0"/>
                <w:sz w:val="20"/>
              </w:rPr>
              <w:t>40,000 to 80,000 total</w:t>
            </w:r>
          </w:p>
        </w:tc>
      </w:tr>
      <w:tr>
        <w:trPr>
          <w:trHeight w:val="425" w:hRule="atLeast"/>
        </w:trPr>
        <w:tc>
          <w:tcPr>
            <w:tcW w:type="dxa" w:w="2436"/>
            <w:vAlign w:val="center"/>
          </w:tcPr>
          <w:p>
            <w:pPr>
              <w:spacing w:line="276" w:lineRule="auto" w:before="0" w:after="0"/>
            </w:pPr>
            <w:r/>
            <w:r>
              <w:rPr>
                <w:rFonts w:ascii="Figtree" w:hAnsi="Figtree"/>
                <w:b/>
                <w:i w:val="0"/>
                <w:sz w:val="20"/>
              </w:rPr>
              <w:t>Total estimated CAPEX</w:t>
            </w:r>
          </w:p>
        </w:tc>
        <w:tc>
          <w:tcPr>
            <w:tcW w:type="dxa" w:w="2436"/>
            <w:vAlign w:val="center"/>
          </w:tcPr>
          <w:p>
            <w:pPr>
              <w:spacing w:line="276" w:lineRule="auto" w:before="0" w:after="0"/>
            </w:pPr>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385,000 to 660,000</w:t>
            </w:r>
          </w:p>
        </w:tc>
      </w:tr>
    </w:tbl>
    <w:p>
      <w:pPr>
        <w:spacing w:before="0" w:after="0" w:line="120" w:lineRule="exact"/>
      </w:pPr>
    </w:p>
    <w:p>
      <w:r>
        <w:rPr>
          <w:rFonts w:ascii="Figtree" w:hAnsi="Figtree"/>
          <w:b w:val="0"/>
          <w:i/>
          <w:sz w:val="22"/>
        </w:rPr>
        <w:t>This is a rough estimate for budgeting purposes. Actual hardware costs depend on vendor negotiations, existing hardware inventory, and specific configuration requirements.</w:t>
      </w:r>
    </w:p>
    <w:p>
      <w:r>
        <w:rPr>
          <w:rFonts w:ascii="Figtree" w:hAnsi="Figtree"/>
          <w:b/>
          <w:i w:val="0"/>
          <w:sz w:val="22"/>
        </w:rPr>
        <w:t>Non-Production Cloud Infrastructure (Annual OPEX):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9"/>
        <w:gridCol w:w="2841"/>
        <w:gridCol w:w="29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Cost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(EUR)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2,000 to 3,000</w:t>
            </w:r>
          </w:p>
        </w:tc>
        <w:tc>
          <w:tcPr>
            <w:tcW w:type="dxa" w:w="3249"/>
            <w:vAlign w:val="center"/>
          </w:tcPr>
          <w:p>
            <w:pPr>
              <w:spacing w:line="276" w:lineRule="auto" w:before="0" w:after="0"/>
            </w:pPr>
            <w:r/>
            <w:r>
              <w:rPr>
                <w:rFonts w:ascii="Figtree" w:hAnsi="Figtree"/>
                <w:b w:val="0"/>
                <w:i w:val="0"/>
                <w:sz w:val="20"/>
              </w:rPr>
              <w:t>24,000 to 36,000</w:t>
            </w:r>
          </w:p>
        </w:tc>
      </w:tr>
      <w:tr>
        <w:trPr>
          <w:trHeight w:val="425" w:hRule="atLeast"/>
        </w:trPr>
        <w:tc>
          <w:tcPr>
            <w:tcW w:type="dxa" w:w="3249"/>
            <w:vAlign w:val="center"/>
          </w:tcPr>
          <w:p>
            <w:pPr>
              <w:spacing w:line="276" w:lineRule="auto" w:before="0" w:after="0"/>
            </w:pPr>
            <w:r/>
            <w:r>
              <w:rPr>
                <w:rFonts w:ascii="Figtree" w:hAnsi="Figtree"/>
                <w:b w:val="0"/>
                <w:i w:val="0"/>
                <w:sz w:val="20"/>
              </w:rPr>
              <w:t>SIT</w:t>
            </w:r>
          </w:p>
        </w:tc>
        <w:tc>
          <w:tcPr>
            <w:tcW w:type="dxa" w:w="3249"/>
            <w:vAlign w:val="center"/>
          </w:tcPr>
          <w:p>
            <w:pPr>
              <w:spacing w:line="276" w:lineRule="auto" w:before="0" w:after="0"/>
            </w:pPr>
            <w:r/>
            <w:r>
              <w:rPr>
                <w:rFonts w:ascii="Figtree" w:hAnsi="Figtree"/>
                <w:b w:val="0"/>
                <w:i w:val="0"/>
                <w:sz w:val="20"/>
              </w:rPr>
              <w:t>2,500 to 4,000</w:t>
            </w:r>
          </w:p>
        </w:tc>
        <w:tc>
          <w:tcPr>
            <w:tcW w:type="dxa" w:w="3249"/>
            <w:vAlign w:val="center"/>
          </w:tcPr>
          <w:p>
            <w:pPr>
              <w:spacing w:line="276" w:lineRule="auto" w:before="0" w:after="0"/>
            </w:pPr>
            <w:r/>
            <w:r>
              <w:rPr>
                <w:rFonts w:ascii="Figtree" w:hAnsi="Figtree"/>
                <w:b w:val="0"/>
                <w:i w:val="0"/>
                <w:sz w:val="20"/>
              </w:rPr>
              <w:t>30,000 to 48,000</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2,500 to 4,000</w:t>
            </w:r>
          </w:p>
        </w:tc>
        <w:tc>
          <w:tcPr>
            <w:tcW w:type="dxa" w:w="3249"/>
            <w:vAlign w:val="center"/>
          </w:tcPr>
          <w:p>
            <w:pPr>
              <w:spacing w:line="276" w:lineRule="auto" w:before="0" w:after="0"/>
            </w:pPr>
            <w:r/>
            <w:r>
              <w:rPr>
                <w:rFonts w:ascii="Figtree" w:hAnsi="Figtree"/>
                <w:b w:val="0"/>
                <w:i w:val="0"/>
                <w:sz w:val="20"/>
              </w:rPr>
              <w:t>30,000 to 48,000</w:t>
            </w:r>
          </w:p>
        </w:tc>
      </w:tr>
      <w:tr>
        <w:trPr>
          <w:trHeight w:val="425" w:hRule="atLeast"/>
        </w:trPr>
        <w:tc>
          <w:tcPr>
            <w:tcW w:type="dxa" w:w="3249"/>
            <w:vAlign w:val="center"/>
          </w:tcPr>
          <w:p>
            <w:pPr>
              <w:spacing w:line="276" w:lineRule="auto" w:before="0" w:after="0"/>
            </w:pPr>
            <w:r/>
            <w:r>
              <w:rPr>
                <w:rFonts w:ascii="Figtree" w:hAnsi="Figtree"/>
                <w:b w:val="0"/>
                <w:i w:val="0"/>
                <w:sz w:val="20"/>
              </w:rPr>
              <w:t>Pre-Production</w:t>
            </w:r>
          </w:p>
        </w:tc>
        <w:tc>
          <w:tcPr>
            <w:tcW w:type="dxa" w:w="3249"/>
            <w:vAlign w:val="center"/>
          </w:tcPr>
          <w:p>
            <w:pPr>
              <w:spacing w:line="276" w:lineRule="auto" w:before="0" w:after="0"/>
            </w:pPr>
            <w:r/>
            <w:r>
              <w:rPr>
                <w:rFonts w:ascii="Figtree" w:hAnsi="Figtree"/>
                <w:b w:val="0"/>
                <w:i w:val="0"/>
                <w:sz w:val="20"/>
              </w:rPr>
              <w:t>3,000 to 5,000</w:t>
            </w:r>
          </w:p>
        </w:tc>
        <w:tc>
          <w:tcPr>
            <w:tcW w:type="dxa" w:w="3249"/>
            <w:vAlign w:val="center"/>
          </w:tcPr>
          <w:p>
            <w:pPr>
              <w:spacing w:line="276" w:lineRule="auto" w:before="0" w:after="0"/>
            </w:pPr>
            <w:r/>
            <w:r>
              <w:rPr>
                <w:rFonts w:ascii="Figtree" w:hAnsi="Figtree"/>
                <w:b w:val="0"/>
                <w:i w:val="0"/>
                <w:sz w:val="20"/>
              </w:rPr>
              <w:t>36,000 to 60,000</w:t>
            </w:r>
          </w:p>
        </w:tc>
      </w:tr>
      <w:tr>
        <w:trPr>
          <w:trHeight w:val="425" w:hRule="atLeast"/>
        </w:trPr>
        <w:tc>
          <w:tcPr>
            <w:tcW w:type="dxa" w:w="3249"/>
            <w:vAlign w:val="center"/>
          </w:tcPr>
          <w:p>
            <w:pPr>
              <w:spacing w:line="276" w:lineRule="auto" w:before="0" w:after="0"/>
            </w:pPr>
            <w:r/>
            <w:r>
              <w:rPr>
                <w:rFonts w:ascii="Figtree" w:hAnsi="Figtree"/>
                <w:b/>
                <w:i w:val="0"/>
                <w:sz w:val="20"/>
              </w:rPr>
              <w:t>Total Non-Production Cloud</w:t>
            </w:r>
          </w:p>
        </w:tc>
        <w:tc>
          <w:tcPr>
            <w:tcW w:type="dxa" w:w="3249"/>
            <w:vAlign w:val="center"/>
          </w:tcPr>
          <w:p>
            <w:pPr>
              <w:spacing w:line="276" w:lineRule="auto" w:before="0" w:after="0"/>
            </w:pPr>
            <w:r/>
            <w:r>
              <w:rPr>
                <w:rFonts w:ascii="Figtree" w:hAnsi="Figtree"/>
                <w:b/>
                <w:i w:val="0"/>
                <w:sz w:val="20"/>
              </w:rPr>
              <w:t>10,000 to 16,000/month</w:t>
            </w:r>
          </w:p>
        </w:tc>
        <w:tc>
          <w:tcPr>
            <w:tcW w:type="dxa" w:w="3249"/>
            <w:vAlign w:val="center"/>
          </w:tcPr>
          <w:p>
            <w:pPr>
              <w:spacing w:line="276" w:lineRule="auto" w:before="0" w:after="0"/>
            </w:pPr>
            <w:r/>
            <w:r>
              <w:rPr>
                <w:rFonts w:ascii="Figtree" w:hAnsi="Figtree"/>
                <w:b/>
                <w:i w:val="0"/>
                <w:sz w:val="20"/>
              </w:rPr>
              <w:t>120,000 to 192,000/year</w:t>
            </w:r>
          </w:p>
        </w:tc>
      </w:tr>
    </w:tbl>
    <w:p>
      <w:pPr>
        <w:spacing w:before="0" w:after="0" w:line="120" w:lineRule="exact"/>
      </w:pPr>
    </w:p>
    <w:p>
      <w:r>
        <w:rPr>
          <w:rFonts w:ascii="Figtree" w:hAnsi="Figtree"/>
          <w:b w:val="0"/>
          <w:i/>
          <w:sz w:val="22"/>
        </w:rPr>
        <w:t>Non-production environments can be shut down outside working hours, reducing costs by 60 to 70% outside business hours.</w:t>
      </w:r>
    </w:p>
    <w:p>
      <w:r>
        <w:br w:type="page"/>
      </w:r>
    </w:p>
    <w:p>
      <w:pPr>
        <w:pStyle w:val="H2"/>
        <w:numPr>
          <w:ilvl w:val="1"/>
          <w:numId w:val="1"/>
        </w:numPr>
      </w:pPr>
      <w:r>
        <w:t>6. Support and Maintenance Fees</w:t>
      </w:r>
    </w:p>
    <w:p>
      <w:pPr>
        <w:pStyle w:val="H3"/>
        <w:numPr>
          <w:ilvl w:val="2"/>
          <w:numId w:val="1"/>
        </w:numPr>
      </w:pPr>
      <w:r>
        <w:t>6.1 Support Tiers</w:t>
      </w:r>
    </w:p>
    <w:p>
      <w:r>
        <w:rPr>
          <w:rFonts w:ascii="Figtree" w:hAnsi="Figtree"/>
          <w:b w:val="0"/>
          <w:i w:val="0"/>
          <w:sz w:val="22"/>
        </w:rPr>
        <w:t>Support is included in the Enterprise Tier license for Premium support level. The following table summarizes the support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85"/>
        <w:gridCol w:w="2451"/>
        <w:gridCol w:w="16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Support Element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in Enterprise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Optional Upgrade</w:t>
            </w:r>
          </w:p>
        </w:tc>
      </w:tr>
      <w:tr>
        <w:trPr>
          <w:trHeight w:val="425" w:hRule="atLeast"/>
        </w:trPr>
        <w:tc>
          <w:tcPr>
            <w:tcW w:type="dxa" w:w="3249"/>
            <w:vAlign w:val="center"/>
          </w:tcPr>
          <w:p>
            <w:pPr>
              <w:spacing w:line="276" w:lineRule="auto" w:before="0" w:after="0"/>
            </w:pPr>
            <w:r/>
            <w:r>
              <w:rPr>
                <w:rFonts w:ascii="Figtree" w:hAnsi="Figtree"/>
                <w:b w:val="0"/>
                <w:i w:val="0"/>
                <w:sz w:val="20"/>
              </w:rPr>
              <w:t>P1 Response: 24/7/365, 15-min response</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P2/P3 Response: Business hours (08:00-20:00 CST)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Quarterly platform review</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 management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Platform release management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Dedicated on-site support (hypercare beyond standard 2 weeks)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EUR 2,500/day</w:t>
            </w:r>
          </w:p>
        </w:tc>
      </w:tr>
      <w:tr>
        <w:trPr>
          <w:trHeight w:val="425" w:hRule="atLeast"/>
        </w:trPr>
        <w:tc>
          <w:tcPr>
            <w:tcW w:type="dxa" w:w="3249"/>
            <w:vAlign w:val="center"/>
          </w:tcPr>
          <w:p>
            <w:pPr>
              <w:spacing w:line="276" w:lineRule="auto" w:before="0" w:after="0"/>
            </w:pPr>
            <w:r/>
            <w:r>
              <w:rPr>
                <w:rFonts w:ascii="Figtree" w:hAnsi="Figtree"/>
                <w:b w:val="0"/>
                <w:i w:val="0"/>
                <w:sz w:val="20"/>
              </w:rPr>
              <w:t>Extended hypercare (Week 23 to 26)</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EUR 15,000 flat</w:t>
            </w:r>
          </w:p>
        </w:tc>
      </w:tr>
      <w:tr>
        <w:trPr>
          <w:trHeight w:val="425" w:hRule="atLeast"/>
        </w:trPr>
        <w:tc>
          <w:tcPr>
            <w:tcW w:type="dxa" w:w="3249"/>
            <w:vAlign w:val="center"/>
          </w:tcPr>
          <w:p>
            <w:pPr>
              <w:spacing w:line="276" w:lineRule="auto" w:before="0" w:after="0"/>
            </w:pPr>
            <w:r/>
            <w:r>
              <w:rPr>
                <w:rFonts w:ascii="Figtree" w:hAnsi="Figtree"/>
                <w:b w:val="0"/>
                <w:i w:val="0"/>
                <w:sz w:val="20"/>
              </w:rPr>
              <w:t>Annual security assessment support</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EUR 20,000 to 35,000</w:t>
            </w:r>
          </w:p>
        </w:tc>
      </w:tr>
    </w:tbl>
    <w:p>
      <w:pPr>
        <w:spacing w:before="0" w:after="0" w:line="120" w:lineRule="exact"/>
      </w:pPr>
    </w:p>
    <w:p>
      <w:r>
        <w:br w:type="page"/>
      </w:r>
    </w:p>
    <w:p>
      <w:pPr>
        <w:pStyle w:val="H2"/>
        <w:numPr>
          <w:ilvl w:val="1"/>
          <w:numId w:val="1"/>
        </w:numPr>
      </w:pPr>
      <w:r>
        <w:t>7. Total Cost of Ownership Analysis</w:t>
      </w:r>
    </w:p>
    <w:p>
      <w:pPr>
        <w:pStyle w:val="H3"/>
        <w:numPr>
          <w:ilvl w:val="2"/>
          <w:numId w:val="1"/>
        </w:numPr>
      </w:pPr>
      <w:r>
        <w:t>7.1 5-Year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32"/>
        <w:gridCol w:w="936"/>
        <w:gridCol w:w="792"/>
        <w:gridCol w:w="792"/>
        <w:gridCol w:w="792"/>
        <w:gridCol w:w="792"/>
        <w:gridCol w:w="936"/>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 (Production + Dev)</w:t>
            </w:r>
          </w:p>
        </w:tc>
        <w:tc>
          <w:tcPr>
            <w:tcW w:type="dxa" w:w="1392"/>
            <w:vAlign w:val="center"/>
          </w:tcPr>
          <w:p>
            <w:pPr>
              <w:spacing w:line="276" w:lineRule="auto" w:before="0" w:after="0"/>
            </w:pPr>
            <w:r/>
            <w:r>
              <w:rPr>
                <w:rFonts w:ascii="Figtree" w:hAnsi="Figtree"/>
                <w:b w:val="0"/>
                <w:i w:val="0"/>
                <w:sz w:val="20"/>
              </w:rPr>
              <w:t>480,000</w:t>
            </w:r>
          </w:p>
        </w:tc>
        <w:tc>
          <w:tcPr>
            <w:tcW w:type="dxa" w:w="1392"/>
            <w:vAlign w:val="center"/>
          </w:tcPr>
          <w:p>
            <w:pPr>
              <w:spacing w:line="276" w:lineRule="auto" w:before="0" w:after="0"/>
            </w:pPr>
            <w:r/>
            <w:r>
              <w:rPr>
                <w:rFonts w:ascii="Figtree" w:hAnsi="Figtree"/>
                <w:b w:val="0"/>
                <w:i w:val="0"/>
                <w:sz w:val="20"/>
              </w:rPr>
              <w:t>480,000</w:t>
            </w:r>
          </w:p>
        </w:tc>
        <w:tc>
          <w:tcPr>
            <w:tcW w:type="dxa" w:w="1392"/>
            <w:vAlign w:val="center"/>
          </w:tcPr>
          <w:p>
            <w:pPr>
              <w:spacing w:line="276" w:lineRule="auto" w:before="0" w:after="0"/>
            </w:pPr>
            <w:r/>
            <w:r>
              <w:rPr>
                <w:rFonts w:ascii="Figtree" w:hAnsi="Figtree"/>
                <w:b w:val="0"/>
                <w:i w:val="0"/>
                <w:sz w:val="20"/>
              </w:rPr>
              <w:t>480,000</w:t>
            </w:r>
          </w:p>
        </w:tc>
        <w:tc>
          <w:tcPr>
            <w:tcW w:type="dxa" w:w="1392"/>
            <w:vAlign w:val="center"/>
          </w:tcPr>
          <w:p>
            <w:pPr>
              <w:spacing w:line="276" w:lineRule="auto" w:before="0" w:after="0"/>
            </w:pPr>
            <w:r/>
            <w:r>
              <w:rPr>
                <w:rFonts w:ascii="Figtree" w:hAnsi="Figtree"/>
                <w:b w:val="0"/>
                <w:i w:val="0"/>
                <w:sz w:val="20"/>
              </w:rPr>
              <w:t>494,400</w:t>
            </w:r>
          </w:p>
        </w:tc>
        <w:tc>
          <w:tcPr>
            <w:tcW w:type="dxa" w:w="1392"/>
            <w:vAlign w:val="center"/>
          </w:tcPr>
          <w:p>
            <w:pPr>
              <w:spacing w:line="276" w:lineRule="auto" w:before="0" w:after="0"/>
            </w:pPr>
            <w:r/>
            <w:r>
              <w:rPr>
                <w:rFonts w:ascii="Figtree" w:hAnsi="Figtree"/>
                <w:b w:val="0"/>
                <w:i w:val="0"/>
                <w:sz w:val="20"/>
              </w:rPr>
              <w:t>509,232</w:t>
            </w:r>
          </w:p>
        </w:tc>
        <w:tc>
          <w:tcPr>
            <w:tcW w:type="dxa" w:w="1392"/>
            <w:vAlign w:val="center"/>
          </w:tcPr>
          <w:p>
            <w:pPr>
              <w:spacing w:line="276" w:lineRule="auto" w:before="0" w:after="0"/>
            </w:pPr>
            <w:r/>
            <w:r>
              <w:rPr>
                <w:rFonts w:ascii="Figtree" w:hAnsi="Figtree"/>
                <w:b w:val="0"/>
                <w:i w:val="0"/>
                <w:sz w:val="20"/>
              </w:rPr>
              <w:t>2,443,632</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 Services (one-off)</w:t>
            </w:r>
          </w:p>
        </w:tc>
        <w:tc>
          <w:tcPr>
            <w:tcW w:type="dxa" w:w="1392"/>
            <w:vAlign w:val="center"/>
          </w:tcPr>
          <w:p>
            <w:pPr>
              <w:spacing w:line="276" w:lineRule="auto" w:before="0" w:after="0"/>
            </w:pPr>
            <w:r/>
            <w:r>
              <w:rPr>
                <w:rFonts w:ascii="Figtree" w:hAnsi="Figtree"/>
                <w:b w:val="0"/>
                <w:i w:val="0"/>
                <w:sz w:val="20"/>
              </w:rPr>
              <w:t>500,000</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500,000</w:t>
            </w:r>
          </w:p>
        </w:tc>
      </w:tr>
      <w:tr>
        <w:trPr>
          <w:trHeight w:val="425" w:hRule="atLeast"/>
        </w:trPr>
        <w:tc>
          <w:tcPr>
            <w:tcW w:type="dxa" w:w="1392"/>
            <w:vAlign w:val="center"/>
          </w:tcPr>
          <w:p>
            <w:pPr>
              <w:spacing w:line="276" w:lineRule="auto" w:before="0" w:after="0"/>
            </w:pPr>
            <w:r/>
            <w:r>
              <w:rPr>
                <w:rFonts w:ascii="Figtree" w:hAnsi="Figtree"/>
                <w:b w:val="0"/>
                <w:i w:val="0"/>
                <w:sz w:val="20"/>
              </w:rPr>
              <w:t>Premium Support (included in license)</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Non-Production Cloud (estimated midpoint)</w:t>
            </w:r>
          </w:p>
        </w:tc>
        <w:tc>
          <w:tcPr>
            <w:tcW w:type="dxa" w:w="1392"/>
            <w:vAlign w:val="center"/>
          </w:tcPr>
          <w:p>
            <w:pPr>
              <w:spacing w:line="276" w:lineRule="auto" w:before="0" w:after="0"/>
            </w:pPr>
            <w:r/>
            <w:r>
              <w:rPr>
                <w:rFonts w:ascii="Figtree" w:hAnsi="Figtree"/>
                <w:b w:val="0"/>
                <w:i w:val="0"/>
                <w:sz w:val="20"/>
              </w:rPr>
              <w:t>156,000</w:t>
            </w:r>
          </w:p>
        </w:tc>
        <w:tc>
          <w:tcPr>
            <w:tcW w:type="dxa" w:w="1392"/>
            <w:vAlign w:val="center"/>
          </w:tcPr>
          <w:p>
            <w:pPr>
              <w:spacing w:line="276" w:lineRule="auto" w:before="0" w:after="0"/>
            </w:pPr>
            <w:r/>
            <w:r>
              <w:rPr>
                <w:rFonts w:ascii="Figtree" w:hAnsi="Figtree"/>
                <w:b w:val="0"/>
                <w:i w:val="0"/>
                <w:sz w:val="20"/>
              </w:rPr>
              <w:t>156,000</w:t>
            </w:r>
          </w:p>
        </w:tc>
        <w:tc>
          <w:tcPr>
            <w:tcW w:type="dxa" w:w="1392"/>
            <w:vAlign w:val="center"/>
          </w:tcPr>
          <w:p>
            <w:pPr>
              <w:spacing w:line="276" w:lineRule="auto" w:before="0" w:after="0"/>
            </w:pPr>
            <w:r/>
            <w:r>
              <w:rPr>
                <w:rFonts w:ascii="Figtree" w:hAnsi="Figtree"/>
                <w:b w:val="0"/>
                <w:i w:val="0"/>
                <w:sz w:val="20"/>
              </w:rPr>
              <w:t>156,000</w:t>
            </w:r>
          </w:p>
        </w:tc>
        <w:tc>
          <w:tcPr>
            <w:tcW w:type="dxa" w:w="1392"/>
            <w:vAlign w:val="center"/>
          </w:tcPr>
          <w:p>
            <w:pPr>
              <w:spacing w:line="276" w:lineRule="auto" w:before="0" w:after="0"/>
            </w:pPr>
            <w:r/>
            <w:r>
              <w:rPr>
                <w:rFonts w:ascii="Figtree" w:hAnsi="Figtree"/>
                <w:b w:val="0"/>
                <w:i w:val="0"/>
                <w:sz w:val="20"/>
              </w:rPr>
              <w:t>160,680</w:t>
            </w:r>
          </w:p>
        </w:tc>
        <w:tc>
          <w:tcPr>
            <w:tcW w:type="dxa" w:w="1392"/>
            <w:vAlign w:val="center"/>
          </w:tcPr>
          <w:p>
            <w:pPr>
              <w:spacing w:line="276" w:lineRule="auto" w:before="0" w:after="0"/>
            </w:pPr>
            <w:r/>
            <w:r>
              <w:rPr>
                <w:rFonts w:ascii="Figtree" w:hAnsi="Figtree"/>
                <w:b w:val="0"/>
                <w:i w:val="0"/>
                <w:sz w:val="20"/>
              </w:rPr>
              <w:t>165,500</w:t>
            </w:r>
          </w:p>
        </w:tc>
        <w:tc>
          <w:tcPr>
            <w:tcW w:type="dxa" w:w="1392"/>
            <w:vAlign w:val="center"/>
          </w:tcPr>
          <w:p>
            <w:pPr>
              <w:spacing w:line="276" w:lineRule="auto" w:before="0" w:after="0"/>
            </w:pPr>
            <w:r/>
            <w:r>
              <w:rPr>
                <w:rFonts w:ascii="Figtree" w:hAnsi="Figtree"/>
                <w:b w:val="0"/>
                <w:i w:val="0"/>
                <w:sz w:val="20"/>
              </w:rPr>
              <w:t>794,180</w:t>
            </w:r>
          </w:p>
        </w:tc>
      </w:tr>
      <w:tr>
        <w:trPr>
          <w:trHeight w:val="425" w:hRule="atLeast"/>
        </w:trPr>
        <w:tc>
          <w:tcPr>
            <w:tcW w:type="dxa" w:w="1392"/>
            <w:vAlign w:val="center"/>
          </w:tcPr>
          <w:p>
            <w:pPr>
              <w:spacing w:line="276" w:lineRule="auto" w:before="0" w:after="0"/>
            </w:pPr>
            <w:r/>
            <w:r>
              <w:rPr>
                <w:rFonts w:ascii="Figtree" w:hAnsi="Figtree"/>
                <w:b w:val="0"/>
                <w:i w:val="0"/>
                <w:sz w:val="20"/>
              </w:rPr>
              <w:t>On-Premises Infrastructure CAPEX (amortized 5yr)</w:t>
            </w:r>
          </w:p>
        </w:tc>
        <w:tc>
          <w:tcPr>
            <w:tcW w:type="dxa" w:w="1392"/>
            <w:vAlign w:val="center"/>
          </w:tcPr>
          <w:p>
            <w:pPr>
              <w:spacing w:line="276" w:lineRule="auto" w:before="0" w:after="0"/>
            </w:pPr>
            <w:r/>
            <w:r>
              <w:rPr>
                <w:rFonts w:ascii="Figtree" w:hAnsi="Figtree"/>
                <w:b w:val="0"/>
                <w:i w:val="0"/>
                <w:sz w:val="20"/>
              </w:rPr>
              <w:t>105,000</w:t>
            </w:r>
          </w:p>
        </w:tc>
        <w:tc>
          <w:tcPr>
            <w:tcW w:type="dxa" w:w="1392"/>
            <w:vAlign w:val="center"/>
          </w:tcPr>
          <w:p>
            <w:pPr>
              <w:spacing w:line="276" w:lineRule="auto" w:before="0" w:after="0"/>
            </w:pPr>
            <w:r/>
            <w:r>
              <w:rPr>
                <w:rFonts w:ascii="Figtree" w:hAnsi="Figtree"/>
                <w:b w:val="0"/>
                <w:i w:val="0"/>
                <w:sz w:val="20"/>
              </w:rPr>
              <w:t>105,000</w:t>
            </w:r>
          </w:p>
        </w:tc>
        <w:tc>
          <w:tcPr>
            <w:tcW w:type="dxa" w:w="1392"/>
            <w:vAlign w:val="center"/>
          </w:tcPr>
          <w:p>
            <w:pPr>
              <w:spacing w:line="276" w:lineRule="auto" w:before="0" w:after="0"/>
            </w:pPr>
            <w:r/>
            <w:r>
              <w:rPr>
                <w:rFonts w:ascii="Figtree" w:hAnsi="Figtree"/>
                <w:b w:val="0"/>
                <w:i w:val="0"/>
                <w:sz w:val="20"/>
              </w:rPr>
              <w:t>105,000</w:t>
            </w:r>
          </w:p>
        </w:tc>
        <w:tc>
          <w:tcPr>
            <w:tcW w:type="dxa" w:w="1392"/>
            <w:vAlign w:val="center"/>
          </w:tcPr>
          <w:p>
            <w:pPr>
              <w:spacing w:line="276" w:lineRule="auto" w:before="0" w:after="0"/>
            </w:pPr>
            <w:r/>
            <w:r>
              <w:rPr>
                <w:rFonts w:ascii="Figtree" w:hAnsi="Figtree"/>
                <w:b w:val="0"/>
                <w:i w:val="0"/>
                <w:sz w:val="20"/>
              </w:rPr>
              <w:t>105,000</w:t>
            </w:r>
          </w:p>
        </w:tc>
        <w:tc>
          <w:tcPr>
            <w:tcW w:type="dxa" w:w="1392"/>
            <w:vAlign w:val="center"/>
          </w:tcPr>
          <w:p>
            <w:pPr>
              <w:spacing w:line="276" w:lineRule="auto" w:before="0" w:after="0"/>
            </w:pPr>
            <w:r/>
            <w:r>
              <w:rPr>
                <w:rFonts w:ascii="Figtree" w:hAnsi="Figtree"/>
                <w:b w:val="0"/>
                <w:i w:val="0"/>
                <w:sz w:val="20"/>
              </w:rPr>
              <w:t>105,000</w:t>
            </w:r>
          </w:p>
        </w:tc>
        <w:tc>
          <w:tcPr>
            <w:tcW w:type="dxa" w:w="1392"/>
            <w:vAlign w:val="center"/>
          </w:tcPr>
          <w:p>
            <w:pPr>
              <w:spacing w:line="276" w:lineRule="auto" w:before="0" w:after="0"/>
            </w:pPr>
            <w:r/>
            <w:r>
              <w:rPr>
                <w:rFonts w:ascii="Figtree" w:hAnsi="Figtree"/>
                <w:b w:val="0"/>
                <w:i w:val="0"/>
                <w:sz w:val="20"/>
              </w:rPr>
              <w:t>525,000</w:t>
            </w:r>
          </w:p>
        </w:tc>
      </w:tr>
      <w:tr>
        <w:trPr>
          <w:trHeight w:val="425" w:hRule="atLeast"/>
        </w:trPr>
        <w:tc>
          <w:tcPr>
            <w:tcW w:type="dxa" w:w="1392"/>
            <w:vAlign w:val="center"/>
          </w:tcPr>
          <w:p>
            <w:pPr>
              <w:spacing w:line="276" w:lineRule="auto" w:before="0" w:after="0"/>
            </w:pPr>
            <w:r/>
            <w:r>
              <w:rPr>
                <w:rFonts w:ascii="Figtree" w:hAnsi="Figtree"/>
                <w:b w:val="0"/>
                <w:i w:val="0"/>
                <w:sz w:val="20"/>
              </w:rPr>
              <w:t>Internal Resource (BOC staff time - not SettleMint cost)</w:t>
            </w:r>
          </w:p>
        </w:tc>
        <w:tc>
          <w:tcPr>
            <w:tcW w:type="dxa" w:w="1392"/>
            <w:vAlign w:val="center"/>
          </w:tcPr>
          <w:p>
            <w:pPr>
              <w:spacing w:line="276" w:lineRule="auto" w:before="0" w:after="0"/>
            </w:pPr>
            <w:r/>
            <w:r>
              <w:rPr>
                <w:rFonts w:ascii="Figtree" w:hAnsi="Figtree"/>
                <w:b w:val="0"/>
                <w:i w:val="0"/>
                <w:sz w:val="20"/>
              </w:rPr>
              <w:t>See note</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i w:val="0"/>
                <w:sz w:val="20"/>
              </w:rPr>
              <w:t>Total Estimated 5-Year TCO</w:t>
            </w:r>
          </w:p>
        </w:tc>
        <w:tc>
          <w:tcPr>
            <w:tcW w:type="dxa" w:w="1392"/>
            <w:vAlign w:val="center"/>
          </w:tcPr>
          <w:p>
            <w:pPr>
              <w:spacing w:line="276" w:lineRule="auto" w:before="0" w:after="0"/>
            </w:pPr>
            <w:r/>
            <w:r>
              <w:rPr>
                <w:rFonts w:ascii="Figtree" w:hAnsi="Figtree"/>
                <w:b/>
                <w:i w:val="0"/>
                <w:sz w:val="20"/>
              </w:rPr>
              <w:t>1,241,000</w:t>
            </w:r>
          </w:p>
        </w:tc>
        <w:tc>
          <w:tcPr>
            <w:tcW w:type="dxa" w:w="1392"/>
            <w:vAlign w:val="center"/>
          </w:tcPr>
          <w:p>
            <w:pPr>
              <w:spacing w:line="276" w:lineRule="auto" w:before="0" w:after="0"/>
            </w:pPr>
            <w:r/>
            <w:r>
              <w:rPr>
                <w:rFonts w:ascii="Figtree" w:hAnsi="Figtree"/>
                <w:b/>
                <w:i w:val="0"/>
                <w:sz w:val="20"/>
              </w:rPr>
              <w:t>741,000</w:t>
            </w:r>
          </w:p>
        </w:tc>
        <w:tc>
          <w:tcPr>
            <w:tcW w:type="dxa" w:w="1392"/>
            <w:vAlign w:val="center"/>
          </w:tcPr>
          <w:p>
            <w:pPr>
              <w:spacing w:line="276" w:lineRule="auto" w:before="0" w:after="0"/>
            </w:pPr>
            <w:r/>
            <w:r>
              <w:rPr>
                <w:rFonts w:ascii="Figtree" w:hAnsi="Figtree"/>
                <w:b/>
                <w:i w:val="0"/>
                <w:sz w:val="20"/>
              </w:rPr>
              <w:t>741,000</w:t>
            </w:r>
          </w:p>
        </w:tc>
        <w:tc>
          <w:tcPr>
            <w:tcW w:type="dxa" w:w="1392"/>
            <w:vAlign w:val="center"/>
          </w:tcPr>
          <w:p>
            <w:pPr>
              <w:spacing w:line="276" w:lineRule="auto" w:before="0" w:after="0"/>
            </w:pPr>
            <w:r/>
            <w:r>
              <w:rPr>
                <w:rFonts w:ascii="Figtree" w:hAnsi="Figtree"/>
                <w:b/>
                <w:i w:val="0"/>
                <w:sz w:val="20"/>
              </w:rPr>
              <w:t>760,080</w:t>
            </w:r>
          </w:p>
        </w:tc>
        <w:tc>
          <w:tcPr>
            <w:tcW w:type="dxa" w:w="1392"/>
            <w:vAlign w:val="center"/>
          </w:tcPr>
          <w:p>
            <w:pPr>
              <w:spacing w:line="276" w:lineRule="auto" w:before="0" w:after="0"/>
            </w:pPr>
            <w:r/>
            <w:r>
              <w:rPr>
                <w:rFonts w:ascii="Figtree" w:hAnsi="Figtree"/>
                <w:b/>
                <w:i w:val="0"/>
                <w:sz w:val="20"/>
              </w:rPr>
              <w:t>779,732</w:t>
            </w:r>
          </w:p>
        </w:tc>
        <w:tc>
          <w:tcPr>
            <w:tcW w:type="dxa" w:w="1392"/>
            <w:vAlign w:val="center"/>
          </w:tcPr>
          <w:p>
            <w:pPr>
              <w:spacing w:line="276" w:lineRule="auto" w:before="0" w:after="0"/>
            </w:pPr>
            <w:r/>
            <w:r>
              <w:rPr>
                <w:rFonts w:ascii="Figtree" w:hAnsi="Figtree"/>
                <w:b/>
                <w:i w:val="0"/>
                <w:sz w:val="20"/>
              </w:rPr>
              <w:t>4,262,812</w:t>
            </w:r>
          </w:p>
        </w:tc>
      </w:tr>
    </w:tbl>
    <w:p>
      <w:pPr>
        <w:spacing w:before="0" w:after="0" w:line="120" w:lineRule="exact"/>
      </w:pPr>
    </w:p>
    <w:p>
      <w:r>
        <w:rPr>
          <w:rFonts w:ascii="Figtree" w:hAnsi="Figtree"/>
          <w:b w:val="0"/>
          <w:i/>
          <w:sz w:val="22"/>
        </w:rPr>
        <w:t>Note: BOC internal resource costs (salaries for operations team, compliance officers, technology team) are excluded from TCO as they represent ongoing business costs that exist regardless of the platform choice.</w:t>
      </w:r>
    </w:p>
    <w:p>
      <w:r>
        <w:rPr>
          <w:rFonts w:ascii="Figtree" w:hAnsi="Figtree"/>
          <w:b w:val="0"/>
          <w:i/>
          <w:sz w:val="22"/>
        </w:rPr>
        <w:t>Year 4/5 license and cloud costs reflect 3% CPI adjustment.</w:t>
      </w:r>
    </w:p>
    <w:p>
      <w:pPr>
        <w:pStyle w:val="H3"/>
        <w:numPr>
          <w:ilvl w:val="2"/>
          <w:numId w:val="1"/>
        </w:numPr>
      </w:pPr>
      <w:r>
        <w:t>7.2 Per-Payment Unit Economics</w:t>
      </w:r>
    </w:p>
    <w:p>
      <w:r>
        <w:rPr>
          <w:rFonts w:ascii="Figtree" w:hAnsi="Figtree"/>
          <w:b w:val="0"/>
          <w:i w:val="0"/>
          <w:sz w:val="22"/>
        </w:rPr>
        <w:t>At an estimated 50,000 cross-border payments per year (Year 3 target), the per-payment platform cost is:</w:t>
      </w:r>
    </w:p>
    <w:p>
      <w:r>
        <w:rPr>
          <w:rFonts w:ascii="Figtree" w:hAnsi="Figtree"/>
          <w:b w:val="0"/>
          <w:i w:val="0"/>
          <w:sz w:val="22"/>
        </w:rPr>
        <w:t>Annual recurring cost (Year 3): EUR 741,000 ÷ 50,000 payments = EUR 14.82 per payment</w:t>
      </w:r>
    </w:p>
    <w:p>
      <w:r>
        <w:rPr>
          <w:rFonts w:ascii="Figtree" w:hAnsi="Figtree"/>
          <w:b w:val="0"/>
          <w:i w:val="0"/>
          <w:sz w:val="22"/>
        </w:rPr>
        <w:t>At 100,000 payments per year: EUR 741,000 ÷ 100,000 = EUR 7.41 per payment</w:t>
      </w:r>
    </w:p>
    <w:p>
      <w:r>
        <w:rPr>
          <w:rFonts w:ascii="Figtree" w:hAnsi="Figtree"/>
          <w:b w:val="0"/>
          <w:i w:val="0"/>
          <w:sz w:val="22"/>
        </w:rPr>
        <w:t>At 200,000 payments per year: EUR 741,000 ÷ 200,000 = EUR 3.71 per payment</w:t>
      </w:r>
    </w:p>
    <w:p>
      <w:r>
        <w:rPr>
          <w:rFonts w:ascii="Figtree" w:hAnsi="Figtree"/>
          <w:b w:val="0"/>
          <w:i w:val="0"/>
          <w:sz w:val="22"/>
        </w:rPr>
        <w:t>The volume-insensitive license model means unit cost decreases as Bank of China scales the programme. This is structurally the opposite of per-transaction pricing, which would hold unit cost constant regardless of economies of scale in Bank of China's operations.</w:t>
      </w:r>
    </w:p>
    <w:p>
      <w:r>
        <w:br w:type="page"/>
      </w:r>
    </w:p>
    <w:p>
      <w:pPr>
        <w:pStyle w:val="H2"/>
        <w:numPr>
          <w:ilvl w:val="1"/>
          <w:numId w:val="1"/>
        </w:numPr>
      </w:pPr>
      <w:r>
        <w:t>8. Build vs. Buy Analysis</w:t>
      </w:r>
    </w:p>
    <w:p>
      <w:pPr>
        <w:pStyle w:val="H3"/>
        <w:numPr>
          <w:ilvl w:val="2"/>
          <w:numId w:val="1"/>
        </w:numPr>
      </w:pPr>
      <w:r>
        <w:t>8.1 Custom Build Cost Estimate</w:t>
      </w:r>
    </w:p>
    <w:p>
      <w:r>
        <w:rPr>
          <w:rFonts w:ascii="Figtree" w:hAnsi="Figtree"/>
          <w:b w:val="0"/>
          <w:i w:val="0"/>
          <w:sz w:val="22"/>
        </w:rPr>
        <w:t>A custom-built cross-border tokenized payment platform for Bank of China with equivalent capabilities would require: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7"/>
        <w:gridCol w:w="2156"/>
        <w:gridCol w:w="37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Cost (CNY millions)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development and audit</w:t>
            </w:r>
          </w:p>
        </w:tc>
        <w:tc>
          <w:tcPr>
            <w:tcW w:type="dxa" w:w="3249"/>
            <w:vAlign w:val="center"/>
          </w:tcPr>
          <w:p>
            <w:pPr>
              <w:spacing w:line="276" w:lineRule="auto" w:before="0" w:after="0"/>
            </w:pPr>
            <w:r/>
            <w:r>
              <w:rPr>
                <w:rFonts w:ascii="Figtree" w:hAnsi="Figtree"/>
                <w:b w:val="0"/>
                <w:i w:val="0"/>
                <w:sz w:val="20"/>
              </w:rPr>
              <w:t>15 to 25</w:t>
            </w:r>
          </w:p>
        </w:tc>
        <w:tc>
          <w:tcPr>
            <w:tcW w:type="dxa" w:w="3249"/>
            <w:vAlign w:val="center"/>
          </w:tcPr>
          <w:p>
            <w:pPr>
              <w:spacing w:line="276" w:lineRule="auto" w:before="0" w:after="0"/>
            </w:pPr>
            <w:r/>
            <w:r>
              <w:rPr>
                <w:rFonts w:ascii="Figtree" w:hAnsi="Figtree"/>
                <w:b w:val="0"/>
                <w:i w:val="0"/>
                <w:sz w:val="20"/>
              </w:rPr>
              <w:t>ERC-3643 equivalent, multi-jurisdiction compliance</w:t>
            </w:r>
          </w:p>
        </w:tc>
      </w:tr>
      <w:tr>
        <w:trPr>
          <w:trHeight w:val="425" w:hRule="atLeast"/>
        </w:trPr>
        <w:tc>
          <w:tcPr>
            <w:tcW w:type="dxa" w:w="3249"/>
            <w:vAlign w:val="center"/>
          </w:tcPr>
          <w:p>
            <w:pPr>
              <w:spacing w:line="276" w:lineRule="auto" w:before="0" w:after="0"/>
            </w:pPr>
            <w:r/>
            <w:r>
              <w:rPr>
                <w:rFonts w:ascii="Figtree" w:hAnsi="Figtree"/>
                <w:b w:val="0"/>
                <w:i w:val="0"/>
                <w:sz w:val="20"/>
              </w:rPr>
              <w:t>Backend platform development</w:t>
            </w:r>
          </w:p>
        </w:tc>
        <w:tc>
          <w:tcPr>
            <w:tcW w:type="dxa" w:w="3249"/>
            <w:vAlign w:val="center"/>
          </w:tcPr>
          <w:p>
            <w:pPr>
              <w:spacing w:line="276" w:lineRule="auto" w:before="0" w:after="0"/>
            </w:pPr>
            <w:r/>
            <w:r>
              <w:rPr>
                <w:rFonts w:ascii="Figtree" w:hAnsi="Figtree"/>
                <w:b w:val="0"/>
                <w:i w:val="0"/>
                <w:sz w:val="20"/>
              </w:rPr>
              <w:t>40 to 60</w:t>
            </w:r>
          </w:p>
        </w:tc>
        <w:tc>
          <w:tcPr>
            <w:tcW w:type="dxa" w:w="3249"/>
            <w:vAlign w:val="center"/>
          </w:tcPr>
          <w:p>
            <w:pPr>
              <w:spacing w:line="276" w:lineRule="auto" w:before="0" w:after="0"/>
            </w:pPr>
            <w:r/>
            <w:r>
              <w:rPr>
                <w:rFonts w:ascii="Figtree" w:hAnsi="Figtree"/>
                <w:b w:val="0"/>
                <w:i w:val="0"/>
                <w:sz w:val="20"/>
              </w:rPr>
              <w:t>APIs, workflow engine, integration layer</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20 to 35</w:t>
            </w:r>
          </w:p>
        </w:tc>
        <w:tc>
          <w:tcPr>
            <w:tcW w:type="dxa" w:w="3249"/>
            <w:vAlign w:val="center"/>
          </w:tcPr>
          <w:p>
            <w:pPr>
              <w:spacing w:line="276" w:lineRule="auto" w:before="0" w:after="0"/>
            </w:pPr>
            <w:r/>
            <w:r>
              <w:rPr>
                <w:rFonts w:ascii="Figtree" w:hAnsi="Figtree"/>
                <w:b w:val="0"/>
                <w:i w:val="0"/>
                <w:sz w:val="20"/>
              </w:rPr>
              <w:t>12+ compliance rules, governance framework</w:t>
            </w:r>
          </w:p>
        </w:tc>
      </w:tr>
      <w:tr>
        <w:trPr>
          <w:trHeight w:val="425" w:hRule="atLeast"/>
        </w:trPr>
        <w:tc>
          <w:tcPr>
            <w:tcW w:type="dxa" w:w="3249"/>
            <w:vAlign w:val="center"/>
          </w:tcPr>
          <w:p>
            <w:pPr>
              <w:spacing w:line="276" w:lineRule="auto" w:before="0" w:after="0"/>
            </w:pPr>
            <w:r/>
            <w:r>
              <w:rPr>
                <w:rFonts w:ascii="Figtree" w:hAnsi="Figtree"/>
                <w:b w:val="0"/>
                <w:i w:val="0"/>
                <w:sz w:val="20"/>
              </w:rPr>
              <w:t>Identity and KYC infrastructure</w:t>
            </w:r>
          </w:p>
        </w:tc>
        <w:tc>
          <w:tcPr>
            <w:tcW w:type="dxa" w:w="3249"/>
            <w:vAlign w:val="center"/>
          </w:tcPr>
          <w:p>
            <w:pPr>
              <w:spacing w:line="276" w:lineRule="auto" w:before="0" w:after="0"/>
            </w:pPr>
            <w:r/>
            <w:r>
              <w:rPr>
                <w:rFonts w:ascii="Figtree" w:hAnsi="Figtree"/>
                <w:b w:val="0"/>
                <w:i w:val="0"/>
                <w:sz w:val="20"/>
              </w:rPr>
              <w:t>15 to 25</w:t>
            </w:r>
          </w:p>
        </w:tc>
        <w:tc>
          <w:tcPr>
            <w:tcW w:type="dxa" w:w="3249"/>
            <w:vAlign w:val="center"/>
          </w:tcPr>
          <w:p>
            <w:pPr>
              <w:spacing w:line="276" w:lineRule="auto" w:before="0" w:after="0"/>
            </w:pPr>
            <w:r/>
            <w:r>
              <w:rPr>
                <w:rFonts w:ascii="Figtree" w:hAnsi="Figtree"/>
                <w:b w:val="0"/>
                <w:i w:val="0"/>
                <w:sz w:val="20"/>
              </w:rPr>
              <w:t>OnchainID equivalent, Trust Anchor model</w:t>
            </w:r>
          </w:p>
        </w:tc>
      </w:tr>
      <w:tr>
        <w:trPr>
          <w:trHeight w:val="425" w:hRule="atLeast"/>
        </w:trPr>
        <w:tc>
          <w:tcPr>
            <w:tcW w:type="dxa" w:w="3249"/>
            <w:vAlign w:val="center"/>
          </w:tcPr>
          <w:p>
            <w:pPr>
              <w:spacing w:line="276" w:lineRule="auto" w:before="0" w:after="0"/>
            </w:pPr>
            <w:r/>
            <w:r>
              <w:rPr>
                <w:rFonts w:ascii="Figtree" w:hAnsi="Figtree"/>
                <w:b w:val="0"/>
                <w:i w:val="0"/>
                <w:sz w:val="20"/>
              </w:rPr>
              <w:t>CIPS and SWIFT integration</w:t>
            </w:r>
          </w:p>
        </w:tc>
        <w:tc>
          <w:tcPr>
            <w:tcW w:type="dxa" w:w="3249"/>
            <w:vAlign w:val="center"/>
          </w:tcPr>
          <w:p>
            <w:pPr>
              <w:spacing w:line="276" w:lineRule="auto" w:before="0" w:after="0"/>
            </w:pPr>
            <w:r/>
            <w:r>
              <w:rPr>
                <w:rFonts w:ascii="Figtree" w:hAnsi="Figtree"/>
                <w:b w:val="0"/>
                <w:i w:val="0"/>
                <w:sz w:val="20"/>
              </w:rPr>
              <w:t>10 to 20</w:t>
            </w:r>
          </w:p>
        </w:tc>
        <w:tc>
          <w:tcPr>
            <w:tcW w:type="dxa" w:w="3249"/>
            <w:vAlign w:val="center"/>
          </w:tcPr>
          <w:p>
            <w:pPr>
              <w:spacing w:line="276" w:lineRule="auto" w:before="0" w:after="0"/>
            </w:pPr>
            <w:r/>
            <w:r>
              <w:rPr>
                <w:rFonts w:ascii="Figtree" w:hAnsi="Figtree"/>
                <w:b w:val="0"/>
                <w:i w:val="0"/>
                <w:sz w:val="20"/>
              </w:rPr>
              <w:t>Custom adapter development and testing</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5 to 10</w:t>
            </w:r>
          </w:p>
        </w:tc>
        <w:tc>
          <w:tcPr>
            <w:tcW w:type="dxa" w:w="3249"/>
            <w:vAlign w:val="center"/>
          </w:tcPr>
          <w:p>
            <w:pPr>
              <w:spacing w:line="276" w:lineRule="auto" w:before="0" w:after="0"/>
            </w:pPr>
            <w:r/>
            <w:r>
              <w:rPr>
                <w:rFonts w:ascii="Figtree" w:hAnsi="Figtree"/>
                <w:b w:val="0"/>
                <w:i w:val="0"/>
                <w:sz w:val="20"/>
              </w:rPr>
              <w:t>Custom dashboards, alerting</w:t>
            </w:r>
          </w:p>
        </w:tc>
      </w:tr>
      <w:tr>
        <w:trPr>
          <w:trHeight w:val="425" w:hRule="atLeast"/>
        </w:trPr>
        <w:tc>
          <w:tcPr>
            <w:tcW w:type="dxa" w:w="3249"/>
            <w:vAlign w:val="center"/>
          </w:tcPr>
          <w:p>
            <w:pPr>
              <w:spacing w:line="276" w:lineRule="auto" w:before="0" w:after="0"/>
            </w:pPr>
            <w:r/>
            <w:r>
              <w:rPr>
                <w:rFonts w:ascii="Figtree" w:hAnsi="Figtree"/>
                <w:b w:val="0"/>
                <w:i w:val="0"/>
                <w:sz w:val="20"/>
              </w:rPr>
              <w:t>Security architecture (HSM, key mgmt)</w:t>
            </w:r>
          </w:p>
        </w:tc>
        <w:tc>
          <w:tcPr>
            <w:tcW w:type="dxa" w:w="3249"/>
            <w:vAlign w:val="center"/>
          </w:tcPr>
          <w:p>
            <w:pPr>
              <w:spacing w:line="276" w:lineRule="auto" w:before="0" w:after="0"/>
            </w:pPr>
            <w:r/>
            <w:r>
              <w:rPr>
                <w:rFonts w:ascii="Figtree" w:hAnsi="Figtree"/>
                <w:b w:val="0"/>
                <w:i w:val="0"/>
                <w:sz w:val="20"/>
              </w:rPr>
              <w:t>10 to 20</w:t>
            </w:r>
          </w:p>
        </w:tc>
        <w:tc>
          <w:tcPr>
            <w:tcW w:type="dxa" w:w="3249"/>
            <w:vAlign w:val="center"/>
          </w:tcPr>
          <w:p>
            <w:pPr>
              <w:spacing w:line="276" w:lineRule="auto" w:before="0" w:after="0"/>
            </w:pPr>
            <w:r/>
            <w:r>
              <w:rPr>
                <w:rFonts w:ascii="Figtree" w:hAnsi="Figtree"/>
                <w:b w:val="0"/>
                <w:i w:val="0"/>
                <w:sz w:val="20"/>
              </w:rPr>
              <w:t>Key Guardian equivalent</w:t>
            </w:r>
          </w:p>
        </w:tc>
      </w:tr>
      <w:tr>
        <w:trPr>
          <w:trHeight w:val="425" w:hRule="atLeast"/>
        </w:trPr>
        <w:tc>
          <w:tcPr>
            <w:tcW w:type="dxa" w:w="3249"/>
            <w:vAlign w:val="center"/>
          </w:tcPr>
          <w:p>
            <w:pPr>
              <w:spacing w:line="276" w:lineRule="auto" w:before="0" w:after="0"/>
            </w:pPr>
            <w:r/>
            <w:r>
              <w:rPr>
                <w:rFonts w:ascii="Figtree" w:hAnsi="Figtree"/>
                <w:b w:val="0"/>
                <w:i w:val="0"/>
                <w:sz w:val="20"/>
              </w:rPr>
              <w:t>Testing and QA</w:t>
            </w:r>
          </w:p>
        </w:tc>
        <w:tc>
          <w:tcPr>
            <w:tcW w:type="dxa" w:w="3249"/>
            <w:vAlign w:val="center"/>
          </w:tcPr>
          <w:p>
            <w:pPr>
              <w:spacing w:line="276" w:lineRule="auto" w:before="0" w:after="0"/>
            </w:pPr>
            <w:r/>
            <w:r>
              <w:rPr>
                <w:rFonts w:ascii="Figtree" w:hAnsi="Figtree"/>
                <w:b w:val="0"/>
                <w:i w:val="0"/>
                <w:sz w:val="20"/>
              </w:rPr>
              <w:t>15 to 25</w:t>
            </w:r>
          </w:p>
        </w:tc>
        <w:tc>
          <w:tcPr>
            <w:tcW w:type="dxa" w:w="3249"/>
            <w:vAlign w:val="center"/>
          </w:tcPr>
          <w:p>
            <w:pPr>
              <w:spacing w:line="276" w:lineRule="auto" w:before="0" w:after="0"/>
            </w:pPr>
            <w:r/>
            <w:r>
              <w:rPr>
                <w:rFonts w:ascii="Figtree" w:hAnsi="Figtree"/>
                <w:b w:val="0"/>
                <w:i w:val="0"/>
                <w:sz w:val="20"/>
              </w:rPr>
              <w:t>End-to-end testing programme</w:t>
            </w:r>
          </w:p>
        </w:tc>
      </w:tr>
      <w:tr>
        <w:trPr>
          <w:trHeight w:val="425" w:hRule="atLeast"/>
        </w:trPr>
        <w:tc>
          <w:tcPr>
            <w:tcW w:type="dxa" w:w="3249"/>
            <w:vAlign w:val="center"/>
          </w:tcPr>
          <w:p>
            <w:pPr>
              <w:spacing w:line="276" w:lineRule="auto" w:before="0" w:after="0"/>
            </w:pPr>
            <w:r/>
            <w:r>
              <w:rPr>
                <w:rFonts w:ascii="Figtree" w:hAnsi="Figtree"/>
                <w:b w:val="0"/>
                <w:i w:val="0"/>
                <w:sz w:val="20"/>
              </w:rPr>
              <w:t>Regulatory engagement and compliance review</w:t>
            </w:r>
          </w:p>
        </w:tc>
        <w:tc>
          <w:tcPr>
            <w:tcW w:type="dxa" w:w="3249"/>
            <w:vAlign w:val="center"/>
          </w:tcPr>
          <w:p>
            <w:pPr>
              <w:spacing w:line="276" w:lineRule="auto" w:before="0" w:after="0"/>
            </w:pPr>
            <w:r/>
            <w:r>
              <w:rPr>
                <w:rFonts w:ascii="Figtree" w:hAnsi="Figtree"/>
                <w:b w:val="0"/>
                <w:i w:val="0"/>
                <w:sz w:val="20"/>
              </w:rPr>
              <w:t>10 to 20</w:t>
            </w:r>
          </w:p>
        </w:tc>
        <w:tc>
          <w:tcPr>
            <w:tcW w:type="dxa" w:w="3249"/>
            <w:vAlign w:val="center"/>
          </w:tcPr>
          <w:p>
            <w:pPr>
              <w:spacing w:line="276" w:lineRule="auto" w:before="0" w:after="0"/>
            </w:pPr>
            <w:r/>
            <w:r>
              <w:rPr>
                <w:rFonts w:ascii="Figtree" w:hAnsi="Figtree"/>
                <w:b w:val="0"/>
                <w:i w:val="0"/>
                <w:sz w:val="20"/>
              </w:rPr>
              <w:t>PBOC/SAFE engagement support</w:t>
            </w:r>
          </w:p>
        </w:tc>
      </w:tr>
      <w:tr>
        <w:trPr>
          <w:trHeight w:val="425" w:hRule="atLeast"/>
        </w:trPr>
        <w:tc>
          <w:tcPr>
            <w:tcW w:type="dxa" w:w="3249"/>
            <w:vAlign w:val="center"/>
          </w:tcPr>
          <w:p>
            <w:pPr>
              <w:spacing w:line="276" w:lineRule="auto" w:before="0" w:after="0"/>
            </w:pPr>
            <w:r/>
            <w:r>
              <w:rPr>
                <w:rFonts w:ascii="Figtree" w:hAnsi="Figtree"/>
                <w:b w:val="0"/>
                <w:i w:val="0"/>
                <w:sz w:val="20"/>
              </w:rPr>
              <w:t>Project management and governance</w:t>
            </w:r>
          </w:p>
        </w:tc>
        <w:tc>
          <w:tcPr>
            <w:tcW w:type="dxa" w:w="3249"/>
            <w:vAlign w:val="center"/>
          </w:tcPr>
          <w:p>
            <w:pPr>
              <w:spacing w:line="276" w:lineRule="auto" w:before="0" w:after="0"/>
            </w:pPr>
            <w:r/>
            <w:r>
              <w:rPr>
                <w:rFonts w:ascii="Figtree" w:hAnsi="Figtree"/>
                <w:b w:val="0"/>
                <w:i w:val="0"/>
                <w:sz w:val="20"/>
              </w:rPr>
              <w:t>10 to 20</w:t>
            </w:r>
          </w:p>
        </w:tc>
        <w:tc>
          <w:tcPr>
            <w:tcW w:type="dxa" w:w="3249"/>
            <w:vAlign w:val="center"/>
          </w:tcPr>
          <w:p>
            <w:pPr>
              <w:spacing w:line="276" w:lineRule="auto" w:before="0" w:after="0"/>
            </w:pPr>
            <w:r/>
            <w:r>
              <w:rPr>
                <w:rFonts w:ascii="Figtree" w:hAnsi="Figtree"/>
                <w:b w:val="0"/>
                <w:i w:val="0"/>
                <w:sz w:val="20"/>
              </w:rPr>
              <w:t>24 to 36 month programme management</w:t>
            </w:r>
          </w:p>
        </w:tc>
      </w:tr>
      <w:tr>
        <w:trPr>
          <w:trHeight w:val="425" w:hRule="atLeast"/>
        </w:trPr>
        <w:tc>
          <w:tcPr>
            <w:tcW w:type="dxa" w:w="3249"/>
            <w:vAlign w:val="center"/>
          </w:tcPr>
          <w:p>
            <w:pPr>
              <w:spacing w:line="276" w:lineRule="auto" w:before="0" w:after="0"/>
            </w:pPr>
            <w:r/>
            <w:r>
              <w:rPr>
                <w:rFonts w:ascii="Figtree" w:hAnsi="Figtree"/>
                <w:b/>
                <w:i w:val="0"/>
                <w:sz w:val="20"/>
              </w:rPr>
              <w:t>Total Custom Build Estimate</w:t>
            </w:r>
          </w:p>
        </w:tc>
        <w:tc>
          <w:tcPr>
            <w:tcW w:type="dxa" w:w="3249"/>
            <w:vAlign w:val="center"/>
          </w:tcPr>
          <w:p>
            <w:pPr>
              <w:spacing w:line="276" w:lineRule="auto" w:before="0" w:after="0"/>
            </w:pPr>
            <w:r/>
            <w:r>
              <w:rPr>
                <w:rFonts w:ascii="Figtree" w:hAnsi="Figtree"/>
                <w:b/>
                <w:i w:val="0"/>
                <w:sz w:val="20"/>
              </w:rPr>
              <w:t>150 to 260 CNY million</w:t>
            </w:r>
          </w:p>
        </w:tc>
        <w:tc>
          <w:tcPr>
            <w:tcW w:type="dxa" w:w="3249"/>
            <w:vAlign w:val="center"/>
          </w:tcPr>
          <w:p>
            <w:pPr>
              <w:spacing w:line="276" w:lineRule="auto" w:before="0" w:after="0"/>
            </w:pPr>
            <w:r/>
            <w:r>
              <w:rPr>
                <w:rFonts w:ascii="Figtree" w:hAnsi="Figtree"/>
                <w:b/>
                <w:i w:val="0"/>
                <w:sz w:val="20"/>
              </w:rPr>
              <w:t>EUR 19 to 33 million at 8:1 CNY/EUR</w:t>
            </w:r>
          </w:p>
        </w:tc>
      </w:tr>
    </w:tbl>
    <w:p>
      <w:pPr>
        <w:spacing w:before="0" w:after="0" w:line="120" w:lineRule="exact"/>
      </w:pPr>
    </w:p>
    <w:p>
      <w:r>
        <w:rPr>
          <w:rFonts w:ascii="Figtree" w:hAnsi="Figtree"/>
          <w:b/>
          <w:i w:val="0"/>
          <w:sz w:val="22"/>
        </w:rPr>
        <w:t>Custom build risks not captured in cost estimate:</w:t>
      </w:r>
    </w:p>
    <w:p>
      <w:pPr>
        <w:pStyle w:val="ListParagraph"/>
        <w:numPr>
          <w:ilvl w:val="0"/>
          <w:numId w:val="4"/>
        </w:numPr>
      </w:pPr>
      <w:r>
        <w:rPr>
          <w:rFonts w:ascii="Figtree" w:hAnsi="Figtree"/>
          <w:b w:val="0"/>
          <w:i w:val="0"/>
          <w:sz w:val="22"/>
        </w:rPr>
        <w:t>Technology obsolescence risk (building to today's standards on a platform that evolves rapidly)</w:t>
      </w:r>
    </w:p>
    <w:p>
      <w:pPr>
        <w:pStyle w:val="ListParagraph"/>
        <w:numPr>
          <w:ilvl w:val="0"/>
          <w:numId w:val="4"/>
        </w:numPr>
      </w:pPr>
      <w:r>
        <w:rPr>
          <w:rFonts w:ascii="Figtree" w:hAnsi="Figtree"/>
          <w:b w:val="0"/>
          <w:i w:val="0"/>
          <w:sz w:val="22"/>
        </w:rPr>
        <w:t>Talent scarcity risk (blockchain and smart contract engineers command significant salary premiums in China)</w:t>
      </w:r>
    </w:p>
    <w:p>
      <w:pPr>
        <w:pStyle w:val="ListParagraph"/>
        <w:numPr>
          <w:ilvl w:val="0"/>
          <w:numId w:val="4"/>
        </w:numPr>
      </w:pPr>
      <w:r>
        <w:rPr>
          <w:rFonts w:ascii="Figtree" w:hAnsi="Figtree"/>
          <w:b w:val="0"/>
          <w:i w:val="0"/>
          <w:sz w:val="22"/>
        </w:rPr>
        <w:t>Regulatory uncertainty risk (custom-built compliance logic is harder to update when PBOC or SAFE guidance changes)</w:t>
      </w:r>
    </w:p>
    <w:p>
      <w:pPr>
        <w:pStyle w:val="ListParagraph"/>
        <w:numPr>
          <w:ilvl w:val="0"/>
          <w:numId w:val="4"/>
        </w:numPr>
      </w:pPr>
      <w:r>
        <w:rPr>
          <w:rFonts w:ascii="Figtree" w:hAnsi="Figtree"/>
          <w:b w:val="0"/>
          <w:i w:val="0"/>
          <w:sz w:val="22"/>
        </w:rPr>
        <w:t>Time-to-market risk (24 to 36 month build cycle versus 22-week DALP deployment)</w:t>
      </w:r>
    </w:p>
    <w:p>
      <w:pPr>
        <w:pStyle w:val="H3"/>
        <w:numPr>
          <w:ilvl w:val="2"/>
          <w:numId w:val="1"/>
        </w:numPr>
      </w:pPr>
      <w:r>
        <w:t>8.2 DALP vs. Custom Build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4"/>
        <w:gridCol w:w="3024"/>
        <w:gridCol w:w="32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Time to first production payment</w:t>
            </w:r>
          </w:p>
        </w:tc>
        <w:tc>
          <w:tcPr>
            <w:tcW w:type="dxa" w:w="3249"/>
            <w:vAlign w:val="center"/>
          </w:tcPr>
          <w:p>
            <w:pPr>
              <w:spacing w:line="276" w:lineRule="auto" w:before="0" w:after="0"/>
            </w:pPr>
            <w:r/>
            <w:r>
              <w:rPr>
                <w:rFonts w:ascii="Figtree" w:hAnsi="Figtree"/>
                <w:b w:val="0"/>
                <w:i w:val="0"/>
                <w:sz w:val="20"/>
              </w:rPr>
              <w:t>22 weeks</w:t>
            </w:r>
          </w:p>
        </w:tc>
        <w:tc>
          <w:tcPr>
            <w:tcW w:type="dxa" w:w="3249"/>
            <w:vAlign w:val="center"/>
          </w:tcPr>
          <w:p>
            <w:pPr>
              <w:spacing w:line="276" w:lineRule="auto" w:before="0" w:after="0"/>
            </w:pPr>
            <w:r/>
            <w:r>
              <w:rPr>
                <w:rFonts w:ascii="Figtree" w:hAnsi="Figtree"/>
                <w:b w:val="0"/>
                <w:i w:val="0"/>
                <w:sz w:val="20"/>
              </w:rPr>
              <w:t>24 to 36 months</w:t>
            </w:r>
          </w:p>
        </w:tc>
      </w:tr>
      <w:tr>
        <w:trPr>
          <w:trHeight w:val="425" w:hRule="atLeast"/>
        </w:trPr>
        <w:tc>
          <w:tcPr>
            <w:tcW w:type="dxa" w:w="3249"/>
            <w:vAlign w:val="center"/>
          </w:tcPr>
          <w:p>
            <w:pPr>
              <w:spacing w:line="276" w:lineRule="auto" w:before="0" w:after="0"/>
            </w:pPr>
            <w:r/>
            <w:r>
              <w:rPr>
                <w:rFonts w:ascii="Figtree" w:hAnsi="Figtree"/>
                <w:b w:val="0"/>
                <w:i w:val="0"/>
                <w:sz w:val="20"/>
              </w:rPr>
              <w:t>5-Year TCO</w:t>
            </w:r>
          </w:p>
        </w:tc>
        <w:tc>
          <w:tcPr>
            <w:tcW w:type="dxa" w:w="3249"/>
            <w:vAlign w:val="center"/>
          </w:tcPr>
          <w:p>
            <w:pPr>
              <w:spacing w:line="276" w:lineRule="auto" w:before="0" w:after="0"/>
            </w:pPr>
            <w:r/>
            <w:r>
              <w:rPr>
                <w:rFonts w:ascii="Figtree" w:hAnsi="Figtree"/>
                <w:b w:val="0"/>
                <w:i w:val="0"/>
                <w:sz w:val="20"/>
              </w:rPr>
              <w:t>EUR 4.3 million</w:t>
            </w:r>
          </w:p>
        </w:tc>
        <w:tc>
          <w:tcPr>
            <w:tcW w:type="dxa" w:w="3249"/>
            <w:vAlign w:val="center"/>
          </w:tcPr>
          <w:p>
            <w:pPr>
              <w:spacing w:line="276" w:lineRule="auto" w:before="0" w:after="0"/>
            </w:pPr>
            <w:r/>
            <w:r>
              <w:rPr>
                <w:rFonts w:ascii="Figtree" w:hAnsi="Figtree"/>
                <w:b w:val="0"/>
                <w:i w:val="0"/>
                <w:sz w:val="20"/>
              </w:rPr>
              <w:t>EUR 19 to 33 million</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w:t>
            </w:r>
          </w:p>
        </w:tc>
        <w:tc>
          <w:tcPr>
            <w:tcW w:type="dxa" w:w="3249"/>
            <w:vAlign w:val="center"/>
          </w:tcPr>
          <w:p>
            <w:pPr>
              <w:spacing w:line="276" w:lineRule="auto" w:before="0" w:after="0"/>
            </w:pPr>
            <w:r/>
            <w:r>
              <w:rPr>
                <w:rFonts w:ascii="Figtree" w:hAnsi="Figtree"/>
                <w:b w:val="0"/>
                <w:i w:val="0"/>
                <w:sz w:val="20"/>
              </w:rPr>
              <w:t>Completed (ERC-3643)</w:t>
            </w:r>
          </w:p>
        </w:tc>
        <w:tc>
          <w:tcPr>
            <w:tcW w:type="dxa" w:w="3249"/>
            <w:vAlign w:val="center"/>
          </w:tcPr>
          <w:p>
            <w:pPr>
              <w:spacing w:line="276" w:lineRule="auto" w:before="0" w:after="0"/>
            </w:pPr>
            <w:r/>
            <w:r>
              <w:rPr>
                <w:rFonts w:ascii="Figtree" w:hAnsi="Figtree"/>
                <w:b w:val="0"/>
                <w:i w:val="0"/>
                <w:sz w:val="20"/>
              </w:rPr>
              <w:t>Required per build (EUR 500K to 2M)</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Configuration change (days)</w:t>
            </w:r>
          </w:p>
        </w:tc>
        <w:tc>
          <w:tcPr>
            <w:tcW w:type="dxa" w:w="3249"/>
            <w:vAlign w:val="center"/>
          </w:tcPr>
          <w:p>
            <w:pPr>
              <w:spacing w:line="276" w:lineRule="auto" w:before="0" w:after="0"/>
            </w:pPr>
            <w:r/>
            <w:r>
              <w:rPr>
                <w:rFonts w:ascii="Figtree" w:hAnsi="Figtree"/>
                <w:b w:val="0"/>
                <w:i w:val="0"/>
                <w:sz w:val="20"/>
              </w:rPr>
              <w:t>Engineering cycle (months)</w:t>
            </w:r>
          </w:p>
        </w:tc>
      </w:tr>
      <w:tr>
        <w:trPr>
          <w:trHeight w:val="425" w:hRule="atLeast"/>
        </w:trPr>
        <w:tc>
          <w:tcPr>
            <w:tcW w:type="dxa" w:w="3249"/>
            <w:vAlign w:val="center"/>
          </w:tcPr>
          <w:p>
            <w:pPr>
              <w:spacing w:line="276" w:lineRule="auto" w:before="0" w:after="0"/>
            </w:pPr>
            <w:r/>
            <w:r>
              <w:rPr>
                <w:rFonts w:ascii="Figtree" w:hAnsi="Figtree"/>
                <w:b w:val="0"/>
                <w:i w:val="0"/>
                <w:sz w:val="20"/>
              </w:rPr>
              <w:t>PBOC regulatory flexibility</w:t>
            </w:r>
          </w:p>
        </w:tc>
        <w:tc>
          <w:tcPr>
            <w:tcW w:type="dxa" w:w="3249"/>
            <w:vAlign w:val="center"/>
          </w:tcPr>
          <w:p>
            <w:pPr>
              <w:spacing w:line="276" w:lineRule="auto" w:before="0" w:after="0"/>
            </w:pPr>
            <w:r/>
            <w:r>
              <w:rPr>
                <w:rFonts w:ascii="Figtree" w:hAnsi="Figtree"/>
                <w:b w:val="0"/>
                <w:i w:val="0"/>
                <w:sz w:val="20"/>
              </w:rPr>
              <w:t>Module reconfiguration without code</w:t>
            </w:r>
          </w:p>
        </w:tc>
        <w:tc>
          <w:tcPr>
            <w:tcW w:type="dxa" w:w="3249"/>
            <w:vAlign w:val="center"/>
          </w:tcPr>
          <w:p>
            <w:pPr>
              <w:spacing w:line="276" w:lineRule="auto" w:before="0" w:after="0"/>
            </w:pPr>
            <w:r/>
            <w:r>
              <w:rPr>
                <w:rFonts w:ascii="Figtree" w:hAnsi="Figtree"/>
                <w:b w:val="0"/>
                <w:i w:val="0"/>
                <w:sz w:val="20"/>
              </w:rPr>
              <w:t>Code change with full re-audit</w:t>
            </w:r>
          </w:p>
        </w:tc>
      </w:tr>
      <w:tr>
        <w:trPr>
          <w:trHeight w:val="425" w:hRule="atLeast"/>
        </w:trPr>
        <w:tc>
          <w:tcPr>
            <w:tcW w:type="dxa" w:w="3249"/>
            <w:vAlign w:val="center"/>
          </w:tcPr>
          <w:p>
            <w:pPr>
              <w:spacing w:line="276" w:lineRule="auto" w:before="0" w:after="0"/>
            </w:pPr>
            <w:r/>
            <w:r>
              <w:rPr>
                <w:rFonts w:ascii="Figtree" w:hAnsi="Figtree"/>
                <w:b w:val="0"/>
                <w:i w:val="0"/>
                <w:sz w:val="20"/>
              </w:rPr>
              <w:t>Integration maintenance</w:t>
            </w:r>
          </w:p>
        </w:tc>
        <w:tc>
          <w:tcPr>
            <w:tcW w:type="dxa" w:w="3249"/>
            <w:vAlign w:val="center"/>
          </w:tcPr>
          <w:p>
            <w:pPr>
              <w:spacing w:line="276" w:lineRule="auto" w:before="0" w:after="0"/>
            </w:pPr>
            <w:r/>
            <w:r>
              <w:rPr>
                <w:rFonts w:ascii="Figtree" w:hAnsi="Figtree"/>
                <w:b w:val="0"/>
                <w:i w:val="0"/>
                <w:sz w:val="20"/>
              </w:rPr>
              <w:t>SettleMint product maintenance</w:t>
            </w:r>
          </w:p>
        </w:tc>
        <w:tc>
          <w:tcPr>
            <w:tcW w:type="dxa" w:w="3249"/>
            <w:vAlign w:val="center"/>
          </w:tcPr>
          <w:p>
            <w:pPr>
              <w:spacing w:line="276" w:lineRule="auto" w:before="0" w:after="0"/>
            </w:pPr>
            <w:r/>
            <w:r>
              <w:rPr>
                <w:rFonts w:ascii="Figtree" w:hAnsi="Figtree"/>
                <w:b w:val="0"/>
                <w:i w:val="0"/>
                <w:sz w:val="20"/>
              </w:rPr>
              <w:t>Internal maintenance 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Talent dependency</w:t>
            </w:r>
          </w:p>
        </w:tc>
        <w:tc>
          <w:tcPr>
            <w:tcW w:type="dxa" w:w="3249"/>
            <w:vAlign w:val="center"/>
          </w:tcPr>
          <w:p>
            <w:pPr>
              <w:spacing w:line="276" w:lineRule="auto" w:before="0" w:after="0"/>
            </w:pPr>
            <w:r/>
            <w:r>
              <w:rPr>
                <w:rFonts w:ascii="Figtree" w:hAnsi="Figtree"/>
                <w:b w:val="0"/>
                <w:i w:val="0"/>
                <w:sz w:val="20"/>
              </w:rPr>
              <w:t>SettleMint platform expertise</w:t>
            </w:r>
          </w:p>
        </w:tc>
        <w:tc>
          <w:tcPr>
            <w:tcW w:type="dxa" w:w="3249"/>
            <w:vAlign w:val="center"/>
          </w:tcPr>
          <w:p>
            <w:pPr>
              <w:spacing w:line="276" w:lineRule="auto" w:before="0" w:after="0"/>
            </w:pPr>
            <w:r/>
            <w:r>
              <w:rPr>
                <w:rFonts w:ascii="Figtree" w:hAnsi="Figtree"/>
                <w:b w:val="0"/>
                <w:i w:val="0"/>
                <w:sz w:val="20"/>
              </w:rPr>
              <w:t>Bank of China internal blockchain team</w:t>
            </w:r>
          </w:p>
        </w:tc>
      </w:tr>
      <w:tr>
        <w:trPr>
          <w:trHeight w:val="425" w:hRule="atLeast"/>
        </w:trPr>
        <w:tc>
          <w:tcPr>
            <w:tcW w:type="dxa" w:w="3249"/>
            <w:vAlign w:val="center"/>
          </w:tcPr>
          <w:p>
            <w:pPr>
              <w:spacing w:line="276" w:lineRule="auto" w:before="0" w:after="0"/>
            </w:pPr>
            <w:r/>
            <w:r>
              <w:rPr>
                <w:rFonts w:ascii="Figtree" w:hAnsi="Figtree"/>
                <w:b w:val="0"/>
                <w:i w:val="0"/>
                <w:sz w:val="20"/>
              </w:rPr>
              <w:t>Reference deployments</w:t>
            </w:r>
          </w:p>
        </w:tc>
        <w:tc>
          <w:tcPr>
            <w:tcW w:type="dxa" w:w="3249"/>
            <w:vAlign w:val="center"/>
          </w:tcPr>
          <w:p>
            <w:pPr>
              <w:spacing w:line="276" w:lineRule="auto" w:before="0" w:after="0"/>
            </w:pPr>
            <w:r/>
            <w:r>
              <w:rPr>
                <w:rFonts w:ascii="Figtree" w:hAnsi="Figtree"/>
                <w:b w:val="0"/>
                <w:i w:val="0"/>
                <w:sz w:val="20"/>
              </w:rPr>
              <w:t>DBS, OCBC, ANZ, CBA, SAMA (live)</w:t>
            </w:r>
          </w:p>
        </w:tc>
        <w:tc>
          <w:tcPr>
            <w:tcW w:type="dxa" w:w="3249"/>
            <w:vAlign w:val="center"/>
          </w:tcPr>
          <w:p>
            <w:pPr>
              <w:spacing w:line="276" w:lineRule="auto" w:before="0" w:after="0"/>
            </w:pPr>
            <w:r/>
            <w:r>
              <w:rPr>
                <w:rFonts w:ascii="Figtree" w:hAnsi="Figtree"/>
                <w:b w:val="0"/>
                <w:i w:val="0"/>
                <w:sz w:val="20"/>
              </w:rPr>
              <w:t>None - new build</w:t>
            </w:r>
          </w:p>
        </w:tc>
      </w:tr>
    </w:tbl>
    <w:p>
      <w:pPr>
        <w:spacing w:before="0" w:after="0" w:line="120" w:lineRule="exact"/>
      </w:pPr>
    </w:p>
    <w:p>
      <w:r>
        <w:br w:type="page"/>
      </w:r>
    </w:p>
    <w:p>
      <w:pPr>
        <w:pStyle w:val="H2"/>
        <w:numPr>
          <w:ilvl w:val="1"/>
          <w:numId w:val="1"/>
        </w:numPr>
      </w:pPr>
      <w:r>
        <w:t>9. ROI Analysis and Payback Period</w:t>
      </w:r>
    </w:p>
    <w:p>
      <w:pPr>
        <w:pStyle w:val="H3"/>
        <w:numPr>
          <w:ilvl w:val="2"/>
          <w:numId w:val="1"/>
        </w:numPr>
      </w:pPr>
      <w:r>
        <w:t>9.1 Value Drivers</w:t>
      </w:r>
    </w:p>
    <w:p>
      <w:r>
        <w:rPr>
          <w:rFonts w:ascii="Figtree" w:hAnsi="Figtree"/>
          <w:b w:val="0"/>
          <w:i w:val="0"/>
          <w:sz w:val="22"/>
        </w:rPr>
        <w:t>The business case for Bank of China's cross-border tokenized payment programme is driven by three categories of value:</w:t>
      </w:r>
    </w:p>
    <w:p>
      <w:r>
        <w:rPr>
          <w:rFonts w:ascii="Figtree" w:hAnsi="Figtree"/>
          <w:b/>
          <w:i w:val="0"/>
          <w:sz w:val="22"/>
        </w:rPr>
        <w:t>Category 1: Settlement Efficiency (Quantifiable)</w:t>
      </w:r>
    </w:p>
    <w:p>
      <w:r>
        <w:rPr>
          <w:rFonts w:ascii="Figtree" w:hAnsi="Figtree"/>
          <w:b w:val="0"/>
          <w:i w:val="0"/>
          <w:sz w:val="22"/>
        </w:rPr>
        <w:t>Traditional cross-border payment settlement involves T+1 to T+3 cycle times, with correspondent banking fees ranging from 0.05% to 0.30% of transaction value. At Bank of China's estimated cross-border payment volume of CNY 50 billion per year (conservative estimate for a major corridor), settlement efficiency gains translate to:</w:t>
      </w:r>
    </w:p>
    <w:p>
      <w:pPr>
        <w:pStyle w:val="ListParagraph"/>
        <w:numPr>
          <w:ilvl w:val="0"/>
          <w:numId w:val="4"/>
        </w:numPr>
      </w:pPr>
      <w:r>
        <w:rPr>
          <w:rFonts w:ascii="Figtree" w:hAnsi="Figtree"/>
          <w:b w:val="0"/>
          <w:i w:val="0"/>
          <w:sz w:val="22"/>
        </w:rPr>
        <w:t>Reduced settlement latency from T+2 average to same-day (T+0): estimated 1.5% working capital improvement on payment volumes in transit. On CNY 50 billion annual volume, this is CNY 750 million released from float (approximately EUR 94 million of working capital).</w:t>
      </w:r>
    </w:p>
    <w:p>
      <w:pPr>
        <w:pStyle w:val="ListParagraph"/>
        <w:numPr>
          <w:ilvl w:val="0"/>
          <w:numId w:val="4"/>
        </w:numPr>
      </w:pPr>
      <w:r>
        <w:rPr>
          <w:rFonts w:ascii="Figtree" w:hAnsi="Figtree"/>
          <w:b w:val="0"/>
          <w:i w:val="0"/>
          <w:sz w:val="22"/>
        </w:rPr>
        <w:t>Correspondent banking fee reduction: tokenized settlement reduces the correspondent chain for CIPS-eligible corridors by 1 to 2 banks. Estimated fee saving: 0.05 to 0.10% of transaction value = CNY 25 to 50 million annually on CNY 50 billion volume.</w:t>
      </w:r>
    </w:p>
    <w:p>
      <w:r>
        <w:rPr>
          <w:rFonts w:ascii="Figtree" w:hAnsi="Figtree"/>
          <w:b/>
          <w:i w:val="0"/>
          <w:sz w:val="22"/>
        </w:rPr>
        <w:t>Category 2: Operational Cost Reduction (Partially Quantifiable)</w:t>
      </w:r>
    </w:p>
    <w:p>
      <w:pPr>
        <w:pStyle w:val="ListParagraph"/>
        <w:numPr>
          <w:ilvl w:val="0"/>
          <w:numId w:val="4"/>
        </w:numPr>
      </w:pPr>
      <w:r>
        <w:rPr>
          <w:rFonts w:ascii="Figtree" w:hAnsi="Figtree"/>
          <w:b w:val="0"/>
          <w:i w:val="0"/>
          <w:sz w:val="22"/>
        </w:rPr>
        <w:t>Reconciliation cost reduction: manual cross-border payment reconciliation at Bank of China currently involves significant operations team time (estimated 8 to 15 FTE-equivalent across operations and finance). Automated three-way reconciliation reduces this to exception handling only, estimated at 3 to 5 FTE reduction, saving approximately EUR 400,000 to 700,000 annually.</w:t>
      </w:r>
    </w:p>
    <w:p>
      <w:pPr>
        <w:pStyle w:val="ListParagraph"/>
        <w:numPr>
          <w:ilvl w:val="0"/>
          <w:numId w:val="4"/>
        </w:numPr>
      </w:pPr>
      <w:r>
        <w:rPr>
          <w:rFonts w:ascii="Figtree" w:hAnsi="Figtree"/>
          <w:b w:val="0"/>
          <w:i w:val="0"/>
          <w:sz w:val="22"/>
        </w:rPr>
        <w:t>Exception handling cost reduction: automated compliance enforcement and workflow routing reduces manual exception processing by an estimated 60%. At an estimated 200 exceptions per month at EUR 150 per exception, this saves EUR 360,000 annually.</w:t>
      </w:r>
    </w:p>
    <w:p>
      <w:pPr>
        <w:pStyle w:val="ListParagraph"/>
        <w:numPr>
          <w:ilvl w:val="0"/>
          <w:numId w:val="4"/>
        </w:numPr>
      </w:pPr>
      <w:r>
        <w:rPr>
          <w:rFonts w:ascii="Figtree" w:hAnsi="Figtree"/>
          <w:b w:val="0"/>
          <w:i w:val="0"/>
          <w:sz w:val="22"/>
        </w:rPr>
        <w:t>SWIFT messaging cost reduction: CIPS-settled corridors replace higher-cost SWIFT messaging. Estimated SWIFT fee saving: EUR 100,000 to 200,000 annually on high-volume corridors.</w:t>
      </w:r>
    </w:p>
    <w:p>
      <w:r>
        <w:rPr>
          <w:rFonts w:ascii="Figtree" w:hAnsi="Figtree"/>
          <w:b/>
          <w:i w:val="0"/>
          <w:sz w:val="22"/>
        </w:rPr>
        <w:t>Category 3: Strategic Value (Non-Quantifiable)</w:t>
      </w:r>
    </w:p>
    <w:p>
      <w:pPr>
        <w:pStyle w:val="ListParagraph"/>
        <w:numPr>
          <w:ilvl w:val="0"/>
          <w:numId w:val="4"/>
        </w:numPr>
      </w:pPr>
      <w:r>
        <w:rPr>
          <w:rFonts w:ascii="Figtree" w:hAnsi="Figtree"/>
          <w:b w:val="0"/>
          <w:i w:val="0"/>
          <w:sz w:val="22"/>
        </w:rPr>
        <w:t>First-mover positioning in China cross-border digital payment infrastructure</w:t>
      </w:r>
    </w:p>
    <w:p>
      <w:pPr>
        <w:pStyle w:val="ListParagraph"/>
        <w:numPr>
          <w:ilvl w:val="0"/>
          <w:numId w:val="4"/>
        </w:numPr>
      </w:pPr>
      <w:r>
        <w:rPr>
          <w:rFonts w:ascii="Figtree" w:hAnsi="Figtree"/>
          <w:b w:val="0"/>
          <w:i w:val="0"/>
          <w:sz w:val="22"/>
        </w:rPr>
        <w:t>Regulatory relationship with PBOC demonstrating technological leadership</w:t>
      </w:r>
    </w:p>
    <w:p>
      <w:pPr>
        <w:pStyle w:val="ListParagraph"/>
        <w:numPr>
          <w:ilvl w:val="0"/>
          <w:numId w:val="4"/>
        </w:numPr>
      </w:pPr>
      <w:r>
        <w:rPr>
          <w:rFonts w:ascii="Figtree" w:hAnsi="Figtree"/>
          <w:b w:val="0"/>
          <w:i w:val="0"/>
          <w:sz w:val="22"/>
        </w:rPr>
        <w:t>Platform foundation for additional digital asset products (trade finance, supply chain finance, digital deposits)</w:t>
      </w:r>
    </w:p>
    <w:p>
      <w:pPr>
        <w:pStyle w:val="ListParagraph"/>
        <w:numPr>
          <w:ilvl w:val="0"/>
          <w:numId w:val="4"/>
        </w:numPr>
      </w:pPr>
      <w:r>
        <w:rPr>
          <w:rFonts w:ascii="Figtree" w:hAnsi="Figtree"/>
          <w:b w:val="0"/>
          <w:i w:val="0"/>
          <w:sz w:val="22"/>
        </w:rPr>
        <w:t>Improved correspondent banking relationships through faster, more transparent settlement</w:t>
      </w:r>
    </w:p>
    <w:p>
      <w:pPr>
        <w:pStyle w:val="H3"/>
        <w:numPr>
          <w:ilvl w:val="2"/>
          <w:numId w:val="1"/>
        </w:numPr>
      </w:pPr>
      <w:r>
        <w:t>9.2 Indicative Payback Period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9"/>
        <w:gridCol w:w="1108"/>
        <w:gridCol w:w="1008"/>
        <w:gridCol w:w="1008"/>
        <w:gridCol w:w="1108"/>
        <w:gridCol w:w="110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r>
      <w:tr>
        <w:trPr>
          <w:trHeight w:val="425" w:hRule="atLeast"/>
        </w:trPr>
        <w:tc>
          <w:tcPr>
            <w:tcW w:type="dxa" w:w="1624"/>
            <w:vAlign w:val="center"/>
          </w:tcPr>
          <w:p>
            <w:pPr>
              <w:spacing w:line="276" w:lineRule="auto" w:before="0" w:after="0"/>
            </w:pPr>
            <w:r/>
            <w:r>
              <w:rPr>
                <w:rFonts w:ascii="Figtree" w:hAnsi="Figtree"/>
                <w:b w:val="0"/>
                <w:i w:val="0"/>
                <w:sz w:val="20"/>
              </w:rPr>
              <w:t>Annual Investment (EUR)</w:t>
            </w:r>
          </w:p>
        </w:tc>
        <w:tc>
          <w:tcPr>
            <w:tcW w:type="dxa" w:w="1624"/>
            <w:vAlign w:val="center"/>
          </w:tcPr>
          <w:p>
            <w:pPr>
              <w:spacing w:line="276" w:lineRule="auto" w:before="0" w:after="0"/>
            </w:pPr>
            <w:r/>
            <w:r>
              <w:rPr>
                <w:rFonts w:ascii="Figtree" w:hAnsi="Figtree"/>
                <w:b w:val="0"/>
                <w:i w:val="0"/>
                <w:sz w:val="20"/>
              </w:rPr>
              <w:t>1,241,000</w:t>
            </w:r>
          </w:p>
        </w:tc>
        <w:tc>
          <w:tcPr>
            <w:tcW w:type="dxa" w:w="1624"/>
            <w:vAlign w:val="center"/>
          </w:tcPr>
          <w:p>
            <w:pPr>
              <w:spacing w:line="276" w:lineRule="auto" w:before="0" w:after="0"/>
            </w:pPr>
            <w:r/>
            <w:r>
              <w:rPr>
                <w:rFonts w:ascii="Figtree" w:hAnsi="Figtree"/>
                <w:b w:val="0"/>
                <w:i w:val="0"/>
                <w:sz w:val="20"/>
              </w:rPr>
              <w:t>741,000</w:t>
            </w:r>
          </w:p>
        </w:tc>
        <w:tc>
          <w:tcPr>
            <w:tcW w:type="dxa" w:w="1624"/>
            <w:vAlign w:val="center"/>
          </w:tcPr>
          <w:p>
            <w:pPr>
              <w:spacing w:line="276" w:lineRule="auto" w:before="0" w:after="0"/>
            </w:pPr>
            <w:r/>
            <w:r>
              <w:rPr>
                <w:rFonts w:ascii="Figtree" w:hAnsi="Figtree"/>
                <w:b w:val="0"/>
                <w:i w:val="0"/>
                <w:sz w:val="20"/>
              </w:rPr>
              <w:t>741,000</w:t>
            </w:r>
          </w:p>
        </w:tc>
        <w:tc>
          <w:tcPr>
            <w:tcW w:type="dxa" w:w="1624"/>
            <w:vAlign w:val="center"/>
          </w:tcPr>
          <w:p>
            <w:pPr>
              <w:spacing w:line="276" w:lineRule="auto" w:before="0" w:after="0"/>
            </w:pPr>
            <w:r/>
            <w:r>
              <w:rPr>
                <w:rFonts w:ascii="Figtree" w:hAnsi="Figtree"/>
                <w:b w:val="0"/>
                <w:i w:val="0"/>
                <w:sz w:val="20"/>
              </w:rPr>
              <w:t>760,080</w:t>
            </w:r>
          </w:p>
        </w:tc>
        <w:tc>
          <w:tcPr>
            <w:tcW w:type="dxa" w:w="1624"/>
            <w:vAlign w:val="center"/>
          </w:tcPr>
          <w:p>
            <w:pPr>
              <w:spacing w:line="276" w:lineRule="auto" w:before="0" w:after="0"/>
            </w:pPr>
            <w:r/>
            <w:r>
              <w:rPr>
                <w:rFonts w:ascii="Figtree" w:hAnsi="Figtree"/>
                <w:b w:val="0"/>
                <w:i w:val="0"/>
                <w:sz w:val="20"/>
              </w:rPr>
              <w:t>779,732</w:t>
            </w:r>
          </w:p>
        </w:tc>
      </w:tr>
      <w:tr>
        <w:trPr>
          <w:trHeight w:val="425" w:hRule="atLeast"/>
        </w:trPr>
        <w:tc>
          <w:tcPr>
            <w:tcW w:type="dxa" w:w="1624"/>
            <w:vAlign w:val="center"/>
          </w:tcPr>
          <w:p>
            <w:pPr>
              <w:spacing w:line="276" w:lineRule="auto" w:before="0" w:after="0"/>
            </w:pPr>
            <w:r/>
            <w:r>
              <w:rPr>
                <w:rFonts w:ascii="Figtree" w:hAnsi="Figtree"/>
                <w:b w:val="0"/>
                <w:i w:val="0"/>
                <w:sz w:val="20"/>
              </w:rPr>
              <w:t>Working Capital Release Benefit (EUR)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47,000,000</w:t>
            </w:r>
          </w:p>
        </w:tc>
        <w:tc>
          <w:tcPr>
            <w:tcW w:type="dxa" w:w="1624"/>
            <w:vAlign w:val="center"/>
          </w:tcPr>
          <w:p>
            <w:pPr>
              <w:spacing w:line="276" w:lineRule="auto" w:before="0" w:after="0"/>
            </w:pPr>
            <w:r/>
            <w:r>
              <w:rPr>
                <w:rFonts w:ascii="Figtree" w:hAnsi="Figtree"/>
                <w:b w:val="0"/>
                <w:i w:val="0"/>
                <w:sz w:val="20"/>
              </w:rPr>
              <w:t>47,000,000</w:t>
            </w:r>
          </w:p>
        </w:tc>
        <w:tc>
          <w:tcPr>
            <w:tcW w:type="dxa" w:w="1624"/>
            <w:vAlign w:val="center"/>
          </w:tcPr>
          <w:p>
            <w:pPr>
              <w:spacing w:line="276" w:lineRule="auto" w:before="0" w:after="0"/>
            </w:pPr>
            <w:r/>
            <w:r>
              <w:rPr>
                <w:rFonts w:ascii="Figtree" w:hAnsi="Figtree"/>
                <w:b w:val="0"/>
                <w:i w:val="0"/>
                <w:sz w:val="20"/>
              </w:rPr>
              <w:t>47,000,000</w:t>
            </w:r>
          </w:p>
        </w:tc>
        <w:tc>
          <w:tcPr>
            <w:tcW w:type="dxa" w:w="1624"/>
            <w:vAlign w:val="center"/>
          </w:tcPr>
          <w:p>
            <w:pPr>
              <w:spacing w:line="276" w:lineRule="auto" w:before="0" w:after="0"/>
            </w:pPr>
            <w:r/>
            <w:r>
              <w:rPr>
                <w:rFonts w:ascii="Figtree" w:hAnsi="Figtree"/>
                <w:b w:val="0"/>
                <w:i w:val="0"/>
                <w:sz w:val="20"/>
              </w:rPr>
              <w:t>47,000,000</w:t>
            </w:r>
          </w:p>
        </w:tc>
      </w:tr>
      <w:tr>
        <w:trPr>
          <w:trHeight w:val="425" w:hRule="atLeast"/>
        </w:trPr>
        <w:tc>
          <w:tcPr>
            <w:tcW w:type="dxa" w:w="1624"/>
            <w:vAlign w:val="center"/>
          </w:tcPr>
          <w:p>
            <w:pPr>
              <w:spacing w:line="276" w:lineRule="auto" w:before="0" w:after="0"/>
            </w:pPr>
            <w:r/>
            <w:r>
              <w:rPr>
                <w:rFonts w:ascii="Figtree" w:hAnsi="Figtree"/>
                <w:b w:val="0"/>
                <w:i w:val="0"/>
                <w:sz w:val="20"/>
              </w:rPr>
              <w:t>Fee Savings Benefit (EUR)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3,125,000</w:t>
            </w:r>
          </w:p>
        </w:tc>
        <w:tc>
          <w:tcPr>
            <w:tcW w:type="dxa" w:w="1624"/>
            <w:vAlign w:val="center"/>
          </w:tcPr>
          <w:p>
            <w:pPr>
              <w:spacing w:line="276" w:lineRule="auto" w:before="0" w:after="0"/>
            </w:pPr>
            <w:r/>
            <w:r>
              <w:rPr>
                <w:rFonts w:ascii="Figtree" w:hAnsi="Figtree"/>
                <w:b w:val="0"/>
                <w:i w:val="0"/>
                <w:sz w:val="20"/>
              </w:rPr>
              <w:t>3,125,000</w:t>
            </w:r>
          </w:p>
        </w:tc>
        <w:tc>
          <w:tcPr>
            <w:tcW w:type="dxa" w:w="1624"/>
            <w:vAlign w:val="center"/>
          </w:tcPr>
          <w:p>
            <w:pPr>
              <w:spacing w:line="276" w:lineRule="auto" w:before="0" w:after="0"/>
            </w:pPr>
            <w:r/>
            <w:r>
              <w:rPr>
                <w:rFonts w:ascii="Figtree" w:hAnsi="Figtree"/>
                <w:b w:val="0"/>
                <w:i w:val="0"/>
                <w:sz w:val="20"/>
              </w:rPr>
              <w:t>3,125,000</w:t>
            </w:r>
          </w:p>
        </w:tc>
        <w:tc>
          <w:tcPr>
            <w:tcW w:type="dxa" w:w="1624"/>
            <w:vAlign w:val="center"/>
          </w:tcPr>
          <w:p>
            <w:pPr>
              <w:spacing w:line="276" w:lineRule="auto" w:before="0" w:after="0"/>
            </w:pPr>
            <w:r/>
            <w:r>
              <w:rPr>
                <w:rFonts w:ascii="Figtree" w:hAnsi="Figtree"/>
                <w:b w:val="0"/>
                <w:i w:val="0"/>
                <w:sz w:val="20"/>
              </w:rPr>
              <w:t>3,125,000</w:t>
            </w:r>
          </w:p>
        </w:tc>
      </w:tr>
      <w:tr>
        <w:trPr>
          <w:trHeight w:val="425" w:hRule="atLeast"/>
        </w:trPr>
        <w:tc>
          <w:tcPr>
            <w:tcW w:type="dxa" w:w="1624"/>
            <w:vAlign w:val="center"/>
          </w:tcPr>
          <w:p>
            <w:pPr>
              <w:spacing w:line="276" w:lineRule="auto" w:before="0" w:after="0"/>
            </w:pPr>
            <w:r/>
            <w:r>
              <w:rPr>
                <w:rFonts w:ascii="Figtree" w:hAnsi="Figtree"/>
                <w:b w:val="0"/>
                <w:i w:val="0"/>
                <w:sz w:val="20"/>
              </w:rPr>
              <w:t>Operational Cost Savings (EUR)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860,000</w:t>
            </w:r>
          </w:p>
        </w:tc>
        <w:tc>
          <w:tcPr>
            <w:tcW w:type="dxa" w:w="1624"/>
            <w:vAlign w:val="center"/>
          </w:tcPr>
          <w:p>
            <w:pPr>
              <w:spacing w:line="276" w:lineRule="auto" w:before="0" w:after="0"/>
            </w:pPr>
            <w:r/>
            <w:r>
              <w:rPr>
                <w:rFonts w:ascii="Figtree" w:hAnsi="Figtree"/>
                <w:b w:val="0"/>
                <w:i w:val="0"/>
                <w:sz w:val="20"/>
              </w:rPr>
              <w:t>860,000</w:t>
            </w:r>
          </w:p>
        </w:tc>
        <w:tc>
          <w:tcPr>
            <w:tcW w:type="dxa" w:w="1624"/>
            <w:vAlign w:val="center"/>
          </w:tcPr>
          <w:p>
            <w:pPr>
              <w:spacing w:line="276" w:lineRule="auto" w:before="0" w:after="0"/>
            </w:pPr>
            <w:r/>
            <w:r>
              <w:rPr>
                <w:rFonts w:ascii="Figtree" w:hAnsi="Figtree"/>
                <w:b w:val="0"/>
                <w:i w:val="0"/>
                <w:sz w:val="20"/>
              </w:rPr>
              <w:t>860,000</w:t>
            </w:r>
          </w:p>
        </w:tc>
        <w:tc>
          <w:tcPr>
            <w:tcW w:type="dxa" w:w="1624"/>
            <w:vAlign w:val="center"/>
          </w:tcPr>
          <w:p>
            <w:pPr>
              <w:spacing w:line="276" w:lineRule="auto" w:before="0" w:after="0"/>
            </w:pPr>
            <w:r/>
            <w:r>
              <w:rPr>
                <w:rFonts w:ascii="Figtree" w:hAnsi="Figtree"/>
                <w:b w:val="0"/>
                <w:i w:val="0"/>
                <w:sz w:val="20"/>
              </w:rPr>
              <w:t>860,000</w:t>
            </w:r>
          </w:p>
        </w:tc>
      </w:tr>
      <w:tr>
        <w:trPr>
          <w:trHeight w:val="425" w:hRule="atLeast"/>
        </w:trPr>
        <w:tc>
          <w:tcPr>
            <w:tcW w:type="dxa" w:w="1624"/>
            <w:vAlign w:val="center"/>
          </w:tcPr>
          <w:p>
            <w:pPr>
              <w:spacing w:line="276" w:lineRule="auto" w:before="0" w:after="0"/>
            </w:pPr>
            <w:r/>
            <w:r>
              <w:rPr>
                <w:rFonts w:ascii="Figtree" w:hAnsi="Figtree"/>
                <w:b w:val="0"/>
                <w:i w:val="0"/>
                <w:sz w:val="20"/>
              </w:rPr>
              <w:t>Net Annual Benefit (EUR)</w:t>
            </w:r>
          </w:p>
        </w:tc>
        <w:tc>
          <w:tcPr>
            <w:tcW w:type="dxa" w:w="1624"/>
            <w:vAlign w:val="center"/>
          </w:tcPr>
          <w:p>
            <w:pPr>
              <w:spacing w:line="276" w:lineRule="auto" w:before="0" w:after="0"/>
            </w:pPr>
            <w:r/>
            <w:r>
              <w:rPr>
                <w:rFonts w:ascii="Figtree" w:hAnsi="Figtree"/>
                <w:b w:val="0"/>
                <w:i w:val="0"/>
                <w:sz w:val="20"/>
              </w:rPr>
              <w:t>(1,241,000)</w:t>
            </w:r>
          </w:p>
        </w:tc>
        <w:tc>
          <w:tcPr>
            <w:tcW w:type="dxa" w:w="1624"/>
            <w:vAlign w:val="center"/>
          </w:tcPr>
          <w:p>
            <w:pPr>
              <w:spacing w:line="276" w:lineRule="auto" w:before="0" w:after="0"/>
            </w:pPr>
            <w:r/>
            <w:r>
              <w:rPr>
                <w:rFonts w:ascii="Figtree" w:hAnsi="Figtree"/>
                <w:b w:val="0"/>
                <w:i w:val="0"/>
                <w:sz w:val="20"/>
              </w:rPr>
              <w:t>50,244,000</w:t>
            </w:r>
          </w:p>
        </w:tc>
        <w:tc>
          <w:tcPr>
            <w:tcW w:type="dxa" w:w="1624"/>
            <w:vAlign w:val="center"/>
          </w:tcPr>
          <w:p>
            <w:pPr>
              <w:spacing w:line="276" w:lineRule="auto" w:before="0" w:after="0"/>
            </w:pPr>
            <w:r/>
            <w:r>
              <w:rPr>
                <w:rFonts w:ascii="Figtree" w:hAnsi="Figtree"/>
                <w:b w:val="0"/>
                <w:i w:val="0"/>
                <w:sz w:val="20"/>
              </w:rPr>
              <w:t>50,244,000</w:t>
            </w:r>
          </w:p>
        </w:tc>
        <w:tc>
          <w:tcPr>
            <w:tcW w:type="dxa" w:w="1624"/>
            <w:vAlign w:val="center"/>
          </w:tcPr>
          <w:p>
            <w:pPr>
              <w:spacing w:line="276" w:lineRule="auto" w:before="0" w:after="0"/>
            </w:pPr>
            <w:r/>
            <w:r>
              <w:rPr>
                <w:rFonts w:ascii="Figtree" w:hAnsi="Figtree"/>
                <w:b w:val="0"/>
                <w:i w:val="0"/>
                <w:sz w:val="20"/>
              </w:rPr>
              <w:t>50,224,920</w:t>
            </w:r>
          </w:p>
        </w:tc>
        <w:tc>
          <w:tcPr>
            <w:tcW w:type="dxa" w:w="1624"/>
            <w:vAlign w:val="center"/>
          </w:tcPr>
          <w:p>
            <w:pPr>
              <w:spacing w:line="276" w:lineRule="auto" w:before="0" w:after="0"/>
            </w:pPr>
            <w:r/>
            <w:r>
              <w:rPr>
                <w:rFonts w:ascii="Figtree" w:hAnsi="Figtree"/>
                <w:b w:val="0"/>
                <w:i w:val="0"/>
                <w:sz w:val="20"/>
              </w:rPr>
              <w:t>50,205,268</w:t>
            </w:r>
          </w:p>
        </w:tc>
      </w:tr>
      <w:tr>
        <w:trPr>
          <w:trHeight w:val="425" w:hRule="atLeast"/>
        </w:trPr>
        <w:tc>
          <w:tcPr>
            <w:tcW w:type="dxa" w:w="1624"/>
            <w:vAlign w:val="center"/>
          </w:tcPr>
          <w:p>
            <w:pPr>
              <w:spacing w:line="276" w:lineRule="auto" w:before="0" w:after="0"/>
            </w:pPr>
            <w:r/>
            <w:r>
              <w:rPr>
                <w:rFonts w:ascii="Figtree" w:hAnsi="Figtree"/>
                <w:b w:val="0"/>
                <w:i w:val="0"/>
                <w:sz w:val="20"/>
              </w:rPr>
              <w:t>Cumulative Net Benefit (EUR)</w:t>
            </w:r>
          </w:p>
        </w:tc>
        <w:tc>
          <w:tcPr>
            <w:tcW w:type="dxa" w:w="1624"/>
            <w:vAlign w:val="center"/>
          </w:tcPr>
          <w:p>
            <w:pPr>
              <w:spacing w:line="276" w:lineRule="auto" w:before="0" w:after="0"/>
            </w:pPr>
            <w:r/>
            <w:r>
              <w:rPr>
                <w:rFonts w:ascii="Figtree" w:hAnsi="Figtree"/>
                <w:b w:val="0"/>
                <w:i w:val="0"/>
                <w:sz w:val="20"/>
              </w:rPr>
              <w:t>(1,241,000)</w:t>
            </w:r>
          </w:p>
        </w:tc>
        <w:tc>
          <w:tcPr>
            <w:tcW w:type="dxa" w:w="1624"/>
            <w:vAlign w:val="center"/>
          </w:tcPr>
          <w:p>
            <w:pPr>
              <w:spacing w:line="276" w:lineRule="auto" w:before="0" w:after="0"/>
            </w:pPr>
            <w:r/>
            <w:r>
              <w:rPr>
                <w:rFonts w:ascii="Figtree" w:hAnsi="Figtree"/>
                <w:b w:val="0"/>
                <w:i w:val="0"/>
                <w:sz w:val="20"/>
              </w:rPr>
              <w:t>49,003,000</w:t>
            </w:r>
          </w:p>
        </w:tc>
        <w:tc>
          <w:tcPr>
            <w:tcW w:type="dxa" w:w="1624"/>
            <w:vAlign w:val="center"/>
          </w:tcPr>
          <w:p>
            <w:pPr>
              <w:spacing w:line="276" w:lineRule="auto" w:before="0" w:after="0"/>
            </w:pPr>
            <w:r/>
            <w:r>
              <w:rPr>
                <w:rFonts w:ascii="Figtree" w:hAnsi="Figtree"/>
                <w:b w:val="0"/>
                <w:i w:val="0"/>
                <w:sz w:val="20"/>
              </w:rPr>
              <w:t>99,247,000</w:t>
            </w:r>
          </w:p>
        </w:tc>
        <w:tc>
          <w:tcPr>
            <w:tcW w:type="dxa" w:w="1624"/>
            <w:vAlign w:val="center"/>
          </w:tcPr>
          <w:p>
            <w:pPr>
              <w:spacing w:line="276" w:lineRule="auto" w:before="0" w:after="0"/>
            </w:pPr>
            <w:r/>
            <w:r>
              <w:rPr>
                <w:rFonts w:ascii="Figtree" w:hAnsi="Figtree"/>
                <w:b w:val="0"/>
                <w:i w:val="0"/>
                <w:sz w:val="20"/>
              </w:rPr>
              <w:t>149,471,920</w:t>
            </w:r>
          </w:p>
        </w:tc>
        <w:tc>
          <w:tcPr>
            <w:tcW w:type="dxa" w:w="1624"/>
            <w:vAlign w:val="center"/>
          </w:tcPr>
          <w:p>
            <w:pPr>
              <w:spacing w:line="276" w:lineRule="auto" w:before="0" w:after="0"/>
            </w:pPr>
            <w:r/>
            <w:r>
              <w:rPr>
                <w:rFonts w:ascii="Figtree" w:hAnsi="Figtree"/>
                <w:b w:val="0"/>
                <w:i w:val="0"/>
                <w:sz w:val="20"/>
              </w:rPr>
              <w:t>199,677,188</w:t>
            </w:r>
          </w:p>
        </w:tc>
      </w:tr>
    </w:tbl>
    <w:p>
      <w:pPr>
        <w:spacing w:before="0" w:after="0" w:line="120" w:lineRule="exact"/>
      </w:pPr>
    </w:p>
    <w:p>
      <w:r>
        <w:rPr>
          <w:rFonts w:ascii="Figtree" w:hAnsi="Figtree"/>
          <w:b w:val="0"/>
          <w:i/>
          <w:sz w:val="22"/>
        </w:rPr>
        <w:t>Working capital release benefit is a balance sheet benefit (release of float capital), not a P&amp;L cash benefit. Its value depends on Bank of China's cost of capital. Using a conservative 5% cost of capital, EUR 94M working capital release = EUR 4.7M annual P&amp;L benefit; at 10% cost of capital = EUR 9.4M.</w:t>
      </w:r>
    </w:p>
    <w:p>
      <w:r>
        <w:rPr>
          <w:rFonts w:ascii="Figtree" w:hAnsi="Figtree"/>
          <w:b/>
          <w:i w:val="0"/>
          <w:sz w:val="22"/>
        </w:rPr>
        <w:t>Practical payback:</w:t>
      </w:r>
      <w:r>
        <w:rPr>
          <w:rFonts w:ascii="Figtree" w:hAnsi="Figtree"/>
          <w:b w:val="0"/>
          <w:i w:val="0"/>
          <w:sz w:val="22"/>
        </w:rPr>
        <w:t xml:space="preserve"> DALP licensing and implementation costs are recovered within Year 2 from operational savings alone (reconciliation, exceptions, SWIFT fees), excluding working capital benefits. The working capital release benefit is orders of magnitude larger than the platform cost, making the TCO conversation economically straightforward for Bank of China's CFO.</w:t>
      </w:r>
    </w:p>
    <w:p>
      <w:r>
        <w:br w:type="page"/>
      </w:r>
    </w:p>
    <w:p>
      <w:pPr>
        <w:pStyle w:val="H2"/>
        <w:numPr>
          <w:ilvl w:val="1"/>
          <w:numId w:val="1"/>
        </w:numPr>
      </w:pPr>
      <w:r>
        <w:t>10. Scenario Pricing</w:t>
      </w:r>
    </w:p>
    <w:p>
      <w:pPr>
        <w:pStyle w:val="H3"/>
        <w:numPr>
          <w:ilvl w:val="2"/>
          <w:numId w:val="1"/>
        </w:numPr>
      </w:pPr>
      <w:r>
        <w:t>10.1 Scenario A: Pilot Programme (3 Corridors, 20 Counterparties)</w:t>
      </w:r>
    </w:p>
    <w:p>
      <w:r>
        <w:rPr>
          <w:rFonts w:ascii="Figtree" w:hAnsi="Figtree"/>
          <w:b w:val="0"/>
          <w:i w:val="0"/>
          <w:sz w:val="22"/>
        </w:rPr>
        <w:t>A limited pilot programme covering three cross-border corridors (CNY/USD, CNY/EUR, CNY/HKD) with 20 registered counterparties and 5,000 payments per year.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5"/>
        <w:gridCol w:w="2294"/>
        <w:gridCol w:w="25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from Year 2 (EUR)</w:t>
            </w:r>
          </w:p>
        </w:tc>
      </w:tr>
      <w:tr>
        <w:trPr>
          <w:trHeight w:val="425" w:hRule="atLeast"/>
        </w:trPr>
        <w:tc>
          <w:tcPr>
            <w:tcW w:type="dxa" w:w="3249"/>
            <w:vAlign w:val="center"/>
          </w:tcPr>
          <w:p>
            <w:pPr>
              <w:spacing w:line="276" w:lineRule="auto" w:before="0" w:after="0"/>
            </w:pPr>
            <w:r/>
            <w:r>
              <w:rPr>
                <w:rFonts w:ascii="Figtree" w:hAnsi="Figtree"/>
                <w:b w:val="0"/>
                <w:i w:val="0"/>
                <w:sz w:val="20"/>
              </w:rPr>
              <w:t>Foundation License (Production + Dev)</w:t>
            </w:r>
          </w:p>
        </w:tc>
        <w:tc>
          <w:tcPr>
            <w:tcW w:type="dxa" w:w="3249"/>
            <w:vAlign w:val="center"/>
          </w:tcPr>
          <w:p>
            <w:pPr>
              <w:spacing w:line="276" w:lineRule="auto" w:before="0" w:after="0"/>
            </w:pPr>
            <w:r/>
            <w:r>
              <w:rPr>
                <w:rFonts w:ascii="Figtree" w:hAnsi="Figtree"/>
                <w:b w:val="0"/>
                <w:i w:val="0"/>
                <w:sz w:val="20"/>
              </w:rPr>
              <w:t>340,000</w:t>
            </w:r>
          </w:p>
        </w:tc>
        <w:tc>
          <w:tcPr>
            <w:tcW w:type="dxa" w:w="3249"/>
            <w:vAlign w:val="center"/>
          </w:tcPr>
          <w:p>
            <w:pPr>
              <w:spacing w:line="276" w:lineRule="auto" w:before="0" w:after="0"/>
            </w:pPr>
            <w:r/>
            <w:r>
              <w:rPr>
                <w:rFonts w:ascii="Figtree" w:hAnsi="Figtree"/>
                <w:b w:val="0"/>
                <w:i w:val="0"/>
                <w:sz w:val="20"/>
              </w:rPr>
              <w:t>340,000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(reduced scope - 16 weeks)</w:t>
            </w:r>
          </w:p>
        </w:tc>
        <w:tc>
          <w:tcPr>
            <w:tcW w:type="dxa" w:w="3249"/>
            <w:vAlign w:val="center"/>
          </w:tcPr>
          <w:p>
            <w:pPr>
              <w:spacing w:line="276" w:lineRule="auto" w:before="0" w:after="0"/>
            </w:pPr>
            <w:r/>
            <w:r>
              <w:rPr>
                <w:rFonts w:ascii="Figtree" w:hAnsi="Figtree"/>
                <w:b w:val="0"/>
                <w:i w:val="0"/>
                <w:sz w:val="20"/>
              </w:rPr>
              <w:t>320,000 to 420,000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Non-production Cloud</w:t>
            </w:r>
          </w:p>
        </w:tc>
        <w:tc>
          <w:tcPr>
            <w:tcW w:type="dxa" w:w="3249"/>
            <w:vAlign w:val="center"/>
          </w:tcPr>
          <w:p>
            <w:pPr>
              <w:spacing w:line="276" w:lineRule="auto" w:before="0" w:after="0"/>
            </w:pPr>
            <w:r/>
            <w:r>
              <w:rPr>
                <w:rFonts w:ascii="Figtree" w:hAnsi="Figtree"/>
                <w:b w:val="0"/>
                <w:i w:val="0"/>
                <w:sz w:val="20"/>
              </w:rPr>
              <w:t>90,000</w:t>
            </w:r>
          </w:p>
        </w:tc>
        <w:tc>
          <w:tcPr>
            <w:tcW w:type="dxa" w:w="3249"/>
            <w:vAlign w:val="center"/>
          </w:tcPr>
          <w:p>
            <w:pPr>
              <w:spacing w:line="276" w:lineRule="auto" w:before="0" w:after="0"/>
            </w:pPr>
            <w:r/>
            <w:r>
              <w:rPr>
                <w:rFonts w:ascii="Figtree" w:hAnsi="Figtree"/>
                <w:b w:val="0"/>
                <w:i w:val="0"/>
                <w:sz w:val="20"/>
              </w:rPr>
              <w:t>90,000</w:t>
            </w:r>
          </w:p>
        </w:tc>
      </w:tr>
      <w:tr>
        <w:trPr>
          <w:trHeight w:val="425" w:hRule="atLeast"/>
        </w:trPr>
        <w:tc>
          <w:tcPr>
            <w:tcW w:type="dxa" w:w="3249"/>
            <w:vAlign w:val="center"/>
          </w:tcPr>
          <w:p>
            <w:pPr>
              <w:spacing w:line="276" w:lineRule="auto" w:before="0" w:after="0"/>
            </w:pPr>
            <w:r/>
            <w:r>
              <w:rPr>
                <w:rFonts w:ascii="Figtree" w:hAnsi="Figtree"/>
                <w:b/>
                <w:i w:val="0"/>
                <w:sz w:val="20"/>
              </w:rPr>
              <w:t>Pilot Total</w:t>
            </w:r>
          </w:p>
        </w:tc>
        <w:tc>
          <w:tcPr>
            <w:tcW w:type="dxa" w:w="3249"/>
            <w:vAlign w:val="center"/>
          </w:tcPr>
          <w:p>
            <w:pPr>
              <w:spacing w:line="276" w:lineRule="auto" w:before="0" w:after="0"/>
            </w:pPr>
            <w:r/>
            <w:r>
              <w:rPr>
                <w:rFonts w:ascii="Figtree" w:hAnsi="Figtree"/>
                <w:b/>
                <w:i w:val="0"/>
                <w:sz w:val="20"/>
              </w:rPr>
              <w:t>750,000 to 850,000</w:t>
            </w:r>
          </w:p>
        </w:tc>
        <w:tc>
          <w:tcPr>
            <w:tcW w:type="dxa" w:w="3249"/>
            <w:vAlign w:val="center"/>
          </w:tcPr>
          <w:p>
            <w:pPr>
              <w:spacing w:line="276" w:lineRule="auto" w:before="0" w:after="0"/>
            </w:pPr>
            <w:r/>
            <w:r>
              <w:rPr>
                <w:rFonts w:ascii="Figtree" w:hAnsi="Figtree"/>
                <w:b/>
                <w:i w:val="0"/>
                <w:sz w:val="20"/>
              </w:rPr>
              <w:t>430,000</w:t>
            </w:r>
          </w:p>
        </w:tc>
      </w:tr>
    </w:tbl>
    <w:p>
      <w:pPr>
        <w:spacing w:before="0" w:after="0" w:line="120" w:lineRule="exact"/>
      </w:pPr>
    </w:p>
    <w:p>
      <w:pPr>
        <w:pStyle w:val="H3"/>
        <w:numPr>
          <w:ilvl w:val="2"/>
          <w:numId w:val="1"/>
        </w:numPr>
      </w:pPr>
      <w:r>
        <w:t>10.2 Scenario B: Enterprise Programme (10 Corridors, 100 Counterparties) - Recommended</w:t>
      </w:r>
    </w:p>
    <w:p>
      <w:r>
        <w:rPr>
          <w:rFonts w:ascii="Figtree" w:hAnsi="Figtree"/>
          <w:b w:val="0"/>
          <w:i w:val="0"/>
          <w:sz w:val="22"/>
        </w:rPr>
        <w:t>Full enterprise deployment as described in the technical proposal covering 10 cross-border corridors with up to 100 registered counterparties and 50,000 to 200,000 payments per year.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593"/>
        <w:gridCol w:w="29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from Year 2 (EUR)</w:t>
            </w:r>
          </w:p>
        </w:tc>
      </w:tr>
      <w:tr>
        <w:trPr>
          <w:trHeight w:val="425" w:hRule="atLeast"/>
        </w:trPr>
        <w:tc>
          <w:tcPr>
            <w:tcW w:type="dxa" w:w="3249"/>
            <w:vAlign w:val="center"/>
          </w:tcPr>
          <w:p>
            <w:pPr>
              <w:spacing w:line="276" w:lineRule="auto" w:before="0" w:after="0"/>
            </w:pPr>
            <w:r/>
            <w:r>
              <w:rPr>
                <w:rFonts w:ascii="Figtree" w:hAnsi="Figtree"/>
                <w:b w:val="0"/>
                <w:i w:val="0"/>
                <w:sz w:val="20"/>
              </w:rPr>
              <w:t>Enterprise License (Production + Dev)</w:t>
            </w:r>
          </w:p>
        </w:tc>
        <w:tc>
          <w:tcPr>
            <w:tcW w:type="dxa" w:w="3249"/>
            <w:vAlign w:val="center"/>
          </w:tcPr>
          <w:p>
            <w:pPr>
              <w:spacing w:line="276" w:lineRule="auto" w:before="0" w:after="0"/>
            </w:pPr>
            <w:r/>
            <w:r>
              <w:rPr>
                <w:rFonts w:ascii="Figtree" w:hAnsi="Figtree"/>
                <w:b w:val="0"/>
                <w:i w:val="0"/>
                <w:sz w:val="20"/>
              </w:rPr>
              <w:t>480,000</w:t>
            </w:r>
          </w:p>
        </w:tc>
        <w:tc>
          <w:tcPr>
            <w:tcW w:type="dxa" w:w="3249"/>
            <w:vAlign w:val="center"/>
          </w:tcPr>
          <w:p>
            <w:pPr>
              <w:spacing w:line="276" w:lineRule="auto" w:before="0" w:after="0"/>
            </w:pPr>
            <w:r/>
            <w:r>
              <w:rPr>
                <w:rFonts w:ascii="Figtree" w:hAnsi="Figtree"/>
                <w:b w:val="0"/>
                <w:i w:val="0"/>
                <w:sz w:val="20"/>
              </w:rPr>
              <w:t>480,000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(22-week programme)</w:t>
            </w:r>
          </w:p>
        </w:tc>
        <w:tc>
          <w:tcPr>
            <w:tcW w:type="dxa" w:w="3249"/>
            <w:vAlign w:val="center"/>
          </w:tcPr>
          <w:p>
            <w:pPr>
              <w:spacing w:line="276" w:lineRule="auto" w:before="0" w:after="0"/>
            </w:pPr>
            <w:r/>
            <w:r>
              <w:rPr>
                <w:rFonts w:ascii="Figtree" w:hAnsi="Figtree"/>
                <w:b w:val="0"/>
                <w:i w:val="0"/>
                <w:sz w:val="20"/>
              </w:rPr>
              <w:t>500,000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Non-production Cloud</w:t>
            </w:r>
          </w:p>
        </w:tc>
        <w:tc>
          <w:tcPr>
            <w:tcW w:type="dxa" w:w="3249"/>
            <w:vAlign w:val="center"/>
          </w:tcPr>
          <w:p>
            <w:pPr>
              <w:spacing w:line="276" w:lineRule="auto" w:before="0" w:after="0"/>
            </w:pPr>
            <w:r/>
            <w:r>
              <w:rPr>
                <w:rFonts w:ascii="Figtree" w:hAnsi="Figtree"/>
                <w:b w:val="0"/>
                <w:i w:val="0"/>
                <w:sz w:val="20"/>
              </w:rPr>
              <w:t>156,000</w:t>
            </w:r>
          </w:p>
        </w:tc>
        <w:tc>
          <w:tcPr>
            <w:tcW w:type="dxa" w:w="3249"/>
            <w:vAlign w:val="center"/>
          </w:tcPr>
          <w:p>
            <w:pPr>
              <w:spacing w:line="276" w:lineRule="auto" w:before="0" w:after="0"/>
            </w:pPr>
            <w:r/>
            <w:r>
              <w:rPr>
                <w:rFonts w:ascii="Figtree" w:hAnsi="Figtree"/>
                <w:b w:val="0"/>
                <w:i w:val="0"/>
                <w:sz w:val="20"/>
              </w:rPr>
              <w:t>156,000</w:t>
            </w:r>
          </w:p>
        </w:tc>
      </w:tr>
      <w:tr>
        <w:trPr>
          <w:trHeight w:val="425" w:hRule="atLeast"/>
        </w:trPr>
        <w:tc>
          <w:tcPr>
            <w:tcW w:type="dxa" w:w="3249"/>
            <w:vAlign w:val="center"/>
          </w:tcPr>
          <w:p>
            <w:pPr>
              <w:spacing w:line="276" w:lineRule="auto" w:before="0" w:after="0"/>
            </w:pPr>
            <w:r/>
            <w:r>
              <w:rPr>
                <w:rFonts w:ascii="Figtree" w:hAnsi="Figtree"/>
                <w:b/>
                <w:i w:val="0"/>
                <w:sz w:val="20"/>
              </w:rPr>
              <w:t>Enterprise Total</w:t>
            </w:r>
          </w:p>
        </w:tc>
        <w:tc>
          <w:tcPr>
            <w:tcW w:type="dxa" w:w="3249"/>
            <w:vAlign w:val="center"/>
          </w:tcPr>
          <w:p>
            <w:pPr>
              <w:spacing w:line="276" w:lineRule="auto" w:before="0" w:after="0"/>
            </w:pPr>
            <w:r/>
            <w:r>
              <w:rPr>
                <w:rFonts w:ascii="Figtree" w:hAnsi="Figtree"/>
                <w:b/>
                <w:i w:val="0"/>
                <w:sz w:val="20"/>
              </w:rPr>
              <w:t>1,136,000</w:t>
            </w:r>
          </w:p>
        </w:tc>
        <w:tc>
          <w:tcPr>
            <w:tcW w:type="dxa" w:w="3249"/>
            <w:vAlign w:val="center"/>
          </w:tcPr>
          <w:p>
            <w:pPr>
              <w:spacing w:line="276" w:lineRule="auto" w:before="0" w:after="0"/>
            </w:pPr>
            <w:r/>
            <w:r>
              <w:rPr>
                <w:rFonts w:ascii="Figtree" w:hAnsi="Figtree"/>
                <w:b/>
                <w:i w:val="0"/>
                <w:sz w:val="20"/>
              </w:rPr>
              <w:t>636,000</w:t>
            </w:r>
          </w:p>
        </w:tc>
      </w:tr>
    </w:tbl>
    <w:p>
      <w:pPr>
        <w:spacing w:before="0" w:after="0" w:line="120" w:lineRule="exact"/>
      </w:pPr>
    </w:p>
    <w:p>
      <w:pPr>
        <w:pStyle w:val="H3"/>
        <w:numPr>
          <w:ilvl w:val="2"/>
          <w:numId w:val="1"/>
        </w:numPr>
      </w:pPr>
      <w:r>
        <w:t>10.3 Scenario C: Multi-Programme (Payments + Trade Finance + Deposits)</w:t>
      </w:r>
    </w:p>
    <w:p>
      <w:r>
        <w:rPr>
          <w:rFonts w:ascii="Figtree" w:hAnsi="Figtree"/>
          <w:b w:val="0"/>
          <w:i w:val="0"/>
          <w:sz w:val="22"/>
        </w:rPr>
        <w:t>Expanded deployment using DALP for cross-border payments plus tokenized trade finance instruments and deposit token management on the same platform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94"/>
        <w:gridCol w:w="2536"/>
        <w:gridCol w:w="23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from Year 2 (EUR)</w:t>
            </w:r>
          </w:p>
        </w:tc>
      </w:tr>
      <w:tr>
        <w:trPr>
          <w:trHeight w:val="425" w:hRule="atLeast"/>
        </w:trPr>
        <w:tc>
          <w:tcPr>
            <w:tcW w:type="dxa" w:w="3249"/>
            <w:vAlign w:val="center"/>
          </w:tcPr>
          <w:p>
            <w:pPr>
              <w:spacing w:line="276" w:lineRule="auto" w:before="0" w:after="0"/>
            </w:pPr>
            <w:r/>
            <w:r>
              <w:rPr>
                <w:rFonts w:ascii="Figtree" w:hAnsi="Figtree"/>
                <w:b w:val="0"/>
                <w:i w:val="0"/>
                <w:sz w:val="20"/>
              </w:rPr>
              <w:t>Enterprise License (covers all programmes)</w:t>
            </w:r>
          </w:p>
        </w:tc>
        <w:tc>
          <w:tcPr>
            <w:tcW w:type="dxa" w:w="3249"/>
            <w:vAlign w:val="center"/>
          </w:tcPr>
          <w:p>
            <w:pPr>
              <w:spacing w:line="276" w:lineRule="auto" w:before="0" w:after="0"/>
            </w:pPr>
            <w:r/>
            <w:r>
              <w:rPr>
                <w:rFonts w:ascii="Figtree" w:hAnsi="Figtree"/>
                <w:b w:val="0"/>
                <w:i w:val="0"/>
                <w:sz w:val="20"/>
              </w:rPr>
              <w:t>480,000</w:t>
            </w:r>
          </w:p>
        </w:tc>
        <w:tc>
          <w:tcPr>
            <w:tcW w:type="dxa" w:w="3249"/>
            <w:vAlign w:val="center"/>
          </w:tcPr>
          <w:p>
            <w:pPr>
              <w:spacing w:line="276" w:lineRule="auto" w:before="0" w:after="0"/>
            </w:pPr>
            <w:r/>
            <w:r>
              <w:rPr>
                <w:rFonts w:ascii="Figtree" w:hAnsi="Figtree"/>
                <w:b w:val="0"/>
                <w:i w:val="0"/>
                <w:sz w:val="20"/>
              </w:rPr>
              <w:t>480,000</w:t>
            </w:r>
          </w:p>
        </w:tc>
      </w:tr>
      <w:tr>
        <w:trPr>
          <w:trHeight w:val="425" w:hRule="atLeast"/>
        </w:trPr>
        <w:tc>
          <w:tcPr>
            <w:tcW w:type="dxa" w:w="3249"/>
            <w:vAlign w:val="center"/>
          </w:tcPr>
          <w:p>
            <w:pPr>
              <w:spacing w:line="276" w:lineRule="auto" w:before="0" w:after="0"/>
            </w:pPr>
            <w:r/>
            <w:r>
              <w:rPr>
                <w:rFonts w:ascii="Figtree" w:hAnsi="Figtree"/>
                <w:b w:val="0"/>
                <w:i w:val="0"/>
                <w:sz w:val="20"/>
              </w:rPr>
              <w:t>Initial Implementation (22 weeks, payments)</w:t>
            </w:r>
          </w:p>
        </w:tc>
        <w:tc>
          <w:tcPr>
            <w:tcW w:type="dxa" w:w="3249"/>
            <w:vAlign w:val="center"/>
          </w:tcPr>
          <w:p>
            <w:pPr>
              <w:spacing w:line="276" w:lineRule="auto" w:before="0" w:after="0"/>
            </w:pPr>
            <w:r/>
            <w:r>
              <w:rPr>
                <w:rFonts w:ascii="Figtree" w:hAnsi="Figtree"/>
                <w:b w:val="0"/>
                <w:i w:val="0"/>
                <w:sz w:val="20"/>
              </w:rPr>
              <w:t>500,000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Programme (10 weeks)</w:t>
            </w:r>
          </w:p>
        </w:tc>
        <w:tc>
          <w:tcPr>
            <w:tcW w:type="dxa" w:w="3249"/>
            <w:vAlign w:val="center"/>
          </w:tcPr>
          <w:p>
            <w:pPr>
              <w:spacing w:line="276" w:lineRule="auto" w:before="0" w:after="0"/>
            </w:pPr>
            <w:r/>
            <w:r>
              <w:rPr>
                <w:rFonts w:ascii="Figtree" w:hAnsi="Figtree"/>
                <w:b w:val="0"/>
                <w:i w:val="0"/>
                <w:sz w:val="20"/>
              </w:rPr>
              <w:t>200,000 to 280,000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Deposit Token Programme (8 weeks)</w:t>
            </w:r>
          </w:p>
        </w:tc>
        <w:tc>
          <w:tcPr>
            <w:tcW w:type="dxa" w:w="3249"/>
            <w:vAlign w:val="center"/>
          </w:tcPr>
          <w:p>
            <w:pPr>
              <w:spacing w:line="276" w:lineRule="auto" w:before="0" w:after="0"/>
            </w:pPr>
            <w:r/>
            <w:r>
              <w:rPr>
                <w:rFonts w:ascii="Figtree" w:hAnsi="Figtree"/>
                <w:b w:val="0"/>
                <w:i w:val="0"/>
                <w:sz w:val="20"/>
              </w:rPr>
              <w:t>160,000 to 220,000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Non-production Cloud</w:t>
            </w:r>
          </w:p>
        </w:tc>
        <w:tc>
          <w:tcPr>
            <w:tcW w:type="dxa" w:w="3249"/>
            <w:vAlign w:val="center"/>
          </w:tcPr>
          <w:p>
            <w:pPr>
              <w:spacing w:line="276" w:lineRule="auto" w:before="0" w:after="0"/>
            </w:pPr>
            <w:r/>
            <w:r>
              <w:rPr>
                <w:rFonts w:ascii="Figtree" w:hAnsi="Figtree"/>
                <w:b w:val="0"/>
                <w:i w:val="0"/>
                <w:sz w:val="20"/>
              </w:rPr>
              <w:t>156,000</w:t>
            </w:r>
          </w:p>
        </w:tc>
        <w:tc>
          <w:tcPr>
            <w:tcW w:type="dxa" w:w="3249"/>
            <w:vAlign w:val="center"/>
          </w:tcPr>
          <w:p>
            <w:pPr>
              <w:spacing w:line="276" w:lineRule="auto" w:before="0" w:after="0"/>
            </w:pPr>
            <w:r/>
            <w:r>
              <w:rPr>
                <w:rFonts w:ascii="Figtree" w:hAnsi="Figtree"/>
                <w:b w:val="0"/>
                <w:i w:val="0"/>
                <w:sz w:val="20"/>
              </w:rPr>
              <w:t>156,000</w:t>
            </w:r>
          </w:p>
        </w:tc>
      </w:tr>
      <w:tr>
        <w:trPr>
          <w:trHeight w:val="425" w:hRule="atLeast"/>
        </w:trPr>
        <w:tc>
          <w:tcPr>
            <w:tcW w:type="dxa" w:w="3249"/>
            <w:vAlign w:val="center"/>
          </w:tcPr>
          <w:p>
            <w:pPr>
              <w:spacing w:line="276" w:lineRule="auto" w:before="0" w:after="0"/>
            </w:pPr>
            <w:r/>
            <w:r>
              <w:rPr>
                <w:rFonts w:ascii="Figtree" w:hAnsi="Figtree"/>
                <w:b/>
                <w:i w:val="0"/>
                <w:sz w:val="20"/>
              </w:rPr>
              <w:t>Multi-Programme Total Year 1</w:t>
            </w:r>
          </w:p>
        </w:tc>
        <w:tc>
          <w:tcPr>
            <w:tcW w:type="dxa" w:w="3249"/>
            <w:vAlign w:val="center"/>
          </w:tcPr>
          <w:p>
            <w:pPr>
              <w:spacing w:line="276" w:lineRule="auto" w:before="0" w:after="0"/>
            </w:pPr>
            <w:r/>
            <w:r>
              <w:rPr>
                <w:rFonts w:ascii="Figtree" w:hAnsi="Figtree"/>
                <w:b/>
                <w:i w:val="0"/>
                <w:sz w:val="20"/>
              </w:rPr>
              <w:t>1,496,000 to 1,636,000</w:t>
            </w:r>
          </w:p>
        </w:tc>
        <w:tc>
          <w:tcPr>
            <w:tcW w:type="dxa" w:w="3249"/>
            <w:vAlign w:val="center"/>
          </w:tcPr>
          <w:p>
            <w:pPr>
              <w:spacing w:line="276" w:lineRule="auto" w:before="0" w:after="0"/>
            </w:pPr>
            <w:r/>
            <w:r>
              <w:rPr>
                <w:rFonts w:ascii="Figtree" w:hAnsi="Figtree"/>
                <w:b/>
                <w:i w:val="0"/>
                <w:sz w:val="20"/>
              </w:rPr>
              <w:t>636,000</w:t>
            </w:r>
          </w:p>
        </w:tc>
      </w:tr>
    </w:tbl>
    <w:p>
      <w:pPr>
        <w:spacing w:before="0" w:after="0" w:line="120" w:lineRule="exact"/>
      </w:pPr>
    </w:p>
    <w:p>
      <w:r>
        <w:rPr>
          <w:rFonts w:ascii="Figtree" w:hAnsi="Figtree"/>
          <w:b w:val="0"/>
          <w:i/>
          <w:sz w:val="22"/>
        </w:rPr>
        <w:t>Multi-programme approach maximizes per-license-dollar return. The EUR 480,000 Enterprise license covers all three programmes simultaneously.</w:t>
      </w:r>
    </w:p>
    <w:p>
      <w:r>
        <w:br w:type="page"/>
      </w:r>
    </w:p>
    <w:p>
      <w:pPr>
        <w:pStyle w:val="H2"/>
        <w:numPr>
          <w:ilvl w:val="1"/>
          <w:numId w:val="1"/>
        </w:numPr>
      </w:pPr>
      <w:r>
        <w:t>11. Payment Terms and Milestones</w:t>
      </w:r>
    </w:p>
    <w:p>
      <w:pPr>
        <w:pStyle w:val="H3"/>
        <w:numPr>
          <w:ilvl w:val="2"/>
          <w:numId w:val="1"/>
        </w:numPr>
      </w:pPr>
      <w:r>
        <w:t>11.1 License Payment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1"/>
        <w:gridCol w:w="3549"/>
        <w:gridCol w:w="2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50% of annual license (EUR 240,000)</w:t>
            </w:r>
          </w:p>
        </w:tc>
        <w:tc>
          <w:tcPr>
            <w:tcW w:type="dxa" w:w="3249"/>
            <w:vAlign w:val="center"/>
          </w:tcPr>
          <w:p>
            <w:pPr>
              <w:spacing w:line="276" w:lineRule="auto" w:before="0" w:after="0"/>
            </w:pPr>
            <w:r/>
            <w:r>
              <w:rPr>
                <w:rFonts w:ascii="Figtree" w:hAnsi="Figtree"/>
                <w:b w:val="0"/>
                <w:i w:val="0"/>
                <w:sz w:val="20"/>
              </w:rPr>
              <w:t>Contract effective date</w:t>
            </w:r>
          </w:p>
        </w:tc>
      </w:tr>
      <w:tr>
        <w:trPr>
          <w:trHeight w:val="425" w:hRule="atLeast"/>
        </w:trPr>
        <w:tc>
          <w:tcPr>
            <w:tcW w:type="dxa" w:w="3249"/>
            <w:vAlign w:val="center"/>
          </w:tcPr>
          <w:p>
            <w:pPr>
              <w:spacing w:line="276" w:lineRule="auto" w:before="0" w:after="0"/>
            </w:pPr>
            <w:r/>
            <w:r>
              <w:rPr>
                <w:rFonts w:ascii="Figtree" w:hAnsi="Figtree"/>
                <w:b w:val="0"/>
                <w:i w:val="0"/>
                <w:sz w:val="20"/>
              </w:rPr>
              <w:t>Go-live (production cutover)</w:t>
            </w:r>
          </w:p>
        </w:tc>
        <w:tc>
          <w:tcPr>
            <w:tcW w:type="dxa" w:w="3249"/>
            <w:vAlign w:val="center"/>
          </w:tcPr>
          <w:p>
            <w:pPr>
              <w:spacing w:line="276" w:lineRule="auto" w:before="0" w:after="0"/>
            </w:pPr>
            <w:r/>
            <w:r>
              <w:rPr>
                <w:rFonts w:ascii="Figtree" w:hAnsi="Figtree"/>
                <w:b w:val="0"/>
                <w:i w:val="0"/>
                <w:sz w:val="20"/>
              </w:rPr>
              <w:t>50% of annual license (EUR 240,000)</w:t>
            </w:r>
          </w:p>
        </w:tc>
        <w:tc>
          <w:tcPr>
            <w:tcW w:type="dxa" w:w="3249"/>
            <w:vAlign w:val="center"/>
          </w:tcPr>
          <w:p>
            <w:pPr>
              <w:spacing w:line="276" w:lineRule="auto" w:before="0" w:after="0"/>
            </w:pPr>
            <w:r/>
            <w:r>
              <w:rPr>
                <w:rFonts w:ascii="Figtree" w:hAnsi="Figtree"/>
                <w:b w:val="0"/>
                <w:i w:val="0"/>
                <w:sz w:val="20"/>
              </w:rPr>
              <w:t>Production cutover confirmed</w:t>
            </w:r>
          </w:p>
        </w:tc>
      </w:tr>
      <w:tr>
        <w:trPr>
          <w:trHeight w:val="425" w:hRule="atLeast"/>
        </w:trPr>
        <w:tc>
          <w:tcPr>
            <w:tcW w:type="dxa" w:w="3249"/>
            <w:vAlign w:val="center"/>
          </w:tcPr>
          <w:p>
            <w:pPr>
              <w:spacing w:line="276" w:lineRule="auto" w:before="0" w:after="0"/>
            </w:pPr>
            <w:r/>
            <w:r>
              <w:rPr>
                <w:rFonts w:ascii="Figtree" w:hAnsi="Figtree"/>
                <w:b/>
                <w:i w:val="0"/>
                <w:sz w:val="20"/>
              </w:rPr>
              <w:t>Annual renewal</w:t>
            </w:r>
          </w:p>
        </w:tc>
        <w:tc>
          <w:tcPr>
            <w:tcW w:type="dxa" w:w="3249"/>
            <w:vAlign w:val="center"/>
          </w:tcPr>
          <w:p>
            <w:pPr>
              <w:spacing w:line="276" w:lineRule="auto" w:before="0" w:after="0"/>
            </w:pPr>
            <w:r/>
            <w:r>
              <w:rPr>
                <w:rFonts w:ascii="Figtree" w:hAnsi="Figtree"/>
                <w:b w:val="0"/>
                <w:i w:val="0"/>
                <w:sz w:val="20"/>
              </w:rPr>
              <w:t>100% of annual license (EUR 480,000)</w:t>
            </w:r>
          </w:p>
        </w:tc>
        <w:tc>
          <w:tcPr>
            <w:tcW w:type="dxa" w:w="3249"/>
            <w:vAlign w:val="center"/>
          </w:tcPr>
          <w:p>
            <w:pPr>
              <w:spacing w:line="276" w:lineRule="auto" w:before="0" w:after="0"/>
            </w:pPr>
            <w:r/>
            <w:r>
              <w:rPr>
                <w:rFonts w:ascii="Figtree" w:hAnsi="Figtree"/>
                <w:b w:val="0"/>
                <w:i w:val="0"/>
                <w:sz w:val="20"/>
              </w:rPr>
              <w:t>Anniversary of go-live date</w:t>
            </w:r>
          </w:p>
        </w:tc>
      </w:tr>
    </w:tbl>
    <w:p>
      <w:pPr>
        <w:spacing w:before="0" w:after="0" w:line="120" w:lineRule="exact"/>
      </w:pPr>
    </w:p>
    <w:p>
      <w:r>
        <w:rPr>
          <w:rFonts w:ascii="Figtree" w:hAnsi="Figtree"/>
          <w:b w:val="0"/>
          <w:i w:val="0"/>
          <w:sz w:val="22"/>
        </w:rPr>
        <w:t>Invoices are payable within 30 days of issue.</w:t>
      </w:r>
    </w:p>
    <w:p>
      <w:pPr>
        <w:pStyle w:val="H3"/>
        <w:numPr>
          <w:ilvl w:val="2"/>
          <w:numId w:val="1"/>
        </w:numPr>
      </w:pPr>
      <w:r>
        <w:t>11.2 Implementation Services Payment Terms</w:t>
      </w:r>
    </w:p>
    <w:p>
      <w:r>
        <w:rPr>
          <w:rFonts w:ascii="Figtree" w:hAnsi="Figtree"/>
          <w:b w:val="0"/>
          <w:i w:val="0"/>
          <w:sz w:val="22"/>
        </w:rPr>
        <w:t>Implementation services are billed monthly in arrears based on actual days worked, with a 10% retention on each invoice released upon Phase 4 completion: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19"/>
        <w:gridCol w:w="1905"/>
        <w:gridCol w:w="2086"/>
        <w:gridCol w:w="13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Month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Days Worked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Invoice (EUR)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 (EUR)</w:t>
            </w:r>
          </w:p>
        </w:tc>
      </w:tr>
      <w:tr>
        <w:trPr>
          <w:trHeight w:val="425" w:hRule="atLeast"/>
        </w:trPr>
        <w:tc>
          <w:tcPr>
            <w:tcW w:type="dxa" w:w="2436"/>
            <w:vAlign w:val="center"/>
          </w:tcPr>
          <w:p>
            <w:pPr>
              <w:spacing w:line="276" w:lineRule="auto" w:before="0" w:after="0"/>
            </w:pPr>
            <w:r/>
            <w:r>
              <w:rPr>
                <w:rFonts w:ascii="Figtree" w:hAnsi="Figtree"/>
                <w:b w:val="0"/>
                <w:i w:val="0"/>
                <w:sz w:val="20"/>
              </w:rPr>
              <w:t>Month 1-2 (Phase 1)</w:t>
            </w:r>
          </w:p>
        </w:tc>
        <w:tc>
          <w:tcPr>
            <w:tcW w:type="dxa" w:w="2436"/>
            <w:vAlign w:val="center"/>
          </w:tcPr>
          <w:p>
            <w:pPr>
              <w:spacing w:line="276" w:lineRule="auto" w:before="0" w:after="0"/>
            </w:pPr>
            <w:r/>
            <w:r>
              <w:rPr>
                <w:rFonts w:ascii="Figtree" w:hAnsi="Figtree"/>
                <w:b w:val="0"/>
                <w:i w:val="0"/>
                <w:sz w:val="20"/>
              </w:rPr>
              <w:t>35</w:t>
            </w:r>
          </w:p>
        </w:tc>
        <w:tc>
          <w:tcPr>
            <w:tcW w:type="dxa" w:w="2436"/>
            <w:vAlign w:val="center"/>
          </w:tcPr>
          <w:p>
            <w:pPr>
              <w:spacing w:line="276" w:lineRule="auto" w:before="0" w:after="0"/>
            </w:pPr>
            <w:r/>
            <w:r>
              <w:rPr>
                <w:rFonts w:ascii="Figtree" w:hAnsi="Figtree"/>
                <w:b w:val="0"/>
                <w:i w:val="0"/>
                <w:sz w:val="20"/>
              </w:rPr>
              <w:t>87,500</w:t>
            </w:r>
          </w:p>
        </w:tc>
        <w:tc>
          <w:tcPr>
            <w:tcW w:type="dxa" w:w="2436"/>
            <w:vAlign w:val="center"/>
          </w:tcPr>
          <w:p>
            <w:pPr>
              <w:spacing w:line="276" w:lineRule="auto" w:before="0" w:after="0"/>
            </w:pPr>
            <w:r/>
            <w:r>
              <w:rPr>
                <w:rFonts w:ascii="Figtree" w:hAnsi="Figtree"/>
                <w:b w:val="0"/>
                <w:i w:val="0"/>
                <w:sz w:val="20"/>
              </w:rPr>
              <w:t>8,750</w:t>
            </w:r>
          </w:p>
        </w:tc>
      </w:tr>
      <w:tr>
        <w:trPr>
          <w:trHeight w:val="425" w:hRule="atLeast"/>
        </w:trPr>
        <w:tc>
          <w:tcPr>
            <w:tcW w:type="dxa" w:w="2436"/>
            <w:vAlign w:val="center"/>
          </w:tcPr>
          <w:p>
            <w:pPr>
              <w:spacing w:line="276" w:lineRule="auto" w:before="0" w:after="0"/>
            </w:pPr>
            <w:r/>
            <w:r>
              <w:rPr>
                <w:rFonts w:ascii="Figtree" w:hAnsi="Figtree"/>
                <w:b w:val="0"/>
                <w:i w:val="0"/>
                <w:sz w:val="20"/>
              </w:rPr>
              <w:t>Month 2-4 (Phase 2)</w:t>
            </w:r>
          </w:p>
        </w:tc>
        <w:tc>
          <w:tcPr>
            <w:tcW w:type="dxa" w:w="2436"/>
            <w:vAlign w:val="center"/>
          </w:tcPr>
          <w:p>
            <w:pPr>
              <w:spacing w:line="276" w:lineRule="auto" w:before="0" w:after="0"/>
            </w:pPr>
            <w:r/>
            <w:r>
              <w:rPr>
                <w:rFonts w:ascii="Figtree" w:hAnsi="Figtree"/>
                <w:b w:val="0"/>
                <w:i w:val="0"/>
                <w:sz w:val="20"/>
              </w:rPr>
              <w:t>55</w:t>
            </w:r>
          </w:p>
        </w:tc>
        <w:tc>
          <w:tcPr>
            <w:tcW w:type="dxa" w:w="2436"/>
            <w:vAlign w:val="center"/>
          </w:tcPr>
          <w:p>
            <w:pPr>
              <w:spacing w:line="276" w:lineRule="auto" w:before="0" w:after="0"/>
            </w:pPr>
            <w:r/>
            <w:r>
              <w:rPr>
                <w:rFonts w:ascii="Figtree" w:hAnsi="Figtree"/>
                <w:b w:val="0"/>
                <w:i w:val="0"/>
                <w:sz w:val="20"/>
              </w:rPr>
              <w:t>137,500</w:t>
            </w:r>
          </w:p>
        </w:tc>
        <w:tc>
          <w:tcPr>
            <w:tcW w:type="dxa" w:w="2436"/>
            <w:vAlign w:val="center"/>
          </w:tcPr>
          <w:p>
            <w:pPr>
              <w:spacing w:line="276" w:lineRule="auto" w:before="0" w:after="0"/>
            </w:pPr>
            <w:r/>
            <w:r>
              <w:rPr>
                <w:rFonts w:ascii="Figtree" w:hAnsi="Figtree"/>
                <w:b w:val="0"/>
                <w:i w:val="0"/>
                <w:sz w:val="20"/>
              </w:rPr>
              <w:t>13,750</w:t>
            </w:r>
          </w:p>
        </w:tc>
      </w:tr>
      <w:tr>
        <w:trPr>
          <w:trHeight w:val="425" w:hRule="atLeast"/>
        </w:trPr>
        <w:tc>
          <w:tcPr>
            <w:tcW w:type="dxa" w:w="2436"/>
            <w:vAlign w:val="center"/>
          </w:tcPr>
          <w:p>
            <w:pPr>
              <w:spacing w:line="276" w:lineRule="auto" w:before="0" w:after="0"/>
            </w:pPr>
            <w:r/>
            <w:r>
              <w:rPr>
                <w:rFonts w:ascii="Figtree" w:hAnsi="Figtree"/>
                <w:b w:val="0"/>
                <w:i w:val="0"/>
                <w:sz w:val="20"/>
              </w:rPr>
              <w:t>Month 4-5 (Phase 3)</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125,000</w:t>
            </w:r>
          </w:p>
        </w:tc>
        <w:tc>
          <w:tcPr>
            <w:tcW w:type="dxa" w:w="2436"/>
            <w:vAlign w:val="center"/>
          </w:tcPr>
          <w:p>
            <w:pPr>
              <w:spacing w:line="276" w:lineRule="auto" w:before="0" w:after="0"/>
            </w:pPr>
            <w:r/>
            <w:r>
              <w:rPr>
                <w:rFonts w:ascii="Figtree" w:hAnsi="Figtree"/>
                <w:b w:val="0"/>
                <w:i w:val="0"/>
                <w:sz w:val="20"/>
              </w:rPr>
              <w:t>12,500</w:t>
            </w:r>
          </w:p>
        </w:tc>
      </w:tr>
      <w:tr>
        <w:trPr>
          <w:trHeight w:val="425" w:hRule="atLeast"/>
        </w:trPr>
        <w:tc>
          <w:tcPr>
            <w:tcW w:type="dxa" w:w="2436"/>
            <w:vAlign w:val="center"/>
          </w:tcPr>
          <w:p>
            <w:pPr>
              <w:spacing w:line="276" w:lineRule="auto" w:before="0" w:after="0"/>
            </w:pPr>
            <w:r/>
            <w:r>
              <w:rPr>
                <w:rFonts w:ascii="Figtree" w:hAnsi="Figtree"/>
                <w:b w:val="0"/>
                <w:i w:val="0"/>
                <w:sz w:val="20"/>
              </w:rPr>
              <w:t>Month 5-6 (Phase 4)</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75,000</w:t>
            </w:r>
          </w:p>
        </w:tc>
        <w:tc>
          <w:tcPr>
            <w:tcW w:type="dxa" w:w="2436"/>
            <w:vAlign w:val="center"/>
          </w:tcPr>
          <w:p>
            <w:pPr>
              <w:spacing w:line="276" w:lineRule="auto" w:before="0" w:after="0"/>
            </w:pPr>
            <w:r/>
            <w:r>
              <w:rPr>
                <w:rFonts w:ascii="Figtree" w:hAnsi="Figtree"/>
                <w:b w:val="0"/>
                <w:i w:val="0"/>
                <w:sz w:val="20"/>
              </w:rPr>
              <w:t>7,500</w:t>
            </w:r>
          </w:p>
        </w:tc>
      </w:tr>
      <w:tr>
        <w:trPr>
          <w:trHeight w:val="425" w:hRule="atLeast"/>
        </w:trPr>
        <w:tc>
          <w:tcPr>
            <w:tcW w:type="dxa" w:w="2436"/>
            <w:vAlign w:val="center"/>
          </w:tcPr>
          <w:p>
            <w:pPr>
              <w:spacing w:line="276" w:lineRule="auto" w:before="0" w:after="0"/>
            </w:pPr>
            <w:r/>
            <w:r>
              <w:rPr>
                <w:rFonts w:ascii="Figtree" w:hAnsi="Figtree"/>
                <w:b w:val="0"/>
                <w:i w:val="0"/>
                <w:sz w:val="20"/>
              </w:rPr>
              <w:t>Retention Release (on Phase 4 completion)</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42,500</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11.3 Minimum Commitment</w:t>
      </w:r>
    </w:p>
    <w:p>
      <w:r>
        <w:rPr>
          <w:rFonts w:ascii="Figtree" w:hAnsi="Figtree"/>
          <w:b w:val="0"/>
          <w:i w:val="0"/>
          <w:sz w:val="22"/>
        </w:rPr>
        <w:t>The minimum commitment for the Enterprise Tier is a 3-year license term. Early termination within the 3-year term incurs an early termination fee equal to the remaining license fees for the contracted term, net of 6 months' notice period credit.</w:t>
      </w: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4"/>
        <w:gridCol w:w="5356"/>
        <w:gridCol w:w="30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Wrong</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Exchange rate for invoicing: 1 EUR = 8.0 CNY (fixed for contract term). Actual CNY invoicing available as an option - contact SettleMint commercial.</w:t>
            </w:r>
          </w:p>
        </w:tc>
        <w:tc>
          <w:tcPr>
            <w:tcW w:type="dxa" w:w="3249"/>
            <w:vAlign w:val="center"/>
          </w:tcPr>
          <w:p>
            <w:pPr>
              <w:spacing w:line="276" w:lineRule="auto" w:before="0" w:after="0"/>
            </w:pPr>
            <w:r/>
            <w:r>
              <w:rPr>
                <w:rFonts w:ascii="Figtree" w:hAnsi="Figtree"/>
                <w:b w:val="0"/>
                <w:i w:val="0"/>
                <w:sz w:val="20"/>
              </w:rPr>
              <w:t>License costs in CNY would fluctuate with FX rate</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On-premises production infrastructure is provided by Bank of China at no charge to SettleMint</w:t>
            </w:r>
          </w:p>
        </w:tc>
        <w:tc>
          <w:tcPr>
            <w:tcW w:type="dxa" w:w="3249"/>
            <w:vAlign w:val="center"/>
          </w:tcPr>
          <w:p>
            <w:pPr>
              <w:spacing w:line="276" w:lineRule="auto" w:before="0" w:after="0"/>
            </w:pPr>
            <w:r/>
            <w:r>
              <w:rPr>
                <w:rFonts w:ascii="Figtree" w:hAnsi="Figtree"/>
                <w:b w:val="0"/>
                <w:i w:val="0"/>
                <w:sz w:val="20"/>
              </w:rPr>
              <w:t>Increased programme cost if SettleMint required to provide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Bank of China provides CIPS sandbox access at no cost to SettleMint</w:t>
            </w:r>
          </w:p>
        </w:tc>
        <w:tc>
          <w:tcPr>
            <w:tcW w:type="dxa" w:w="3249"/>
            <w:vAlign w:val="center"/>
          </w:tcPr>
          <w:p>
            <w:pPr>
              <w:spacing w:line="276" w:lineRule="auto" w:before="0" w:after="0"/>
            </w:pPr>
            <w:r/>
            <w:r>
              <w:rPr>
                <w:rFonts w:ascii="Figtree" w:hAnsi="Figtree"/>
                <w:b w:val="0"/>
                <w:i w:val="0"/>
                <w:sz w:val="20"/>
              </w:rPr>
              <w:t>CIPS integration testing may require paid sandbox access</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Implementation is conducted primarily in English with Chinese documentation available for key compliance and operational materials</w:t>
            </w:r>
          </w:p>
        </w:tc>
        <w:tc>
          <w:tcPr>
            <w:tcW w:type="dxa" w:w="3249"/>
            <w:vAlign w:val="center"/>
          </w:tcPr>
          <w:p>
            <w:pPr>
              <w:spacing w:line="276" w:lineRule="auto" w:before="0" w:after="0"/>
            </w:pPr>
            <w:r/>
            <w:r>
              <w:rPr>
                <w:rFonts w:ascii="Figtree" w:hAnsi="Figtree"/>
                <w:b w:val="0"/>
                <w:i w:val="0"/>
                <w:sz w:val="20"/>
              </w:rPr>
              <w:t>Additional translation costs if full Chinese documentation required throughout</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Implementation travel is primarily to Bank of China's technology centre location; international travel is limited</w:t>
            </w:r>
          </w:p>
        </w:tc>
        <w:tc>
          <w:tcPr>
            <w:tcW w:type="dxa" w:w="3249"/>
            <w:vAlign w:val="center"/>
          </w:tcPr>
          <w:p>
            <w:pPr>
              <w:spacing w:line="276" w:lineRule="auto" w:before="0" w:after="0"/>
            </w:pPr>
            <w:r/>
            <w:r>
              <w:rPr>
                <w:rFonts w:ascii="Figtree" w:hAnsi="Figtree"/>
                <w:b w:val="0"/>
                <w:i w:val="0"/>
                <w:sz w:val="20"/>
              </w:rPr>
              <w:t>Travel and expenses increase if additional locations required</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Non-production cloud infrastructure is provided by Bank of China in an approved Chinese cloud provider tenancy</w:t>
            </w:r>
          </w:p>
        </w:tc>
        <w:tc>
          <w:tcPr>
            <w:tcW w:type="dxa" w:w="3249"/>
            <w:vAlign w:val="center"/>
          </w:tcPr>
          <w:p>
            <w:pPr>
              <w:spacing w:line="276" w:lineRule="auto" w:before="0" w:after="0"/>
            </w:pPr>
            <w:r/>
            <w:r>
              <w:rPr>
                <w:rFonts w:ascii="Figtree" w:hAnsi="Figtree"/>
                <w:b w:val="0"/>
                <w:i w:val="0"/>
                <w:sz w:val="20"/>
              </w:rPr>
              <w:t>Infrastructure costs may vary from estimate</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Prices are held for 12 months from proposal date</w:t>
            </w:r>
          </w:p>
        </w:tc>
        <w:tc>
          <w:tcPr>
            <w:tcW w:type="dxa" w:w="3249"/>
            <w:vAlign w:val="center"/>
          </w:tcPr>
          <w:p>
            <w:pPr>
              <w:spacing w:line="276" w:lineRule="auto" w:before="0" w:after="0"/>
            </w:pPr>
            <w:r/>
            <w:r>
              <w:rPr>
                <w:rFonts w:ascii="Figtree" w:hAnsi="Figtree"/>
                <w:b w:val="0"/>
                <w:i w:val="0"/>
                <w:sz w:val="20"/>
              </w:rPr>
              <w:t>Prices may be revised for proposals submitted after March 2027</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Standard support covers business hours 08:00-20:00 CST; additional time zones are covered at P1 level only</w:t>
            </w:r>
          </w:p>
        </w:tc>
        <w:tc>
          <w:tcPr>
            <w:tcW w:type="dxa" w:w="3249"/>
            <w:vAlign w:val="center"/>
          </w:tcPr>
          <w:p>
            <w:pPr>
              <w:spacing w:line="276" w:lineRule="auto" w:before="0" w:after="0"/>
            </w:pPr>
            <w:r/>
            <w:r>
              <w:rPr>
                <w:rFonts w:ascii="Figtree" w:hAnsi="Figtree"/>
                <w:b w:val="0"/>
                <w:i w:val="0"/>
                <w:sz w:val="20"/>
              </w:rPr>
              <w:t>Additional cost if 24/7 P2/P3 coverage required</w:t>
            </w:r>
          </w:p>
        </w:tc>
      </w:tr>
    </w:tbl>
    <w:p>
      <w:pPr>
        <w:spacing w:before="0" w:after="0" w:line="120" w:lineRule="exact"/>
      </w:pPr>
    </w:p>
    <w:p>
      <w:r>
        <w:br w:type="page"/>
      </w:r>
    </w:p>
    <w:p>
      <w:pPr>
        <w:pStyle w:val="H2"/>
        <w:numPr>
          <w:ilvl w:val="1"/>
          <w:numId w:val="1"/>
        </w:numPr>
      </w:pPr>
      <w:r>
        <w:t>13. Commercial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831"/>
        <w:gridCol w:w="1323"/>
        <w:gridCol w:w="40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timeline extension due to BOC resource availability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 (additional SettleMint days)</w:t>
            </w:r>
          </w:p>
        </w:tc>
        <w:tc>
          <w:tcPr>
            <w:tcW w:type="dxa" w:w="2436"/>
            <w:vAlign w:val="center"/>
          </w:tcPr>
          <w:p>
            <w:pPr>
              <w:spacing w:line="276" w:lineRule="auto" w:before="0" w:after="0"/>
            </w:pPr>
            <w:r/>
            <w:r>
              <w:rPr>
                <w:rFonts w:ascii="Figtree" w:hAnsi="Figtree"/>
                <w:b w:val="0"/>
                <w:i w:val="0"/>
                <w:sz w:val="20"/>
              </w:rPr>
              <w:t>Resource plan agreed at Phase 1; BOC resource commitments documented in contract</w:t>
            </w:r>
          </w:p>
        </w:tc>
      </w:tr>
      <w:tr>
        <w:trPr>
          <w:trHeight w:val="425" w:hRule="atLeast"/>
        </w:trPr>
        <w:tc>
          <w:tcPr>
            <w:tcW w:type="dxa" w:w="2436"/>
            <w:vAlign w:val="center"/>
          </w:tcPr>
          <w:p>
            <w:pPr>
              <w:spacing w:line="276" w:lineRule="auto" w:before="0" w:after="0"/>
            </w:pPr>
            <w:r/>
            <w:r>
              <w:rPr>
                <w:rFonts w:ascii="Figtree" w:hAnsi="Figtree"/>
                <w:b w:val="0"/>
                <w:i w:val="0"/>
                <w:sz w:val="20"/>
              </w:rPr>
              <w:t>CIPS integration complexity requires additional SettleMint engineering days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 (within contingency)</w:t>
            </w:r>
          </w:p>
        </w:tc>
        <w:tc>
          <w:tcPr>
            <w:tcW w:type="dxa" w:w="2436"/>
            <w:vAlign w:val="center"/>
          </w:tcPr>
          <w:p>
            <w:pPr>
              <w:spacing w:line="276" w:lineRule="auto" w:before="0" w:after="0"/>
            </w:pPr>
            <w:r/>
            <w:r>
              <w:rPr>
                <w:rFonts w:ascii="Figtree" w:hAnsi="Figtree"/>
                <w:b w:val="0"/>
                <w:i w:val="0"/>
                <w:sz w:val="20"/>
              </w:rPr>
              <w:t>CIPS specification workshop in Phase 1; contingency of 10 days included in estimate</w:t>
            </w:r>
          </w:p>
        </w:tc>
      </w:tr>
      <w:tr>
        <w:trPr>
          <w:trHeight w:val="425" w:hRule="atLeast"/>
        </w:trPr>
        <w:tc>
          <w:tcPr>
            <w:tcW w:type="dxa" w:w="2436"/>
            <w:vAlign w:val="center"/>
          </w:tcPr>
          <w:p>
            <w:pPr>
              <w:spacing w:line="276" w:lineRule="auto" w:before="0" w:after="0"/>
            </w:pPr>
            <w:r/>
            <w:r>
              <w:rPr>
                <w:rFonts w:ascii="Figtree" w:hAnsi="Figtree"/>
                <w:b w:val="0"/>
                <w:i w:val="0"/>
                <w:sz w:val="20"/>
              </w:rPr>
              <w:t>Additional regulatory evidence preparation required beyond standard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 to Medium</w:t>
            </w:r>
          </w:p>
        </w:tc>
        <w:tc>
          <w:tcPr>
            <w:tcW w:type="dxa" w:w="2436"/>
            <w:vAlign w:val="center"/>
          </w:tcPr>
          <w:p>
            <w:pPr>
              <w:spacing w:line="276" w:lineRule="auto" w:before="0" w:after="0"/>
            </w:pPr>
            <w:r/>
            <w:r>
              <w:rPr>
                <w:rFonts w:ascii="Figtree" w:hAnsi="Figtree"/>
                <w:b w:val="0"/>
                <w:i w:val="0"/>
                <w:sz w:val="20"/>
              </w:rPr>
              <w:t>Regulatory evidence pack is an optional add-on priced separately</w:t>
            </w:r>
          </w:p>
        </w:tc>
      </w:tr>
      <w:tr>
        <w:trPr>
          <w:trHeight w:val="425" w:hRule="atLeast"/>
        </w:trPr>
        <w:tc>
          <w:tcPr>
            <w:tcW w:type="dxa" w:w="2436"/>
            <w:vAlign w:val="center"/>
          </w:tcPr>
          <w:p>
            <w:pPr>
              <w:spacing w:line="276" w:lineRule="auto" w:before="0" w:after="0"/>
            </w:pPr>
            <w:r/>
            <w:r>
              <w:rPr>
                <w:rFonts w:ascii="Figtree" w:hAnsi="Figtree"/>
                <w:b w:val="0"/>
                <w:i w:val="0"/>
                <w:sz w:val="20"/>
              </w:rPr>
              <w:t>FX rate movement affects CNY-equivalent costs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Contract can be denominated in CNY at Bank of China's request</w:t>
            </w:r>
          </w:p>
        </w:tc>
      </w:tr>
      <w:tr>
        <w:trPr>
          <w:trHeight w:val="425" w:hRule="atLeast"/>
        </w:trPr>
        <w:tc>
          <w:tcPr>
            <w:tcW w:type="dxa" w:w="2436"/>
            <w:vAlign w:val="center"/>
          </w:tcPr>
          <w:p>
            <w:pPr>
              <w:spacing w:line="276" w:lineRule="auto" w:before="0" w:after="0"/>
            </w:pPr>
            <w:r/>
            <w:r>
              <w:rPr>
                <w:rFonts w:ascii="Figtree" w:hAnsi="Figtree"/>
                <w:b w:val="0"/>
                <w:i w:val="0"/>
                <w:sz w:val="20"/>
              </w:rPr>
              <w:t>Expanded programme scope (additional corridors or products) increases cost</w:t>
            </w:r>
          </w:p>
        </w:tc>
        <w:tc>
          <w:tcPr>
            <w:tcW w:type="dxa" w:w="2436"/>
            <w:vAlign w:val="center"/>
          </w:tcPr>
          <w:p>
            <w:pPr>
              <w:spacing w:line="276" w:lineRule="auto" w:before="0" w:after="0"/>
            </w:pPr>
            <w:r/>
            <w:r>
              <w:rPr>
                <w:rFonts w:ascii="Figtree" w:hAnsi="Figtree"/>
                <w:b w:val="0"/>
                <w:i w:val="0"/>
                <w:sz w:val="20"/>
              </w:rPr>
              <w:t>High (likely positive)</w:t>
            </w:r>
          </w:p>
        </w:tc>
        <w:tc>
          <w:tcPr>
            <w:tcW w:type="dxa" w:w="2436"/>
            <w:vAlign w:val="center"/>
          </w:tcPr>
          <w:p>
            <w:pPr>
              <w:spacing w:line="276" w:lineRule="auto" w:before="0" w:after="0"/>
            </w:pPr>
            <w:r/>
            <w:r>
              <w:rPr>
                <w:rFonts w:ascii="Figtree" w:hAnsi="Figtree"/>
                <w:b w:val="0"/>
                <w:i w:val="0"/>
                <w:sz w:val="20"/>
              </w:rPr>
              <w:t>Positive</w:t>
            </w:r>
          </w:p>
        </w:tc>
        <w:tc>
          <w:tcPr>
            <w:tcW w:type="dxa" w:w="2436"/>
            <w:vAlign w:val="center"/>
          </w:tcPr>
          <w:p>
            <w:pPr>
              <w:spacing w:line="276" w:lineRule="auto" w:before="0" w:after="0"/>
            </w:pPr>
            <w:r/>
            <w:r>
              <w:rPr>
                <w:rFonts w:ascii="Figtree" w:hAnsi="Figtree"/>
                <w:b w:val="0"/>
                <w:i w:val="0"/>
                <w:sz w:val="20"/>
              </w:rPr>
              <w:t>Enterprise license covers expansion at no additional license cost; implementation services priced separately</w:t>
            </w:r>
          </w:p>
        </w:tc>
      </w:tr>
    </w:tbl>
    <w:p>
      <w:pPr>
        <w:spacing w:before="0" w:after="0" w:line="120" w:lineRule="exact"/>
      </w:pPr>
    </w:p>
    <w:p>
      <w:r>
        <w:br w:type="page"/>
      </w:r>
    </w:p>
    <w:p>
      <w:pPr>
        <w:pStyle w:val="H2"/>
        <w:numPr>
          <w:ilvl w:val="1"/>
          <w:numId w:val="1"/>
        </w:numPr>
      </w:pPr>
      <w:r>
        <w:t>14. Exit and Transition Terms</w:t>
      </w:r>
    </w:p>
    <w:p>
      <w:pPr>
        <w:pStyle w:val="H3"/>
        <w:numPr>
          <w:ilvl w:val="2"/>
          <w:numId w:val="1"/>
        </w:numPr>
      </w:pPr>
      <w:r>
        <w:t>14.1 Data Portability</w:t>
      </w:r>
    </w:p>
    <w:p>
      <w:r>
        <w:rPr>
          <w:rFonts w:ascii="Figtree" w:hAnsi="Figtree"/>
          <w:b w:val="0"/>
          <w:i w:val="0"/>
          <w:sz w:val="22"/>
        </w:rPr>
        <w:t>Bank of China owns all data generated by the DALP platform deployed in its infrastructure. Upon contract termination:</w:t>
      </w:r>
    </w:p>
    <w:p>
      <w:pPr>
        <w:pStyle w:val="ListParagraph"/>
        <w:numPr>
          <w:ilvl w:val="0"/>
          <w:numId w:val="4"/>
        </w:numPr>
      </w:pPr>
      <w:r>
        <w:rPr>
          <w:rFonts w:ascii="Figtree" w:hAnsi="Figtree"/>
          <w:b w:val="0"/>
          <w:i w:val="0"/>
          <w:sz w:val="22"/>
        </w:rPr>
        <w:t>All on-chain transaction data remains in Bank of China's blockchain infrastructure, which Bank of China continues to control</w:t>
      </w:r>
    </w:p>
    <w:p>
      <w:pPr>
        <w:pStyle w:val="ListParagraph"/>
        <w:numPr>
          <w:ilvl w:val="0"/>
          <w:numId w:val="4"/>
        </w:numPr>
      </w:pPr>
      <w:r>
        <w:rPr>
          <w:rFonts w:ascii="Figtree" w:hAnsi="Figtree"/>
          <w:b w:val="0"/>
          <w:i w:val="0"/>
          <w:sz w:val="22"/>
        </w:rPr>
        <w:t>Off-chain operational data (payment instructions, participant registry, reconciliation records) can be exported in standard formats (JSON, CSV) prior to platform decommissioning</w:t>
      </w:r>
    </w:p>
    <w:p>
      <w:pPr>
        <w:pStyle w:val="ListParagraph"/>
        <w:numPr>
          <w:ilvl w:val="0"/>
          <w:numId w:val="4"/>
        </w:numPr>
      </w:pPr>
      <w:r>
        <w:rPr>
          <w:rFonts w:ascii="Figtree" w:hAnsi="Figtree"/>
          <w:b w:val="0"/>
          <w:i w:val="0"/>
          <w:sz w:val="22"/>
        </w:rPr>
        <w:t>Configuration files, runbooks, and operational documentation are delivered to Bank of China during implementation and remain Bank of China's property</w:t>
      </w:r>
    </w:p>
    <w:p>
      <w:pPr>
        <w:pStyle w:val="ListParagraph"/>
        <w:numPr>
          <w:ilvl w:val="0"/>
          <w:numId w:val="4"/>
        </w:numPr>
      </w:pPr>
      <w:r>
        <w:rPr>
          <w:rFonts w:ascii="Figtree" w:hAnsi="Figtree"/>
          <w:b w:val="0"/>
          <w:i w:val="0"/>
          <w:sz w:val="22"/>
        </w:rPr>
        <w:t>SettleMint provides 6 months of transition support at standard day rates upon contract notice to assist data migration or platform handover</w:t>
      </w:r>
    </w:p>
    <w:p>
      <w:pPr>
        <w:pStyle w:val="H3"/>
        <w:numPr>
          <w:ilvl w:val="2"/>
          <w:numId w:val="1"/>
        </w:numPr>
      </w:pPr>
      <w:r>
        <w:t>14.2 Intellectual Property</w:t>
      </w:r>
    </w:p>
    <w:p>
      <w:pPr>
        <w:pStyle w:val="ListParagraph"/>
        <w:numPr>
          <w:ilvl w:val="0"/>
          <w:numId w:val="4"/>
        </w:numPr>
      </w:pPr>
      <w:r>
        <w:rPr>
          <w:rFonts w:ascii="Figtree" w:hAnsi="Figtree"/>
          <w:b w:val="0"/>
          <w:i w:val="0"/>
          <w:sz w:val="22"/>
        </w:rPr>
        <w:t>DALP platform software remains SettleMint's intellectual property</w:t>
      </w:r>
    </w:p>
    <w:p>
      <w:pPr>
        <w:pStyle w:val="ListParagraph"/>
        <w:numPr>
          <w:ilvl w:val="0"/>
          <w:numId w:val="4"/>
        </w:numPr>
      </w:pPr>
      <w:r>
        <w:rPr>
          <w:rFonts w:ascii="Figtree" w:hAnsi="Figtree"/>
          <w:b w:val="0"/>
          <w:i w:val="0"/>
          <w:sz w:val="22"/>
        </w:rPr>
        <w:t>Bank of China's configuration, data, and operational documentation are Bank of China's property</w:t>
      </w:r>
    </w:p>
    <w:p>
      <w:pPr>
        <w:pStyle w:val="ListParagraph"/>
        <w:numPr>
          <w:ilvl w:val="0"/>
          <w:numId w:val="4"/>
        </w:numPr>
      </w:pPr>
      <w:r>
        <w:rPr>
          <w:rFonts w:ascii="Figtree" w:hAnsi="Figtree"/>
          <w:b w:val="0"/>
          <w:i w:val="0"/>
          <w:sz w:val="22"/>
        </w:rPr>
        <w:t>Smart contracts deployed by Bank of China on Bank of China's blockchain remain Bank of China's operational assets</w:t>
      </w:r>
    </w:p>
    <w:p>
      <w:pPr>
        <w:pStyle w:val="ListParagraph"/>
        <w:numPr>
          <w:ilvl w:val="0"/>
          <w:numId w:val="4"/>
        </w:numPr>
      </w:pPr>
      <w:r>
        <w:rPr>
          <w:rFonts w:ascii="Figtree" w:hAnsi="Figtree"/>
          <w:b w:val="0"/>
          <w:i w:val="0"/>
          <w:sz w:val="22"/>
        </w:rPr>
        <w:t>SettleMint's source code escrow arrangements are disclosed in the contract; access is triggered by defined events (SettleMint insolvency, material platform abandonment)</w:t>
      </w:r>
    </w:p>
    <w:p>
      <w:pPr>
        <w:pStyle w:val="H3"/>
        <w:numPr>
          <w:ilvl w:val="2"/>
          <w:numId w:val="1"/>
        </w:numPr>
      </w:pPr>
      <w:r>
        <w:t>14.3 Post-Termination Access</w:t>
      </w:r>
    </w:p>
    <w:p>
      <w:r>
        <w:rPr>
          <w:rFonts w:ascii="Figtree" w:hAnsi="Figtree"/>
          <w:b w:val="0"/>
          <w:i w:val="0"/>
          <w:sz w:val="22"/>
        </w:rPr>
        <w:t>Upon contract termination with proper notice (minimum 6 months), Bank of China retains access to the deployed DALP platform for a 6-month transition period at no additional license cost, enabling an orderly migration or wind-down. Security patch support continues during the transition period.</w:t>
      </w:r>
    </w:p>
    <w:p>
      <w:r>
        <w:br w:type="page"/>
      </w:r>
    </w:p>
    <w:p>
      <w:pPr>
        <w:pStyle w:val="H2"/>
        <w:numPr>
          <w:ilvl w:val="1"/>
          <w:numId w:val="1"/>
        </w:numPr>
      </w:pPr>
      <w:r>
        <w:t>15. Value Justification</w:t>
      </w:r>
    </w:p>
    <w:p>
      <w:r>
        <w:rPr>
          <w:rFonts w:ascii="Figtree" w:hAnsi="Figtree"/>
          <w:b w:val="0"/>
          <w:i w:val="0"/>
          <w:sz w:val="22"/>
        </w:rPr>
        <w:t>Bank of China's cross-border tokenized payment programme is not primarily a cost-reduction exercise: it is a strategic capability investment. The DALP platform provides the following strategic value that should be reflected in Bank of China's investment decision:</w:t>
      </w:r>
    </w:p>
    <w:p>
      <w:r>
        <w:rPr>
          <w:rFonts w:ascii="Figtree" w:hAnsi="Figtree"/>
          <w:b/>
          <w:i w:val="0"/>
          <w:sz w:val="22"/>
        </w:rPr>
        <w:t>Time-to-market advantage.</w:t>
      </w:r>
      <w:r>
        <w:rPr>
          <w:rFonts w:ascii="Figtree" w:hAnsi="Figtree"/>
          <w:b w:val="0"/>
          <w:i w:val="0"/>
          <w:sz w:val="22"/>
        </w:rPr>
        <w:t xml:space="preserve"> The 22-week deployment timeline means Bank of China can have a controlled live cross-border tokenized payment operation before any peer institution completes a comparable custom build. In a market where PBOC is actively engaged with digital currency infrastructure, demonstrating operational capability early positions Bank of China as a preferred partner for regulatory pilots and market-infrastructure initiatives.</w:t>
      </w:r>
    </w:p>
    <w:p>
      <w:r>
        <w:rPr>
          <w:rFonts w:ascii="Figtree" w:hAnsi="Figtree"/>
          <w:b/>
          <w:i w:val="0"/>
          <w:sz w:val="22"/>
        </w:rPr>
        <w:t>Regulatory optionality.</w:t>
      </w:r>
      <w:r>
        <w:rPr>
          <w:rFonts w:ascii="Figtree" w:hAnsi="Figtree"/>
          <w:b w:val="0"/>
          <w:i w:val="0"/>
          <w:sz w:val="22"/>
        </w:rPr>
        <w:t xml:space="preserve"> DALP's modular compliance architecture means that as PBOC, SAFE, and CAC regulatory guidance evolves (and it will evolve), Bank of China can update compliance module configuration without rebuilding the platform. This optionality has real option value: a EUR 4.3M platform that can adapt to regulatory change is worth significantly more than a EUR 25M custom platform that requires significant re-engineering with every regulatory update.</w:t>
      </w:r>
    </w:p>
    <w:p>
      <w:r>
        <w:rPr>
          <w:rFonts w:ascii="Figtree" w:hAnsi="Figtree"/>
          <w:b/>
          <w:i w:val="0"/>
          <w:sz w:val="22"/>
        </w:rPr>
        <w:t>Platform extensibility.</w:t>
      </w:r>
      <w:r>
        <w:rPr>
          <w:rFonts w:ascii="Figtree" w:hAnsi="Figtree"/>
          <w:b w:val="0"/>
          <w:i w:val="0"/>
          <w:sz w:val="22"/>
        </w:rPr>
        <w:t xml:space="preserve"> The EUR 480,000 annual Enterprise license covers Bank of China's cross-border payment programme plus tokenized trade finance, tokenized deposits, and any additional use cases Bank of China decides to pursue. The platform foundation for a multi-product digital asset strategy costs EUR 480,000 per year. That is a structurally different investment decision than a EUR 25M custom build that covers only one use case.</w:t>
      </w:r>
    </w:p>
    <w:p>
      <w:r>
        <w:rPr>
          <w:rFonts w:ascii="Figtree" w:hAnsi="Figtree"/>
          <w:b/>
          <w:i w:val="0"/>
          <w:sz w:val="22"/>
        </w:rPr>
        <w:t>Reference network effect.</w:t>
      </w:r>
      <w:r>
        <w:rPr>
          <w:rFonts w:ascii="Figtree" w:hAnsi="Figtree"/>
          <w:b w:val="0"/>
          <w:i w:val="0"/>
          <w:sz w:val="22"/>
        </w:rPr>
        <w:t xml:space="preserve"> Bank of China joins a network of DALP institutional clients that includes DBS, OCBC, ANZ, CBA, Commerzbank, and SAMA. Reference checks, implementation lessons, and compliance framework sharing across this network reduce Bank of China's implementation and operational risk. No custom build provides this network benefit.</w:t>
      </w:r>
    </w:p>
    <w:p>
      <w:r>
        <w:br w:type="page"/>
      </w:r>
    </w:p>
    <w:p>
      <w:r>
        <w:rPr>
          <w:rFonts w:ascii="Figtree" w:hAnsi="Figtree"/>
          <w:b w:val="0"/>
          <w:i/>
          <w:sz w:val="22"/>
        </w:rPr>
        <w:t>This commercial proposal is prepared by SettleMint NV for Bank of China under the terms of RFP reference BANK-OF-CHINA-RFP-202603. All prices exclude applicable taxes. This document is classified SettleMint Confidential and is intended solely for Bank of China's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