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Commercial Summary</w:t>
          </w:r>
          <w:r>
            <w:tab/>
          </w:r>
          <w:r>
            <w:t xml:space="preserve">5</w:t>
          </w:r>
        </w:p>
        <w:p>
          <w:pPr>
            <w:pStyle w:val="TOC3"/>
            <w:tabs>
              <w:tab w:val="right" w:leader="dot" w:pos="9072"/>
            </w:tabs>
          </w:pPr>
          <w:r>
            <w:t xml:space="preserve">Commercial Architecture Diagram</w:t>
          </w:r>
          <w:r>
            <w:tab/>
          </w:r>
          <w:r>
            <w:t xml:space="preserve">6</w:t>
          </w:r>
        </w:p>
        <w:p>
          <w:pPr>
            <w:pStyle w:val="TOC3"/>
            <w:tabs>
              <w:tab w:val="right" w:leader="dot" w:pos="9072"/>
            </w:tabs>
          </w:pPr>
          <w:r>
            <w:t xml:space="preserve">Document Map</w:t>
          </w:r>
          <w:r>
            <w:tab/>
          </w:r>
          <w:r>
            <w:t xml:space="preserve">7</w:t>
          </w:r>
        </w:p>
        <w:p>
          <w:pPr>
            <w:pStyle w:val="TOC2"/>
            <w:tabs>
              <w:tab w:val="right" w:leader="dot" w:pos="9072"/>
            </w:tabs>
          </w:pPr>
          <w:r>
            <w:t xml:space="preserve">Pricing Structure</w:t>
          </w:r>
          <w:r>
            <w:tab/>
          </w:r>
          <w:r>
            <w:t xml:space="preserve">8</w:t>
          </w:r>
        </w:p>
        <w:p>
          <w:pPr>
            <w:pStyle w:val="TOC3"/>
            <w:tabs>
              <w:tab w:val="right" w:leader="dot" w:pos="9072"/>
            </w:tabs>
          </w:pPr>
          <w:r>
            <w:t xml:space="preserve">Platform License Fees</w:t>
          </w:r>
          <w:r>
            <w:tab/>
          </w:r>
          <w:r>
            <w:t xml:space="preserve">9</w:t>
          </w:r>
        </w:p>
        <w:p>
          <w:pPr>
            <w:pStyle w:val="TOC3"/>
            <w:tabs>
              <w:tab w:val="right" w:leader="dot" w:pos="9072"/>
            </w:tabs>
          </w:pPr>
          <w:r>
            <w:t xml:space="preserve">Recommended Environment Configuration</w:t>
          </w:r>
          <w:r>
            <w:tab/>
          </w:r>
          <w:r>
            <w:t xml:space="preserve">10</w:t>
          </w:r>
        </w:p>
        <w:p>
          <w:pPr>
            <w:pStyle w:val="TOC3"/>
            <w:tabs>
              <w:tab w:val="right" w:leader="dot" w:pos="9072"/>
            </w:tabs>
          </w:pPr>
          <w:r>
            <w:t xml:space="preserve">License Fee Summary</w:t>
          </w:r>
          <w:r>
            <w:tab/>
          </w:r>
          <w:r>
            <w:t xml:space="preserve">11</w:t>
          </w:r>
        </w:p>
        <w:p>
          <w:pPr>
            <w:pStyle w:val="TOC2"/>
            <w:tabs>
              <w:tab w:val="right" w:leader="dot" w:pos="9072"/>
            </w:tabs>
          </w:pPr>
          <w:r>
            <w:t xml:space="preserve">Licensing Model</w:t>
          </w:r>
          <w:r>
            <w:tab/>
          </w:r>
          <w:r>
            <w:t xml:space="preserve">12</w:t>
          </w:r>
        </w:p>
        <w:p>
          <w:pPr>
            <w:pStyle w:val="TOC3"/>
            <w:tabs>
              <w:tab w:val="right" w:leader="dot" w:pos="9072"/>
            </w:tabs>
          </w:pPr>
          <w:r>
            <w:t xml:space="preserve">What the License Includes</w:t>
          </w:r>
          <w:r>
            <w:tab/>
          </w:r>
          <w:r>
            <w:t xml:space="preserve">13</w:t>
          </w:r>
        </w:p>
        <w:p>
          <w:pPr>
            <w:pStyle w:val="TOC3"/>
            <w:tabs>
              <w:tab w:val="right" w:leader="dot" w:pos="9072"/>
            </w:tabs>
          </w:pPr>
          <w:r>
            <w:t xml:space="preserve">What the License Does Not Include</w:t>
          </w:r>
          <w:r>
            <w:tab/>
          </w:r>
          <w:r>
            <w:t xml:space="preserve">14</w:t>
          </w:r>
        </w:p>
        <w:p>
          <w:pPr>
            <w:pStyle w:val="TOC3"/>
            <w:tabs>
              <w:tab w:val="right" w:leader="dot" w:pos="9072"/>
            </w:tabs>
          </w:pPr>
          <w:r>
            <w:t xml:space="preserve">License Terms</w:t>
          </w:r>
          <w:r>
            <w:tab/>
          </w:r>
          <w:r>
            <w:t xml:space="preserve">15</w:t>
          </w:r>
        </w:p>
        <w:p>
          <w:pPr>
            <w:pStyle w:val="TOC2"/>
            <w:tabs>
              <w:tab w:val="right" w:leader="dot" w:pos="9072"/>
            </w:tabs>
          </w:pPr>
          <w:r>
            <w:t xml:space="preserve">Implementation Investment</w:t>
          </w:r>
          <w:r>
            <w:tab/>
          </w:r>
          <w:r>
            <w:t xml:space="preserve">16</w:t>
          </w:r>
        </w:p>
        <w:p>
          <w:pPr>
            <w:pStyle w:val="TOC3"/>
            <w:tabs>
              <w:tab w:val="right" w:leader="dot" w:pos="9072"/>
            </w:tabs>
          </w:pPr>
          <w:r>
            <w:t xml:space="preserve">Implementation Scope</w:t>
          </w:r>
          <w:r>
            <w:tab/>
          </w:r>
          <w:r>
            <w:t xml:space="preserve">17</w:t>
          </w:r>
        </w:p>
        <w:p>
          <w:pPr>
            <w:pStyle w:val="TOC3"/>
            <w:tabs>
              <w:tab w:val="right" w:leader="dot" w:pos="9072"/>
            </w:tabs>
          </w:pPr>
          <w:r>
            <w:t xml:space="preserve">Implementation Pricing</w:t>
          </w:r>
          <w:r>
            <w:tab/>
          </w:r>
          <w:r>
            <w:t xml:space="preserve">18</w:t>
          </w:r>
        </w:p>
        <w:p>
          <w:pPr>
            <w:pStyle w:val="TOC3"/>
            <w:tabs>
              <w:tab w:val="right" w:leader="dot" w:pos="9072"/>
            </w:tabs>
          </w:pPr>
          <w:r>
            <w:t xml:space="preserve">Fixed-Price vs. Time-and-Materials</w:t>
          </w:r>
          <w:r>
            <w:tab/>
          </w:r>
          <w:r>
            <w:t xml:space="preserve">19</w:t>
          </w:r>
        </w:p>
        <w:p>
          <w:pPr>
            <w:pStyle w:val="TOC2"/>
            <w:tabs>
              <w:tab w:val="right" w:leader="dot" w:pos="9072"/>
            </w:tabs>
          </w:pPr>
          <w:r>
            <w:t xml:space="preserve">Support and Maintenance</w:t>
          </w:r>
          <w:r>
            <w:tab/>
          </w:r>
          <w:r>
            <w:t xml:space="preserve">20</w:t>
          </w:r>
        </w:p>
        <w:p>
          <w:pPr>
            <w:pStyle w:val="TOC3"/>
            <w:tabs>
              <w:tab w:val="right" w:leader="dot" w:pos="9072"/>
            </w:tabs>
          </w:pPr>
          <w:r>
            <w:t xml:space="preserve">Recommended Support Tier: Enterprise</w:t>
          </w:r>
          <w:r>
            <w:tab/>
          </w:r>
          <w:r>
            <w:t xml:space="preserve">21</w:t>
          </w:r>
        </w:p>
        <w:p>
          <w:pPr>
            <w:pStyle w:val="TOC3"/>
            <w:tabs>
              <w:tab w:val="right" w:leader="dot" w:pos="9072"/>
            </w:tabs>
          </w:pPr>
          <w:r>
            <w:t xml:space="preserve">Support Costs</w:t>
          </w:r>
          <w:r>
            <w:tab/>
          </w:r>
          <w:r>
            <w:t xml:space="preserve">22</w:t>
          </w:r>
        </w:p>
        <w:p>
          <w:pPr>
            <w:pStyle w:val="TOC2"/>
            <w:tabs>
              <w:tab w:val="right" w:leader="dot" w:pos="9072"/>
            </w:tabs>
          </w:pPr>
          <w:r>
            <w:t xml:space="preserve">Total Cost of Ownership</w:t>
          </w:r>
          <w:r>
            <w:tab/>
          </w:r>
          <w:r>
            <w:t xml:space="preserve">23</w:t>
          </w:r>
        </w:p>
        <w:p>
          <w:pPr>
            <w:pStyle w:val="TOC3"/>
            <w:tabs>
              <w:tab w:val="right" w:leader="dot" w:pos="9072"/>
            </w:tabs>
          </w:pPr>
          <w:r>
            <w:t xml:space="preserve">Three-Year TCO Model</w:t>
          </w:r>
          <w:r>
            <w:tab/>
          </w:r>
          <w:r>
            <w:t xml:space="preserve">24</w:t>
          </w:r>
        </w:p>
        <w:p>
          <w:pPr>
            <w:pStyle w:val="TOC3"/>
            <w:tabs>
              <w:tab w:val="right" w:leader="dot" w:pos="9072"/>
            </w:tabs>
          </w:pPr>
          <w:r>
            <w:t xml:space="preserve">Build vs. Buy Analysis</w:t>
          </w:r>
          <w:r>
            <w:tab/>
          </w:r>
          <w:r>
            <w:t xml:space="preserve">25</w:t>
          </w:r>
        </w:p>
        <w:p>
          <w:pPr>
            <w:pStyle w:val="TOC3"/>
            <w:tabs>
              <w:tab w:val="right" w:leader="dot" w:pos="9072"/>
            </w:tabs>
          </w:pPr>
          <w:r>
            <w:t xml:space="preserve">Infrastructure Cost Guidance</w:t>
          </w:r>
          <w:r>
            <w:tab/>
          </w:r>
          <w:r>
            <w:t xml:space="preserve">26</w:t>
          </w:r>
        </w:p>
        <w:p>
          <w:pPr>
            <w:pStyle w:val="TOC2"/>
            <w:tabs>
              <w:tab w:val="right" w:leader="dot" w:pos="9072"/>
            </w:tabs>
          </w:pPr>
          <w:r>
            <w:t xml:space="preserve">Payment Terms and Conditions</w:t>
          </w:r>
          <w:r>
            <w:tab/>
          </w:r>
          <w:r>
            <w:t xml:space="preserve">27</w:t>
          </w:r>
        </w:p>
        <w:p>
          <w:pPr>
            <w:pStyle w:val="TOC3"/>
            <w:tabs>
              <w:tab w:val="right" w:leader="dot" w:pos="9072"/>
            </w:tabs>
          </w:pPr>
          <w:r>
            <w:t xml:space="preserve">Platform License Payment</w:t>
          </w:r>
          <w:r>
            <w:tab/>
          </w:r>
          <w:r>
            <w:t xml:space="preserve">28</w:t>
          </w:r>
        </w:p>
        <w:p>
          <w:pPr>
            <w:pStyle w:val="TOC3"/>
            <w:tabs>
              <w:tab w:val="right" w:leader="dot" w:pos="9072"/>
            </w:tabs>
          </w:pPr>
          <w:r>
            <w:t xml:space="preserve">Implementation Services Payment</w:t>
          </w:r>
          <w:r>
            <w:tab/>
          </w:r>
          <w:r>
            <w:t xml:space="preserve">29</w:t>
          </w:r>
        </w:p>
        <w:p>
          <w:pPr>
            <w:pStyle w:val="TOC3"/>
            <w:tabs>
              <w:tab w:val="right" w:leader="dot" w:pos="9072"/>
            </w:tabs>
          </w:pPr>
          <w:r>
            <w:t xml:space="preserve">Support and Maintenance Payment</w:t>
          </w:r>
          <w:r>
            <w:tab/>
          </w:r>
          <w:r>
            <w:t xml:space="preserve">30</w:t>
          </w:r>
        </w:p>
        <w:p>
          <w:pPr>
            <w:pStyle w:val="TOC3"/>
            <w:tabs>
              <w:tab w:val="right" w:leader="dot" w:pos="9072"/>
            </w:tabs>
          </w:pPr>
          <w:r>
            <w:t xml:space="preserve">Currency</w:t>
          </w:r>
          <w:r>
            <w:tab/>
          </w:r>
          <w:r>
            <w:t xml:space="preserve">31</w:t>
          </w:r>
        </w:p>
        <w:p>
          <w:pPr>
            <w:pStyle w:val="TOC2"/>
            <w:tabs>
              <w:tab w:val="right" w:leader="dot" w:pos="9072"/>
            </w:tabs>
          </w:pPr>
          <w:r>
            <w:t xml:space="preserve">Value Analysis and ROI</w:t>
          </w:r>
          <w:r>
            <w:tab/>
          </w:r>
          <w:r>
            <w:t xml:space="preserve">32</w:t>
          </w:r>
        </w:p>
        <w:p>
          <w:pPr>
            <w:pStyle w:val="TOC3"/>
            <w:tabs>
              <w:tab w:val="right" w:leader="dot" w:pos="9072"/>
            </w:tabs>
          </w:pPr>
          <w:r>
            <w:t xml:space="preserve">Business Value Framework</w:t>
          </w:r>
          <w:r>
            <w:tab/>
          </w:r>
          <w:r>
            <w:t xml:space="preserve">33</w:t>
          </w:r>
        </w:p>
        <w:p>
          <w:pPr>
            <w:pStyle w:val="TOC3"/>
            <w:tabs>
              <w:tab w:val="right" w:leader="dot" w:pos="9072"/>
            </w:tabs>
          </w:pPr>
          <w:r>
            <w:t xml:space="preserve">ROI Indicators</w:t>
          </w:r>
          <w:r>
            <w:tab/>
          </w:r>
          <w:r>
            <w:t xml:space="preserve">34</w:t>
          </w:r>
        </w:p>
        <w:p>
          <w:pPr>
            <w:pStyle w:val="TOC3"/>
            <w:tabs>
              <w:tab w:val="right" w:leader="dot" w:pos="9072"/>
            </w:tabs>
          </w:pPr>
          <w:r>
            <w:t xml:space="preserve">Reference for ROI Validation</w:t>
          </w:r>
          <w:r>
            <w:tab/>
          </w:r>
          <w:r>
            <w:t xml:space="preserve">35</w:t>
          </w:r>
        </w:p>
        <w:p>
          <w:pPr>
            <w:pStyle w:val="TOC2"/>
            <w:tabs>
              <w:tab w:val="right" w:leader="dot" w:pos="9072"/>
            </w:tabs>
          </w:pPr>
          <w:r>
            <w:t xml:space="preserve">Contract Framework</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IP Ownership</w:t>
          </w:r>
          <w:r>
            <w:tab/>
          </w:r>
          <w:r>
            <w:t xml:space="preserve">38</w:t>
          </w:r>
        </w:p>
        <w:p>
          <w:pPr>
            <w:pStyle w:val="TOC3"/>
            <w:tabs>
              <w:tab w:val="right" w:leader="dot" w:pos="9072"/>
            </w:tabs>
          </w:pPr>
          <w:r>
            <w:t xml:space="preserve">Liability and Indemnification</w:t>
          </w:r>
          <w:r>
            <w:tab/>
          </w:r>
          <w:r>
            <w:t xml:space="preserve">39</w:t>
          </w:r>
        </w:p>
        <w:p>
          <w:pPr>
            <w:pStyle w:val="TOC2"/>
            <w:tabs>
              <w:tab w:val="right" w:leader="dot" w:pos="9072"/>
            </w:tabs>
          </w:pPr>
          <w:r>
            <w:t xml:space="preserve">Commercial Assumptions and Exclusions</w:t>
          </w:r>
          <w:r>
            <w:tab/>
          </w:r>
          <w:r>
            <w:t xml:space="preserve">40</w:t>
          </w:r>
        </w:p>
        <w:p>
          <w:pPr>
            <w:pStyle w:val="TOC3"/>
            <w:tabs>
              <w:tab w:val="right" w:leader="dot" w:pos="9072"/>
            </w:tabs>
          </w:pPr>
          <w:r>
            <w:t xml:space="preserve">Assumptions</w:t>
          </w:r>
          <w:r>
            <w:tab/>
          </w:r>
          <w:r>
            <w:t xml:space="preserve">41</w:t>
          </w:r>
        </w:p>
        <w:p>
          <w:pPr>
            <w:pStyle w:val="TOC3"/>
            <w:tabs>
              <w:tab w:val="right" w:leader="dot" w:pos="9072"/>
            </w:tabs>
          </w:pPr>
          <w:r>
            <w:t xml:space="preserve">Exclusions</w:t>
          </w:r>
          <w:r>
            <w:tab/>
          </w:r>
          <w:r>
            <w:t xml:space="preserve">42</w:t>
          </w:r>
        </w:p>
        <w:p>
          <w:pPr>
            <w:pStyle w:val="TOC3"/>
            <w:tabs>
              <w:tab w:val="right" w:leader="dot" w:pos="9072"/>
            </w:tabs>
          </w:pPr>
          <w:r>
            <w:t xml:space="preserve">Change Management</w:t>
          </w:r>
          <w:r>
            <w:tab/>
          </w:r>
          <w:r>
            <w:t xml:space="preserve">43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Commercial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Draft 1.0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Commercial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1.0 Draft</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rPr>
          <w:rFonts w:ascii="Figtree" w:hAnsi="Figtree"/>
          <w:b w:val="0"/>
          <w:i w:val="0"/>
          <w:sz w:val="22"/>
        </w:rPr>
        <w:t>&gt; All prices exclude applicable taxes and VAT. Taxes are added separately based on HDFC Bank's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Value Analysis and ROI</w:t>
      </w:r>
    </w:p>
    <w:p>
      <w:pPr>
        <w:pStyle w:val="ListParagraph"/>
        <w:numPr>
          <w:ilvl w:val="0"/>
          <w:numId w:val="6"/>
        </w:numPr>
      </w:pPr>
      <w:r>
        <w:rPr>
          <w:rFonts w:ascii="Figtree" w:hAnsi="Figtree"/>
          <w:b w:val="0"/>
          <w:i w:val="0"/>
          <w:sz w:val="22"/>
        </w:rPr>
        <w:t>Contract Framework</w:t>
      </w:r>
    </w:p>
    <w:p>
      <w:pPr>
        <w:pStyle w:val="ListParagraph"/>
        <w:numPr>
          <w:ilvl w:val="0"/>
          <w:numId w:val="6"/>
        </w:numPr>
      </w:pPr>
      <w:r>
        <w:rPr>
          <w:rFonts w:ascii="Figtree" w:hAnsi="Figtree"/>
          <w:b w:val="0"/>
          <w:i w:val="0"/>
          <w:sz w:val="22"/>
        </w:rPr>
        <w:t>Commercial Assumptions and Exclusions</w:t>
      </w:r>
    </w:p>
    <w:p>
      <w:r>
        <w:br w:type="page"/>
      </w:r>
    </w:p>
    <w:p>
      <w:pPr>
        <w:pStyle w:val="H2"/>
        <w:numPr>
          <w:ilvl w:val="1"/>
          <w:numId w:val="1"/>
        </w:numPr>
      </w:pPr>
      <w:r>
        <w:t>Commercial Summary</w:t>
      </w:r>
    </w:p>
    <w:p>
      <w:r>
        <w:rPr>
          <w:rFonts w:ascii="Figtree" w:hAnsi="Figtree"/>
          <w:b w:val="0"/>
          <w:i w:val="0"/>
          <w:sz w:val="22"/>
        </w:rPr>
        <w:t>This commercial proposal sets out SettleMint's pricing, licensing structure, implementation investment, and total cost of ownership for the DALP tokenized fixed income platform deployment at HDFC Bank. It is the companion document to SettleMint's technical proposal responding to HDFC-BANK-RFP-202603.</w:t>
      </w:r>
    </w:p>
    <w:p>
      <w:r>
        <w:rPr>
          <w:rFonts w:ascii="Figtree" w:hAnsi="Figtree"/>
          <w:b w:val="0"/>
          <w:i w:val="0"/>
          <w:sz w:val="22"/>
        </w:rPr>
        <w:t>The commercial proposal is structured for four distinct audiences on HDFC Bank's evaluation committee: procurement and sourcing teams who need clear pricing terms and contractual structures; business sponsors who need to understand the investment relative to expected business value; technology and operations leads who need to understand the support model; and finance teams who need to understand the total cost model over a multi-year horizon.</w:t>
      </w:r>
    </w:p>
    <w:p>
      <w:pPr>
        <w:pStyle w:val="H3"/>
        <w:numPr>
          <w:ilvl w:val="2"/>
          <w:numId w:val="1"/>
        </w:numPr>
      </w:pPr>
      <w:r>
        <w:t>Commercial Architecture Diagram</w:t>
      </w:r>
    </w:p>
    <w:p>
      <w:pPr>
        <w:jc w:val="center"/>
      </w:pPr>
      <w:r>
        <w:drawing>
          <wp:inline xmlns:a="http://schemas.openxmlformats.org/drawingml/2006/main" xmlns:pic="http://schemas.openxmlformats.org/drawingml/2006/picture">
            <wp:extent cx="5486400" cy="23583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58312"/>
                    </a:xfrm>
                    <a:prstGeom prst="rect"/>
                  </pic:spPr>
                </pic:pic>
              </a:graphicData>
            </a:graphic>
          </wp:inline>
        </w:drawing>
      </w:r>
    </w:p>
    <w:p>
      <w:pPr>
        <w:pStyle w:val="H3"/>
        <w:numPr>
          <w:ilvl w:val="2"/>
          <w:numId w:val="1"/>
        </w:numPr>
      </w:pPr>
      <w:r>
        <w:t>Document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3788"/>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Audience</w:t>
            </w:r>
          </w:p>
        </w:tc>
      </w:tr>
      <w:tr>
        <w:trPr>
          <w:trHeight w:val="425" w:hRule="atLeast"/>
        </w:trPr>
        <w:tc>
          <w:tcPr>
            <w:tcW w:type="dxa" w:w="3249"/>
            <w:vAlign w:val="center"/>
          </w:tcPr>
          <w:p>
            <w:pPr>
              <w:spacing w:line="276" w:lineRule="auto" w:before="0" w:after="0"/>
            </w:pPr>
            <w:r/>
            <w:r>
              <w:rPr>
                <w:rFonts w:ascii="Figtree" w:hAnsi="Figtree"/>
                <w:b w:val="0"/>
                <w:i w:val="0"/>
                <w:sz w:val="20"/>
              </w:rPr>
              <w:t>Pricing Structure</w:t>
            </w:r>
          </w:p>
        </w:tc>
        <w:tc>
          <w:tcPr>
            <w:tcW w:type="dxa" w:w="3249"/>
            <w:vAlign w:val="center"/>
          </w:tcPr>
          <w:p>
            <w:pPr>
              <w:spacing w:line="276" w:lineRule="auto" w:before="0" w:after="0"/>
            </w:pPr>
            <w:r/>
            <w:r>
              <w:rPr>
                <w:rFonts w:ascii="Figtree" w:hAnsi="Figtree"/>
                <w:b w:val="0"/>
                <w:i w:val="0"/>
                <w:sz w:val="20"/>
              </w:rPr>
              <w:t>Platform license fees and structure</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Licensing Model</w:t>
            </w:r>
          </w:p>
        </w:tc>
        <w:tc>
          <w:tcPr>
            <w:tcW w:type="dxa" w:w="3249"/>
            <w:vAlign w:val="center"/>
          </w:tcPr>
          <w:p>
            <w:pPr>
              <w:spacing w:line="276" w:lineRule="auto" w:before="0" w:after="0"/>
            </w:pPr>
            <w:r/>
            <w:r>
              <w:rPr>
                <w:rFonts w:ascii="Figtree" w:hAnsi="Figtree"/>
                <w:b w:val="0"/>
                <w:i w:val="0"/>
                <w:sz w:val="20"/>
              </w:rPr>
              <w:t>License types, environments, terms</w:t>
            </w:r>
          </w:p>
        </w:tc>
        <w:tc>
          <w:tcPr>
            <w:tcW w:type="dxa" w:w="3249"/>
            <w:vAlign w:val="center"/>
          </w:tcPr>
          <w:p>
            <w:pPr>
              <w:spacing w:line="276" w:lineRule="auto" w:before="0" w:after="0"/>
            </w:pPr>
            <w:r/>
            <w:r>
              <w:rPr>
                <w:rFonts w:ascii="Figtree" w:hAnsi="Figtree"/>
                <w:b w:val="0"/>
                <w:i w:val="0"/>
                <w:sz w:val="20"/>
              </w:rPr>
              <w:t>Procurement, Technology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Investment</w:t>
            </w:r>
          </w:p>
        </w:tc>
        <w:tc>
          <w:tcPr>
            <w:tcW w:type="dxa" w:w="3249"/>
            <w:vAlign w:val="center"/>
          </w:tcPr>
          <w:p>
            <w:pPr>
              <w:spacing w:line="276" w:lineRule="auto" w:before="0" w:after="0"/>
            </w:pPr>
            <w:r/>
            <w:r>
              <w:rPr>
                <w:rFonts w:ascii="Figtree" w:hAnsi="Figtree"/>
                <w:b w:val="0"/>
                <w:i w:val="0"/>
                <w:sz w:val="20"/>
              </w:rPr>
              <w:t>One-time delivery costs</w:t>
            </w:r>
          </w:p>
        </w:tc>
        <w:tc>
          <w:tcPr>
            <w:tcW w:type="dxa" w:w="3249"/>
            <w:vAlign w:val="center"/>
          </w:tcPr>
          <w:p>
            <w:pPr>
              <w:spacing w:line="276" w:lineRule="auto" w:before="0" w:after="0"/>
            </w:pPr>
            <w:r/>
            <w:r>
              <w:rPr>
                <w:rFonts w:ascii="Figtree" w:hAnsi="Figtree"/>
                <w:b w:val="0"/>
                <w:i w:val="0"/>
                <w:sz w:val="20"/>
              </w:rPr>
              <w:t>Business Sponsors, Finance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w:t>
            </w:r>
          </w:p>
        </w:tc>
        <w:tc>
          <w:tcPr>
            <w:tcW w:type="dxa" w:w="3249"/>
            <w:vAlign w:val="center"/>
          </w:tcPr>
          <w:p>
            <w:pPr>
              <w:spacing w:line="276" w:lineRule="auto" w:before="0" w:after="0"/>
            </w:pPr>
            <w:r/>
            <w:r>
              <w:rPr>
                <w:rFonts w:ascii="Figtree" w:hAnsi="Figtree"/>
                <w:b w:val="0"/>
                <w:i w:val="0"/>
                <w:sz w:val="20"/>
              </w:rPr>
              <w:t>Ongoing support model and costs</w:t>
            </w:r>
          </w:p>
        </w:tc>
        <w:tc>
          <w:tcPr>
            <w:tcW w:type="dxa" w:w="3249"/>
            <w:vAlign w:val="center"/>
          </w:tcPr>
          <w:p>
            <w:pPr>
              <w:spacing w:line="276" w:lineRule="auto" w:before="0" w:after="0"/>
            </w:pPr>
            <w:r/>
            <w:r>
              <w:rPr>
                <w:rFonts w:ascii="Figtree" w:hAnsi="Figtree"/>
                <w:b w:val="0"/>
                <w:i w:val="0"/>
                <w:sz w:val="20"/>
              </w:rPr>
              <w:t>Technology, Operations</w:t>
            </w:r>
          </w:p>
        </w:tc>
      </w:tr>
      <w:tr>
        <w:trPr>
          <w:trHeight w:val="425" w:hRule="atLeast"/>
        </w:trPr>
        <w:tc>
          <w:tcPr>
            <w:tcW w:type="dxa" w:w="3249"/>
            <w:vAlign w:val="center"/>
          </w:tcPr>
          <w:p>
            <w:pPr>
              <w:spacing w:line="276" w:lineRule="auto" w:before="0" w:after="0"/>
            </w:pPr>
            <w:r/>
            <w:r>
              <w:rPr>
                <w:rFonts w:ascii="Figtree" w:hAnsi="Figtree"/>
                <w:b w:val="0"/>
                <w:i w:val="0"/>
                <w:sz w:val="20"/>
              </w:rPr>
              <w:t>Total Cost of Ownership</w:t>
            </w:r>
          </w:p>
        </w:tc>
        <w:tc>
          <w:tcPr>
            <w:tcW w:type="dxa" w:w="3249"/>
            <w:vAlign w:val="center"/>
          </w:tcPr>
          <w:p>
            <w:pPr>
              <w:spacing w:line="276" w:lineRule="auto" w:before="0" w:after="0"/>
            </w:pPr>
            <w:r/>
            <w:r>
              <w:rPr>
                <w:rFonts w:ascii="Figtree" w:hAnsi="Figtree"/>
                <w:b w:val="0"/>
                <w:i w:val="0"/>
                <w:sz w:val="20"/>
              </w:rPr>
              <w:t>Multi-year cost model</w:t>
            </w:r>
          </w:p>
        </w:tc>
        <w:tc>
          <w:tcPr>
            <w:tcW w:type="dxa" w:w="3249"/>
            <w:vAlign w:val="center"/>
          </w:tcPr>
          <w:p>
            <w:pPr>
              <w:spacing w:line="276" w:lineRule="auto" w:before="0" w:after="0"/>
            </w:pPr>
            <w:r/>
            <w:r>
              <w:rPr>
                <w:rFonts w:ascii="Figtree" w:hAnsi="Figtree"/>
                <w:b w:val="0"/>
                <w:i w:val="0"/>
                <w:sz w:val="20"/>
              </w:rPr>
              <w:t>Finance, Business Sponsors</w:t>
            </w:r>
          </w:p>
        </w:tc>
      </w:tr>
      <w:tr>
        <w:trPr>
          <w:trHeight w:val="425" w:hRule="atLeast"/>
        </w:trPr>
        <w:tc>
          <w:tcPr>
            <w:tcW w:type="dxa" w:w="3249"/>
            <w:vAlign w:val="center"/>
          </w:tcPr>
          <w:p>
            <w:pPr>
              <w:spacing w:line="276" w:lineRule="auto" w:before="0" w:after="0"/>
            </w:pPr>
            <w:r/>
            <w:r>
              <w:rPr>
                <w:rFonts w:ascii="Figtree" w:hAnsi="Figtree"/>
                <w:b w:val="0"/>
                <w:i w:val="0"/>
                <w:sz w:val="20"/>
              </w:rPr>
              <w:t>Payment Terms</w:t>
            </w:r>
          </w:p>
        </w:tc>
        <w:tc>
          <w:tcPr>
            <w:tcW w:type="dxa" w:w="3249"/>
            <w:vAlign w:val="center"/>
          </w:tcPr>
          <w:p>
            <w:pPr>
              <w:spacing w:line="276" w:lineRule="auto" w:before="0" w:after="0"/>
            </w:pPr>
            <w:r/>
            <w:r>
              <w:rPr>
                <w:rFonts w:ascii="Figtree" w:hAnsi="Figtree"/>
                <w:b w:val="0"/>
                <w:i w:val="0"/>
                <w:sz w:val="20"/>
              </w:rPr>
              <w:t>Payment schedule and contractual terms</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Value Analysis and ROI</w:t>
            </w:r>
          </w:p>
        </w:tc>
        <w:tc>
          <w:tcPr>
            <w:tcW w:type="dxa" w:w="3249"/>
            <w:vAlign w:val="center"/>
          </w:tcPr>
          <w:p>
            <w:pPr>
              <w:spacing w:line="276" w:lineRule="auto" w:before="0" w:after="0"/>
            </w:pPr>
            <w:r/>
            <w:r>
              <w:rPr>
                <w:rFonts w:ascii="Figtree" w:hAnsi="Figtree"/>
                <w:b w:val="0"/>
                <w:i w:val="0"/>
                <w:sz w:val="20"/>
              </w:rPr>
              <w:t>Business value and investment return</w:t>
            </w:r>
          </w:p>
        </w:tc>
        <w:tc>
          <w:tcPr>
            <w:tcW w:type="dxa" w:w="3249"/>
            <w:vAlign w:val="center"/>
          </w:tcPr>
          <w:p>
            <w:pPr>
              <w:spacing w:line="276" w:lineRule="auto" w:before="0" w:after="0"/>
            </w:pPr>
            <w:r/>
            <w:r>
              <w:rPr>
                <w:rFonts w:ascii="Figtree" w:hAnsi="Figtree"/>
                <w:b w:val="0"/>
                <w:i w:val="0"/>
                <w:sz w:val="20"/>
              </w:rPr>
              <w:t>Business Sponsors, Executive</w:t>
            </w:r>
          </w:p>
        </w:tc>
      </w:tr>
      <w:tr>
        <w:trPr>
          <w:trHeight w:val="425" w:hRule="atLeast"/>
        </w:trPr>
        <w:tc>
          <w:tcPr>
            <w:tcW w:type="dxa" w:w="3249"/>
            <w:vAlign w:val="center"/>
          </w:tcPr>
          <w:p>
            <w:pPr>
              <w:spacing w:line="276" w:lineRule="auto" w:before="0" w:after="0"/>
            </w:pPr>
            <w:r/>
            <w:r>
              <w:rPr>
                <w:rFonts w:ascii="Figtree" w:hAnsi="Figtree"/>
                <w:b w:val="0"/>
                <w:i w:val="0"/>
                <w:sz w:val="20"/>
              </w:rPr>
              <w:t>Commercial Assumptions</w:t>
            </w:r>
          </w:p>
        </w:tc>
        <w:tc>
          <w:tcPr>
            <w:tcW w:type="dxa" w:w="3249"/>
            <w:vAlign w:val="center"/>
          </w:tcPr>
          <w:p>
            <w:pPr>
              <w:spacing w:line="276" w:lineRule="auto" w:before="0" w:after="0"/>
            </w:pPr>
            <w:r/>
            <w:r>
              <w:rPr>
                <w:rFonts w:ascii="Figtree" w:hAnsi="Figtree"/>
                <w:b w:val="0"/>
                <w:i w:val="0"/>
                <w:sz w:val="20"/>
              </w:rPr>
              <w:t>Scope boundaries and exclusions</w:t>
            </w:r>
          </w:p>
        </w:tc>
        <w:tc>
          <w:tcPr>
            <w:tcW w:type="dxa" w:w="3249"/>
            <w:vAlign w:val="center"/>
          </w:tcPr>
          <w:p>
            <w:pPr>
              <w:spacing w:line="276" w:lineRule="auto" w:before="0" w:after="0"/>
            </w:pPr>
            <w:r/>
            <w:r>
              <w:rPr>
                <w:rFonts w:ascii="Figtree" w:hAnsi="Figtree"/>
                <w:b w:val="0"/>
                <w:i w:val="0"/>
                <w:sz w:val="20"/>
              </w:rPr>
              <w:t>All audiences</w:t>
            </w:r>
          </w:p>
        </w:tc>
      </w:tr>
    </w:tbl>
    <w:p>
      <w:pPr>
        <w:spacing w:before="0" w:after="0" w:line="120" w:lineRule="exact"/>
      </w:pPr>
    </w:p>
    <w:p>
      <w:r>
        <w:br w:type="page"/>
      </w:r>
    </w:p>
    <w:p>
      <w:pPr>
        <w:pStyle w:val="H2"/>
        <w:numPr>
          <w:ilvl w:val="1"/>
          <w:numId w:val="1"/>
        </w:numPr>
      </w:pPr>
      <w:r>
        <w:t>Pricing Structure</w:t>
      </w:r>
    </w:p>
    <w:p>
      <w:pPr>
        <w:pStyle w:val="H3"/>
        <w:numPr>
          <w:ilvl w:val="2"/>
          <w:numId w:val="1"/>
        </w:numPr>
      </w:pPr>
      <w:r>
        <w:t>Platform License Fees</w:t>
      </w:r>
    </w:p>
    <w:p>
      <w:r>
        <w:rPr>
          <w:rFonts w:ascii="Figtree" w:hAnsi="Figtree"/>
          <w:b w:val="0"/>
          <w:i w:val="0"/>
          <w:sz w:val="22"/>
        </w:rPr>
        <w:t>SettleMint's platform licensing follows a per-environment annual model. The base license rates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bl>
    <w:p>
      <w:pPr>
        <w:spacing w:before="0" w:after="0" w:line="120" w:lineRule="exact"/>
      </w:pPr>
    </w:p>
    <w:p>
      <w:r>
        <w:rPr>
          <w:rFonts w:ascii="Figtree" w:hAnsi="Figtree"/>
          <w:b w:val="0"/>
          <w:i w:val="0"/>
          <w:sz w:val="22"/>
        </w:rPr>
        <w:t xml:space="preserve">&gt; </w:t>
      </w:r>
      <w:r>
        <w:rPr>
          <w:rFonts w:ascii="Figtree" w:hAnsi="Figtree"/>
          <w:b/>
          <w:i w:val="0"/>
          <w:sz w:val="22"/>
        </w:rPr>
        <w:t>Payment terms: Annual, upfront. All prices exclude applicable taxes and VAT.</w:t>
      </w:r>
    </w:p>
    <w:p>
      <w:pPr>
        <w:pStyle w:val="H3"/>
        <w:numPr>
          <w:ilvl w:val="2"/>
          <w:numId w:val="1"/>
        </w:numPr>
      </w:pPr>
      <w:r>
        <w:t>Recommended Environment Configuration</w:t>
      </w:r>
    </w:p>
    <w:p>
      <w:r>
        <w:rPr>
          <w:rFonts w:ascii="Figtree" w:hAnsi="Figtree"/>
          <w:b w:val="0"/>
          <w:i w:val="0"/>
          <w:sz w:val="22"/>
        </w:rPr>
        <w:t>For HDFC Bank's tokenized fixed income programme, SettleMint recommends the following environment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4"/>
        <w:gridCol w:w="4193"/>
        <w:gridCol w:w="1027"/>
        <w:gridCol w:w="10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transaction processing</w:t>
            </w:r>
          </w:p>
        </w:tc>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€300,000</w:t>
            </w:r>
          </w:p>
        </w:tc>
      </w:tr>
      <w:tr>
        <w:trPr>
          <w:trHeight w:val="425" w:hRule="atLeast"/>
        </w:trPr>
        <w:tc>
          <w:tcPr>
            <w:tcW w:type="dxa" w:w="2436"/>
            <w:vAlign w:val="center"/>
          </w:tcPr>
          <w:p>
            <w:pPr>
              <w:spacing w:line="276" w:lineRule="auto" w:before="0" w:after="0"/>
            </w:pPr>
            <w:r/>
            <w:r>
              <w:rPr>
                <w:rFonts w:ascii="Figtree" w:hAnsi="Figtree"/>
                <w:b w:val="0"/>
                <w:i w:val="0"/>
                <w:sz w:val="20"/>
              </w:rPr>
              <w:t>Staging/UAT</w:t>
            </w:r>
          </w:p>
        </w:tc>
        <w:tc>
          <w:tcPr>
            <w:tcW w:type="dxa" w:w="2436"/>
            <w:vAlign w:val="center"/>
          </w:tcPr>
          <w:p>
            <w:pPr>
              <w:spacing w:line="276" w:lineRule="auto" w:before="0" w:after="0"/>
            </w:pPr>
            <w:r/>
            <w:r>
              <w:rPr>
                <w:rFonts w:ascii="Figtree" w:hAnsi="Figtree"/>
                <w:b w:val="0"/>
                <w:i w:val="0"/>
                <w:sz w:val="20"/>
              </w:rPr>
              <w:t>Pre-production validation and integration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and internal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i w:val="0"/>
                <w:sz w:val="20"/>
              </w:rPr>
              <w:t>Annual Platform License Total</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€540,000</w:t>
            </w:r>
          </w:p>
        </w:tc>
      </w:tr>
    </w:tbl>
    <w:p>
      <w:pPr>
        <w:spacing w:before="0" w:after="0" w:line="120" w:lineRule="exact"/>
      </w:pPr>
    </w:p>
    <w:p>
      <w:r>
        <w:rPr>
          <w:rFonts w:ascii="Figtree" w:hAnsi="Figtree"/>
          <w:b w:val="0"/>
          <w:i w:val="0"/>
          <w:sz w:val="22"/>
        </w:rPr>
        <w:t>&gt; Multi-environment combined pricing: €540,000/year upfront for Production + two Development environments. All prices exclude applicable taxes and VAT.</w:t>
      </w:r>
    </w:p>
    <w:p>
      <w:pPr>
        <w:pStyle w:val="H3"/>
        <w:numPr>
          <w:ilvl w:val="2"/>
          <w:numId w:val="1"/>
        </w:numPr>
      </w:pPr>
      <w:r>
        <w:t>License Fee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8"/>
        <w:gridCol w:w="2212"/>
        <w:gridCol w:w="58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Year 1</w:t>
            </w:r>
          </w:p>
        </w:tc>
        <w:tc>
          <w:tcPr>
            <w:tcW w:type="dxa" w:w="3249"/>
            <w:vAlign w:val="center"/>
          </w:tcPr>
          <w:p>
            <w:pPr>
              <w:spacing w:line="276" w:lineRule="auto" w:before="0" w:after="0"/>
            </w:pPr>
            <w:r/>
            <w:r>
              <w:rPr>
                <w:rFonts w:ascii="Figtree" w:hAnsi="Figtree"/>
                <w:b w:val="0"/>
                <w:i w:val="0"/>
                <w:sz w:val="20"/>
              </w:rPr>
              <w:t>€540,000</w:t>
            </w:r>
          </w:p>
        </w:tc>
        <w:tc>
          <w:tcPr>
            <w:tcW w:type="dxa" w:w="3249"/>
            <w:vAlign w:val="center"/>
          </w:tcPr>
          <w:p>
            <w:pPr>
              <w:spacing w:line="276" w:lineRule="auto" w:before="0" w:after="0"/>
            </w:pPr>
            <w:r/>
            <w:r>
              <w:rPr>
                <w:rFonts w:ascii="Figtree" w:hAnsi="Figtree"/>
                <w:b w:val="0"/>
                <w:i w:val="0"/>
                <w:sz w:val="20"/>
              </w:rPr>
              <w:t>Three environments (1 Production, 2 Development)</w:t>
            </w:r>
          </w:p>
        </w:tc>
      </w:tr>
      <w:tr>
        <w:trPr>
          <w:trHeight w:val="425" w:hRule="atLeast"/>
        </w:trPr>
        <w:tc>
          <w:tcPr>
            <w:tcW w:type="dxa" w:w="3249"/>
            <w:vAlign w:val="center"/>
          </w:tcPr>
          <w:p>
            <w:pPr>
              <w:spacing w:line="276" w:lineRule="auto" w:before="0" w:after="0"/>
            </w:pPr>
            <w:r/>
            <w:r>
              <w:rPr>
                <w:rFonts w:ascii="Figtree" w:hAnsi="Figtree"/>
                <w:b w:val="0"/>
                <w:i w:val="0"/>
                <w:sz w:val="20"/>
              </w:rPr>
              <w:t>Year 2+</w:t>
            </w:r>
          </w:p>
        </w:tc>
        <w:tc>
          <w:tcPr>
            <w:tcW w:type="dxa" w:w="3249"/>
            <w:vAlign w:val="center"/>
          </w:tcPr>
          <w:p>
            <w:pPr>
              <w:spacing w:line="276" w:lineRule="auto" w:before="0" w:after="0"/>
            </w:pPr>
            <w:r/>
            <w:r>
              <w:rPr>
                <w:rFonts w:ascii="Figtree" w:hAnsi="Figtree"/>
                <w:b w:val="0"/>
                <w:i w:val="0"/>
                <w:sz w:val="20"/>
              </w:rPr>
              <w:t>€540,000/year</w:t>
            </w:r>
          </w:p>
        </w:tc>
        <w:tc>
          <w:tcPr>
            <w:tcW w:type="dxa" w:w="3249"/>
            <w:vAlign w:val="center"/>
          </w:tcPr>
          <w:p>
            <w:pPr>
              <w:spacing w:line="276" w:lineRule="auto" w:before="0" w:after="0"/>
            </w:pPr>
            <w:r/>
            <w:r>
              <w:rPr>
                <w:rFonts w:ascii="Figtree" w:hAnsi="Figtree"/>
                <w:b w:val="0"/>
                <w:i w:val="0"/>
                <w:sz w:val="20"/>
              </w:rPr>
              <w:t>Same structure, subject to annual renewal</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What the License Includes</w:t>
      </w:r>
    </w:p>
    <w:p>
      <w:r>
        <w:rPr>
          <w:rFonts w:ascii="Figtree" w:hAnsi="Figtree"/>
          <w:b w:val="0"/>
          <w:i w:val="0"/>
          <w:sz w:val="22"/>
        </w:rPr>
        <w:t>The DALP platform license includes the following for each licensed environment:</w:t>
      </w:r>
    </w:p>
    <w:p>
      <w:r>
        <w:rPr>
          <w:rFonts w:ascii="Figtree" w:hAnsi="Figtree"/>
          <w:b/>
          <w:i w:val="0"/>
          <w:sz w:val="22"/>
        </w:rPr>
        <w:t>Platform Software.</w:t>
      </w:r>
      <w:r>
        <w:rPr>
          <w:rFonts w:ascii="Figtree" w:hAnsi="Figtree"/>
          <w:b w:val="0"/>
          <w:i w:val="0"/>
          <w:sz w:val="22"/>
        </w:rPr>
        <w:t xml:space="preserve"> Full access to the DALP platform software stack: Asset Console (web UI), Unified API (OpenAPI 3.1), TypeScript SDK, Execution Engine, Key Guardian, Chain Indexer, Chain Gateway, Feeds System, and all SMART Protocol smart contracts including the DALPAsset contract and all compliance modules.</w:t>
      </w:r>
    </w:p>
    <w:p>
      <w:r>
        <w:rPr>
          <w:rFonts w:ascii="Figtree" w:hAnsi="Figtree"/>
          <w:b/>
          <w:i w:val="0"/>
          <w:sz w:val="22"/>
        </w:rPr>
        <w:t>Platform Updates.</w:t>
      </w:r>
      <w:r>
        <w:rPr>
          <w:rFonts w:ascii="Figtree" w:hAnsi="Figtree"/>
          <w:b w:val="0"/>
          <w:i w:val="0"/>
          <w:sz w:val="22"/>
        </w:rPr>
        <w:t xml:space="preserve"> Continuous platform updates delivered by SettleMint, including security patches, compliance module updates, and feature releases. Updates are deployed according to the support tier's update cadence.</w:t>
      </w:r>
    </w:p>
    <w:p>
      <w:r>
        <w:rPr>
          <w:rFonts w:ascii="Figtree" w:hAnsi="Figtree"/>
          <w:b/>
          <w:i w:val="0"/>
          <w:sz w:val="22"/>
        </w:rPr>
        <w:t>Documentation.</w:t>
      </w:r>
      <w:r>
        <w:rPr>
          <w:rFonts w:ascii="Figtree" w:hAnsi="Figtree"/>
          <w:b w:val="0"/>
          <w:i w:val="0"/>
          <w:sz w:val="22"/>
        </w:rPr>
        <w:t xml:space="preserve"> Full technical documentation, API reference, runbooks, operational procedures, and integration guides. Documentation is updated with each platform release.</w:t>
      </w:r>
    </w:p>
    <w:p>
      <w:r>
        <w:rPr>
          <w:rFonts w:ascii="Figtree" w:hAnsi="Figtree"/>
          <w:b/>
          <w:i w:val="0"/>
          <w:sz w:val="22"/>
        </w:rPr>
        <w:t>Smart Contract Deployment Rights.</w:t>
      </w:r>
      <w:r>
        <w:rPr>
          <w:rFonts w:ascii="Figtree" w:hAnsi="Figtree"/>
          <w:b w:val="0"/>
          <w:i w:val="0"/>
          <w:sz w:val="22"/>
        </w:rPr>
        <w:t xml:space="preserve"> Right to deploy DALP smart contracts on the licensed blockchain networks as configured in the deployment agreement.</w:t>
      </w:r>
    </w:p>
    <w:p>
      <w:pPr>
        <w:pStyle w:val="H3"/>
        <w:numPr>
          <w:ilvl w:val="2"/>
          <w:numId w:val="1"/>
        </w:numPr>
      </w:pPr>
      <w:r>
        <w:t>What the License Does Not Include</w:t>
      </w:r>
    </w:p>
    <w:p>
      <w:r>
        <w:rPr>
          <w:rFonts w:ascii="Figtree" w:hAnsi="Figtree"/>
          <w:b w:val="0"/>
          <w:i w:val="0"/>
          <w:sz w:val="22"/>
        </w:rPr>
        <w:t>The platform license does not include:</w:t>
      </w:r>
    </w:p>
    <w:p>
      <w:pPr>
        <w:pStyle w:val="ListParagraph"/>
        <w:numPr>
          <w:ilvl w:val="0"/>
          <w:numId w:val="4"/>
        </w:numPr>
      </w:pPr>
      <w:r>
        <w:rPr>
          <w:rFonts w:ascii="Figtree" w:hAnsi="Figtree"/>
          <w:b w:val="0"/>
          <w:i w:val="0"/>
          <w:sz w:val="22"/>
        </w:rPr>
        <w:t>Implementation and professional services (priced separately, see Section 4)</w:t>
      </w:r>
    </w:p>
    <w:p>
      <w:pPr>
        <w:pStyle w:val="ListParagraph"/>
        <w:numPr>
          <w:ilvl w:val="0"/>
          <w:numId w:val="4"/>
        </w:numPr>
      </w:pPr>
      <w:r>
        <w:rPr>
          <w:rFonts w:ascii="Figtree" w:hAnsi="Figtree"/>
          <w:b w:val="0"/>
          <w:i w:val="0"/>
          <w:sz w:val="22"/>
        </w:rPr>
        <w:t>Cloud or on-premises infrastructure costs (pass-through at cost for managed services; borne by client for private cloud or on-premises)</w:t>
      </w:r>
    </w:p>
    <w:p>
      <w:pPr>
        <w:pStyle w:val="ListParagraph"/>
        <w:numPr>
          <w:ilvl w:val="0"/>
          <w:numId w:val="4"/>
        </w:numPr>
      </w:pPr>
      <w:r>
        <w:rPr>
          <w:rFonts w:ascii="Figtree" w:hAnsi="Figtree"/>
          <w:b w:val="0"/>
          <w:i w:val="0"/>
          <w:sz w:val="22"/>
        </w:rPr>
        <w:t>Third-party software licenses (KYC systems, payment rail connectors, HSM software, custody providers)</w:t>
      </w:r>
    </w:p>
    <w:p>
      <w:pPr>
        <w:pStyle w:val="ListParagraph"/>
        <w:numPr>
          <w:ilvl w:val="0"/>
          <w:numId w:val="4"/>
        </w:numPr>
      </w:pPr>
      <w:r>
        <w:rPr>
          <w:rFonts w:ascii="Figtree" w:hAnsi="Figtree"/>
          <w:b w:val="0"/>
          <w:i w:val="0"/>
          <w:sz w:val="22"/>
        </w:rPr>
        <w:t>Custom smart contract development beyond the standard DALP catalog</w:t>
      </w:r>
    </w:p>
    <w:p>
      <w:pPr>
        <w:pStyle w:val="H3"/>
        <w:numPr>
          <w:ilvl w:val="2"/>
          <w:numId w:val="1"/>
        </w:numPr>
      </w:pPr>
      <w:r>
        <w:t>License Terms</w:t>
      </w:r>
    </w:p>
    <w:p>
      <w:pPr>
        <w:pStyle w:val="ListParagraph"/>
        <w:numPr>
          <w:ilvl w:val="0"/>
          <w:numId w:val="4"/>
        </w:numPr>
      </w:pPr>
      <w:r>
        <w:rPr>
          <w:rFonts w:ascii="Figtree" w:hAnsi="Figtree"/>
          <w:b w:val="0"/>
          <w:i w:val="0"/>
          <w:sz w:val="22"/>
        </w:rPr>
        <w:t>License term: minimum 12 months, renewable annually</w:t>
      </w:r>
    </w:p>
    <w:p>
      <w:pPr>
        <w:pStyle w:val="ListParagraph"/>
        <w:numPr>
          <w:ilvl w:val="0"/>
          <w:numId w:val="4"/>
        </w:numPr>
      </w:pPr>
      <w:r>
        <w:rPr>
          <w:rFonts w:ascii="Figtree" w:hAnsi="Figtree"/>
          <w:b w:val="0"/>
          <w:i w:val="0"/>
          <w:sz w:val="22"/>
        </w:rPr>
        <w:t>License is non-transferable and non-sublicensable</w:t>
      </w:r>
    </w:p>
    <w:p>
      <w:pPr>
        <w:pStyle w:val="ListParagraph"/>
        <w:numPr>
          <w:ilvl w:val="0"/>
          <w:numId w:val="4"/>
        </w:numPr>
      </w:pPr>
      <w:r>
        <w:rPr>
          <w:rFonts w:ascii="Figtree" w:hAnsi="Figtree"/>
          <w:b w:val="0"/>
          <w:i w:val="0"/>
          <w:sz w:val="22"/>
        </w:rPr>
        <w:t>License is scoped to the specific environments and blockchain networks defined in the deployment agreement</w:t>
      </w:r>
    </w:p>
    <w:p>
      <w:pPr>
        <w:pStyle w:val="ListParagraph"/>
        <w:numPr>
          <w:ilvl w:val="0"/>
          <w:numId w:val="4"/>
        </w:numPr>
      </w:pPr>
      <w:r>
        <w:rPr>
          <w:rFonts w:ascii="Figtree" w:hAnsi="Figtree"/>
          <w:b w:val="0"/>
          <w:i w:val="0"/>
          <w:sz w:val="22"/>
        </w:rPr>
        <w:t>License does not expire mid-term if the platform is operational; SettleMint will not suspend a live production environment for non-renewal without 90 days' written notice</w:t>
      </w:r>
    </w:p>
    <w:p>
      <w:r>
        <w:br w:type="page"/>
      </w:r>
    </w:p>
    <w:p>
      <w:pPr>
        <w:pStyle w:val="H2"/>
        <w:numPr>
          <w:ilvl w:val="1"/>
          <w:numId w:val="1"/>
        </w:numPr>
      </w:pPr>
      <w:r>
        <w:t>Implementation Investment</w:t>
      </w:r>
    </w:p>
    <w:p>
      <w:pPr>
        <w:pStyle w:val="H3"/>
        <w:numPr>
          <w:ilvl w:val="2"/>
          <w:numId w:val="1"/>
        </w:numPr>
      </w:pPr>
      <w:r>
        <w:t>Implementation Scope</w:t>
      </w:r>
    </w:p>
    <w:p>
      <w:r>
        <w:rPr>
          <w:rFonts w:ascii="Figtree" w:hAnsi="Figtree"/>
          <w:b w:val="0"/>
          <w:i w:val="0"/>
          <w:sz w:val="22"/>
        </w:rPr>
        <w:t>Implementation services cover the delivery of a production-ready DALP deployment for HDFC Bank's tokenized fixed income programme. The implementation follows SettleMint's five-phase methodology (19 weeks) as described in the technical proposal.</w:t>
      </w:r>
    </w:p>
    <w:p>
      <w:pPr>
        <w:pStyle w:val="H3"/>
        <w:numPr>
          <w:ilvl w:val="2"/>
          <w:numId w:val="1"/>
        </w:numPr>
      </w:pPr>
      <w:r>
        <w:t>Implementation Pricing</w:t>
      </w:r>
    </w:p>
    <w:p>
      <w:r>
        <w:rPr>
          <w:rFonts w:ascii="Figtree" w:hAnsi="Figtree"/>
          <w:b w:val="0"/>
          <w:i w:val="0"/>
          <w:sz w:val="22"/>
        </w:rPr>
        <w:t>Implementation costs are specific to HDFC Bank's programme scope, integration complexity, and deployment model. The figures below represent SettleMint's standard ranges for APAC bank deployments of comparable scope. Final pricing is subject to scope validation during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6"/>
        <w:gridCol w:w="5040"/>
        <w:gridCol w:w="2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 Range</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Architecture</w:t>
            </w:r>
          </w:p>
        </w:tc>
        <w:tc>
          <w:tcPr>
            <w:tcW w:type="dxa" w:w="3249"/>
            <w:vAlign w:val="center"/>
          </w:tcPr>
          <w:p>
            <w:pPr>
              <w:spacing w:line="276" w:lineRule="auto" w:before="0" w:after="0"/>
            </w:pPr>
            <w:r/>
            <w:r>
              <w:rPr>
                <w:rFonts w:ascii="Figtree" w:hAnsi="Figtree"/>
                <w:b w:val="0"/>
                <w:i w:val="0"/>
                <w:sz w:val="20"/>
              </w:rPr>
              <w:t>Requirements workshops, architecture design, regulatory mapping, compliance blueprint</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Environment provisioning, blockchain network initialization, identity framework</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Asset template configuration, compliance module setup, workflow configuration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Finacle GL integration, KYC system integration, RTGS/NDS-OM integration, reporting integrations</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Testing and Validation</w:t>
            </w:r>
          </w:p>
        </w:tc>
        <w:tc>
          <w:tcPr>
            <w:tcW w:type="dxa" w:w="3249"/>
            <w:vAlign w:val="center"/>
          </w:tcPr>
          <w:p>
            <w:pPr>
              <w:spacing w:line="276" w:lineRule="auto" w:before="0" w:after="0"/>
            </w:pPr>
            <w:r/>
            <w:r>
              <w:rPr>
                <w:rFonts w:ascii="Figtree" w:hAnsi="Figtree"/>
                <w:b w:val="0"/>
                <w:i w:val="0"/>
                <w:sz w:val="20"/>
              </w:rPr>
              <w:t>SIT, UAT support, performance testing, security testing, regulatory documentation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Production deployment, go-live support, knowledge transfer, 4 weeks intensive post-go-live</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Platform administration, operations, compliance officer, developer, train-the-trainer</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 Investment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[CLIENT-SPECIFIC: scoped at contract]</w:t>
            </w:r>
          </w:p>
        </w:tc>
      </w:tr>
    </w:tbl>
    <w:p>
      <w:pPr>
        <w:spacing w:before="0" w:after="0" w:line="120" w:lineRule="exact"/>
      </w:pPr>
    </w:p>
    <w:p>
      <w:r>
        <w:rPr>
          <w:rFonts w:ascii="Figtree" w:hAnsi="Figtree"/>
          <w:b w:val="0"/>
          <w:i w:val="0"/>
          <w:sz w:val="22"/>
        </w:rPr>
        <w:t>&gt; Implementation pricing is marked [CLIENT-SPECIFIC] and will be confirmed during scoping. For context: SettleMint's comparable APAC bank implementations for regulated tokenized fixed income programmes have ranged from €400,000 to €900,000 depending on integration complexity, number of instrument types, and regulatory scope.</w:t>
      </w:r>
    </w:p>
    <w:p>
      <w:pPr>
        <w:pStyle w:val="H3"/>
        <w:numPr>
          <w:ilvl w:val="2"/>
          <w:numId w:val="1"/>
        </w:numPr>
      </w:pPr>
      <w:r>
        <w:t>Fixed-Price vs. Time-and-Materials</w:t>
      </w:r>
    </w:p>
    <w:p>
      <w:r>
        <w:rPr>
          <w:rFonts w:ascii="Figtree" w:hAnsi="Figtree"/>
          <w:b w:val="0"/>
          <w:i w:val="0"/>
          <w:sz w:val="22"/>
        </w:rPr>
        <w:t xml:space="preserve">SettleMint offers implementation services on a </w:t>
      </w:r>
      <w:r>
        <w:rPr>
          <w:rFonts w:ascii="Figtree" w:hAnsi="Figtree"/>
          <w:b/>
          <w:i w:val="0"/>
          <w:sz w:val="22"/>
        </w:rPr>
        <w:t>fixed-price basis</w:t>
      </w:r>
      <w:r>
        <w:rPr>
          <w:rFonts w:ascii="Figtree" w:hAnsi="Figtree"/>
          <w:b w:val="0"/>
          <w:i w:val="0"/>
          <w:sz w:val="22"/>
        </w:rPr>
        <w:t xml:space="preserve"> for defined-scope workstreams. The fixed-price model requires a detailed scope agreement at the start of each phase. Out-of-scope work is managed through a formal change control process.</w:t>
      </w:r>
    </w:p>
    <w:p>
      <w:r>
        <w:rPr>
          <w:rFonts w:ascii="Figtree" w:hAnsi="Figtree"/>
          <w:b w:val="0"/>
          <w:i w:val="0"/>
          <w:sz w:val="22"/>
        </w:rPr>
        <w:t>Time-and-materials pricing is available for discovery phases and for open-ended integration workstreams where scope is not determinable in advance. The specific pricing model for each workstream is agreed during the commercial negotiation.</w:t>
      </w:r>
    </w:p>
    <w:p>
      <w:r>
        <w:br w:type="page"/>
      </w:r>
    </w:p>
    <w:p>
      <w:pPr>
        <w:pStyle w:val="H2"/>
        <w:numPr>
          <w:ilvl w:val="1"/>
          <w:numId w:val="1"/>
        </w:numPr>
      </w:pPr>
      <w:r>
        <w:t>Support and Maintenance</w:t>
      </w:r>
    </w:p>
    <w:p>
      <w:pPr>
        <w:pStyle w:val="H3"/>
        <w:numPr>
          <w:ilvl w:val="2"/>
          <w:numId w:val="1"/>
        </w:numPr>
      </w:pPr>
      <w:r>
        <w:t>Recommended Support Tier: Enterprise</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This tier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77"/>
        <w:gridCol w:w="5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review, named CSM</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bl>
    <w:p>
      <w:pPr>
        <w:spacing w:before="0" w:after="0" w:line="120" w:lineRule="exact"/>
      </w:pPr>
    </w:p>
    <w:p>
      <w:pPr>
        <w:pStyle w:val="H3"/>
        <w:numPr>
          <w:ilvl w:val="2"/>
          <w:numId w:val="1"/>
        </w:numPr>
      </w:pPr>
      <w:r>
        <w:t>Support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27"/>
        <w:gridCol w:w="42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(included with Enterprise license tier)</w:t>
            </w:r>
          </w:p>
        </w:tc>
        <w:tc>
          <w:tcPr>
            <w:tcW w:type="dxa" w:w="4873"/>
            <w:vAlign w:val="center"/>
          </w:tcPr>
          <w:p>
            <w:pPr>
              <w:spacing w:line="276" w:lineRule="auto" w:before="0" w:after="0"/>
            </w:pPr>
            <w:r/>
            <w:r>
              <w:rPr>
                <w:rFonts w:ascii="Figtree" w:hAnsi="Figtree"/>
                <w:b w:val="0"/>
                <w:i w:val="0"/>
                <w:sz w:val="20"/>
              </w:rPr>
              <w:t>[CLIENT-SPECIFIC: included or add-on based on tier]</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Engineer (add-on)</w:t>
            </w:r>
          </w:p>
        </w:tc>
        <w:tc>
          <w:tcPr>
            <w:tcW w:type="dxa" w:w="4873"/>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4873"/>
            <w:vAlign w:val="center"/>
          </w:tcPr>
          <w:p>
            <w:pPr>
              <w:spacing w:line="276" w:lineRule="auto" w:before="0" w:after="0"/>
            </w:pPr>
            <w:r/>
            <w:r>
              <w:rPr>
                <w:rFonts w:ascii="Figtree" w:hAnsi="Figtree"/>
                <w:b w:val="0"/>
                <w:i w:val="0"/>
                <w:sz w:val="20"/>
              </w:rPr>
              <w:t>On-site support days (annual pool)</w:t>
            </w:r>
          </w:p>
        </w:tc>
        <w:tc>
          <w:tcPr>
            <w:tcW w:type="dxa" w:w="4873"/>
            <w:vAlign w:val="center"/>
          </w:tcPr>
          <w:p>
            <w:pPr>
              <w:spacing w:line="276" w:lineRule="auto" w:before="0" w:after="0"/>
            </w:pPr>
            <w:r/>
            <w:r>
              <w:rPr>
                <w:rFonts w:ascii="Figtree" w:hAnsi="Figtree"/>
                <w:b w:val="0"/>
                <w:i w:val="0"/>
                <w:sz w:val="20"/>
              </w:rPr>
              <w:t>[CLIENT-SPECIFIC: scoped at contract]</w:t>
            </w:r>
          </w:p>
        </w:tc>
      </w:tr>
    </w:tbl>
    <w:p>
      <w:pPr>
        <w:spacing w:before="0" w:after="0" w:line="120" w:lineRule="exact"/>
      </w:pPr>
    </w:p>
    <w:p>
      <w:r>
        <w:rPr>
          <w:rFonts w:ascii="Figtree" w:hAnsi="Figtree"/>
          <w:b w:val="0"/>
          <w:i w:val="0"/>
          <w:sz w:val="22"/>
        </w:rPr>
        <w:t>&gt; Note: For the Enterprise licensing tier, base Enterprise Support coverage is included in the license fee. Additional support elements (dedicated support engineer, on-site days) are scoped per engagement.</w:t>
      </w:r>
    </w:p>
    <w:p>
      <w:r>
        <w:br w:type="page"/>
      </w:r>
    </w:p>
    <w:p>
      <w:pPr>
        <w:pStyle w:val="H2"/>
        <w:numPr>
          <w:ilvl w:val="1"/>
          <w:numId w:val="1"/>
        </w:numPr>
      </w:pPr>
      <w:r>
        <w:t>Total Cost of Ownership</w:t>
      </w:r>
    </w:p>
    <w:p>
      <w:pPr>
        <w:pStyle w:val="H3"/>
        <w:numPr>
          <w:ilvl w:val="2"/>
          <w:numId w:val="1"/>
        </w:numPr>
      </w:pPr>
      <w:r>
        <w:t>Three-Year TCO Model</w:t>
      </w:r>
    </w:p>
    <w:p>
      <w:r>
        <w:rPr>
          <w:rFonts w:ascii="Figtree" w:hAnsi="Figtree"/>
          <w:b w:val="0"/>
          <w:i w:val="0"/>
          <w:sz w:val="22"/>
        </w:rPr>
        <w:t>The table below presents indicative three-year total cost of ownership for HDFC Bank's tokenized fixed income deployment. Implementation costs are one-time; license and support costs recur annually. Infrastructure costs are HDFC Bank's own cloud spend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6"/>
        <w:gridCol w:w="1475"/>
        <w:gridCol w:w="1253"/>
        <w:gridCol w:w="1253"/>
        <w:gridCol w:w="16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(3 environments)</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€1,620,000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 — HDFC Bank pass-through)</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r>
      <w:tr>
        <w:trPr>
          <w:trHeight w:val="425" w:hRule="atLeast"/>
        </w:trPr>
        <w:tc>
          <w:tcPr>
            <w:tcW w:type="dxa" w:w="1949"/>
            <w:vAlign w:val="center"/>
          </w:tcPr>
          <w:p>
            <w:pPr>
              <w:spacing w:line="276" w:lineRule="auto" w:before="0" w:after="0"/>
            </w:pPr>
            <w:r/>
            <w:r>
              <w:rPr>
                <w:rFonts w:ascii="Figtree" w:hAnsi="Figtree"/>
                <w:b/>
                <w:i w:val="0"/>
                <w:sz w:val="20"/>
              </w:rPr>
              <w:t>Total (excl. infrastructure and impl.)</w:t>
            </w:r>
          </w:p>
        </w:tc>
        <w:tc>
          <w:tcPr>
            <w:tcW w:type="dxa" w:w="1949"/>
            <w:vAlign w:val="center"/>
          </w:tcPr>
          <w:p>
            <w:pPr>
              <w:spacing w:line="276" w:lineRule="auto" w:before="0" w:after="0"/>
            </w:pPr>
            <w:r/>
            <w:r>
              <w:rPr>
                <w:rFonts w:ascii="Figtree" w:hAnsi="Figtree"/>
                <w:b/>
                <w:i w:val="0"/>
                <w:sz w:val="20"/>
              </w:rPr>
              <w:t>€540,000 + impl.</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€1,620,000 + impl.</w:t>
            </w:r>
          </w:p>
        </w:tc>
      </w:tr>
    </w:tbl>
    <w:p>
      <w:pPr>
        <w:spacing w:before="0" w:after="0" w:line="120" w:lineRule="exact"/>
      </w:pPr>
    </w:p>
    <w:p>
      <w:r>
        <w:rPr>
          <w:rFonts w:ascii="Figtree" w:hAnsi="Figtree"/>
          <w:b w:val="0"/>
          <w:i w:val="0"/>
          <w:sz w:val="22"/>
        </w:rPr>
        <w:t>&gt; All figures exclude applicable taxes and VAT.</w:t>
      </w:r>
    </w:p>
    <w:p>
      <w:pPr>
        <w:pStyle w:val="H3"/>
        <w:numPr>
          <w:ilvl w:val="2"/>
          <w:numId w:val="1"/>
        </w:numPr>
      </w:pPr>
      <w:r>
        <w:t>Build vs. Buy Analysis</w:t>
      </w:r>
    </w:p>
    <w:p>
      <w:r>
        <w:rPr>
          <w:rFonts w:ascii="Figtree" w:hAnsi="Figtree"/>
          <w:b w:val="0"/>
          <w:i w:val="0"/>
          <w:sz w:val="22"/>
        </w:rPr>
        <w:t>HDFC Bank's evaluation committee will consider whether to build an equivalent platform internally or procure DALP. The following analysis provides directional guidance: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3262"/>
        <w:gridCol w:w="2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Internally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(SettleMint)</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24-36 months (estimated)</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w:t>
            </w:r>
          </w:p>
        </w:tc>
        <w:tc>
          <w:tcPr>
            <w:tcW w:type="dxa" w:w="3249"/>
            <w:vAlign w:val="center"/>
          </w:tcPr>
          <w:p>
            <w:pPr>
              <w:spacing w:line="276" w:lineRule="auto" w:before="0" w:after="0"/>
            </w:pPr>
            <w:r/>
            <w:r>
              <w:rPr>
                <w:rFonts w:ascii="Figtree" w:hAnsi="Figtree"/>
                <w:b w:val="0"/>
                <w:i w:val="0"/>
                <w:sz w:val="20"/>
              </w:rPr>
              <w:t>€300,000-€600,000 (ERC-3643 from scratch)</w:t>
            </w:r>
          </w:p>
        </w:tc>
        <w:tc>
          <w:tcPr>
            <w:tcW w:type="dxa" w:w="3249"/>
            <w:vAlign w:val="center"/>
          </w:tcPr>
          <w:p>
            <w:pPr>
              <w:spacing w:line="276" w:lineRule="auto" w:before="0" w:after="0"/>
            </w:pPr>
            <w:r/>
            <w:r>
              <w:rPr>
                <w:rFonts w:ascii="Figtree" w:hAnsi="Figtree"/>
                <w:b w:val="0"/>
                <w:i w:val="0"/>
                <w:sz w:val="20"/>
              </w:rPr>
              <w:t>Included (audited SMART Protocol)</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18+ months, specialist team required</w:t>
            </w:r>
          </w:p>
        </w:tc>
        <w:tc>
          <w:tcPr>
            <w:tcW w:type="dxa" w:w="3249"/>
            <w:vAlign w:val="center"/>
          </w:tcPr>
          <w:p>
            <w:pPr>
              <w:spacing w:line="276" w:lineRule="auto" w:before="0" w:after="0"/>
            </w:pPr>
            <w:r/>
            <w:r>
              <w:rPr>
                <w:rFonts w:ascii="Figtree" w:hAnsi="Figtree"/>
                <w:b w:val="0"/>
                <w:i w:val="0"/>
                <w:sz w:val="20"/>
              </w:rPr>
              <w:t>Available immediately, configurable</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18-24 months to certify</w:t>
            </w:r>
          </w:p>
        </w:tc>
        <w:tc>
          <w:tcPr>
            <w:tcW w:type="dxa" w:w="3249"/>
            <w:vAlign w:val="center"/>
          </w:tcPr>
          <w:p>
            <w:pPr>
              <w:spacing w:line="276" w:lineRule="auto" w:before="0" w:after="0"/>
            </w:pPr>
            <w:r/>
            <w:r>
              <w:rPr>
                <w:rFonts w:ascii="Figtree" w:hAnsi="Figtree"/>
                <w:b w:val="0"/>
                <w:i w:val="0"/>
                <w:sz w:val="20"/>
              </w:rPr>
              <w:t>Already certified</w:t>
            </w:r>
          </w:p>
        </w:tc>
      </w:tr>
      <w:tr>
        <w:trPr>
          <w:trHeight w:val="425" w:hRule="atLeast"/>
        </w:trPr>
        <w:tc>
          <w:tcPr>
            <w:tcW w:type="dxa" w:w="3249"/>
            <w:vAlign w:val="center"/>
          </w:tcPr>
          <w:p>
            <w:pPr>
              <w:spacing w:line="276" w:lineRule="auto" w:before="0" w:after="0"/>
            </w:pPr>
            <w:r/>
            <w:r>
              <w:rPr>
                <w:rFonts w:ascii="Figtree" w:hAnsi="Figtree"/>
                <w:b w:val="0"/>
                <w:i w:val="0"/>
                <w:sz w:val="20"/>
              </w:rPr>
              <w:t>Regulatory examination documentation</w:t>
            </w:r>
          </w:p>
        </w:tc>
        <w:tc>
          <w:tcPr>
            <w:tcW w:type="dxa" w:w="3249"/>
            <w:vAlign w:val="center"/>
          </w:tcPr>
          <w:p>
            <w:pPr>
              <w:spacing w:line="276" w:lineRule="auto" w:before="0" w:after="0"/>
            </w:pPr>
            <w:r/>
            <w:r>
              <w:rPr>
                <w:rFonts w:ascii="Figtree" w:hAnsi="Figtree"/>
                <w:b w:val="0"/>
                <w:i w:val="0"/>
                <w:sz w:val="20"/>
              </w:rPr>
              <w:t>Created from scratch</w:t>
            </w:r>
          </w:p>
        </w:tc>
        <w:tc>
          <w:tcPr>
            <w:tcW w:type="dxa" w:w="3249"/>
            <w:vAlign w:val="center"/>
          </w:tcPr>
          <w:p>
            <w:pPr>
              <w:spacing w:line="276" w:lineRule="auto" w:before="0" w:after="0"/>
            </w:pPr>
            <w:r/>
            <w:r>
              <w:rPr>
                <w:rFonts w:ascii="Figtree" w:hAnsi="Figtree"/>
                <w:b w:val="0"/>
                <w:i w:val="0"/>
                <w:sz w:val="20"/>
              </w:rPr>
              <w:t>Provided by SettleMint</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4-8 FTE blockchain engineers</w:t>
            </w:r>
          </w:p>
        </w:tc>
        <w:tc>
          <w:tcPr>
            <w:tcW w:type="dxa" w:w="3249"/>
            <w:vAlign w:val="center"/>
          </w:tcPr>
          <w:p>
            <w:pPr>
              <w:spacing w:line="276" w:lineRule="auto" w:before="0" w:after="0"/>
            </w:pPr>
            <w:r/>
            <w:r>
              <w:rPr>
                <w:rFonts w:ascii="Figtree" w:hAnsi="Figtree"/>
                <w:b w:val="0"/>
                <w:i w:val="0"/>
                <w:sz w:val="20"/>
              </w:rPr>
              <w:t>Covered by license</w:t>
            </w:r>
          </w:p>
        </w:tc>
      </w:tr>
      <w:tr>
        <w:trPr>
          <w:trHeight w:val="425" w:hRule="atLeast"/>
        </w:trPr>
        <w:tc>
          <w:tcPr>
            <w:tcW w:type="dxa" w:w="3249"/>
            <w:vAlign w:val="center"/>
          </w:tcPr>
          <w:p>
            <w:pPr>
              <w:spacing w:line="276" w:lineRule="auto" w:before="0" w:after="0"/>
            </w:pPr>
            <w:r/>
            <w:r>
              <w:rPr>
                <w:rFonts w:ascii="Figtree" w:hAnsi="Figtree"/>
                <w:b w:val="0"/>
                <w:i w:val="0"/>
                <w:sz w:val="20"/>
              </w:rPr>
              <w:t>3-year total cost (build)</w:t>
            </w:r>
          </w:p>
        </w:tc>
        <w:tc>
          <w:tcPr>
            <w:tcW w:type="dxa" w:w="3249"/>
            <w:vAlign w:val="center"/>
          </w:tcPr>
          <w:p>
            <w:pPr>
              <w:spacing w:line="276" w:lineRule="auto" w:before="0" w:after="0"/>
            </w:pPr>
            <w:r/>
            <w:r>
              <w:rPr>
                <w:rFonts w:ascii="Figtree" w:hAnsi="Figtree"/>
                <w:b w:val="0"/>
                <w:i w:val="0"/>
                <w:sz w:val="20"/>
              </w:rPr>
              <w:t>€6M-€12M (conservative estimate)</w:t>
            </w:r>
          </w:p>
        </w:tc>
        <w:tc>
          <w:tcPr>
            <w:tcW w:type="dxa" w:w="3249"/>
            <w:vAlign w:val="center"/>
          </w:tcPr>
          <w:p>
            <w:pPr>
              <w:spacing w:line="276" w:lineRule="auto" w:before="0" w:after="0"/>
            </w:pPr>
            <w:r/>
            <w:r>
              <w:rPr>
                <w:rFonts w:ascii="Figtree" w:hAnsi="Figtree"/>
                <w:b w:val="0"/>
                <w:i w:val="0"/>
                <w:sz w:val="20"/>
              </w:rPr>
              <w:t>€1.6M + impl. + support</w:t>
            </w:r>
          </w:p>
        </w:tc>
      </w:tr>
      <w:tr>
        <w:trPr>
          <w:trHeight w:val="425" w:hRule="atLeast"/>
        </w:trPr>
        <w:tc>
          <w:tcPr>
            <w:tcW w:type="dxa" w:w="3249"/>
            <w:vAlign w:val="center"/>
          </w:tcPr>
          <w:p>
            <w:pPr>
              <w:spacing w:line="276" w:lineRule="auto" w:before="0" w:after="0"/>
            </w:pPr>
            <w:r/>
            <w:r>
              <w:rPr>
                <w:rFonts w:ascii="Figtree" w:hAnsi="Figtree"/>
                <w:b w:val="0"/>
                <w:i w:val="0"/>
                <w:sz w:val="20"/>
              </w:rPr>
              <w:t>Risk of regulatory non-compliance</w:t>
            </w:r>
          </w:p>
        </w:tc>
        <w:tc>
          <w:tcPr>
            <w:tcW w:type="dxa" w:w="3249"/>
            <w:vAlign w:val="center"/>
          </w:tcPr>
          <w:p>
            <w:pPr>
              <w:spacing w:line="276" w:lineRule="auto" w:before="0" w:after="0"/>
            </w:pPr>
            <w:r/>
            <w:r>
              <w:rPr>
                <w:rFonts w:ascii="Figtree" w:hAnsi="Figtree"/>
                <w:b w:val="0"/>
                <w:i w:val="0"/>
                <w:sz w:val="20"/>
              </w:rPr>
              <w:t>High (compliance logic custom-built)</w:t>
            </w:r>
          </w:p>
        </w:tc>
        <w:tc>
          <w:tcPr>
            <w:tcW w:type="dxa" w:w="3249"/>
            <w:vAlign w:val="center"/>
          </w:tcPr>
          <w:p>
            <w:pPr>
              <w:spacing w:line="276" w:lineRule="auto" w:before="0" w:after="0"/>
            </w:pPr>
            <w:r/>
            <w:r>
              <w:rPr>
                <w:rFonts w:ascii="Figtree" w:hAnsi="Figtree"/>
                <w:b w:val="0"/>
                <w:i w:val="0"/>
                <w:sz w:val="20"/>
              </w:rPr>
              <w:t>Low (proven in regulated deployments)</w:t>
            </w:r>
          </w:p>
        </w:tc>
      </w:tr>
    </w:tbl>
    <w:p>
      <w:pPr>
        <w:spacing w:before="0" w:after="0" w:line="120" w:lineRule="exact"/>
      </w:pPr>
    </w:p>
    <w:p>
      <w:pPr>
        <w:pStyle w:val="H3"/>
        <w:numPr>
          <w:ilvl w:val="2"/>
          <w:numId w:val="1"/>
        </w:numPr>
      </w:pPr>
      <w:r>
        <w:t>Infrastructure Cost Guidance</w:t>
      </w:r>
    </w:p>
    <w:p>
      <w:r>
        <w:rPr>
          <w:rFonts w:ascii="Figtree" w:hAnsi="Figtree"/>
          <w:b w:val="0"/>
          <w:i w:val="0"/>
          <w:sz w:val="22"/>
        </w:rPr>
        <w:t>For HDFC Bank's private cloud deployment on AWS Mumbai or Azure India West, indicative infrastructure costs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93"/>
        <w:gridCol w:w="34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Monthly Cost</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(production)</w:t>
            </w:r>
          </w:p>
        </w:tc>
        <w:tc>
          <w:tcPr>
            <w:tcW w:type="dxa" w:w="4873"/>
            <w:vAlign w:val="center"/>
          </w:tcPr>
          <w:p>
            <w:pPr>
              <w:spacing w:line="276" w:lineRule="auto" w:before="0" w:after="0"/>
            </w:pPr>
            <w:r/>
            <w:r>
              <w:rPr>
                <w:rFonts w:ascii="Figtree" w:hAnsi="Figtree"/>
                <w:b w:val="0"/>
                <w:i w:val="0"/>
                <w:sz w:val="20"/>
              </w:rPr>
              <w:t>USD 2,000-4,000</w:t>
            </w:r>
          </w:p>
        </w:tc>
      </w:tr>
      <w:tr>
        <w:trPr>
          <w:trHeight w:val="425" w:hRule="atLeast"/>
        </w:trPr>
        <w:tc>
          <w:tcPr>
            <w:tcW w:type="dxa" w:w="4873"/>
            <w:vAlign w:val="center"/>
          </w:tcPr>
          <w:p>
            <w:pPr>
              <w:spacing w:line="276" w:lineRule="auto" w:before="0" w:after="0"/>
            </w:pPr>
            <w:r/>
            <w:r>
              <w:rPr>
                <w:rFonts w:ascii="Figtree" w:hAnsi="Figtree"/>
                <w:b w:val="0"/>
                <w:i w:val="0"/>
                <w:sz w:val="20"/>
              </w:rPr>
              <w:t>Managed PostgreSQL (production)</w:t>
            </w:r>
          </w:p>
        </w:tc>
        <w:tc>
          <w:tcPr>
            <w:tcW w:type="dxa" w:w="4873"/>
            <w:vAlign w:val="center"/>
          </w:tcPr>
          <w:p>
            <w:pPr>
              <w:spacing w:line="276" w:lineRule="auto" w:before="0" w:after="0"/>
            </w:pPr>
            <w:r/>
            <w:r>
              <w:rPr>
                <w:rFonts w:ascii="Figtree" w:hAnsi="Figtree"/>
                <w:b w:val="0"/>
                <w:i w:val="0"/>
                <w:sz w:val="20"/>
              </w:rPr>
              <w:t>USD 500-1,500</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 nodes (3 validators)</w:t>
            </w:r>
          </w:p>
        </w:tc>
        <w:tc>
          <w:tcPr>
            <w:tcW w:type="dxa" w:w="4873"/>
            <w:vAlign w:val="center"/>
          </w:tcPr>
          <w:p>
            <w:pPr>
              <w:spacing w:line="276" w:lineRule="auto" w:before="0" w:after="0"/>
            </w:pPr>
            <w:r/>
            <w:r>
              <w:rPr>
                <w:rFonts w:ascii="Figtree" w:hAnsi="Figtree"/>
                <w:b w:val="0"/>
                <w:i w:val="0"/>
                <w:sz w:val="20"/>
              </w:rPr>
              <w:t>USD 1,500-3,000</w:t>
            </w:r>
          </w:p>
        </w:tc>
      </w:tr>
      <w:tr>
        <w:trPr>
          <w:trHeight w:val="425" w:hRule="atLeast"/>
        </w:trPr>
        <w:tc>
          <w:tcPr>
            <w:tcW w:type="dxa" w:w="4873"/>
            <w:vAlign w:val="center"/>
          </w:tcPr>
          <w:p>
            <w:pPr>
              <w:spacing w:line="276" w:lineRule="auto" w:before="0" w:after="0"/>
            </w:pPr>
            <w:r/>
            <w:r>
              <w:rPr>
                <w:rFonts w:ascii="Figtree" w:hAnsi="Figtree"/>
                <w:b w:val="0"/>
                <w:i w:val="0"/>
                <w:sz w:val="20"/>
              </w:rPr>
              <w:t>Secret manager / KMS</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val="0"/>
                <w:i w:val="0"/>
                <w:sz w:val="20"/>
              </w:rPr>
              <w:t>Monitoring (Grafana Cloud or equivalent)</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(production only)</w:t>
            </w:r>
          </w:p>
        </w:tc>
        <w:tc>
          <w:tcPr>
            <w:tcW w:type="dxa" w:w="4873"/>
            <w:vAlign w:val="center"/>
          </w:tcPr>
          <w:p>
            <w:pPr>
              <w:spacing w:line="276" w:lineRule="auto" w:before="0" w:after="0"/>
            </w:pPr>
            <w:r/>
            <w:r>
              <w:rPr>
                <w:rFonts w:ascii="Figtree" w:hAnsi="Figtree"/>
                <w:b/>
                <w:i w:val="0"/>
                <w:sz w:val="20"/>
              </w:rPr>
              <w:t>USD 4,400-9,500/month</w:t>
            </w:r>
          </w:p>
        </w:tc>
      </w:tr>
    </w:tbl>
    <w:p>
      <w:pPr>
        <w:spacing w:before="0" w:after="0" w:line="120" w:lineRule="exact"/>
      </w:pPr>
    </w:p>
    <w:p>
      <w:r>
        <w:rPr>
          <w:rFonts w:ascii="Figtree" w:hAnsi="Figtree"/>
          <w:b w:val="0"/>
          <w:i w:val="0"/>
          <w:sz w:val="22"/>
        </w:rPr>
        <w:t>&gt; Infrastructure costs are HDFC Bank's own cloud spend and are not marked up by SettleMint. These figures are indicative and depend on instance sizing and cloud provider agreements.</w:t>
      </w:r>
    </w:p>
    <w:p>
      <w:r>
        <w:br w:type="page"/>
      </w:r>
    </w:p>
    <w:p>
      <w:pPr>
        <w:pStyle w:val="H2"/>
        <w:numPr>
          <w:ilvl w:val="1"/>
          <w:numId w:val="1"/>
        </w:numPr>
      </w:pPr>
      <w:r>
        <w:t>Payment Terms and Conditions</w:t>
      </w:r>
    </w:p>
    <w:p>
      <w:pPr>
        <w:pStyle w:val="H3"/>
        <w:numPr>
          <w:ilvl w:val="2"/>
          <w:numId w:val="1"/>
        </w:numPr>
      </w:pPr>
      <w:r>
        <w:t>Platform License Payment</w:t>
      </w:r>
    </w:p>
    <w:p>
      <w:pPr>
        <w:pStyle w:val="ListParagraph"/>
        <w:numPr>
          <w:ilvl w:val="0"/>
          <w:numId w:val="4"/>
        </w:numPr>
      </w:pPr>
      <w:r>
        <w:rPr>
          <w:rFonts w:ascii="Figtree" w:hAnsi="Figtree"/>
          <w:b w:val="0"/>
          <w:i w:val="0"/>
          <w:sz w:val="22"/>
        </w:rPr>
        <w:t xml:space="preserve">Platform license fees are invoiced </w:t>
      </w:r>
      <w:r>
        <w:rPr>
          <w:rFonts w:ascii="Figtree" w:hAnsi="Figtree"/>
          <w:b/>
          <w:i w:val="0"/>
          <w:sz w:val="22"/>
        </w:rPr>
        <w:t>annually, upfront</w:t>
      </w:r>
      <w:r>
        <w:rPr>
          <w:rFonts w:ascii="Figtree" w:hAnsi="Figtree"/>
          <w:b w:val="0"/>
          <w:i w:val="0"/>
          <w:sz w:val="22"/>
        </w:rPr>
        <w:t xml:space="preserve"> at the start of each license year.</w:t>
      </w:r>
    </w:p>
    <w:p>
      <w:pPr>
        <w:pStyle w:val="ListParagraph"/>
        <w:numPr>
          <w:ilvl w:val="0"/>
          <w:numId w:val="4"/>
        </w:numPr>
      </w:pPr>
      <w:r>
        <w:rPr>
          <w:rFonts w:ascii="Figtree" w:hAnsi="Figtree"/>
          <w:b w:val="0"/>
          <w:i w:val="0"/>
          <w:sz w:val="22"/>
        </w:rPr>
        <w:t>Invoice is due net 30 days from invoice date.</w:t>
      </w:r>
    </w:p>
    <w:p>
      <w:pPr>
        <w:pStyle w:val="ListParagraph"/>
        <w:numPr>
          <w:ilvl w:val="0"/>
          <w:numId w:val="4"/>
        </w:numPr>
      </w:pPr>
      <w:r>
        <w:rPr>
          <w:rFonts w:ascii="Figtree" w:hAnsi="Figtree"/>
          <w:b w:val="0"/>
          <w:i w:val="0"/>
          <w:sz w:val="22"/>
        </w:rPr>
        <w:t>The first license year begins on the date the production environment is handed over to HDFC Bank operations.</w:t>
      </w:r>
    </w:p>
    <w:p>
      <w:pPr>
        <w:pStyle w:val="ListParagraph"/>
        <w:numPr>
          <w:ilvl w:val="0"/>
          <w:numId w:val="4"/>
        </w:numPr>
      </w:pPr>
      <w:r>
        <w:rPr>
          <w:rFonts w:ascii="Figtree" w:hAnsi="Figtree"/>
          <w:b w:val="0"/>
          <w:i w:val="0"/>
          <w:sz w:val="22"/>
        </w:rPr>
        <w:t>For the development and staging environments (provisioned earlier in the implementation), a pro-rated license fee applies from provisioning date to the production go-live date, after which the full annual fee applies.</w:t>
      </w:r>
    </w:p>
    <w:p>
      <w:pPr>
        <w:pStyle w:val="H3"/>
        <w:numPr>
          <w:ilvl w:val="2"/>
          <w:numId w:val="1"/>
        </w:numPr>
      </w:pPr>
      <w:r>
        <w:t>Implementation Services Payment</w:t>
      </w:r>
    </w:p>
    <w:p>
      <w:pPr>
        <w:pStyle w:val="ListParagraph"/>
        <w:numPr>
          <w:ilvl w:val="0"/>
          <w:numId w:val="4"/>
        </w:numPr>
      </w:pPr>
      <w:r>
        <w:rPr>
          <w:rFonts w:ascii="Figtree" w:hAnsi="Figtree"/>
          <w:b w:val="0"/>
          <w:i w:val="0"/>
          <w:sz w:val="22"/>
        </w:rPr>
        <w:t>Implementation services are invoiced against defined delivery milestones.</w:t>
      </w:r>
    </w:p>
    <w:p>
      <w:pPr>
        <w:pStyle w:val="ListParagraph"/>
        <w:numPr>
          <w:ilvl w:val="0"/>
          <w:numId w:val="4"/>
        </w:numPr>
      </w:pPr>
      <w:r>
        <w:rPr>
          <w:rFonts w:ascii="Figtree" w:hAnsi="Figtree"/>
          <w:b w:val="0"/>
          <w:i w:val="0"/>
          <w:sz w:val="22"/>
        </w:rPr>
        <w:t>Standard milestone schedule: 25% at contract signature, 25% at Phase 2 completion (environments live), 25% at Phase 4 completion (UAT sign-off), 25% at production go-live.</w:t>
      </w:r>
    </w:p>
    <w:p>
      <w:pPr>
        <w:pStyle w:val="ListParagraph"/>
        <w:numPr>
          <w:ilvl w:val="0"/>
          <w:numId w:val="4"/>
        </w:numPr>
      </w:pPr>
      <w:r>
        <w:rPr>
          <w:rFonts w:ascii="Figtree" w:hAnsi="Figtree"/>
          <w:b w:val="0"/>
          <w:i w:val="0"/>
          <w:sz w:val="22"/>
        </w:rPr>
        <w:t>Alternative milestone schedules available by agreement.</w:t>
      </w:r>
    </w:p>
    <w:p>
      <w:pPr>
        <w:pStyle w:val="ListParagraph"/>
        <w:numPr>
          <w:ilvl w:val="0"/>
          <w:numId w:val="4"/>
        </w:numPr>
      </w:pPr>
      <w:r>
        <w:rPr>
          <w:rFonts w:ascii="Figtree" w:hAnsi="Figtree"/>
          <w:b w:val="0"/>
          <w:i w:val="0"/>
          <w:sz w:val="22"/>
        </w:rPr>
        <w:t>Payment is due net 30 days from invoice date and milestone acceptance.</w:t>
      </w:r>
    </w:p>
    <w:p>
      <w:pPr>
        <w:pStyle w:val="H3"/>
        <w:numPr>
          <w:ilvl w:val="2"/>
          <w:numId w:val="1"/>
        </w:numPr>
      </w:pPr>
      <w:r>
        <w:t>Support and Maintenance Payment</w:t>
      </w:r>
    </w:p>
    <w:p>
      <w:pPr>
        <w:pStyle w:val="ListParagraph"/>
        <w:numPr>
          <w:ilvl w:val="0"/>
          <w:numId w:val="4"/>
        </w:numPr>
      </w:pPr>
      <w:r>
        <w:rPr>
          <w:rFonts w:ascii="Figtree" w:hAnsi="Figtree"/>
          <w:b w:val="0"/>
          <w:i w:val="0"/>
          <w:sz w:val="22"/>
        </w:rPr>
        <w:t>Annual support fees are invoiced at the start of each support year.</w:t>
      </w:r>
    </w:p>
    <w:p>
      <w:pPr>
        <w:pStyle w:val="ListParagraph"/>
        <w:numPr>
          <w:ilvl w:val="0"/>
          <w:numId w:val="4"/>
        </w:numPr>
      </w:pPr>
      <w:r>
        <w:rPr>
          <w:rFonts w:ascii="Figtree" w:hAnsi="Figtree"/>
          <w:b w:val="0"/>
          <w:i w:val="0"/>
          <w:sz w:val="22"/>
        </w:rPr>
        <w:t>The first support year is co-terminus with the first platform license year.</w:t>
      </w:r>
    </w:p>
    <w:p>
      <w:pPr>
        <w:pStyle w:val="ListParagraph"/>
        <w:numPr>
          <w:ilvl w:val="0"/>
          <w:numId w:val="4"/>
        </w:numPr>
      </w:pPr>
      <w:r>
        <w:rPr>
          <w:rFonts w:ascii="Figtree" w:hAnsi="Figtree"/>
          <w:b w:val="0"/>
          <w:i w:val="0"/>
          <w:sz w:val="22"/>
        </w:rPr>
        <w:t>Payment is due net 30 days from invoice date.</w:t>
      </w:r>
    </w:p>
    <w:p>
      <w:pPr>
        <w:pStyle w:val="H3"/>
        <w:numPr>
          <w:ilvl w:val="2"/>
          <w:numId w:val="1"/>
        </w:numPr>
      </w:pPr>
      <w:r>
        <w:t>Currency</w:t>
      </w:r>
    </w:p>
    <w:p>
      <w:pPr>
        <w:pStyle w:val="ListParagraph"/>
        <w:numPr>
          <w:ilvl w:val="0"/>
          <w:numId w:val="4"/>
        </w:numPr>
      </w:pPr>
      <w:r>
        <w:rPr>
          <w:rFonts w:ascii="Figtree" w:hAnsi="Figtree"/>
          <w:b w:val="0"/>
          <w:i w:val="0"/>
          <w:sz w:val="22"/>
        </w:rPr>
        <w:t>All platform license fees are invoiced in EUR.</w:t>
      </w:r>
    </w:p>
    <w:p>
      <w:pPr>
        <w:pStyle w:val="ListParagraph"/>
        <w:numPr>
          <w:ilvl w:val="0"/>
          <w:numId w:val="4"/>
        </w:numPr>
      </w:pPr>
      <w:r>
        <w:rPr>
          <w:rFonts w:ascii="Figtree" w:hAnsi="Figtree"/>
          <w:b w:val="0"/>
          <w:i w:val="0"/>
          <w:sz w:val="22"/>
        </w:rPr>
        <w:t>Implementation services can be invoiced in EUR, USD, SGD, or GBP by agreement.</w:t>
      </w:r>
    </w:p>
    <w:p>
      <w:pPr>
        <w:pStyle w:val="ListParagraph"/>
        <w:numPr>
          <w:ilvl w:val="0"/>
          <w:numId w:val="4"/>
        </w:numPr>
      </w:pPr>
      <w:r>
        <w:rPr>
          <w:rFonts w:ascii="Figtree" w:hAnsi="Figtree"/>
          <w:b w:val="0"/>
          <w:i w:val="0"/>
          <w:sz w:val="22"/>
        </w:rPr>
        <w:t>INR-denominated invoicing is available for entities incorporated in India, subject to applicable tax treatment.</w:t>
      </w:r>
    </w:p>
    <w:p>
      <w:r>
        <w:br w:type="page"/>
      </w:r>
    </w:p>
    <w:p>
      <w:pPr>
        <w:pStyle w:val="H2"/>
        <w:numPr>
          <w:ilvl w:val="1"/>
          <w:numId w:val="1"/>
        </w:numPr>
      </w:pPr>
      <w:r>
        <w:t>Value Analysis and ROI</w:t>
      </w:r>
    </w:p>
    <w:p>
      <w:pPr>
        <w:pStyle w:val="H3"/>
        <w:numPr>
          <w:ilvl w:val="2"/>
          <w:numId w:val="1"/>
        </w:numPr>
      </w:pPr>
      <w:r>
        <w:t>Business Value Framework</w:t>
      </w:r>
    </w:p>
    <w:p>
      <w:r>
        <w:rPr>
          <w:rFonts w:ascii="Figtree" w:hAnsi="Figtree"/>
          <w:b w:val="0"/>
          <w:i w:val="0"/>
          <w:sz w:val="22"/>
        </w:rPr>
        <w:t>HDFC Bank's investment in DALP generates value across four dimensions:</w:t>
      </w:r>
    </w:p>
    <w:p>
      <w:r>
        <w:rPr>
          <w:rFonts w:ascii="Figtree" w:hAnsi="Figtree"/>
          <w:b/>
          <w:i w:val="0"/>
          <w:sz w:val="22"/>
        </w:rPr>
        <w:t>1. Operational Efficiency.</w:t>
      </w:r>
      <w:r>
        <w:rPr>
          <w:rFonts w:ascii="Figtree" w:hAnsi="Figtree"/>
          <w:b w:val="0"/>
          <w:i w:val="0"/>
          <w:sz w:val="22"/>
        </w:rPr>
        <w:t xml:space="preserve"> Tokenized fixed income eliminates manual reconciliation across multiple legacy systems, reduces settlement times from T+2 to T+0, and automates corporate action processing. Based on comparable deployments, institutions capture 60-80% reduction in settlement operations headcount for digitized instrument types.</w:t>
      </w:r>
    </w:p>
    <w:p>
      <w:r>
        <w:rPr>
          <w:rFonts w:ascii="Figtree" w:hAnsi="Figtree"/>
          <w:b/>
          <w:i w:val="0"/>
          <w:sz w:val="22"/>
        </w:rPr>
        <w:t>2. Regulatory Risk Reduction.</w:t>
      </w:r>
      <w:r>
        <w:rPr>
          <w:rFonts w:ascii="Figtree" w:hAnsi="Figtree"/>
          <w:b w:val="0"/>
          <w:i w:val="0"/>
          <w:sz w:val="22"/>
        </w:rPr>
        <w:t xml:space="preserve"> Built-in compliance enforcement at the smart contract layer reduces the risk of compliance failures compared to procedural controls. Immutable audit trails reduce examination preparation time and improve regulator confidence. CERT-In cybersecurity controls are structurally enforced rather than process-dependent.</w:t>
      </w:r>
    </w:p>
    <w:p>
      <w:r>
        <w:rPr>
          <w:rFonts w:ascii="Figtree" w:hAnsi="Figtree"/>
          <w:b/>
          <w:i w:val="0"/>
          <w:sz w:val="22"/>
        </w:rPr>
        <w:t>3. Time to Market.</w:t>
      </w:r>
      <w:r>
        <w:rPr>
          <w:rFonts w:ascii="Figtree" w:hAnsi="Figtree"/>
          <w:b w:val="0"/>
          <w:i w:val="0"/>
          <w:sz w:val="22"/>
        </w:rPr>
        <w:t xml:space="preserve"> A 19-week implementation timeline versus 24-36 months for an internally built solution represents a significant competitive advantage. HDFC Bank captures first-mover position in India's institutional tokenized fixed income market 18-24 months ahead of an internal build timeline.</w:t>
      </w:r>
    </w:p>
    <w:p>
      <w:r>
        <w:rPr>
          <w:rFonts w:ascii="Figtree" w:hAnsi="Figtree"/>
          <w:b/>
          <w:i w:val="0"/>
          <w:sz w:val="22"/>
        </w:rPr>
        <w:t>4. Platform Extensibility.</w:t>
      </w:r>
      <w:r>
        <w:rPr>
          <w:rFonts w:ascii="Figtree" w:hAnsi="Figtree"/>
          <w:b w:val="0"/>
          <w:i w:val="0"/>
          <w:sz w:val="22"/>
        </w:rPr>
        <w:t xml:space="preserve"> DALP's architecture supports expansion to additional asset classes (equity, funds, deposits, stablecoins) and additional markets (GIFT City expansion, international DvP connectivity) without re-platforming. The Year 1 investment creates infrastructure that supports a multi-year product expansion roadmap.</w:t>
      </w:r>
    </w:p>
    <w:p>
      <w:pPr>
        <w:pStyle w:val="H3"/>
        <w:numPr>
          <w:ilvl w:val="2"/>
          <w:numId w:val="1"/>
        </w:numPr>
      </w:pPr>
      <w:r>
        <w:t>ROI Indicators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8"/>
        <w:gridCol w:w="4140"/>
        <w:gridCol w:w="29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Impact</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 efficiency</w:t>
            </w:r>
          </w:p>
        </w:tc>
        <w:tc>
          <w:tcPr>
            <w:tcW w:type="dxa" w:w="3249"/>
            <w:vAlign w:val="center"/>
          </w:tcPr>
          <w:p>
            <w:pPr>
              <w:spacing w:line="276" w:lineRule="auto" w:before="0" w:after="0"/>
            </w:pPr>
            <w:r/>
            <w:r>
              <w:rPr>
                <w:rFonts w:ascii="Figtree" w:hAnsi="Figtree"/>
                <w:b w:val="0"/>
                <w:i w:val="0"/>
                <w:sz w:val="20"/>
              </w:rPr>
              <w:t>Industry average: 60-70% headcount reduction for digitized workflows</w:t>
            </w:r>
          </w:p>
        </w:tc>
        <w:tc>
          <w:tcPr>
            <w:tcW w:type="dxa" w:w="3249"/>
            <w:vAlign w:val="center"/>
          </w:tcPr>
          <w:p>
            <w:pPr>
              <w:spacing w:line="276" w:lineRule="auto" w:before="0" w:after="0"/>
            </w:pPr>
            <w:r/>
            <w:r>
              <w:rPr>
                <w:rFonts w:ascii="Figtree" w:hAnsi="Figtree"/>
                <w:b w:val="0"/>
                <w:i w:val="0"/>
                <w:sz w:val="20"/>
              </w:rPr>
              <w:t>Significant multi-year FTE savings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automation</w:t>
            </w:r>
          </w:p>
        </w:tc>
        <w:tc>
          <w:tcPr>
            <w:tcW w:type="dxa" w:w="3249"/>
            <w:vAlign w:val="center"/>
          </w:tcPr>
          <w:p>
            <w:pPr>
              <w:spacing w:line="276" w:lineRule="auto" w:before="0" w:after="0"/>
            </w:pPr>
            <w:r/>
            <w:r>
              <w:rPr>
                <w:rFonts w:ascii="Figtree" w:hAnsi="Figtree"/>
                <w:b w:val="0"/>
                <w:i w:val="0"/>
                <w:sz w:val="20"/>
              </w:rPr>
              <w:t>Elimination of manual HDFC Bank-to-NSDL/CDSL reconciliation</w:t>
            </w:r>
          </w:p>
        </w:tc>
        <w:tc>
          <w:tcPr>
            <w:tcW w:type="dxa" w:w="3249"/>
            <w:vAlign w:val="center"/>
          </w:tcPr>
          <w:p>
            <w:pPr>
              <w:spacing w:line="276" w:lineRule="auto" w:before="0" w:after="0"/>
            </w:pPr>
            <w:r/>
            <w:r>
              <w:rPr>
                <w:rFonts w:ascii="Figtree" w:hAnsi="Figtree"/>
                <w:b w:val="0"/>
                <w:i w:val="0"/>
                <w:sz w:val="20"/>
              </w:rPr>
              <w:t>2-5 operations FTE equivalent</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 advantage</w:t>
            </w:r>
          </w:p>
        </w:tc>
        <w:tc>
          <w:tcPr>
            <w:tcW w:type="dxa" w:w="3249"/>
            <w:vAlign w:val="center"/>
          </w:tcPr>
          <w:p>
            <w:pPr>
              <w:spacing w:line="276" w:lineRule="auto" w:before="0" w:after="0"/>
            </w:pPr>
            <w:r/>
            <w:r>
              <w:rPr>
                <w:rFonts w:ascii="Figtree" w:hAnsi="Figtree"/>
                <w:b w:val="0"/>
                <w:i w:val="0"/>
                <w:sz w:val="20"/>
              </w:rPr>
              <w:t>18-24 month headstart vs. build</w:t>
            </w:r>
          </w:p>
        </w:tc>
        <w:tc>
          <w:tcPr>
            <w:tcW w:type="dxa" w:w="3249"/>
            <w:vAlign w:val="center"/>
          </w:tcPr>
          <w:p>
            <w:pPr>
              <w:spacing w:line="276" w:lineRule="auto" w:before="0" w:after="0"/>
            </w:pPr>
            <w:r/>
            <w:r>
              <w:rPr>
                <w:rFonts w:ascii="Figtree" w:hAnsi="Figtree"/>
                <w:b w:val="0"/>
                <w:i w:val="0"/>
                <w:sz w:val="20"/>
              </w:rPr>
              <w:t>First-mover revenue on new tokenized product line</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Compliance enforcement structural rather than procedural</w:t>
            </w:r>
          </w:p>
        </w:tc>
        <w:tc>
          <w:tcPr>
            <w:tcW w:type="dxa" w:w="3249"/>
            <w:vAlign w:val="center"/>
          </w:tcPr>
          <w:p>
            <w:pPr>
              <w:spacing w:line="276" w:lineRule="auto" w:before="0" w:after="0"/>
            </w:pPr>
            <w:r/>
            <w:r>
              <w:rPr>
                <w:rFonts w:ascii="Figtree" w:hAnsi="Figtree"/>
                <w:b w:val="0"/>
                <w:i w:val="0"/>
                <w:sz w:val="20"/>
              </w:rPr>
              <w:t>Material risk reduction value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cost savings</w:t>
            </w:r>
          </w:p>
        </w:tc>
        <w:tc>
          <w:tcPr>
            <w:tcW w:type="dxa" w:w="3249"/>
            <w:vAlign w:val="center"/>
          </w:tcPr>
          <w:p>
            <w:pPr>
              <w:spacing w:line="276" w:lineRule="auto" w:before="0" w:after="0"/>
            </w:pPr>
            <w:r/>
            <w:r>
              <w:rPr>
                <w:rFonts w:ascii="Figtree" w:hAnsi="Figtree"/>
                <w:b w:val="0"/>
                <w:i w:val="0"/>
                <w:sz w:val="20"/>
              </w:rPr>
              <w:t>Platform vs. build: 3-year cost difference</w:t>
            </w:r>
          </w:p>
        </w:tc>
        <w:tc>
          <w:tcPr>
            <w:tcW w:type="dxa" w:w="3249"/>
            <w:vAlign w:val="center"/>
          </w:tcPr>
          <w:p>
            <w:pPr>
              <w:spacing w:line="276" w:lineRule="auto" w:before="0" w:after="0"/>
            </w:pPr>
            <w:r/>
            <w:r>
              <w:rPr>
                <w:rFonts w:ascii="Figtree" w:hAnsi="Figtree"/>
                <w:b w:val="0"/>
                <w:i w:val="0"/>
                <w:sz w:val="20"/>
              </w:rPr>
              <w:t>€4M-€10M (conservative)</w:t>
            </w:r>
          </w:p>
        </w:tc>
      </w:tr>
    </w:tbl>
    <w:p>
      <w:pPr>
        <w:spacing w:before="0" w:after="0" w:line="120" w:lineRule="exact"/>
      </w:pPr>
    </w:p>
    <w:p>
      <w:pPr>
        <w:pStyle w:val="H3"/>
        <w:numPr>
          <w:ilvl w:val="2"/>
          <w:numId w:val="1"/>
        </w:numPr>
      </w:pPr>
      <w:r>
        <w:t>Reference for ROI Validation</w:t>
      </w:r>
    </w:p>
    <w:p>
      <w:r>
        <w:rPr>
          <w:rFonts w:ascii="Figtree" w:hAnsi="Figtree"/>
          <w:b w:val="0"/>
          <w:i w:val="0"/>
          <w:sz w:val="22"/>
        </w:rPr>
        <w:t>SettleMint is prepared to facilitate reference conversations with existing clients who have completed comparable deployments under NDA. This provides HDFC Bank's evaluation committee with direct evidence of realized operational benefits rather than projected estimates.</w:t>
      </w:r>
    </w:p>
    <w:p>
      <w:r>
        <w:br w:type="page"/>
      </w:r>
    </w:p>
    <w:p>
      <w:pPr>
        <w:pStyle w:val="H2"/>
        <w:numPr>
          <w:ilvl w:val="1"/>
          <w:numId w:val="1"/>
        </w:numPr>
      </w:pPr>
      <w:r>
        <w:t>Contract Framework</w:t>
      </w:r>
    </w:p>
    <w:p>
      <w:pPr>
        <w:pStyle w:val="H3"/>
        <w:numPr>
          <w:ilvl w:val="2"/>
          <w:numId w:val="1"/>
        </w:numPr>
      </w:pPr>
      <w:r>
        <w:t>Contract Structure</w:t>
      </w:r>
    </w:p>
    <w:p>
      <w:r>
        <w:rPr>
          <w:rFonts w:ascii="Figtree" w:hAnsi="Figtree"/>
          <w:b w:val="0"/>
          <w:i w:val="0"/>
          <w:sz w:val="22"/>
        </w:rPr>
        <w:t>The commercial engagement between SettleMint and HDFC Bank is governed by the following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1"/>
        <w:gridCol w:w="5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 (MSA)</w:t>
            </w:r>
          </w:p>
        </w:tc>
        <w:tc>
          <w:tcPr>
            <w:tcW w:type="dxa" w:w="4873"/>
            <w:vAlign w:val="center"/>
          </w:tcPr>
          <w:p>
            <w:pPr>
              <w:spacing w:line="276" w:lineRule="auto" w:before="0" w:after="0"/>
            </w:pPr>
            <w:r/>
            <w:r>
              <w:rPr>
                <w:rFonts w:ascii="Figtree" w:hAnsi="Figtree"/>
                <w:b w:val="0"/>
                <w:i w:val="0"/>
                <w:sz w:val="20"/>
              </w:rPr>
              <w:t>Governing terms, IP ownership, liability, confidentiality</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License scope, permitted use, restrictions, audit rights</w:t>
            </w:r>
          </w:p>
        </w:tc>
      </w:tr>
      <w:tr>
        <w:trPr>
          <w:trHeight w:val="425" w:hRule="atLeast"/>
        </w:trPr>
        <w:tc>
          <w:tcPr>
            <w:tcW w:type="dxa" w:w="4873"/>
            <w:vAlign w:val="center"/>
          </w:tcPr>
          <w:p>
            <w:pPr>
              <w:spacing w:line="276" w:lineRule="auto" w:before="0" w:after="0"/>
            </w:pPr>
            <w:r/>
            <w:r>
              <w:rPr>
                <w:rFonts w:ascii="Figtree" w:hAnsi="Figtree"/>
                <w:b w:val="0"/>
                <w:i w:val="0"/>
                <w:sz w:val="20"/>
              </w:rPr>
              <w:t>Statement of Work (SOW)</w:t>
            </w:r>
          </w:p>
        </w:tc>
        <w:tc>
          <w:tcPr>
            <w:tcW w:type="dxa" w:w="4873"/>
            <w:vAlign w:val="center"/>
          </w:tcPr>
          <w:p>
            <w:pPr>
              <w:spacing w:line="276" w:lineRule="auto" w:before="0" w:after="0"/>
            </w:pPr>
            <w:r/>
            <w:r>
              <w:rPr>
                <w:rFonts w:ascii="Figtree" w:hAnsi="Figtree"/>
                <w:b w:val="0"/>
                <w:i w:val="0"/>
                <w:sz w:val="20"/>
              </w:rPr>
              <w:t>Implementation scope, deliverables, milestones,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Support Agreement</w:t>
            </w:r>
          </w:p>
        </w:tc>
        <w:tc>
          <w:tcPr>
            <w:tcW w:type="dxa" w:w="4873"/>
            <w:vAlign w:val="center"/>
          </w:tcPr>
          <w:p>
            <w:pPr>
              <w:spacing w:line="276" w:lineRule="auto" w:before="0" w:after="0"/>
            </w:pPr>
            <w:r/>
            <w:r>
              <w:rPr>
                <w:rFonts w:ascii="Figtree" w:hAnsi="Figtree"/>
                <w:b w:val="0"/>
                <w:i w:val="0"/>
                <w:sz w:val="20"/>
              </w:rPr>
              <w:t>Support tier, SLA terms, escalation procedures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 (DPA)</w:t>
            </w:r>
          </w:p>
        </w:tc>
        <w:tc>
          <w:tcPr>
            <w:tcW w:type="dxa" w:w="4873"/>
            <w:vAlign w:val="center"/>
          </w:tcPr>
          <w:p>
            <w:pPr>
              <w:spacing w:line="276" w:lineRule="auto" w:before="0" w:after="0"/>
            </w:pPr>
            <w:r/>
            <w:r>
              <w:rPr>
                <w:rFonts w:ascii="Figtree" w:hAnsi="Figtree"/>
                <w:b w:val="0"/>
                <w:i w:val="0"/>
                <w:sz w:val="20"/>
              </w:rPr>
              <w:t>GDPR/data protection obligations where personal data is processed</w:t>
            </w:r>
          </w:p>
        </w:tc>
      </w:tr>
    </w:tbl>
    <w:p>
      <w:pPr>
        <w:spacing w:before="0" w:after="0" w:line="120" w:lineRule="exact"/>
      </w:pPr>
    </w:p>
    <w:p>
      <w:pPr>
        <w:pStyle w:val="H3"/>
        <w:numPr>
          <w:ilvl w:val="2"/>
          <w:numId w:val="1"/>
        </w:numPr>
      </w:pPr>
      <w:r>
        <w:t>IP Ownership</w:t>
      </w:r>
    </w:p>
    <w:p>
      <w:pPr>
        <w:pStyle w:val="ListParagraph"/>
        <w:numPr>
          <w:ilvl w:val="0"/>
          <w:numId w:val="4"/>
        </w:numPr>
      </w:pPr>
      <w:r>
        <w:rPr>
          <w:rFonts w:ascii="Figtree" w:hAnsi="Figtree"/>
          <w:b w:val="0"/>
          <w:i w:val="0"/>
          <w:sz w:val="22"/>
        </w:rPr>
        <w:t>DALP platform software and smart contracts: SettleMint's intellectual property</w:t>
      </w:r>
    </w:p>
    <w:p>
      <w:pPr>
        <w:pStyle w:val="ListParagraph"/>
        <w:numPr>
          <w:ilvl w:val="0"/>
          <w:numId w:val="4"/>
        </w:numPr>
      </w:pPr>
      <w:r>
        <w:rPr>
          <w:rFonts w:ascii="Figtree" w:hAnsi="Figtree"/>
          <w:b w:val="0"/>
          <w:i w:val="0"/>
          <w:sz w:val="22"/>
        </w:rPr>
        <w:t>Client configurations, data, and business logic: HDFC Bank's intellectual property</w:t>
      </w:r>
    </w:p>
    <w:p>
      <w:pPr>
        <w:pStyle w:val="ListParagraph"/>
        <w:numPr>
          <w:ilvl w:val="0"/>
          <w:numId w:val="4"/>
        </w:numPr>
      </w:pPr>
      <w:r>
        <w:rPr>
          <w:rFonts w:ascii="Figtree" w:hAnsi="Figtree"/>
          <w:b w:val="0"/>
          <w:i w:val="0"/>
          <w:sz w:val="22"/>
        </w:rPr>
        <w:t>Integration code developed for HDFC Bank: jointly owned or HDFC Bank-owned by agreement</w:t>
      </w:r>
    </w:p>
    <w:p>
      <w:pPr>
        <w:pStyle w:val="ListParagraph"/>
        <w:numPr>
          <w:ilvl w:val="0"/>
          <w:numId w:val="4"/>
        </w:numPr>
      </w:pPr>
      <w:r>
        <w:rPr>
          <w:rFonts w:ascii="Figtree" w:hAnsi="Figtree"/>
          <w:b w:val="0"/>
          <w:i w:val="0"/>
          <w:sz w:val="22"/>
        </w:rPr>
        <w:t>SettleMint does not claim ownership of HDFC Bank's tokenized instruments or client data</w:t>
      </w:r>
    </w:p>
    <w:p>
      <w:pPr>
        <w:pStyle w:val="H3"/>
        <w:numPr>
          <w:ilvl w:val="2"/>
          <w:numId w:val="1"/>
        </w:numPr>
      </w:pPr>
      <w:r>
        <w:t>Liability and Indemnification</w:t>
      </w:r>
    </w:p>
    <w:p>
      <w:r>
        <w:rPr>
          <w:rFonts w:ascii="Figtree" w:hAnsi="Figtree"/>
          <w:b w:val="0"/>
          <w:i w:val="0"/>
          <w:sz w:val="22"/>
        </w:rPr>
        <w:t>Standard SettleMint MSA terms apply. Key positions:</w:t>
      </w:r>
    </w:p>
    <w:p>
      <w:pPr>
        <w:pStyle w:val="ListParagraph"/>
        <w:numPr>
          <w:ilvl w:val="0"/>
          <w:numId w:val="4"/>
        </w:numPr>
      </w:pPr>
      <w:r>
        <w:rPr>
          <w:rFonts w:ascii="Figtree" w:hAnsi="Figtree"/>
          <w:b w:val="0"/>
          <w:i w:val="0"/>
          <w:sz w:val="22"/>
        </w:rPr>
        <w:t>SettleMint's aggregate liability cap: 12 months of platform license fees paid</w:t>
      </w:r>
    </w:p>
    <w:p>
      <w:pPr>
        <w:pStyle w:val="ListParagraph"/>
        <w:numPr>
          <w:ilvl w:val="0"/>
          <w:numId w:val="4"/>
        </w:numPr>
      </w:pPr>
      <w:r>
        <w:rPr>
          <w:rFonts w:ascii="Figtree" w:hAnsi="Figtree"/>
          <w:b w:val="0"/>
          <w:i w:val="0"/>
          <w:sz w:val="22"/>
        </w:rPr>
        <w:t>Mutual indemnification for IP infringement claims</w:t>
      </w:r>
    </w:p>
    <w:p>
      <w:pPr>
        <w:pStyle w:val="ListParagraph"/>
        <w:numPr>
          <w:ilvl w:val="0"/>
          <w:numId w:val="4"/>
        </w:numPr>
      </w:pPr>
      <w:r>
        <w:rPr>
          <w:rFonts w:ascii="Figtree" w:hAnsi="Figtree"/>
          <w:b w:val="0"/>
          <w:i w:val="0"/>
          <w:sz w:val="22"/>
        </w:rPr>
        <w:t>Indemnification by HDFC Bank for claims arising from HDFC Bank's use of the platform beyond its licensed scope</w:t>
      </w:r>
    </w:p>
    <w:p>
      <w:r>
        <w:rPr>
          <w:rFonts w:ascii="Figtree" w:hAnsi="Figtree"/>
          <w:b w:val="0"/>
          <w:i w:val="0"/>
          <w:sz w:val="22"/>
        </w:rPr>
        <w:t>&gt; Specific liability terms are subject to negotiation during the commercial process.</w:t>
      </w:r>
    </w:p>
    <w:p>
      <w:r>
        <w:br w:type="page"/>
      </w:r>
    </w:p>
    <w:p>
      <w:pPr>
        <w:pStyle w:val="H2"/>
        <w:numPr>
          <w:ilvl w:val="1"/>
          <w:numId w:val="1"/>
        </w:numPr>
      </w:pPr>
      <w:r>
        <w:t>Commercial Assumptions and Exclusions</w:t>
      </w:r>
    </w:p>
    <w:p>
      <w:pPr>
        <w:pStyle w:val="H3"/>
        <w:numPr>
          <w:ilvl w:val="2"/>
          <w:numId w:val="1"/>
        </w:numPr>
      </w:pPr>
      <w:r>
        <w:t>Assumptions</w:t>
      </w:r>
    </w:p>
    <w:p>
      <w:r>
        <w:rPr>
          <w:rFonts w:ascii="Figtree" w:hAnsi="Figtree"/>
          <w:b w:val="0"/>
          <w:i w:val="0"/>
          <w:sz w:val="22"/>
        </w:rPr>
        <w:t>This commercial proposal is based on the following assumptions. Material changes to these assumptions may affect pricing:</w:t>
      </w:r>
    </w:p>
    <w:p>
      <w:pPr>
        <w:pStyle w:val="ListParagraph"/>
        <w:numPr>
          <w:ilvl w:val="0"/>
          <w:numId w:val="7"/>
        </w:numPr>
      </w:pPr>
      <w:r>
        <w:rPr>
          <w:rFonts w:ascii="Figtree" w:hAnsi="Figtree"/>
          <w:b w:val="0"/>
          <w:i w:val="0"/>
          <w:sz w:val="22"/>
        </w:rPr>
        <w:t>HDFC Bank's deployment uses DALP standard contract types (DALPAsset, Bond factory). Custom smart contract development is out of scope.</w:t>
      </w:r>
    </w:p>
    <w:p>
      <w:pPr>
        <w:pStyle w:val="ListParagraph"/>
        <w:numPr>
          <w:ilvl w:val="0"/>
          <w:numId w:val="7"/>
        </w:numPr>
      </w:pPr>
      <w:r>
        <w:rPr>
          <w:rFonts w:ascii="Figtree" w:hAnsi="Figtree"/>
          <w:b w:val="0"/>
          <w:i w:val="0"/>
          <w:sz w:val="22"/>
        </w:rPr>
        <w:t>Integration with HDFC Bank's KYC/AML system uses DALP's standard identity claims API. Custom KYC system integration requiring significant middleware development is treated as an additional integration workstream.</w:t>
      </w:r>
    </w:p>
    <w:p>
      <w:pPr>
        <w:pStyle w:val="ListParagraph"/>
        <w:numPr>
          <w:ilvl w:val="0"/>
          <w:numId w:val="7"/>
        </w:numPr>
      </w:pPr>
      <w:r>
        <w:rPr>
          <w:rFonts w:ascii="Figtree" w:hAnsi="Figtree"/>
          <w:b w:val="0"/>
          <w:i w:val="0"/>
          <w:sz w:val="22"/>
        </w:rPr>
        <w:t>Blockchain network is Hyperledger Besu in permissioned configuration, deployed within HDFC Bank's cloud tenancy. Public network deployment requires additional network configuration assessment.</w:t>
      </w:r>
    </w:p>
    <w:p>
      <w:pPr>
        <w:pStyle w:val="ListParagraph"/>
        <w:numPr>
          <w:ilvl w:val="0"/>
          <w:numId w:val="7"/>
        </w:numPr>
      </w:pPr>
      <w:r>
        <w:rPr>
          <w:rFonts w:ascii="Figtree" w:hAnsi="Figtree"/>
          <w:b w:val="0"/>
          <w:i w:val="0"/>
          <w:sz w:val="22"/>
        </w:rPr>
        <w:t>Infrastructure costs are borne by HDFC Bank and are not included in SettleMint's pricing.</w:t>
      </w:r>
    </w:p>
    <w:p>
      <w:pPr>
        <w:pStyle w:val="ListParagraph"/>
        <w:numPr>
          <w:ilvl w:val="0"/>
          <w:numId w:val="7"/>
        </w:numPr>
      </w:pPr>
      <w:r>
        <w:rPr>
          <w:rFonts w:ascii="Figtree" w:hAnsi="Figtree"/>
          <w:b w:val="0"/>
          <w:i w:val="0"/>
          <w:sz w:val="22"/>
        </w:rPr>
        <w:t>Implementation timeline assumes HDFC Bank stakeholder availability for Phase 1 workshops within 4 weeks of contract execution.</w:t>
      </w:r>
    </w:p>
    <w:p>
      <w:pPr>
        <w:pStyle w:val="ListParagraph"/>
        <w:numPr>
          <w:ilvl w:val="0"/>
          <w:numId w:val="7"/>
        </w:numPr>
      </w:pPr>
      <w:r>
        <w:rPr>
          <w:rFonts w:ascii="Figtree" w:hAnsi="Figtree"/>
          <w:b w:val="0"/>
          <w:i w:val="0"/>
          <w:sz w:val="22"/>
        </w:rPr>
        <w:t>Third-party software licenses (KYC system, HSM software, custody provider agreements) are procured by HDFC Bank independently.</w:t>
      </w:r>
    </w:p>
    <w:p>
      <w:pPr>
        <w:pStyle w:val="H3"/>
        <w:numPr>
          <w:ilvl w:val="2"/>
          <w:numId w:val="1"/>
        </w:numPr>
      </w:pPr>
      <w:r>
        <w:t>Exclusions</w:t>
      </w:r>
    </w:p>
    <w:p>
      <w:r>
        <w:rPr>
          <w:rFonts w:ascii="Figtree" w:hAnsi="Figtree"/>
          <w:b w:val="0"/>
          <w:i w:val="0"/>
          <w:sz w:val="22"/>
        </w:rPr>
        <w:t>The following are explicitly excluded from the scope of this proposal:</w:t>
      </w:r>
    </w:p>
    <w:p>
      <w:pPr>
        <w:pStyle w:val="ListParagraph"/>
        <w:numPr>
          <w:ilvl w:val="0"/>
          <w:numId w:val="4"/>
        </w:numPr>
      </w:pPr>
      <w:r>
        <w:rPr>
          <w:rFonts w:ascii="Figtree" w:hAnsi="Figtree"/>
          <w:b w:val="0"/>
          <w:i w:val="0"/>
          <w:sz w:val="22"/>
        </w:rPr>
        <w:t>Custom blockchain network development or protocol modifications</w:t>
      </w:r>
    </w:p>
    <w:p>
      <w:pPr>
        <w:pStyle w:val="ListParagraph"/>
        <w:numPr>
          <w:ilvl w:val="0"/>
          <w:numId w:val="4"/>
        </w:numPr>
      </w:pPr>
      <w:r>
        <w:rPr>
          <w:rFonts w:ascii="Figtree" w:hAnsi="Figtree"/>
          <w:b w:val="0"/>
          <w:i w:val="0"/>
          <w:sz w:val="22"/>
        </w:rPr>
        <w:t>Custom smart contract features beyond the DALP catalog</w:t>
      </w:r>
    </w:p>
    <w:p>
      <w:pPr>
        <w:pStyle w:val="ListParagraph"/>
        <w:numPr>
          <w:ilvl w:val="0"/>
          <w:numId w:val="4"/>
        </w:numPr>
      </w:pPr>
      <w:r>
        <w:rPr>
          <w:rFonts w:ascii="Figtree" w:hAnsi="Figtree"/>
          <w:b w:val="0"/>
          <w:i w:val="0"/>
          <w:sz w:val="22"/>
        </w:rPr>
        <w:t>Physical security of HDFC Bank's data centers or cloud accounts</w:t>
      </w:r>
    </w:p>
    <w:p>
      <w:pPr>
        <w:pStyle w:val="ListParagraph"/>
        <w:numPr>
          <w:ilvl w:val="0"/>
          <w:numId w:val="4"/>
        </w:numPr>
      </w:pPr>
      <w:r>
        <w:rPr>
          <w:rFonts w:ascii="Figtree" w:hAnsi="Figtree"/>
          <w:b w:val="0"/>
          <w:i w:val="0"/>
          <w:sz w:val="22"/>
        </w:rPr>
        <w:t>Legal advice or regulatory filings (SettleMint provides technical compliance mapping; legal advice is HDFC Bank's responsibility)</w:t>
      </w:r>
    </w:p>
    <w:p>
      <w:pPr>
        <w:pStyle w:val="ListParagraph"/>
        <w:numPr>
          <w:ilvl w:val="0"/>
          <w:numId w:val="4"/>
        </w:numPr>
      </w:pPr>
      <w:r>
        <w:rPr>
          <w:rFonts w:ascii="Figtree" w:hAnsi="Figtree"/>
          <w:b w:val="0"/>
          <w:i w:val="0"/>
          <w:sz w:val="22"/>
        </w:rPr>
        <w:t>Translation of platform documentation into Hindi or regional Indian languages</w:t>
      </w:r>
    </w:p>
    <w:p>
      <w:pPr>
        <w:pStyle w:val="ListParagraph"/>
        <w:numPr>
          <w:ilvl w:val="0"/>
          <w:numId w:val="4"/>
        </w:numPr>
      </w:pPr>
      <w:r>
        <w:rPr>
          <w:rFonts w:ascii="Figtree" w:hAnsi="Figtree"/>
          <w:b w:val="0"/>
          <w:i w:val="0"/>
          <w:sz w:val="22"/>
        </w:rPr>
        <w:t>Integration with systems not identified in the technical proposal (additional integrations are treated as change requests)</w:t>
      </w:r>
    </w:p>
    <w:p>
      <w:pPr>
        <w:pStyle w:val="H3"/>
        <w:numPr>
          <w:ilvl w:val="2"/>
          <w:numId w:val="1"/>
        </w:numPr>
      </w:pPr>
      <w:r>
        <w:t>Change Management</w:t>
      </w:r>
    </w:p>
    <w:p>
      <w:r>
        <w:rPr>
          <w:rFonts w:ascii="Figtree" w:hAnsi="Figtree"/>
          <w:b w:val="0"/>
          <w:i w:val="0"/>
          <w:sz w:val="22"/>
        </w:rPr>
        <w:t>Changes to scope during implementation are managed through a formal change request process:</w:t>
      </w:r>
    </w:p>
    <w:p>
      <w:pPr>
        <w:pStyle w:val="ListParagraph"/>
        <w:numPr>
          <w:ilvl w:val="0"/>
          <w:numId w:val="8"/>
        </w:numPr>
      </w:pPr>
      <w:r>
        <w:rPr>
          <w:rFonts w:ascii="Figtree" w:hAnsi="Figtree"/>
          <w:b w:val="0"/>
          <w:i w:val="0"/>
          <w:sz w:val="22"/>
        </w:rPr>
        <w:t>HDFC Bank submits a written change request describing the proposed change</w:t>
      </w:r>
    </w:p>
    <w:p>
      <w:pPr>
        <w:pStyle w:val="ListParagraph"/>
        <w:numPr>
          <w:ilvl w:val="0"/>
          <w:numId w:val="8"/>
        </w:numPr>
      </w:pPr>
      <w:r>
        <w:rPr>
          <w:rFonts w:ascii="Figtree" w:hAnsi="Figtree"/>
          <w:b w:val="0"/>
          <w:i w:val="0"/>
          <w:sz w:val="22"/>
        </w:rPr>
        <w:t>SettleMint provides a written impact assessment (scope, timeline, cost) within 5 business days</w:t>
      </w:r>
    </w:p>
    <w:p>
      <w:pPr>
        <w:pStyle w:val="ListParagraph"/>
        <w:numPr>
          <w:ilvl w:val="0"/>
          <w:numId w:val="8"/>
        </w:numPr>
      </w:pPr>
      <w:r>
        <w:rPr>
          <w:rFonts w:ascii="Figtree" w:hAnsi="Figtree"/>
          <w:b w:val="0"/>
          <w:i w:val="0"/>
          <w:sz w:val="22"/>
        </w:rPr>
        <w:t>Changes are implemented only upon written approval from authorized representatives of both parties</w:t>
      </w:r>
    </w:p>
    <w:p>
      <w:pPr>
        <w:pStyle w:val="ListParagraph"/>
        <w:numPr>
          <w:ilvl w:val="0"/>
          <w:numId w:val="8"/>
        </w:numPr>
      </w:pPr>
      <w:r>
        <w:rPr>
          <w:rFonts w:ascii="Figtree" w:hAnsi="Figtree"/>
          <w:b w:val="0"/>
          <w:i w:val="0"/>
          <w:sz w:val="22"/>
        </w:rPr>
        <w:t>No change is implemented without written agreement on cost, timeline, and scope impact</w:t>
      </w:r>
    </w:p>
    <w:p>
      <w:r>
        <w:br w:type="page"/>
      </w:r>
    </w:p>
    <w:p>
      <w:r>
        <w:rPr>
          <w:rFonts w:ascii="Figtree" w:hAnsi="Figtree"/>
          <w:b w:val="0"/>
          <w:i/>
          <w:sz w:val="22"/>
        </w:rPr>
        <w:t>This commercial proposal is submitted by SettleMint NV in response to HDFC-BANK-RFP-202603. All pricing reflects SettleMint's current standard rates. Platform license pricing is locked at the stated figures; implementation and support pricing is scoped per engagement. All figures exclude applicable taxes and VAT.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