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Commercial Proposal: Digital Asset Custody Pilot Platform</w:t>
          </w:r>
          <w:r>
            <w:tab/>
          </w:r>
          <w:r>
            <w:t xml:space="preserve">3</w:t>
          </w:r>
        </w:p>
        <w:p>
          <w:pPr>
            <w:pStyle w:val="TOC2"/>
            <w:tabs>
              <w:tab w:val="right" w:leader="dot" w:pos="9072"/>
            </w:tabs>
          </w:pPr>
          <w:r>
            <w:t xml:space="preserve">Table of Contents</w:t>
          </w:r>
          <w:r>
            <w:tab/>
          </w:r>
          <w:r>
            <w:t xml:space="preserve">4</w:t>
          </w:r>
        </w:p>
        <w:p>
          <w:pPr>
            <w:pStyle w:val="TOC2"/>
            <w:tabs>
              <w:tab w:val="right" w:leader="dot" w:pos="9072"/>
            </w:tabs>
          </w:pPr>
          <w:r>
            <w:t xml:space="preserve">1. Executive Summary</w:t>
          </w:r>
          <w:r>
            <w:tab/>
          </w:r>
          <w:r>
            <w:t xml:space="preserve">5</w:t>
          </w:r>
        </w:p>
        <w:p>
          <w:pPr>
            <w:pStyle w:val="TOC2"/>
            <w:tabs>
              <w:tab w:val="right" w:leader="dot" w:pos="9072"/>
            </w:tabs>
          </w:pPr>
          <w:r>
            <w:t xml:space="preserve">2. Investment Rationale</w:t>
          </w:r>
          <w:r>
            <w:tab/>
          </w:r>
          <w:r>
            <w:t xml:space="preserve">6</w:t>
          </w:r>
        </w:p>
        <w:p>
          <w:pPr>
            <w:pStyle w:val="TOC3"/>
            <w:tabs>
              <w:tab w:val="right" w:leader="dot" w:pos="9072"/>
            </w:tabs>
          </w:pPr>
          <w:r>
            <w:t xml:space="preserve">2.1 Cost of Current Approach</w:t>
          </w:r>
          <w:r>
            <w:tab/>
          </w:r>
          <w:r>
            <w:t xml:space="preserve">7</w:t>
          </w:r>
        </w:p>
        <w:p>
          <w:pPr>
            <w:pStyle w:val="TOC3"/>
            <w:tabs>
              <w:tab w:val="right" w:leader="dot" w:pos="9072"/>
            </w:tabs>
          </w:pPr>
          <w:r>
            <w:t xml:space="preserve">2.2 Why DALP Changes the Economics</w:t>
          </w:r>
          <w:r>
            <w:tab/>
          </w:r>
          <w:r>
            <w:t xml:space="preserve">8</w:t>
          </w:r>
        </w:p>
        <w:p>
          <w:pPr>
            <w:pStyle w:val="TOC3"/>
            <w:tabs>
              <w:tab w:val="right" w:leader="dot" w:pos="9072"/>
            </w:tabs>
          </w:pPr>
          <w:r>
            <w:t xml:space="preserve">2.3 ROI Framework</w:t>
          </w:r>
          <w:r>
            <w:tab/>
          </w:r>
          <w:r>
            <w:t xml:space="preserve">9</w:t>
          </w:r>
        </w:p>
        <w:p>
          <w:pPr>
            <w:pStyle w:val="TOC2"/>
            <w:tabs>
              <w:tab w:val="right" w:leader="dot" w:pos="9072"/>
            </w:tabs>
          </w:pPr>
          <w:r>
            <w:t xml:space="preserve">3. Licensing Model</w:t>
          </w:r>
          <w:r>
            <w:tab/>
          </w:r>
          <w:r>
            <w:t xml:space="preserve">10</w:t>
          </w:r>
        </w:p>
        <w:p>
          <w:pPr>
            <w:pStyle w:val="TOC3"/>
            <w:tabs>
              <w:tab w:val="right" w:leader="dot" w:pos="9072"/>
            </w:tabs>
          </w:pPr>
          <w:r>
            <w:t xml:space="preserve">3.1 Philosophy</w:t>
          </w:r>
          <w:r>
            <w:tab/>
          </w:r>
          <w:r>
            <w:t xml:space="preserve">11</w:t>
          </w:r>
        </w:p>
        <w:p>
          <w:pPr>
            <w:pStyle w:val="TOC3"/>
            <w:tabs>
              <w:tab w:val="right" w:leader="dot" w:pos="9072"/>
            </w:tabs>
          </w:pPr>
          <w:r>
            <w:t xml:space="preserve">3.2 What's Included</w:t>
          </w:r>
          <w:r>
            <w:tab/>
          </w:r>
          <w:r>
            <w:t xml:space="preserve">12</w:t>
          </w:r>
        </w:p>
        <w:p>
          <w:pPr>
            <w:pStyle w:val="TOC3"/>
            <w:tabs>
              <w:tab w:val="right" w:leader="dot" w:pos="9072"/>
            </w:tabs>
          </w:pPr>
          <w:r>
            <w:t xml:space="preserve">3.3 Platform Tiers</w:t>
          </w:r>
          <w:r>
            <w:tab/>
          </w:r>
          <w:r>
            <w:t xml:space="preserve">13</w:t>
          </w:r>
        </w:p>
        <w:p>
          <w:pPr>
            <w:pStyle w:val="TOC2"/>
            <w:tabs>
              <w:tab w:val="right" w:leader="dot" w:pos="9072"/>
            </w:tabs>
          </w:pPr>
          <w:r>
            <w:t xml:space="preserve">4. Deployment Options and Pricing</w:t>
          </w:r>
          <w:r>
            <w:tab/>
          </w:r>
          <w:r>
            <w:t xml:space="preserve">14</w:t>
          </w:r>
        </w:p>
        <w:p>
          <w:pPr>
            <w:pStyle w:val="TOC3"/>
            <w:tabs>
              <w:tab w:val="right" w:leader="dot" w:pos="9072"/>
            </w:tabs>
          </w:pPr>
          <w:r>
            <w:t xml:space="preserve">4.1 Recommended: On-Premises within ICBC Data Centres</w:t>
          </w:r>
          <w:r>
            <w:tab/>
          </w:r>
          <w:r>
            <w:t xml:space="preserve">15</w:t>
          </w:r>
        </w:p>
        <w:p>
          <w:pPr>
            <w:pStyle w:val="TOC3"/>
            <w:tabs>
              <w:tab w:val="right" w:leader="dot" w:pos="9072"/>
            </w:tabs>
          </w:pPr>
          <w:r>
            <w:t xml:space="preserve">4.2 Cost Structure</w:t>
          </w:r>
          <w:r>
            <w:tab/>
          </w:r>
          <w:r>
            <w:t xml:space="preserve">16</w:t>
          </w:r>
        </w:p>
        <w:p>
          <w:pPr>
            <w:pStyle w:val="TOC3"/>
            <w:tabs>
              <w:tab w:val="right" w:leader="dot" w:pos="9072"/>
            </w:tabs>
          </w:pPr>
          <w:r>
            <w:t xml:space="preserve">4.3 Cost Drivers</w:t>
          </w:r>
          <w:r>
            <w:tab/>
          </w:r>
          <w:r>
            <w:t xml:space="preserve">17</w:t>
          </w:r>
        </w:p>
        <w:p>
          <w:pPr>
            <w:pStyle w:val="TOC2"/>
            <w:tabs>
              <w:tab w:val="right" w:leader="dot" w:pos="9072"/>
            </w:tabs>
          </w:pPr>
          <w:r>
            <w:t xml:space="preserve">5. Support and SLA Framework</w:t>
          </w:r>
          <w:r>
            <w:tab/>
          </w:r>
          <w:r>
            <w:t xml:space="preserve">18</w:t>
          </w:r>
        </w:p>
        <w:p>
          <w:pPr>
            <w:pStyle w:val="TOC3"/>
            <w:tabs>
              <w:tab w:val="right" w:leader="dot" w:pos="9072"/>
            </w:tabs>
          </w:pPr>
          <w:r>
            <w:t xml:space="preserve">5.1 Enterprise Support Tier</w:t>
          </w:r>
          <w:r>
            <w:tab/>
          </w:r>
          <w:r>
            <w:t xml:space="preserve">19</w:t>
          </w:r>
        </w:p>
        <w:p>
          <w:pPr>
            <w:pStyle w:val="TOC3"/>
            <w:tabs>
              <w:tab w:val="right" w:leader="dot" w:pos="9072"/>
            </w:tabs>
          </w:pPr>
          <w:r>
            <w:t xml:space="preserve">5.2 Severity Definitions</w:t>
          </w:r>
          <w:r>
            <w:tab/>
          </w:r>
          <w:r>
            <w:t xml:space="preserve">20</w:t>
          </w:r>
        </w:p>
        <w:p>
          <w:pPr>
            <w:pStyle w:val="TOC2"/>
            <w:tabs>
              <w:tab w:val="right" w:leader="dot" w:pos="9072"/>
            </w:tabs>
          </w:pPr>
          <w:r>
            <w:t xml:space="preserve">6. Implementation Investment</w:t>
          </w:r>
          <w:r>
            <w:tab/>
          </w:r>
          <w:r>
            <w:t xml:space="preserve">21</w:t>
          </w:r>
        </w:p>
        <w:p>
          <w:pPr>
            <w:pStyle w:val="TOC3"/>
            <w:tabs>
              <w:tab w:val="right" w:leader="dot" w:pos="9072"/>
            </w:tabs>
          </w:pPr>
          <w:r>
            <w:t xml:space="preserve">6.1 Phase Summary</w:t>
          </w:r>
          <w:r>
            <w:tab/>
          </w:r>
          <w:r>
            <w:t xml:space="preserve">22</w:t>
          </w:r>
        </w:p>
        <w:p>
          <w:pPr>
            <w:pStyle w:val="TOC3"/>
            <w:tabs>
              <w:tab w:val="right" w:leader="dot" w:pos="9072"/>
            </w:tabs>
          </w:pPr>
          <w:r>
            <w:t xml:space="preserve">6.2 Pricing Summary</w:t>
          </w:r>
          <w:r>
            <w:tab/>
          </w:r>
          <w:r>
            <w:t xml:space="preserve">23</w:t>
          </w:r>
        </w:p>
        <w:p>
          <w:pPr>
            <w:pStyle w:val="TOC3"/>
            <w:tabs>
              <w:tab w:val="right" w:leader="dot" w:pos="9072"/>
            </w:tabs>
          </w:pPr>
          <w:r>
            <w:t xml:space="preserve">6.3 Accelerators and Risks</w:t>
          </w:r>
          <w:r>
            <w:tab/>
          </w:r>
          <w:r>
            <w:t xml:space="preserve">24</w:t>
          </w:r>
        </w:p>
        <w:p>
          <w:pPr>
            <w:pStyle w:val="TOC3"/>
            <w:tabs>
              <w:tab w:val="right" w:leader="dot" w:pos="9072"/>
            </w:tabs>
          </w:pPr>
          <w:r>
            <w:t xml:space="preserve">6.4 Training</w:t>
          </w:r>
          <w:r>
            <w:tab/>
          </w:r>
          <w:r>
            <w:t xml:space="preserve">25</w:t>
          </w:r>
        </w:p>
        <w:p>
          <w:pPr>
            <w:pStyle w:val="TOC2"/>
            <w:tabs>
              <w:tab w:val="right" w:leader="dot" w:pos="9072"/>
            </w:tabs>
          </w:pPr>
          <w:r>
            <w:t xml:space="preserve">7. Commercial Terms</w:t>
          </w:r>
          <w:r>
            <w:tab/>
          </w:r>
          <w:r>
            <w:t xml:space="preserve">26</w:t>
          </w:r>
        </w:p>
        <w:p>
          <w:pPr>
            <w:pStyle w:val="TOC3"/>
            <w:tabs>
              <w:tab w:val="right" w:leader="dot" w:pos="9072"/>
            </w:tabs>
          </w:pPr>
          <w:r>
            <w:t xml:space="preserve">7.1 Contract Structure</w:t>
          </w:r>
          <w:r>
            <w:tab/>
          </w:r>
          <w:r>
            <w:t xml:space="preserve">27</w:t>
          </w:r>
        </w:p>
        <w:p>
          <w:pPr>
            <w:pStyle w:val="TOC3"/>
            <w:tabs>
              <w:tab w:val="right" w:leader="dot" w:pos="9072"/>
            </w:tabs>
          </w:pPr>
          <w:r>
            <w:t xml:space="preserve">7.2 Payment Schedule</w:t>
          </w:r>
          <w:r>
            <w:tab/>
          </w:r>
          <w:r>
            <w:t xml:space="preserve">28</w:t>
          </w:r>
        </w:p>
        <w:p>
          <w:pPr>
            <w:pStyle w:val="TOC3"/>
            <w:tabs>
              <w:tab w:val="right" w:leader="dot" w:pos="9072"/>
            </w:tabs>
          </w:pPr>
          <w:r>
            <w:t xml:space="preserve">7.3 Duration</w:t>
          </w:r>
          <w:r>
            <w:tab/>
          </w:r>
          <w:r>
            <w:t xml:space="preserve">29</w:t>
          </w:r>
        </w:p>
        <w:p>
          <w:pPr>
            <w:pStyle w:val="TOC3"/>
            <w:tabs>
              <w:tab w:val="right" w:leader="dot" w:pos="9072"/>
            </w:tabs>
          </w:pPr>
          <w:r>
            <w:t xml:space="preserve">7.4 IP Ownership</w:t>
          </w:r>
          <w:r>
            <w:tab/>
          </w:r>
          <w:r>
            <w:t xml:space="preserve">30</w:t>
          </w:r>
        </w:p>
        <w:p>
          <w:pPr>
            <w:pStyle w:val="TOC3"/>
            <w:tabs>
              <w:tab w:val="right" w:leader="dot" w:pos="9072"/>
            </w:tabs>
          </w:pPr>
          <w:r>
            <w:t xml:space="preserve">7.5 Exit and Transition</w:t>
          </w:r>
          <w:r>
            <w:tab/>
          </w:r>
          <w:r>
            <w:t xml:space="preserve">31</w:t>
          </w:r>
        </w:p>
        <w:p>
          <w:pPr>
            <w:pStyle w:val="TOC2"/>
            <w:tabs>
              <w:tab w:val="right" w:leader="dot" w:pos="9072"/>
            </w:tabs>
          </w:pPr>
          <w:r>
            <w:t xml:space="preserve">8. Total Cost of Ownership</w:t>
          </w:r>
          <w:r>
            <w:tab/>
          </w:r>
          <w:r>
            <w:t xml:space="preserve">32</w:t>
          </w:r>
        </w:p>
        <w:p>
          <w:pPr>
            <w:pStyle w:val="TOC3"/>
            <w:tabs>
              <w:tab w:val="right" w:leader="dot" w:pos="9072"/>
            </w:tabs>
          </w:pPr>
          <w:r>
            <w:t xml:space="preserve">8.1 TCO Comparison</w:t>
          </w:r>
          <w:r>
            <w:tab/>
          </w:r>
          <w:r>
            <w:t xml:space="preserve">33</w:t>
          </w:r>
        </w:p>
        <w:p>
          <w:pPr>
            <w:pStyle w:val="TOC3"/>
            <w:tabs>
              <w:tab w:val="right" w:leader="dot" w:pos="9072"/>
            </w:tabs>
          </w:pPr>
          <w:r>
            <w:t xml:space="preserve">8.2 3-Year DALP TCO Model</w:t>
          </w:r>
          <w:r>
            <w:tab/>
          </w:r>
          <w:r>
            <w:t xml:space="preserve">34</w:t>
          </w:r>
        </w:p>
        <w:p>
          <w:pPr>
            <w:pStyle w:val="TOC2"/>
            <w:tabs>
              <w:tab w:val="right" w:leader="dot" w:pos="9072"/>
            </w:tabs>
          </w:pPr>
          <w:r>
            <w:t xml:space="preserve">9. Reference Clients</w:t>
          </w:r>
          <w:r>
            <w:tab/>
          </w:r>
          <w:r>
            <w:t xml:space="preserve">35</w:t>
          </w:r>
        </w:p>
        <w:p>
          <w:pPr>
            <w:pStyle w:val="TOC2"/>
            <w:tabs>
              <w:tab w:val="right" w:leader="dot" w:pos="9072"/>
            </w:tabs>
          </w:pPr>
          <w:r>
            <w:t xml:space="preserve">10. Next Steps</w:t>
          </w:r>
          <w:r>
            <w:tab/>
          </w:r>
          <w:r>
            <w:t xml:space="preserve">36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"Commercial Proposal: Digital Asset Custody Pilot Platform"</w:t>
      </w:r>
    </w:p>
    <w:p>
      <w:r>
        <w:rPr>
          <w:rFonts w:ascii="Figtree" w:hAnsi="Figtree"/>
          <w:b w:val="0"/>
          <w:i w:val="0"/>
          <w:sz w:val="22"/>
        </w:rPr>
        <w:t>client: "ICBC"</w:t>
      </w:r>
    </w:p>
    <w:p>
      <w:r>
        <w:rPr>
          <w:rFonts w:ascii="Figtree" w:hAnsi="Figtree"/>
          <w:b w:val="0"/>
          <w:i w:val="0"/>
          <w:sz w:val="22"/>
        </w:rPr>
        <w:t>reference: "ICBC-RFP-202603"</w:t>
      </w:r>
    </w:p>
    <w:p>
      <w:r>
        <w:rPr>
          <w:rFonts w:ascii="Figtree" w:hAnsi="Figtree"/>
          <w:b w:val="0"/>
          <w:i w:val="0"/>
          <w:sz w:val="22"/>
        </w:rPr>
        <w:t>date: "March 2026"</w:t>
      </w:r>
    </w:p>
    <w:p>
      <w:r>
        <w:rPr>
          <w:rFonts w:ascii="Figtree" w:hAnsi="Figtree"/>
          <w:b w:val="0"/>
          <w:i w:val="0"/>
          <w:sz w:val="22"/>
        </w:rPr>
        <w:t>version: "v1.0 DRAFT"</w:t>
      </w:r>
    </w:p>
    <w:p>
      <w:r>
        <w:rPr>
          <w:rFonts w:ascii="Figtree" w:hAnsi="Figtree"/>
          <w:b w:val="0"/>
          <w:i w:val="0"/>
          <w:sz w:val="22"/>
        </w:rPr>
        <w:t>classification: "Confidential"</w:t>
      </w:r>
    </w:p>
    <w:p>
      <w:r>
        <w:rPr>
          <w:rFonts w:ascii="Figtree" w:hAnsi="Figtree"/>
          <w:b w:val="0"/>
          <w:i w:val="0"/>
          <w:sz w:val="22"/>
        </w:rPr>
        <w:t>prepared_by: "SettleMint"</w:t>
      </w:r>
    </w:p>
    <w:p>
      <w:r>
        <w:br w:type="page"/>
      </w:r>
    </w:p>
    <w:p>
      <w:pPr>
        <w:pStyle w:val="H1"/>
        <w:numPr>
          <w:ilvl w:val="0"/>
          <w:numId w:val="1"/>
        </w:numPr>
      </w:pPr>
      <w:r>
        <w:t>Commercial Proposal: Digital Asset Custody Pilot Platform</w:t>
      </w:r>
    </w:p>
    <w:p>
      <w:r>
        <w:rPr>
          <w:rFonts w:ascii="Figtree" w:hAnsi="Figtree"/>
          <w:b/>
          <w:i w:val="0"/>
          <w:sz w:val="22"/>
        </w:rPr>
        <w:t>Prepared for:</w:t>
      </w:r>
      <w:r>
        <w:rPr>
          <w:rFonts w:ascii="Figtree" w:hAnsi="Figtree"/>
          <w:b w:val="0"/>
          <w:i w:val="0"/>
          <w:sz w:val="22"/>
        </w:rPr>
        <w:t xml:space="preserve"> Industrial and Commercial Bank of China (ICBC)</w:t>
      </w:r>
    </w:p>
    <w:p>
      <w:r>
        <w:rPr>
          <w:rFonts w:ascii="Figtree" w:hAnsi="Figtree"/>
          <w:b/>
          <w:i w:val="0"/>
          <w:sz w:val="22"/>
        </w:rPr>
        <w:t>Reference:</w:t>
      </w:r>
      <w:r>
        <w:rPr>
          <w:rFonts w:ascii="Figtree" w:hAnsi="Figtree"/>
          <w:b w:val="0"/>
          <w:i w:val="0"/>
          <w:sz w:val="22"/>
        </w:rPr>
        <w:t xml:space="preserve"> ICBC-RFP-202603</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v1.0</w:t>
      </w:r>
    </w:p>
    <w:p>
      <w:r>
        <w:rPr>
          <w:rFonts w:ascii="Figtree" w:hAnsi="Figtree"/>
          <w:b/>
          <w:i w:val="0"/>
          <w:sz w:val="22"/>
        </w:rPr>
        <w:t>Classification:</w:t>
      </w:r>
      <w:r>
        <w:rPr>
          <w:rFonts w:ascii="Figtree" w:hAnsi="Figtree"/>
          <w:b w:val="0"/>
          <w:i w:val="0"/>
          <w:sz w:val="22"/>
        </w:rPr>
        <w:t xml:space="preserve"> Strictly Confidential — Invited Bidders Only</w:t>
      </w:r>
    </w:p>
    <w:p>
      <w:r>
        <w:rPr>
          <w:rFonts w:ascii="Figtree" w:hAnsi="Figtree"/>
          <w:b/>
          <w:i w:val="0"/>
          <w:sz w:val="22"/>
        </w:rPr>
        <w:t>Prepared by:</w:t>
      </w:r>
      <w:r>
        <w:rPr>
          <w:rFonts w:ascii="Figtree" w:hAnsi="Figtree"/>
          <w:b w:val="0"/>
          <w:i w:val="0"/>
          <w:sz w:val="22"/>
        </w:rPr>
        <w:t xml:space="preserve"> SettleMint NV</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1. Executive Summary</w:t>
      </w:r>
    </w:p>
    <w:p>
      <w:r>
        <w:rPr>
          <w:rFonts w:ascii="Figtree" w:hAnsi="Figtree"/>
          <w:b w:val="0"/>
          <w:i w:val="0"/>
          <w:sz w:val="22"/>
        </w:rPr>
        <w:t>ICBC's digital asset custody pilot is not just a technology procurement. It is the establishment of an institutional capability that will be scrutinised by CSRC, PBOC, and the broader market as evidence of what regulated digital asset custody in China can look like. The commercial decision is therefore not just about cost. It is about which platform gives ICBC the control, evidence quality, and operational maturity that institutional custody demands.</w:t>
      </w:r>
    </w:p>
    <w:p>
      <w:r>
        <w:rPr>
          <w:rFonts w:ascii="Figtree" w:hAnsi="Figtree"/>
          <w:b w:val="0"/>
          <w:i w:val="0"/>
          <w:sz w:val="22"/>
        </w:rPr>
        <w:t>SettleMint recommends DALP under an Enterprise License with on-premises deployment within ICBC's data centres. The commercial structure:</w:t>
      </w:r>
    </w:p>
    <w:p>
      <w:pPr>
        <w:pStyle w:val="ListParagraph"/>
        <w:numPr>
          <w:ilvl w:val="0"/>
          <w:numId w:val="4"/>
        </w:numPr>
      </w:pPr>
      <w:r>
        <w:rPr>
          <w:rFonts w:ascii="Figtree" w:hAnsi="Figtree"/>
          <w:b/>
          <w:i w:val="0"/>
          <w:sz w:val="22"/>
        </w:rPr>
        <w:t>Annual platform license:</w:t>
      </w:r>
      <w:r>
        <w:rPr>
          <w:rFonts w:ascii="Figtree" w:hAnsi="Figtree"/>
          <w:b w:val="0"/>
          <w:i w:val="0"/>
          <w:sz w:val="22"/>
        </w:rPr>
        <w:t xml:space="preserve"> CNY [VARIABLE] for Enterprise Tier, covering full custody lifecycle capability including the Custodian extension, compliance module system, key management, observability, and API access.</w:t>
      </w:r>
    </w:p>
    <w:p>
      <w:pPr>
        <w:pStyle w:val="ListParagraph"/>
        <w:numPr>
          <w:ilvl w:val="0"/>
          <w:numId w:val="4"/>
        </w:numPr>
      </w:pPr>
      <w:r>
        <w:rPr>
          <w:rFonts w:ascii="Figtree" w:hAnsi="Figtree"/>
          <w:b/>
          <w:i w:val="0"/>
          <w:sz w:val="22"/>
        </w:rPr>
        <w:t>Implementation services:</w:t>
      </w:r>
      <w:r>
        <w:rPr>
          <w:rFonts w:ascii="Figtree" w:hAnsi="Figtree"/>
          <w:b w:val="0"/>
          <w:i w:val="0"/>
          <w:sz w:val="22"/>
        </w:rPr>
        <w:t xml:space="preserve"> CNY [VARIABLE] across 38 weeks, covering all phases from discovery through hypercare.</w:t>
      </w:r>
    </w:p>
    <w:p>
      <w:pPr>
        <w:pStyle w:val="ListParagraph"/>
        <w:numPr>
          <w:ilvl w:val="0"/>
          <w:numId w:val="4"/>
        </w:numPr>
      </w:pPr>
      <w:r>
        <w:rPr>
          <w:rFonts w:ascii="Figtree" w:hAnsi="Figtree"/>
          <w:b/>
          <w:i w:val="0"/>
          <w:sz w:val="22"/>
        </w:rPr>
        <w:t>Enterprise support:</w:t>
      </w:r>
      <w:r>
        <w:rPr>
          <w:rFonts w:ascii="Figtree" w:hAnsi="Figtree"/>
          <w:b w:val="0"/>
          <w:i w:val="0"/>
          <w:sz w:val="22"/>
        </w:rPr>
        <w:t xml:space="preserve"> 24/7 P1 coverage, named TAM and CSM, monthly engineering review.</w:t>
      </w:r>
    </w:p>
    <w:p>
      <w:r>
        <w:rPr>
          <w:rFonts w:ascii="Figtree" w:hAnsi="Figtree"/>
          <w:b/>
          <w:i w:val="0"/>
          <w:sz w:val="22"/>
        </w:rPr>
        <w:t>Commercial decision snapshot: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11"/>
        <w:gridCol w:w="1580"/>
        <w:gridCol w:w="2061"/>
        <w:gridCol w:w="171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Build In-House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Custody Software Assembly</w:t>
            </w:r>
          </w:p>
        </w:tc>
      </w:tr>
      <w:tr>
        <w:trPr>
          <w:trHeight w:val="425" w:hRule="atLeast"/>
        </w:trPr>
        <w:tc>
          <w:tcPr>
            <w:tcW w:type="dxa" w:w="2436"/>
            <w:vAlign w:val="center"/>
          </w:tcPr>
          <w:p>
            <w:pPr>
              <w:spacing w:line="276" w:lineRule="auto" w:before="0" w:after="0"/>
            </w:pPr>
            <w:r/>
            <w:r>
              <w:rPr>
                <w:rFonts w:ascii="Figtree" w:hAnsi="Figtree"/>
                <w:b w:val="0"/>
                <w:i w:val="0"/>
                <w:sz w:val="20"/>
              </w:rPr>
              <w:t>Time to production custody capability</w:t>
            </w:r>
          </w:p>
        </w:tc>
        <w:tc>
          <w:tcPr>
            <w:tcW w:type="dxa" w:w="2436"/>
            <w:vAlign w:val="center"/>
          </w:tcPr>
          <w:p>
            <w:pPr>
              <w:spacing w:line="276" w:lineRule="auto" w:before="0" w:after="0"/>
            </w:pPr>
            <w:r/>
            <w:r>
              <w:rPr>
                <w:rFonts w:ascii="Figtree" w:hAnsi="Figtree"/>
                <w:b w:val="0"/>
                <w:i w:val="0"/>
                <w:sz w:val="20"/>
              </w:rPr>
              <w:t>9-10 months</w:t>
            </w:r>
          </w:p>
        </w:tc>
        <w:tc>
          <w:tcPr>
            <w:tcW w:type="dxa" w:w="2436"/>
            <w:vAlign w:val="center"/>
          </w:tcPr>
          <w:p>
            <w:pPr>
              <w:spacing w:line="276" w:lineRule="auto" w:before="0" w:after="0"/>
            </w:pPr>
            <w:r/>
            <w:r>
              <w:rPr>
                <w:rFonts w:ascii="Figtree" w:hAnsi="Figtree"/>
                <w:b w:val="0"/>
                <w:i w:val="0"/>
                <w:sz w:val="20"/>
              </w:rPr>
              <w:t>24-36 months</w:t>
            </w:r>
          </w:p>
        </w:tc>
        <w:tc>
          <w:tcPr>
            <w:tcW w:type="dxa" w:w="2436"/>
            <w:vAlign w:val="center"/>
          </w:tcPr>
          <w:p>
            <w:pPr>
              <w:spacing w:line="276" w:lineRule="auto" w:before="0" w:after="0"/>
            </w:pPr>
            <w:r/>
            <w:r>
              <w:rPr>
                <w:rFonts w:ascii="Figtree" w:hAnsi="Figtree"/>
                <w:b w:val="0"/>
                <w:i w:val="0"/>
                <w:sz w:val="20"/>
              </w:rPr>
              <w:t>15-20 months</w:t>
            </w:r>
          </w:p>
        </w:tc>
      </w:tr>
      <w:tr>
        <w:trPr>
          <w:trHeight w:val="425" w:hRule="atLeast"/>
        </w:trPr>
        <w:tc>
          <w:tcPr>
            <w:tcW w:type="dxa" w:w="2436"/>
            <w:vAlign w:val="center"/>
          </w:tcPr>
          <w:p>
            <w:pPr>
              <w:spacing w:line="276" w:lineRule="auto" w:before="0" w:after="0"/>
            </w:pPr>
            <w:r/>
            <w:r>
              <w:rPr>
                <w:rFonts w:ascii="Figtree" w:hAnsi="Figtree"/>
                <w:b w:val="0"/>
                <w:i w:val="0"/>
                <w:sz w:val="20"/>
              </w:rPr>
              <w:t>Custodian extension (force transfer, freeze, recovery)</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Custom engineering required</w:t>
            </w:r>
          </w:p>
        </w:tc>
        <w:tc>
          <w:tcPr>
            <w:tcW w:type="dxa" w:w="2436"/>
            <w:vAlign w:val="center"/>
          </w:tcPr>
          <w:p>
            <w:pPr>
              <w:spacing w:line="276" w:lineRule="auto" w:before="0" w:after="0"/>
            </w:pPr>
            <w:r/>
            <w:r>
              <w:rPr>
                <w:rFonts w:ascii="Figtree" w:hAnsi="Figtree"/>
                <w:b w:val="0"/>
                <w:i w:val="0"/>
                <w:sz w:val="20"/>
              </w:rPr>
              <w:t>Depends on components</w:t>
            </w:r>
          </w:p>
        </w:tc>
      </w:tr>
      <w:tr>
        <w:trPr>
          <w:trHeight w:val="425" w:hRule="atLeast"/>
        </w:trPr>
        <w:tc>
          <w:tcPr>
            <w:tcW w:type="dxa" w:w="2436"/>
            <w:vAlign w:val="center"/>
          </w:tcPr>
          <w:p>
            <w:pPr>
              <w:spacing w:line="276" w:lineRule="auto" w:before="0" w:after="0"/>
            </w:pPr>
            <w:r/>
            <w:r>
              <w:rPr>
                <w:rFonts w:ascii="Figtree" w:hAnsi="Figtree"/>
                <w:b w:val="0"/>
                <w:i w:val="0"/>
                <w:sz w:val="20"/>
              </w:rPr>
              <w:t>CSRC-compliant audit evidence</w:t>
            </w:r>
          </w:p>
        </w:tc>
        <w:tc>
          <w:tcPr>
            <w:tcW w:type="dxa" w:w="2436"/>
            <w:vAlign w:val="center"/>
          </w:tcPr>
          <w:p>
            <w:pPr>
              <w:spacing w:line="276" w:lineRule="auto" w:before="0" w:after="0"/>
            </w:pPr>
            <w:r/>
            <w:r>
              <w:rPr>
                <w:rFonts w:ascii="Figtree" w:hAnsi="Figtree"/>
                <w:b w:val="0"/>
                <w:i w:val="0"/>
                <w:sz w:val="20"/>
              </w:rPr>
              <w:t>Automated, built-in</w:t>
            </w:r>
          </w:p>
        </w:tc>
        <w:tc>
          <w:tcPr>
            <w:tcW w:type="dxa" w:w="2436"/>
            <w:vAlign w:val="center"/>
          </w:tcPr>
          <w:p>
            <w:pPr>
              <w:spacing w:line="276" w:lineRule="auto" w:before="0" w:after="0"/>
            </w:pPr>
            <w:r/>
            <w:r>
              <w:rPr>
                <w:rFonts w:ascii="Figtree" w:hAnsi="Figtree"/>
                <w:b w:val="0"/>
                <w:i w:val="0"/>
                <w:sz w:val="20"/>
              </w:rPr>
              <w:t>Custom engineering</w:t>
            </w:r>
          </w:p>
        </w:tc>
        <w:tc>
          <w:tcPr>
            <w:tcW w:type="dxa" w:w="2436"/>
            <w:vAlign w:val="center"/>
          </w:tcPr>
          <w:p>
            <w:pPr>
              <w:spacing w:line="276" w:lineRule="auto" w:before="0" w:after="0"/>
            </w:pPr>
            <w:r/>
            <w:r>
              <w:rPr>
                <w:rFonts w:ascii="Figtree" w:hAnsi="Figtree"/>
                <w:b w:val="0"/>
                <w:i w:val="0"/>
                <w:sz w:val="20"/>
              </w:rPr>
              <w:t>Fragmented</w:t>
            </w:r>
          </w:p>
        </w:tc>
      </w:tr>
      <w:tr>
        <w:trPr>
          <w:trHeight w:val="425" w:hRule="atLeast"/>
        </w:trPr>
        <w:tc>
          <w:tcPr>
            <w:tcW w:type="dxa" w:w="2436"/>
            <w:vAlign w:val="center"/>
          </w:tcPr>
          <w:p>
            <w:pPr>
              <w:spacing w:line="276" w:lineRule="auto" w:before="0" w:after="0"/>
            </w:pPr>
            <w:r/>
            <w:r>
              <w:rPr>
                <w:rFonts w:ascii="Figtree" w:hAnsi="Figtree"/>
                <w:b w:val="0"/>
                <w:i w:val="0"/>
                <w:sz w:val="20"/>
              </w:rPr>
              <w:t>Regulatory alignment (PBOC/CSRC/CAC)</w:t>
            </w:r>
          </w:p>
        </w:tc>
        <w:tc>
          <w:tcPr>
            <w:tcW w:type="dxa" w:w="2436"/>
            <w:vAlign w:val="center"/>
          </w:tcPr>
          <w:p>
            <w:pPr>
              <w:spacing w:line="276" w:lineRule="auto" w:before="0" w:after="0"/>
            </w:pPr>
            <w:r/>
            <w:r>
              <w:rPr>
                <w:rFonts w:ascii="Figtree" w:hAnsi="Figtree"/>
                <w:b w:val="0"/>
                <w:i w:val="0"/>
                <w:sz w:val="20"/>
              </w:rPr>
              <w:t>Configurable deployment</w:t>
            </w:r>
          </w:p>
        </w:tc>
        <w:tc>
          <w:tcPr>
            <w:tcW w:type="dxa" w:w="2436"/>
            <w:vAlign w:val="center"/>
          </w:tcPr>
          <w:p>
            <w:pPr>
              <w:spacing w:line="276" w:lineRule="auto" w:before="0" w:after="0"/>
            </w:pPr>
            <w:r/>
            <w:r>
              <w:rPr>
                <w:rFonts w:ascii="Figtree" w:hAnsi="Figtree"/>
                <w:b w:val="0"/>
                <w:i w:val="0"/>
                <w:sz w:val="20"/>
              </w:rPr>
              <w:t>Design burden entirely on ICBC</w:t>
            </w:r>
          </w:p>
        </w:tc>
        <w:tc>
          <w:tcPr>
            <w:tcW w:type="dxa" w:w="2436"/>
            <w:vAlign w:val="center"/>
          </w:tcPr>
          <w:p>
            <w:pPr>
              <w:spacing w:line="276" w:lineRule="auto" w:before="0" w:after="0"/>
            </w:pPr>
            <w:r/>
            <w:r>
              <w:rPr>
                <w:rFonts w:ascii="Figtree" w:hAnsi="Figtree"/>
                <w:b w:val="0"/>
                <w:i w:val="0"/>
                <w:sz w:val="20"/>
              </w:rPr>
              <w:t>Integration burden</w:t>
            </w:r>
          </w:p>
        </w:tc>
      </w:tr>
      <w:tr>
        <w:trPr>
          <w:trHeight w:val="425" w:hRule="atLeast"/>
        </w:trPr>
        <w:tc>
          <w:tcPr>
            <w:tcW w:type="dxa" w:w="2436"/>
            <w:vAlign w:val="center"/>
          </w:tcPr>
          <w:p>
            <w:pPr>
              <w:spacing w:line="276" w:lineRule="auto" w:before="0" w:after="0"/>
            </w:pPr>
            <w:r/>
            <w:r>
              <w:rPr>
                <w:rFonts w:ascii="Figtree" w:hAnsi="Figtree"/>
                <w:b w:val="0"/>
                <w:i w:val="0"/>
                <w:sz w:val="20"/>
              </w:rPr>
              <w:t>Scalability to additional custody programmes</w:t>
            </w:r>
          </w:p>
        </w:tc>
        <w:tc>
          <w:tcPr>
            <w:tcW w:type="dxa" w:w="2436"/>
            <w:vAlign w:val="center"/>
          </w:tcPr>
          <w:p>
            <w:pPr>
              <w:spacing w:line="276" w:lineRule="auto" w:before="0" w:after="0"/>
            </w:pPr>
            <w:r/>
            <w:r>
              <w:rPr>
                <w:rFonts w:ascii="Figtree" w:hAnsi="Figtree"/>
                <w:b w:val="0"/>
                <w:i w:val="0"/>
                <w:sz w:val="20"/>
              </w:rPr>
              <w:t>Configuration only</w:t>
            </w:r>
          </w:p>
        </w:tc>
        <w:tc>
          <w:tcPr>
            <w:tcW w:type="dxa" w:w="2436"/>
            <w:vAlign w:val="center"/>
          </w:tcPr>
          <w:p>
            <w:pPr>
              <w:spacing w:line="276" w:lineRule="auto" w:before="0" w:after="0"/>
            </w:pPr>
            <w:r/>
            <w:r>
              <w:rPr>
                <w:rFonts w:ascii="Figtree" w:hAnsi="Figtree"/>
                <w:b w:val="0"/>
                <w:i w:val="0"/>
                <w:sz w:val="20"/>
              </w:rPr>
              <w:t>Engineering cycles</w:t>
            </w:r>
          </w:p>
        </w:tc>
        <w:tc>
          <w:tcPr>
            <w:tcW w:type="dxa" w:w="2436"/>
            <w:vAlign w:val="center"/>
          </w:tcPr>
          <w:p>
            <w:pPr>
              <w:spacing w:line="276" w:lineRule="auto" w:before="0" w:after="0"/>
            </w:pPr>
            <w:r/>
            <w:r>
              <w:rPr>
                <w:rFonts w:ascii="Figtree" w:hAnsi="Figtree"/>
                <w:b w:val="0"/>
                <w:i w:val="0"/>
                <w:sz w:val="20"/>
              </w:rPr>
              <w:t>Re-procurement</w:t>
            </w:r>
          </w:p>
        </w:tc>
      </w:tr>
    </w:tbl>
    <w:p>
      <w:pPr>
        <w:spacing w:before="0" w:after="0" w:line="120" w:lineRule="exact"/>
      </w:pPr>
    </w:p>
    <w:p>
      <w:pPr>
        <w:pStyle w:val="H2"/>
        <w:numPr>
          <w:ilvl w:val="1"/>
          <w:numId w:val="1"/>
        </w:numPr>
      </w:pPr>
      <w:r>
        <w:t>2. Investment Rationale</w:t>
      </w:r>
    </w:p>
    <w:p>
      <w:pPr>
        <w:pStyle w:val="H3"/>
        <w:numPr>
          <w:ilvl w:val="2"/>
          <w:numId w:val="1"/>
        </w:numPr>
      </w:pPr>
      <w:r>
        <w:t>2.1 Cost of Current Approach</w:t>
      </w:r>
    </w:p>
    <w:p>
      <w:r>
        <w:rPr>
          <w:rFonts w:ascii="Figtree" w:hAnsi="Figtree"/>
          <w:b w:val="0"/>
          <w:i w:val="0"/>
          <w:sz w:val="22"/>
        </w:rPr>
        <w:t>ICBC's current digital asset custody capability (where it exists) relies on manual position tracking, email-based approval chains, and reconciliation processes that scale poorly. The hidden costs include:</w:t>
      </w:r>
    </w:p>
    <w:p>
      <w:pPr>
        <w:pStyle w:val="ListParagraph"/>
        <w:numPr>
          <w:ilvl w:val="0"/>
          <w:numId w:val="4"/>
        </w:numPr>
      </w:pPr>
      <w:r>
        <w:rPr>
          <w:rFonts w:ascii="Figtree" w:hAnsi="Figtree"/>
          <w:b w:val="0"/>
          <w:i w:val="0"/>
          <w:sz w:val="22"/>
        </w:rPr>
        <w:t>Dedicated reconciliation and operations FTE who manually verify custody positions against source systems</w:t>
      </w:r>
    </w:p>
    <w:p>
      <w:pPr>
        <w:pStyle w:val="ListParagraph"/>
        <w:numPr>
          <w:ilvl w:val="0"/>
          <w:numId w:val="4"/>
        </w:numPr>
      </w:pPr>
      <w:r>
        <w:rPr>
          <w:rFonts w:ascii="Figtree" w:hAnsi="Figtree"/>
          <w:b w:val="0"/>
          <w:i w:val="0"/>
          <w:sz w:val="22"/>
        </w:rPr>
        <w:t>Compliance evidence assembly that requires manual review of multiple systems when CSRC or internal audit request documentation</w:t>
      </w:r>
    </w:p>
    <w:p>
      <w:pPr>
        <w:pStyle w:val="ListParagraph"/>
        <w:numPr>
          <w:ilvl w:val="0"/>
          <w:numId w:val="4"/>
        </w:numPr>
      </w:pPr>
      <w:r>
        <w:rPr>
          <w:rFonts w:ascii="Figtree" w:hAnsi="Figtree"/>
          <w:b w:val="0"/>
          <w:i w:val="0"/>
          <w:sz w:val="22"/>
        </w:rPr>
        <w:t>Key management processes that depend on individual expertise rather than systematic HSM-enforced policies</w:t>
      </w:r>
    </w:p>
    <w:p>
      <w:pPr>
        <w:pStyle w:val="ListParagraph"/>
        <w:numPr>
          <w:ilvl w:val="0"/>
          <w:numId w:val="4"/>
        </w:numPr>
      </w:pPr>
      <w:r>
        <w:rPr>
          <w:rFonts w:ascii="Figtree" w:hAnsi="Figtree"/>
          <w:b w:val="0"/>
          <w:i w:val="0"/>
          <w:sz w:val="22"/>
        </w:rPr>
        <w:t>Absence of a reusable custody architecture means every new digital asset programme requires a new design cycle</w:t>
      </w:r>
    </w:p>
    <w:p>
      <w:pPr>
        <w:pStyle w:val="H3"/>
        <w:numPr>
          <w:ilvl w:val="2"/>
          <w:numId w:val="1"/>
        </w:numPr>
      </w:pPr>
      <w:r>
        <w:t>2.2 Why DALP Changes the Economics</w:t>
      </w:r>
    </w:p>
    <w:p>
      <w:r>
        <w:rPr>
          <w:rFonts w:ascii="Figtree" w:hAnsi="Figtree"/>
          <w:b w:val="0"/>
          <w:i w:val="0"/>
          <w:sz w:val="22"/>
        </w:rPr>
        <w:t>DALP eliminates the manual reconciliation burden by maintaining a Chain-Indexer-backed position ledger that reconciles continuously. Compliance evidence is generated automatically as a by-product of operations. Custodian operations (freeze, forced transfer, recovery) are platform capabilities rather than custom engineering projects. New custody programmes launch through configuration rather than fresh engineering cycles.</w:t>
      </w:r>
    </w:p>
    <w:p>
      <w:pPr>
        <w:pStyle w:val="H3"/>
        <w:numPr>
          <w:ilvl w:val="2"/>
          <w:numId w:val="1"/>
        </w:numPr>
      </w:pPr>
      <w:r>
        <w:t>2.3 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73"/>
        <w:gridCol w:w="1732"/>
        <w:gridCol w:w="1732"/>
        <w:gridCol w:w="173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Conservative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Expected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Upside</w:t>
            </w:r>
          </w:p>
        </w:tc>
      </w:tr>
      <w:tr>
        <w:trPr>
          <w:trHeight w:val="425" w:hRule="atLeast"/>
        </w:trPr>
        <w:tc>
          <w:tcPr>
            <w:tcW w:type="dxa" w:w="2436"/>
            <w:vAlign w:val="center"/>
          </w:tcPr>
          <w:p>
            <w:pPr>
              <w:spacing w:line="276" w:lineRule="auto" w:before="0" w:after="0"/>
            </w:pPr>
            <w:r/>
            <w:r>
              <w:rPr>
                <w:rFonts w:ascii="Figtree" w:hAnsi="Figtree"/>
                <w:b w:val="0"/>
                <w:i w:val="0"/>
                <w:sz w:val="20"/>
              </w:rPr>
              <w:t>Custodian operations automation</w:t>
            </w:r>
          </w:p>
        </w:tc>
        <w:tc>
          <w:tcPr>
            <w:tcW w:type="dxa" w:w="2436"/>
            <w:vAlign w:val="center"/>
          </w:tcPr>
          <w:p>
            <w:pPr>
              <w:spacing w:line="276" w:lineRule="auto" w:before="0" w:after="0"/>
            </w:pPr>
            <w:r/>
            <w:r>
              <w:rPr>
                <w:rFonts w:ascii="Figtree" w:hAnsi="Figtree"/>
                <w:b w:val="0"/>
                <w:i w:val="0"/>
                <w:sz w:val="20"/>
              </w:rPr>
              <w:t>40% FTE reduction</w:t>
            </w:r>
          </w:p>
        </w:tc>
        <w:tc>
          <w:tcPr>
            <w:tcW w:type="dxa" w:w="2436"/>
            <w:vAlign w:val="center"/>
          </w:tcPr>
          <w:p>
            <w:pPr>
              <w:spacing w:line="276" w:lineRule="auto" w:before="0" w:after="0"/>
            </w:pPr>
            <w:r/>
            <w:r>
              <w:rPr>
                <w:rFonts w:ascii="Figtree" w:hAnsi="Figtree"/>
                <w:b w:val="0"/>
                <w:i w:val="0"/>
                <w:sz w:val="20"/>
              </w:rPr>
              <w:t>55% FTE reduction</w:t>
            </w:r>
          </w:p>
        </w:tc>
        <w:tc>
          <w:tcPr>
            <w:tcW w:type="dxa" w:w="2436"/>
            <w:vAlign w:val="center"/>
          </w:tcPr>
          <w:p>
            <w:pPr>
              <w:spacing w:line="276" w:lineRule="auto" w:before="0" w:after="0"/>
            </w:pPr>
            <w:r/>
            <w:r>
              <w:rPr>
                <w:rFonts w:ascii="Figtree" w:hAnsi="Figtree"/>
                <w:b w:val="0"/>
                <w:i w:val="0"/>
                <w:sz w:val="20"/>
              </w:rPr>
              <w:t>70% FTE reduction</w:t>
            </w:r>
          </w:p>
        </w:tc>
      </w:tr>
      <w:tr>
        <w:trPr>
          <w:trHeight w:val="425" w:hRule="atLeast"/>
        </w:trPr>
        <w:tc>
          <w:tcPr>
            <w:tcW w:type="dxa" w:w="2436"/>
            <w:vAlign w:val="center"/>
          </w:tcPr>
          <w:p>
            <w:pPr>
              <w:spacing w:line="276" w:lineRule="auto" w:before="0" w:after="0"/>
            </w:pPr>
            <w:r/>
            <w:r>
              <w:rPr>
                <w:rFonts w:ascii="Figtree" w:hAnsi="Figtree"/>
                <w:b w:val="0"/>
                <w:i w:val="0"/>
                <w:sz w:val="20"/>
              </w:rPr>
              <w:t>Compliance evidence cost reduction</w:t>
            </w:r>
          </w:p>
        </w:tc>
        <w:tc>
          <w:tcPr>
            <w:tcW w:type="dxa" w:w="2436"/>
            <w:vAlign w:val="center"/>
          </w:tcPr>
          <w:p>
            <w:pPr>
              <w:spacing w:line="276" w:lineRule="auto" w:before="0" w:after="0"/>
            </w:pPr>
            <w:r/>
            <w:r>
              <w:rPr>
                <w:rFonts w:ascii="Figtree" w:hAnsi="Figtree"/>
                <w:b w:val="0"/>
                <w:i w:val="0"/>
                <w:sz w:val="20"/>
              </w:rPr>
              <w:t>45%</w:t>
            </w:r>
          </w:p>
        </w:tc>
        <w:tc>
          <w:tcPr>
            <w:tcW w:type="dxa" w:w="2436"/>
            <w:vAlign w:val="center"/>
          </w:tcPr>
          <w:p>
            <w:pPr>
              <w:spacing w:line="276" w:lineRule="auto" w:before="0" w:after="0"/>
            </w:pPr>
            <w:r/>
            <w:r>
              <w:rPr>
                <w:rFonts w:ascii="Figtree" w:hAnsi="Figtree"/>
                <w:b w:val="0"/>
                <w:i w:val="0"/>
                <w:sz w:val="20"/>
              </w:rPr>
              <w:t>60%</w:t>
            </w:r>
          </w:p>
        </w:tc>
        <w:tc>
          <w:tcPr>
            <w:tcW w:type="dxa" w:w="2436"/>
            <w:vAlign w:val="center"/>
          </w:tcPr>
          <w:p>
            <w:pPr>
              <w:spacing w:line="276" w:lineRule="auto" w:before="0" w:after="0"/>
            </w:pPr>
            <w:r/>
            <w:r>
              <w:rPr>
                <w:rFonts w:ascii="Figtree" w:hAnsi="Figtree"/>
                <w:b w:val="0"/>
                <w:i w:val="0"/>
                <w:sz w:val="20"/>
              </w:rPr>
              <w:t>75%</w:t>
            </w:r>
          </w:p>
        </w:tc>
      </w:tr>
      <w:tr>
        <w:trPr>
          <w:trHeight w:val="425" w:hRule="atLeast"/>
        </w:trPr>
        <w:tc>
          <w:tcPr>
            <w:tcW w:type="dxa" w:w="2436"/>
            <w:vAlign w:val="center"/>
          </w:tcPr>
          <w:p>
            <w:pPr>
              <w:spacing w:line="276" w:lineRule="auto" w:before="0" w:after="0"/>
            </w:pPr>
            <w:r/>
            <w:r>
              <w:rPr>
                <w:rFonts w:ascii="Figtree" w:hAnsi="Figtree"/>
                <w:b w:val="0"/>
                <w:i w:val="0"/>
                <w:sz w:val="20"/>
              </w:rPr>
              <w:t>Speed to additional custody programmes</w:t>
            </w:r>
          </w:p>
        </w:tc>
        <w:tc>
          <w:tcPr>
            <w:tcW w:type="dxa" w:w="2436"/>
            <w:vAlign w:val="center"/>
          </w:tcPr>
          <w:p>
            <w:pPr>
              <w:spacing w:line="276" w:lineRule="auto" w:before="0" w:after="0"/>
            </w:pPr>
            <w:r/>
            <w:r>
              <w:rPr>
                <w:rFonts w:ascii="Figtree" w:hAnsi="Figtree"/>
                <w:b w:val="0"/>
                <w:i w:val="0"/>
                <w:sz w:val="20"/>
              </w:rPr>
              <w:t>3 months faster</w:t>
            </w:r>
          </w:p>
        </w:tc>
        <w:tc>
          <w:tcPr>
            <w:tcW w:type="dxa" w:w="2436"/>
            <w:vAlign w:val="center"/>
          </w:tcPr>
          <w:p>
            <w:pPr>
              <w:spacing w:line="276" w:lineRule="auto" w:before="0" w:after="0"/>
            </w:pPr>
            <w:r/>
            <w:r>
              <w:rPr>
                <w:rFonts w:ascii="Figtree" w:hAnsi="Figtree"/>
                <w:b w:val="0"/>
                <w:i w:val="0"/>
                <w:sz w:val="20"/>
              </w:rPr>
              <w:t>5 months faster</w:t>
            </w:r>
          </w:p>
        </w:tc>
        <w:tc>
          <w:tcPr>
            <w:tcW w:type="dxa" w:w="2436"/>
            <w:vAlign w:val="center"/>
          </w:tcPr>
          <w:p>
            <w:pPr>
              <w:spacing w:line="276" w:lineRule="auto" w:before="0" w:after="0"/>
            </w:pPr>
            <w:r/>
            <w:r>
              <w:rPr>
                <w:rFonts w:ascii="Figtree" w:hAnsi="Figtree"/>
                <w:b w:val="0"/>
                <w:i w:val="0"/>
                <w:sz w:val="20"/>
              </w:rPr>
              <w:t>7 months faster</w:t>
            </w:r>
          </w:p>
        </w:tc>
      </w:tr>
      <w:tr>
        <w:trPr>
          <w:trHeight w:val="425" w:hRule="atLeast"/>
        </w:trPr>
        <w:tc>
          <w:tcPr>
            <w:tcW w:type="dxa" w:w="2436"/>
            <w:vAlign w:val="center"/>
          </w:tcPr>
          <w:p>
            <w:pPr>
              <w:spacing w:line="276" w:lineRule="auto" w:before="0" w:after="0"/>
            </w:pPr>
            <w:r/>
            <w:r>
              <w:rPr>
                <w:rFonts w:ascii="Figtree" w:hAnsi="Figtree"/>
                <w:b w:val="0"/>
                <w:i w:val="0"/>
                <w:sz w:val="20"/>
              </w:rPr>
              <w:t>CSRC audit response time</w:t>
            </w:r>
          </w:p>
        </w:tc>
        <w:tc>
          <w:tcPr>
            <w:tcW w:type="dxa" w:w="2436"/>
            <w:vAlign w:val="center"/>
          </w:tcPr>
          <w:p>
            <w:pPr>
              <w:spacing w:line="276" w:lineRule="auto" w:before="0" w:after="0"/>
            </w:pPr>
            <w:r/>
            <w:r>
              <w:rPr>
                <w:rFonts w:ascii="Figtree" w:hAnsi="Figtree"/>
                <w:b w:val="0"/>
                <w:i w:val="0"/>
                <w:sz w:val="20"/>
              </w:rPr>
              <w:t>30% faster</w:t>
            </w:r>
          </w:p>
        </w:tc>
        <w:tc>
          <w:tcPr>
            <w:tcW w:type="dxa" w:w="2436"/>
            <w:vAlign w:val="center"/>
          </w:tcPr>
          <w:p>
            <w:pPr>
              <w:spacing w:line="276" w:lineRule="auto" w:before="0" w:after="0"/>
            </w:pPr>
            <w:r/>
            <w:r>
              <w:rPr>
                <w:rFonts w:ascii="Figtree" w:hAnsi="Figtree"/>
                <w:b w:val="0"/>
                <w:i w:val="0"/>
                <w:sz w:val="20"/>
              </w:rPr>
              <w:t>50% faster</w:t>
            </w:r>
          </w:p>
        </w:tc>
        <w:tc>
          <w:tcPr>
            <w:tcW w:type="dxa" w:w="2436"/>
            <w:vAlign w:val="center"/>
          </w:tcPr>
          <w:p>
            <w:pPr>
              <w:spacing w:line="276" w:lineRule="auto" w:before="0" w:after="0"/>
            </w:pPr>
            <w:r/>
            <w:r>
              <w:rPr>
                <w:rFonts w:ascii="Figtree" w:hAnsi="Figtree"/>
                <w:b w:val="0"/>
                <w:i w:val="0"/>
                <w:sz w:val="20"/>
              </w:rPr>
              <w:t>70% faster</w:t>
            </w:r>
          </w:p>
        </w:tc>
      </w:tr>
    </w:tbl>
    <w:p>
      <w:pPr>
        <w:spacing w:before="0" w:after="0" w:line="120" w:lineRule="exact"/>
      </w:pPr>
    </w:p>
    <w:p>
      <w:r>
        <w:rPr>
          <w:rFonts w:ascii="Figtree" w:hAnsi="Figtree"/>
          <w:b w:val="0"/>
          <w:i w:val="0"/>
          <w:sz w:val="22"/>
        </w:rPr>
        <w:t>All estimates are indicative; validation is required during discovery.</w:t>
      </w:r>
    </w:p>
    <w:p>
      <w:pPr>
        <w:pStyle w:val="H2"/>
        <w:numPr>
          <w:ilvl w:val="1"/>
          <w:numId w:val="1"/>
        </w:numPr>
      </w:pPr>
      <w:r>
        <w:t>3. Licensing Model</w:t>
      </w:r>
    </w:p>
    <w:p>
      <w:pPr>
        <w:pStyle w:val="H3"/>
        <w:numPr>
          <w:ilvl w:val="2"/>
          <w:numId w:val="1"/>
        </w:numPr>
      </w:pPr>
      <w:r>
        <w:t>3.1 Philosophy</w:t>
      </w:r>
    </w:p>
    <w:p>
      <w:r>
        <w:rPr>
          <w:rFonts w:ascii="Figtree" w:hAnsi="Figtree"/>
          <w:b w:val="0"/>
          <w:i w:val="0"/>
          <w:sz w:val="22"/>
        </w:rPr>
        <w:t>Platform-based licensing: fixed annual fee for the full DALP capability set. No per-custody-operation fees. No per-asset-class fees. ICBC's custody volumes and programme expansion do not trigger additional license costs within the agreed scope.</w:t>
      </w:r>
    </w:p>
    <w:p>
      <w:pPr>
        <w:pStyle w:val="H3"/>
        <w:numPr>
          <w:ilvl w:val="2"/>
          <w:numId w:val="1"/>
        </w:numPr>
      </w:pPr>
      <w:r>
        <w:t>3.2 What's Included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686"/>
        <w:gridCol w:w="138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Full custody lifecycle (issuance, transfer, servicing, redemption)</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Custodian extension (force transfer, freeze, recovery, batch)</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Compliance module system (all standard modules)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Key Guardian (software; HSM hardware client-procured)</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OpenAPI 3.1 and TypeScript SDK</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Full observability stack</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Identity registry (OnchainID)</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Asset Console with custody operations UI</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 and security patches</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pPr>
        <w:pStyle w:val="H3"/>
        <w:numPr>
          <w:ilvl w:val="2"/>
          <w:numId w:val="1"/>
        </w:numPr>
      </w:pPr>
      <w:r>
        <w:t>3.3 Platform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96"/>
        <w:gridCol w:w="5184"/>
        <w:gridCol w:w="289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Fit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Recommended</w:t>
            </w:r>
          </w:p>
        </w:tc>
      </w:tr>
      <w:tr>
        <w:trPr>
          <w:trHeight w:val="425" w:hRule="atLeast"/>
        </w:trPr>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Single custody programme, single legal entity</w:t>
            </w:r>
          </w:p>
        </w:tc>
        <w:tc>
          <w:tcPr>
            <w:tcW w:type="dxa" w:w="3249"/>
            <w:vAlign w:val="center"/>
          </w:tcPr>
          <w:p>
            <w:pPr>
              <w:spacing w:line="276" w:lineRule="auto" w:before="0" w:after="0"/>
            </w:pPr>
            <w:r/>
            <w:r>
              <w:rPr>
                <w:rFonts w:ascii="Figtree" w:hAnsi="Figtree"/>
                <w:b w:val="0"/>
                <w:i w:val="0"/>
                <w:sz w:val="20"/>
              </w:rPr>
              <w:t>No</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Multiple custody programmes, multiple asset classes</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Sovereign</w:t>
            </w:r>
          </w:p>
        </w:tc>
        <w:tc>
          <w:tcPr>
            <w:tcW w:type="dxa" w:w="3249"/>
            <w:vAlign w:val="center"/>
          </w:tcPr>
          <w:p>
            <w:pPr>
              <w:spacing w:line="276" w:lineRule="auto" w:before="0" w:after="0"/>
            </w:pPr>
            <w:r/>
            <w:r>
              <w:rPr>
                <w:rFonts w:ascii="Figtree" w:hAnsi="Figtree"/>
                <w:b w:val="0"/>
                <w:i w:val="0"/>
                <w:sz w:val="20"/>
              </w:rPr>
              <w:t>National-scale, central bank or regulatory authority</w:t>
            </w:r>
          </w:p>
        </w:tc>
        <w:tc>
          <w:tcPr>
            <w:tcW w:type="dxa" w:w="3249"/>
            <w:vAlign w:val="center"/>
          </w:tcPr>
          <w:p>
            <w:pPr>
              <w:spacing w:line="276" w:lineRule="auto" w:before="0" w:after="0"/>
            </w:pPr>
            <w:r/>
            <w:r>
              <w:rPr>
                <w:rFonts w:ascii="Figtree" w:hAnsi="Figtree"/>
                <w:b w:val="0"/>
                <w:i w:val="0"/>
                <w:sz w:val="20"/>
              </w:rPr>
              <w:t>Consider for future expansion</w:t>
            </w:r>
          </w:p>
        </w:tc>
      </w:tr>
    </w:tbl>
    <w:p>
      <w:pPr>
        <w:spacing w:before="0" w:after="0" w:line="120" w:lineRule="exact"/>
      </w:pPr>
    </w:p>
    <w:p>
      <w:r>
        <w:rPr>
          <w:rFonts w:ascii="Figtree" w:hAnsi="Figtree"/>
          <w:b/>
          <w:i w:val="0"/>
          <w:sz w:val="22"/>
        </w:rPr>
        <w:t>Recommended for ICBC:</w:t>
      </w:r>
      <w:r>
        <w:rPr>
          <w:rFonts w:ascii="Figtree" w:hAnsi="Figtree"/>
          <w:b w:val="0"/>
          <w:i w:val="0"/>
          <w:sz w:val="22"/>
        </w:rPr>
        <w:t xml:space="preserve"> Enterprise Tier. The pilot scope likely covers multiple asset classes and will expand to additional custody programmes. Enterprise Tier provides the environment count and multi-programme flexibility required without triggering re-procurement at each expansion.</w:t>
      </w:r>
    </w:p>
    <w:p>
      <w:pPr>
        <w:pStyle w:val="H2"/>
        <w:numPr>
          <w:ilvl w:val="1"/>
          <w:numId w:val="1"/>
        </w:numPr>
      </w:pPr>
      <w:r>
        <w:t>4. Deployment Options and Pricing</w:t>
      </w:r>
    </w:p>
    <w:p>
      <w:pPr>
        <w:pStyle w:val="H3"/>
        <w:numPr>
          <w:ilvl w:val="2"/>
          <w:numId w:val="1"/>
        </w:numPr>
      </w:pPr>
      <w:r>
        <w:t>4.1 Recommended: On-Premises within ICBC Data Centres</w:t>
      </w:r>
    </w:p>
    <w:p>
      <w:r>
        <w:rPr>
          <w:rFonts w:ascii="Figtree" w:hAnsi="Figtree"/>
          <w:b w:val="0"/>
          <w:i w:val="0"/>
          <w:sz w:val="22"/>
        </w:rPr>
        <w:t>Given CAC data localisation requirements and PBOC oversight expectations, on-premises deployment within ICBC's data centres is the appropriate model. Private cloud within a Chinese cloud provider is an alternative if ICBC's infrastructure strategy favours cloud.</w:t>
      </w:r>
    </w:p>
    <w:p>
      <w:pPr>
        <w:pStyle w:val="H3"/>
        <w:numPr>
          <w:ilvl w:val="2"/>
          <w:numId w:val="1"/>
        </w:numPr>
      </w:pPr>
      <w:r>
        <w:t>4.2 Cost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60"/>
        <w:gridCol w:w="2057"/>
        <w:gridCol w:w="355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Platform license (Enterprise)</w:t>
            </w:r>
          </w:p>
        </w:tc>
        <w:tc>
          <w:tcPr>
            <w:tcW w:type="dxa" w:w="3249"/>
            <w:vAlign w:val="center"/>
          </w:tcPr>
          <w:p>
            <w:pPr>
              <w:spacing w:line="276" w:lineRule="auto" w:before="0" w:after="0"/>
            </w:pPr>
            <w:r/>
            <w:r>
              <w:rPr>
                <w:rFonts w:ascii="Figtree" w:hAnsi="Figtree"/>
                <w:b w:val="0"/>
                <w:i w:val="0"/>
                <w:sz w:val="20"/>
              </w:rPr>
              <w:t>Recurring annual</w:t>
            </w:r>
          </w:p>
        </w:tc>
        <w:tc>
          <w:tcPr>
            <w:tcW w:type="dxa" w:w="3249"/>
            <w:vAlign w:val="center"/>
          </w:tcPr>
          <w:p>
            <w:pPr>
              <w:spacing w:line="276" w:lineRule="auto" w:before="0" w:after="0"/>
            </w:pPr>
            <w:r/>
            <w:r>
              <w:rPr>
                <w:rFonts w:ascii="Figtree" w:hAnsi="Figtree"/>
                <w:b w:val="0"/>
                <w:i w:val="0"/>
                <w:sz w:val="20"/>
              </w:rPr>
              <w:t>CNY [VARIABLE]</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(ICBC data centre)</w:t>
            </w:r>
          </w:p>
        </w:tc>
        <w:tc>
          <w:tcPr>
            <w:tcW w:type="dxa" w:w="3249"/>
            <w:vAlign w:val="center"/>
          </w:tcPr>
          <w:p>
            <w:pPr>
              <w:spacing w:line="276" w:lineRule="auto" w:before="0" w:after="0"/>
            </w:pPr>
            <w:r/>
            <w:r>
              <w:rPr>
                <w:rFonts w:ascii="Figtree" w:hAnsi="Figtree"/>
                <w:b w:val="0"/>
                <w:i w:val="0"/>
                <w:sz w:val="20"/>
              </w:rPr>
              <w:t>Recurring</w:t>
            </w:r>
          </w:p>
        </w:tc>
        <w:tc>
          <w:tcPr>
            <w:tcW w:type="dxa" w:w="3249"/>
            <w:vAlign w:val="center"/>
          </w:tcPr>
          <w:p>
            <w:pPr>
              <w:spacing w:line="276" w:lineRule="auto" w:before="0" w:after="0"/>
            </w:pPr>
            <w:r/>
            <w:r>
              <w:rPr>
                <w:rFonts w:ascii="Figtree" w:hAnsi="Figtree"/>
                <w:b w:val="0"/>
                <w:i w:val="0"/>
                <w:sz w:val="20"/>
              </w:rPr>
              <w:t>Client-borne; CNY [VARIABLE] estimated</w:t>
            </w:r>
          </w:p>
        </w:tc>
      </w:tr>
      <w:tr>
        <w:trPr>
          <w:trHeight w:val="425" w:hRule="atLeast"/>
        </w:trPr>
        <w:tc>
          <w:tcPr>
            <w:tcW w:type="dxa" w:w="3249"/>
            <w:vAlign w:val="center"/>
          </w:tcPr>
          <w:p>
            <w:pPr>
              <w:spacing w:line="276" w:lineRule="auto" w:before="0" w:after="0"/>
            </w:pPr>
            <w:r/>
            <w:r>
              <w:rPr>
                <w:rFonts w:ascii="Figtree" w:hAnsi="Figtree"/>
                <w:b w:val="0"/>
                <w:i w:val="0"/>
                <w:sz w:val="20"/>
              </w:rPr>
              <w:t>HSM hardware (Thales Luna or nCipher)</w:t>
            </w:r>
          </w:p>
        </w:tc>
        <w:tc>
          <w:tcPr>
            <w:tcW w:type="dxa" w:w="3249"/>
            <w:vAlign w:val="center"/>
          </w:tcPr>
          <w:p>
            <w:pPr>
              <w:spacing w:line="276" w:lineRule="auto" w:before="0" w:after="0"/>
            </w:pPr>
            <w:r/>
            <w:r>
              <w:rPr>
                <w:rFonts w:ascii="Figtree" w:hAnsi="Figtree"/>
                <w:b w:val="0"/>
                <w:i w:val="0"/>
                <w:sz w:val="20"/>
              </w:rPr>
              <w:t>One-time + maintenance</w:t>
            </w:r>
          </w:p>
        </w:tc>
        <w:tc>
          <w:tcPr>
            <w:tcW w:type="dxa" w:w="3249"/>
            <w:vAlign w:val="center"/>
          </w:tcPr>
          <w:p>
            <w:pPr>
              <w:spacing w:line="276" w:lineRule="auto" w:before="0" w:after="0"/>
            </w:pPr>
            <w:r/>
            <w:r>
              <w:rPr>
                <w:rFonts w:ascii="Figtree" w:hAnsi="Figtree"/>
                <w:b w:val="0"/>
                <w:i w:val="0"/>
                <w:sz w:val="20"/>
              </w:rPr>
              <w:t>Client-procured; CNY [VARIABLE]</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One-time</w:t>
            </w:r>
          </w:p>
        </w:tc>
        <w:tc>
          <w:tcPr>
            <w:tcW w:type="dxa" w:w="3249"/>
            <w:vAlign w:val="center"/>
          </w:tcPr>
          <w:p>
            <w:pPr>
              <w:spacing w:line="276" w:lineRule="auto" w:before="0" w:after="0"/>
            </w:pPr>
            <w:r/>
            <w:r>
              <w:rPr>
                <w:rFonts w:ascii="Figtree" w:hAnsi="Figtree"/>
                <w:b w:val="0"/>
                <w:i w:val="0"/>
                <w:sz w:val="20"/>
              </w:rPr>
              <w:t>CNY [VARIABLE: scoped at discovery]</w:t>
            </w:r>
          </w:p>
        </w:tc>
      </w:tr>
      <w:tr>
        <w:trPr>
          <w:trHeight w:val="425" w:hRule="atLeast"/>
        </w:trPr>
        <w:tc>
          <w:tcPr>
            <w:tcW w:type="dxa" w:w="3249"/>
            <w:vAlign w:val="center"/>
          </w:tcPr>
          <w:p>
            <w:pPr>
              <w:spacing w:line="276" w:lineRule="auto" w:before="0" w:after="0"/>
            </w:pPr>
            <w:r/>
            <w:r>
              <w:rPr>
                <w:rFonts w:ascii="Figtree" w:hAnsi="Figtree"/>
                <w:b w:val="0"/>
                <w:i w:val="0"/>
                <w:sz w:val="20"/>
              </w:rPr>
              <w:t>Enterprise support</w:t>
            </w:r>
          </w:p>
        </w:tc>
        <w:tc>
          <w:tcPr>
            <w:tcW w:type="dxa" w:w="3249"/>
            <w:vAlign w:val="center"/>
          </w:tcPr>
          <w:p>
            <w:pPr>
              <w:spacing w:line="276" w:lineRule="auto" w:before="0" w:after="0"/>
            </w:pPr>
            <w:r/>
            <w:r>
              <w:rPr>
                <w:rFonts w:ascii="Figtree" w:hAnsi="Figtree"/>
                <w:b w:val="0"/>
                <w:i w:val="0"/>
                <w:sz w:val="20"/>
              </w:rPr>
              <w:t>Recurring annual</w:t>
            </w:r>
          </w:p>
        </w:tc>
        <w:tc>
          <w:tcPr>
            <w:tcW w:type="dxa" w:w="3249"/>
            <w:vAlign w:val="center"/>
          </w:tcPr>
          <w:p>
            <w:pPr>
              <w:spacing w:line="276" w:lineRule="auto" w:before="0" w:after="0"/>
            </w:pPr>
            <w:r/>
            <w:r>
              <w:rPr>
                <w:rFonts w:ascii="Figtree" w:hAnsi="Figtree"/>
                <w:b w:val="0"/>
                <w:i w:val="0"/>
                <w:sz w:val="20"/>
              </w:rPr>
              <w:t>CNY [VARIABLE]</w:t>
            </w:r>
          </w:p>
        </w:tc>
      </w:tr>
      <w:tr>
        <w:trPr>
          <w:trHeight w:val="425" w:hRule="atLeast"/>
        </w:trPr>
        <w:tc>
          <w:tcPr>
            <w:tcW w:type="dxa" w:w="3249"/>
            <w:vAlign w:val="center"/>
          </w:tcPr>
          <w:p>
            <w:pPr>
              <w:spacing w:line="276" w:lineRule="auto" w:before="0" w:after="0"/>
            </w:pPr>
            <w:r/>
            <w:r>
              <w:rPr>
                <w:rFonts w:ascii="Figtree" w:hAnsi="Figtree"/>
                <w:b w:val="0"/>
                <w:i w:val="0"/>
                <w:sz w:val="20"/>
              </w:rPr>
              <w:t>Training</w:t>
            </w:r>
          </w:p>
        </w:tc>
        <w:tc>
          <w:tcPr>
            <w:tcW w:type="dxa" w:w="3249"/>
            <w:vAlign w:val="center"/>
          </w:tcPr>
          <w:p>
            <w:pPr>
              <w:spacing w:line="276" w:lineRule="auto" w:before="0" w:after="0"/>
            </w:pPr>
            <w:r/>
            <w:r>
              <w:rPr>
                <w:rFonts w:ascii="Figtree" w:hAnsi="Figtree"/>
                <w:b w:val="0"/>
                <w:i w:val="0"/>
                <w:sz w:val="20"/>
              </w:rPr>
              <w:t>One-time</w:t>
            </w:r>
          </w:p>
        </w:tc>
        <w:tc>
          <w:tcPr>
            <w:tcW w:type="dxa" w:w="3249"/>
            <w:vAlign w:val="center"/>
          </w:tcPr>
          <w:p>
            <w:pPr>
              <w:spacing w:line="276" w:lineRule="auto" w:before="0" w:after="0"/>
            </w:pPr>
            <w:r/>
            <w:r>
              <w:rPr>
                <w:rFonts w:ascii="Figtree" w:hAnsi="Figtree"/>
                <w:b w:val="0"/>
                <w:i w:val="0"/>
                <w:sz w:val="20"/>
              </w:rPr>
              <w:t>CNY [VARIABLE]</w:t>
            </w:r>
          </w:p>
        </w:tc>
      </w:tr>
    </w:tbl>
    <w:p>
      <w:pPr>
        <w:spacing w:before="0" w:after="0" w:line="120" w:lineRule="exact"/>
      </w:pPr>
    </w:p>
    <w:p>
      <w:pPr>
        <w:pStyle w:val="H3"/>
        <w:numPr>
          <w:ilvl w:val="2"/>
          <w:numId w:val="1"/>
        </w:numPr>
      </w:pPr>
      <w:r>
        <w:t>4.3 Cost Drivers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62"/>
        <w:gridCol w:w="550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Effect</w:t>
            </w:r>
          </w:p>
        </w:tc>
      </w:tr>
      <w:tr>
        <w:trPr>
          <w:trHeight w:val="425" w:hRule="atLeast"/>
        </w:trPr>
        <w:tc>
          <w:tcPr>
            <w:tcW w:type="dxa" w:w="4873"/>
            <w:vAlign w:val="center"/>
          </w:tcPr>
          <w:p>
            <w:pPr>
              <w:spacing w:line="276" w:lineRule="auto" w:before="0" w:after="0"/>
            </w:pPr>
            <w:r/>
            <w:r>
              <w:rPr>
                <w:rFonts w:ascii="Figtree" w:hAnsi="Figtree"/>
                <w:b w:val="0"/>
                <w:i w:val="0"/>
                <w:sz w:val="20"/>
              </w:rPr>
              <w:t>On-premises HSM setup and configuration</w:t>
            </w:r>
          </w:p>
        </w:tc>
        <w:tc>
          <w:tcPr>
            <w:tcW w:type="dxa" w:w="4873"/>
            <w:vAlign w:val="center"/>
          </w:tcPr>
          <w:p>
            <w:pPr>
              <w:spacing w:line="276" w:lineRule="auto" w:before="0" w:after="0"/>
            </w:pPr>
            <w:r/>
            <w:r>
              <w:rPr>
                <w:rFonts w:ascii="Figtree" w:hAnsi="Figtree"/>
                <w:b w:val="0"/>
                <w:i w:val="0"/>
                <w:sz w:val="20"/>
              </w:rPr>
              <w:t>6-8 week lead time; plan procurement at contract signature</w:t>
            </w:r>
          </w:p>
        </w:tc>
      </w:tr>
      <w:tr>
        <w:trPr>
          <w:trHeight w:val="425" w:hRule="atLeast"/>
        </w:trPr>
        <w:tc>
          <w:tcPr>
            <w:tcW w:type="dxa" w:w="4873"/>
            <w:vAlign w:val="center"/>
          </w:tcPr>
          <w:p>
            <w:pPr>
              <w:spacing w:line="276" w:lineRule="auto" w:before="0" w:after="0"/>
            </w:pPr>
            <w:r/>
            <w:r>
              <w:rPr>
                <w:rFonts w:ascii="Figtree" w:hAnsi="Figtree"/>
                <w:b w:val="0"/>
                <w:i w:val="0"/>
                <w:sz w:val="20"/>
              </w:rPr>
              <w:t>Multiple custody programme scope in pilot</w:t>
            </w:r>
          </w:p>
        </w:tc>
        <w:tc>
          <w:tcPr>
            <w:tcW w:type="dxa" w:w="4873"/>
            <w:vAlign w:val="center"/>
          </w:tcPr>
          <w:p>
            <w:pPr>
              <w:spacing w:line="276" w:lineRule="auto" w:before="0" w:after="0"/>
            </w:pPr>
            <w:r/>
            <w:r>
              <w:rPr>
                <w:rFonts w:ascii="Figtree" w:hAnsi="Figtree"/>
                <w:b w:val="0"/>
                <w:i w:val="0"/>
                <w:sz w:val="20"/>
              </w:rPr>
              <w:t>Wider configuration scope; potentially longer Phase 2</w:t>
            </w:r>
          </w:p>
        </w:tc>
      </w:tr>
      <w:tr>
        <w:trPr>
          <w:trHeight w:val="425" w:hRule="atLeast"/>
        </w:trPr>
        <w:tc>
          <w:tcPr>
            <w:tcW w:type="dxa" w:w="4873"/>
            <w:vAlign w:val="center"/>
          </w:tcPr>
          <w:p>
            <w:pPr>
              <w:spacing w:line="276" w:lineRule="auto" w:before="0" w:after="0"/>
            </w:pPr>
            <w:r/>
            <w:r>
              <w:rPr>
                <w:rFonts w:ascii="Figtree" w:hAnsi="Figtree"/>
                <w:b w:val="0"/>
                <w:i w:val="0"/>
                <w:sz w:val="20"/>
              </w:rPr>
              <w:t>CSRC reporting format complexity</w:t>
            </w:r>
          </w:p>
        </w:tc>
        <w:tc>
          <w:tcPr>
            <w:tcW w:type="dxa" w:w="4873"/>
            <w:vAlign w:val="center"/>
          </w:tcPr>
          <w:p>
            <w:pPr>
              <w:spacing w:line="276" w:lineRule="auto" w:before="0" w:after="0"/>
            </w:pPr>
            <w:r/>
            <w:r>
              <w:rPr>
                <w:rFonts w:ascii="Figtree" w:hAnsi="Figtree"/>
                <w:b w:val="0"/>
                <w:i w:val="0"/>
                <w:sz w:val="20"/>
              </w:rPr>
              <w:t>May add 2-3 weeks to integration phase if non-standard formats required</w:t>
            </w:r>
          </w:p>
        </w:tc>
      </w:tr>
      <w:tr>
        <w:trPr>
          <w:trHeight w:val="425" w:hRule="atLeast"/>
        </w:trPr>
        <w:tc>
          <w:tcPr>
            <w:tcW w:type="dxa" w:w="4873"/>
            <w:vAlign w:val="center"/>
          </w:tcPr>
          <w:p>
            <w:pPr>
              <w:spacing w:line="276" w:lineRule="auto" w:before="0" w:after="0"/>
            </w:pPr>
            <w:r/>
            <w:r>
              <w:rPr>
                <w:rFonts w:ascii="Figtree" w:hAnsi="Figtree"/>
                <w:b w:val="0"/>
                <w:i w:val="0"/>
                <w:sz w:val="20"/>
              </w:rPr>
              <w:t>Large ICBC operations team requiring training</w:t>
            </w:r>
          </w:p>
        </w:tc>
        <w:tc>
          <w:tcPr>
            <w:tcW w:type="dxa" w:w="4873"/>
            <w:vAlign w:val="center"/>
          </w:tcPr>
          <w:p>
            <w:pPr>
              <w:spacing w:line="276" w:lineRule="auto" w:before="0" w:after="0"/>
            </w:pPr>
            <w:r/>
            <w:r>
              <w:rPr>
                <w:rFonts w:ascii="Figtree" w:hAnsi="Figtree"/>
                <w:b w:val="0"/>
                <w:i w:val="0"/>
                <w:sz w:val="20"/>
              </w:rPr>
              <w:t>Increases training investment; train-the-trainer approach recommended</w:t>
            </w:r>
          </w:p>
        </w:tc>
      </w:tr>
    </w:tbl>
    <w:p>
      <w:pPr>
        <w:spacing w:before="0" w:after="0" w:line="120" w:lineRule="exact"/>
      </w:pPr>
    </w:p>
    <w:p>
      <w:pPr>
        <w:pStyle w:val="H2"/>
        <w:numPr>
          <w:ilvl w:val="1"/>
          <w:numId w:val="1"/>
        </w:numPr>
      </w:pPr>
      <w:r>
        <w:t>5. Support and SLA Framework</w:t>
      </w:r>
    </w:p>
    <w:p>
      <w:pPr>
        <w:pStyle w:val="H3"/>
        <w:numPr>
          <w:ilvl w:val="2"/>
          <w:numId w:val="1"/>
        </w:numPr>
      </w:pPr>
      <w:r>
        <w:t>5.1 Enterprise Support Tier</w:t>
      </w:r>
    </w:p>
    <w:p>
      <w:r>
        <w:rPr>
          <w:rFonts w:ascii="Figtree" w:hAnsi="Figtree"/>
          <w:b w:val="0"/>
          <w:i w:val="0"/>
          <w:sz w:val="22"/>
        </w:rPr>
        <w:t>24/7 P1 coverage. P1 response: 15 minutes. P2 response: 1 hour. Named TAM and CSM. Monthly operational review with SettleMint engineering. 99.9% monthly uptime SLA. Service credit mechanics as per MSA.</w:t>
      </w:r>
    </w:p>
    <w:p>
      <w:pPr>
        <w:pStyle w:val="H3"/>
        <w:numPr>
          <w:ilvl w:val="2"/>
          <w:numId w:val="1"/>
        </w:numPr>
      </w:pPr>
      <w:r>
        <w:t>5.2 Severity Definitions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41"/>
        <w:gridCol w:w="743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P1 Critical</w:t>
            </w:r>
          </w:p>
        </w:tc>
        <w:tc>
          <w:tcPr>
            <w:tcW w:type="dxa" w:w="4873"/>
            <w:vAlign w:val="center"/>
          </w:tcPr>
          <w:p>
            <w:pPr>
              <w:spacing w:line="276" w:lineRule="auto" w:before="0" w:after="0"/>
            </w:pPr>
            <w:r/>
            <w:r>
              <w:rPr>
                <w:rFonts w:ascii="Figtree" w:hAnsi="Figtree"/>
                <w:b w:val="0"/>
                <w:i w:val="0"/>
                <w:sz w:val="20"/>
              </w:rPr>
              <w:t>Complete platform outage; all custody operations stopped</w:t>
            </w:r>
          </w:p>
        </w:tc>
      </w:tr>
      <w:tr>
        <w:trPr>
          <w:trHeight w:val="425" w:hRule="atLeast"/>
        </w:trPr>
        <w:tc>
          <w:tcPr>
            <w:tcW w:type="dxa" w:w="4873"/>
            <w:vAlign w:val="center"/>
          </w:tcPr>
          <w:p>
            <w:pPr>
              <w:spacing w:line="276" w:lineRule="auto" w:before="0" w:after="0"/>
            </w:pPr>
            <w:r/>
            <w:r>
              <w:rPr>
                <w:rFonts w:ascii="Figtree" w:hAnsi="Figtree"/>
                <w:b w:val="0"/>
                <w:i w:val="0"/>
                <w:sz w:val="20"/>
              </w:rPr>
              <w:t>P2 High</w:t>
            </w:r>
          </w:p>
        </w:tc>
        <w:tc>
          <w:tcPr>
            <w:tcW w:type="dxa" w:w="4873"/>
            <w:vAlign w:val="center"/>
          </w:tcPr>
          <w:p>
            <w:pPr>
              <w:spacing w:line="276" w:lineRule="auto" w:before="0" w:after="0"/>
            </w:pPr>
            <w:r/>
            <w:r>
              <w:rPr>
                <w:rFonts w:ascii="Figtree" w:hAnsi="Figtree"/>
                <w:b w:val="0"/>
                <w:i w:val="0"/>
                <w:sz w:val="20"/>
              </w:rPr>
              <w:t>Partial outage; specific asset classes or custody operations unavailable</w:t>
            </w:r>
          </w:p>
        </w:tc>
      </w:tr>
      <w:tr>
        <w:trPr>
          <w:trHeight w:val="425" w:hRule="atLeast"/>
        </w:trPr>
        <w:tc>
          <w:tcPr>
            <w:tcW w:type="dxa" w:w="4873"/>
            <w:vAlign w:val="center"/>
          </w:tcPr>
          <w:p>
            <w:pPr>
              <w:spacing w:line="276" w:lineRule="auto" w:before="0" w:after="0"/>
            </w:pPr>
            <w:r/>
            <w:r>
              <w:rPr>
                <w:rFonts w:ascii="Figtree" w:hAnsi="Figtree"/>
                <w:b w:val="0"/>
                <w:i w:val="0"/>
                <w:sz w:val="20"/>
              </w:rPr>
              <w:t>P3 Medium</w:t>
            </w:r>
          </w:p>
        </w:tc>
        <w:tc>
          <w:tcPr>
            <w:tcW w:type="dxa" w:w="4873"/>
            <w:vAlign w:val="center"/>
          </w:tcPr>
          <w:p>
            <w:pPr>
              <w:spacing w:line="276" w:lineRule="auto" w:before="0" w:after="0"/>
            </w:pPr>
            <w:r/>
            <w:r>
              <w:rPr>
                <w:rFonts w:ascii="Figtree" w:hAnsi="Figtree"/>
                <w:b w:val="0"/>
                <w:i w:val="0"/>
                <w:sz w:val="20"/>
              </w:rPr>
              <w:t>Degraded performance; workaround available</w:t>
            </w:r>
          </w:p>
        </w:tc>
      </w:tr>
      <w:tr>
        <w:trPr>
          <w:trHeight w:val="425" w:hRule="atLeast"/>
        </w:trPr>
        <w:tc>
          <w:tcPr>
            <w:tcW w:type="dxa" w:w="4873"/>
            <w:vAlign w:val="center"/>
          </w:tcPr>
          <w:p>
            <w:pPr>
              <w:spacing w:line="276" w:lineRule="auto" w:before="0" w:after="0"/>
            </w:pPr>
            <w:r/>
            <w:r>
              <w:rPr>
                <w:rFonts w:ascii="Figtree" w:hAnsi="Figtree"/>
                <w:b w:val="0"/>
                <w:i w:val="0"/>
                <w:sz w:val="20"/>
              </w:rPr>
              <w:t>P4 Low</w:t>
            </w:r>
          </w:p>
        </w:tc>
        <w:tc>
          <w:tcPr>
            <w:tcW w:type="dxa" w:w="4873"/>
            <w:vAlign w:val="center"/>
          </w:tcPr>
          <w:p>
            <w:pPr>
              <w:spacing w:line="276" w:lineRule="auto" w:before="0" w:after="0"/>
            </w:pPr>
            <w:r/>
            <w:r>
              <w:rPr>
                <w:rFonts w:ascii="Figtree" w:hAnsi="Figtree"/>
                <w:b w:val="0"/>
                <w:i w:val="0"/>
                <w:sz w:val="20"/>
              </w:rPr>
              <w:t>Non-urgent; advisory or documentation request</w:t>
            </w:r>
          </w:p>
        </w:tc>
      </w:tr>
    </w:tbl>
    <w:p>
      <w:pPr>
        <w:spacing w:before="0" w:after="0" w:line="120" w:lineRule="exact"/>
      </w:pPr>
    </w:p>
    <w:p>
      <w:pPr>
        <w:pStyle w:val="H2"/>
        <w:numPr>
          <w:ilvl w:val="1"/>
          <w:numId w:val="1"/>
        </w:numPr>
      </w:pPr>
      <w:r>
        <w:t>6. Implementation Investment</w:t>
      </w:r>
    </w:p>
    <w:p>
      <w:pPr>
        <w:pStyle w:val="H3"/>
        <w:numPr>
          <w:ilvl w:val="2"/>
          <w:numId w:val="1"/>
        </w:numPr>
      </w:pPr>
      <w:r>
        <w:t>6.1 Phase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40"/>
        <w:gridCol w:w="1070"/>
        <w:gridCol w:w="586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Gate Criteria</w:t>
            </w:r>
          </w:p>
        </w:tc>
      </w:tr>
      <w:tr>
        <w:trPr>
          <w:trHeight w:val="425" w:hRule="atLeast"/>
        </w:trPr>
        <w:tc>
          <w:tcPr>
            <w:tcW w:type="dxa" w:w="3249"/>
            <w:vAlign w:val="center"/>
          </w:tcPr>
          <w:p>
            <w:pPr>
              <w:spacing w:line="276" w:lineRule="auto" w:before="0" w:after="0"/>
            </w:pPr>
            <w:r/>
            <w:r>
              <w:rPr>
                <w:rFonts w:ascii="Figtree" w:hAnsi="Figtree"/>
                <w:b w:val="0"/>
                <w:i w:val="0"/>
                <w:sz w:val="20"/>
              </w:rPr>
              <w:t>1. Discovery</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Custody model and compliance mapping signed off</w:t>
            </w:r>
          </w:p>
        </w:tc>
      </w:tr>
      <w:tr>
        <w:trPr>
          <w:trHeight w:val="425" w:hRule="atLeast"/>
        </w:trPr>
        <w:tc>
          <w:tcPr>
            <w:tcW w:type="dxa" w:w="3249"/>
            <w:vAlign w:val="center"/>
          </w:tcPr>
          <w:p>
            <w:pPr>
              <w:spacing w:line="276" w:lineRule="auto" w:before="0" w:after="0"/>
            </w:pPr>
            <w:r/>
            <w:r>
              <w:rPr>
                <w:rFonts w:ascii="Figtree" w:hAnsi="Figtree"/>
                <w:b w:val="0"/>
                <w:i w:val="0"/>
                <w:sz w:val="20"/>
              </w:rPr>
              <w:t>2. Configuration</w:t>
            </w:r>
          </w:p>
        </w:tc>
        <w:tc>
          <w:tcPr>
            <w:tcW w:type="dxa" w:w="3249"/>
            <w:vAlign w:val="center"/>
          </w:tcPr>
          <w:p>
            <w:pPr>
              <w:spacing w:line="276" w:lineRule="auto" w:before="0" w:after="0"/>
            </w:pPr>
            <w:r/>
            <w:r>
              <w:rPr>
                <w:rFonts w:ascii="Figtree" w:hAnsi="Figtree"/>
                <w:b w:val="0"/>
                <w:i w:val="0"/>
                <w:sz w:val="20"/>
              </w:rPr>
              <w:t>8 weeks</w:t>
            </w:r>
          </w:p>
        </w:tc>
        <w:tc>
          <w:tcPr>
            <w:tcW w:type="dxa" w:w="3249"/>
            <w:vAlign w:val="center"/>
          </w:tcPr>
          <w:p>
            <w:pPr>
              <w:spacing w:line="276" w:lineRule="auto" w:before="0" w:after="0"/>
            </w:pPr>
            <w:r/>
            <w:r>
              <w:rPr>
                <w:rFonts w:ascii="Figtree" w:hAnsi="Figtree"/>
                <w:b w:val="0"/>
                <w:i w:val="0"/>
                <w:sz w:val="20"/>
              </w:rPr>
              <w:t>Custody operations demonstrable in SIT</w:t>
            </w:r>
          </w:p>
        </w:tc>
      </w:tr>
      <w:tr>
        <w:trPr>
          <w:trHeight w:val="425" w:hRule="atLeast"/>
        </w:trPr>
        <w:tc>
          <w:tcPr>
            <w:tcW w:type="dxa" w:w="3249"/>
            <w:vAlign w:val="center"/>
          </w:tcPr>
          <w:p>
            <w:pPr>
              <w:spacing w:line="276" w:lineRule="auto" w:before="0" w:after="0"/>
            </w:pPr>
            <w:r/>
            <w:r>
              <w:rPr>
                <w:rFonts w:ascii="Figtree" w:hAnsi="Figtree"/>
                <w:b w:val="0"/>
                <w:i w:val="0"/>
                <w:sz w:val="20"/>
              </w:rPr>
              <w:t>3. Integration</w:t>
            </w:r>
          </w:p>
        </w:tc>
        <w:tc>
          <w:tcPr>
            <w:tcW w:type="dxa" w:w="3249"/>
            <w:vAlign w:val="center"/>
          </w:tcPr>
          <w:p>
            <w:pPr>
              <w:spacing w:line="276" w:lineRule="auto" w:before="0" w:after="0"/>
            </w:pPr>
            <w:r/>
            <w:r>
              <w:rPr>
                <w:rFonts w:ascii="Figtree" w:hAnsi="Figtree"/>
                <w:b w:val="0"/>
                <w:i w:val="0"/>
                <w:sz w:val="20"/>
              </w:rPr>
              <w:t>8 weeks</w:t>
            </w:r>
          </w:p>
        </w:tc>
        <w:tc>
          <w:tcPr>
            <w:tcW w:type="dxa" w:w="3249"/>
            <w:vAlign w:val="center"/>
          </w:tcPr>
          <w:p>
            <w:pPr>
              <w:spacing w:line="276" w:lineRule="auto" w:before="0" w:after="0"/>
            </w:pPr>
            <w:r/>
            <w:r>
              <w:rPr>
                <w:rFonts w:ascii="Figtree" w:hAnsi="Figtree"/>
                <w:b w:val="0"/>
                <w:i w:val="0"/>
                <w:sz w:val="20"/>
              </w:rPr>
              <w:t>GL reconciliation and CSRC data validated</w:t>
            </w:r>
          </w:p>
        </w:tc>
      </w:tr>
      <w:tr>
        <w:trPr>
          <w:trHeight w:val="425" w:hRule="atLeast"/>
        </w:trPr>
        <w:tc>
          <w:tcPr>
            <w:tcW w:type="dxa" w:w="3249"/>
            <w:vAlign w:val="center"/>
          </w:tcPr>
          <w:p>
            <w:pPr>
              <w:spacing w:line="276" w:lineRule="auto" w:before="0" w:after="0"/>
            </w:pPr>
            <w:r/>
            <w:r>
              <w:rPr>
                <w:rFonts w:ascii="Figtree" w:hAnsi="Figtree"/>
                <w:b w:val="0"/>
                <w:i w:val="0"/>
                <w:sz w:val="20"/>
              </w:rPr>
              <w:t>4. Testing</w:t>
            </w:r>
          </w:p>
        </w:tc>
        <w:tc>
          <w:tcPr>
            <w:tcW w:type="dxa" w:w="3249"/>
            <w:vAlign w:val="center"/>
          </w:tcPr>
          <w:p>
            <w:pPr>
              <w:spacing w:line="276" w:lineRule="auto" w:before="0" w:after="0"/>
            </w:pPr>
            <w:r/>
            <w:r>
              <w:rPr>
                <w:rFonts w:ascii="Figtree" w:hAnsi="Figtree"/>
                <w:b w:val="0"/>
                <w:i w:val="0"/>
                <w:sz w:val="20"/>
              </w:rPr>
              <w:t>8 weeks</w:t>
            </w:r>
          </w:p>
        </w:tc>
        <w:tc>
          <w:tcPr>
            <w:tcW w:type="dxa" w:w="3249"/>
            <w:vAlign w:val="center"/>
          </w:tcPr>
          <w:p>
            <w:pPr>
              <w:spacing w:line="276" w:lineRule="auto" w:before="0" w:after="0"/>
            </w:pPr>
            <w:r/>
            <w:r>
              <w:rPr>
                <w:rFonts w:ascii="Figtree" w:hAnsi="Figtree"/>
                <w:b w:val="0"/>
                <w:i w:val="0"/>
                <w:sz w:val="20"/>
              </w:rPr>
              <w:t>UAT signed off; security review passed; DR tested</w:t>
            </w:r>
          </w:p>
        </w:tc>
      </w:tr>
      <w:tr>
        <w:trPr>
          <w:trHeight w:val="425" w:hRule="atLeast"/>
        </w:trPr>
        <w:tc>
          <w:tcPr>
            <w:tcW w:type="dxa" w:w="3249"/>
            <w:vAlign w:val="center"/>
          </w:tcPr>
          <w:p>
            <w:pPr>
              <w:spacing w:line="276" w:lineRule="auto" w:before="0" w:after="0"/>
            </w:pPr>
            <w:r/>
            <w:r>
              <w:rPr>
                <w:rFonts w:ascii="Figtree" w:hAnsi="Figtree"/>
                <w:b w:val="0"/>
                <w:i w:val="0"/>
                <w:sz w:val="20"/>
              </w:rPr>
              <w:t>5. Go-Live</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Steering committee approval</w:t>
            </w:r>
          </w:p>
        </w:tc>
      </w:tr>
      <w:tr>
        <w:trPr>
          <w:trHeight w:val="425" w:hRule="atLeast"/>
        </w:trPr>
        <w:tc>
          <w:tcPr>
            <w:tcW w:type="dxa" w:w="3249"/>
            <w:vAlign w:val="center"/>
          </w:tcPr>
          <w:p>
            <w:pPr>
              <w:spacing w:line="276" w:lineRule="auto" w:before="0" w:after="0"/>
            </w:pPr>
            <w:r/>
            <w:r>
              <w:rPr>
                <w:rFonts w:ascii="Figtree" w:hAnsi="Figtree"/>
                <w:b w:val="0"/>
                <w:i w:val="0"/>
                <w:sz w:val="20"/>
              </w:rPr>
              <w:t>6. Hypercare</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KPI targets met 10 consecutive days</w:t>
            </w:r>
          </w:p>
        </w:tc>
      </w:tr>
    </w:tbl>
    <w:p>
      <w:pPr>
        <w:spacing w:before="0" w:after="0" w:line="120" w:lineRule="exact"/>
      </w:pPr>
    </w:p>
    <w:p>
      <w:pPr>
        <w:pStyle w:val="H3"/>
        <w:numPr>
          <w:ilvl w:val="2"/>
          <w:numId w:val="1"/>
        </w:numPr>
      </w:pPr>
      <w:r>
        <w:t>6.2 Pricing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87"/>
        <w:gridCol w:w="588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Indicative Investment (CNY)</w:t>
            </w:r>
          </w:p>
        </w:tc>
      </w:tr>
      <w:tr>
        <w:trPr>
          <w:trHeight w:val="425" w:hRule="atLeast"/>
        </w:trPr>
        <w:tc>
          <w:tcPr>
            <w:tcW w:type="dxa" w:w="4873"/>
            <w:vAlign w:val="center"/>
          </w:tcPr>
          <w:p>
            <w:pPr>
              <w:spacing w:line="276" w:lineRule="auto" w:before="0" w:after="0"/>
            </w:pPr>
            <w:r/>
            <w:r>
              <w:rPr>
                <w:rFonts w:ascii="Figtree" w:hAnsi="Figtree"/>
                <w:b w:val="0"/>
                <w:i w:val="0"/>
                <w:sz w:val="20"/>
              </w:rPr>
              <w:t>Discovery</w:t>
            </w:r>
          </w:p>
        </w:tc>
        <w:tc>
          <w:tcPr>
            <w:tcW w:type="dxa" w:w="4873"/>
            <w:vAlign w:val="center"/>
          </w:tcPr>
          <w:p>
            <w:pPr>
              <w:spacing w:line="276" w:lineRule="auto" w:before="0" w:after="0"/>
            </w:pPr>
            <w:r/>
            <w:r>
              <w:rPr>
                <w:rFonts w:ascii="Figtree" w:hAnsi="Figtree"/>
                <w:b w:val="0"/>
                <w:i w:val="0"/>
                <w:sz w:val="20"/>
              </w:rPr>
              <w:t>[VARIABLE]</w:t>
            </w:r>
          </w:p>
        </w:tc>
      </w:tr>
      <w:tr>
        <w:trPr>
          <w:trHeight w:val="425" w:hRule="atLeast"/>
        </w:trPr>
        <w:tc>
          <w:tcPr>
            <w:tcW w:type="dxa" w:w="4873"/>
            <w:vAlign w:val="center"/>
          </w:tcPr>
          <w:p>
            <w:pPr>
              <w:spacing w:line="276" w:lineRule="auto" w:before="0" w:after="0"/>
            </w:pPr>
            <w:r/>
            <w:r>
              <w:rPr>
                <w:rFonts w:ascii="Figtree" w:hAnsi="Figtree"/>
                <w:b w:val="0"/>
                <w:i w:val="0"/>
                <w:sz w:val="20"/>
              </w:rPr>
              <w:t>Configuration</w:t>
            </w:r>
          </w:p>
        </w:tc>
        <w:tc>
          <w:tcPr>
            <w:tcW w:type="dxa" w:w="4873"/>
            <w:vAlign w:val="center"/>
          </w:tcPr>
          <w:p>
            <w:pPr>
              <w:spacing w:line="276" w:lineRule="auto" w:before="0" w:after="0"/>
            </w:pPr>
            <w:r/>
            <w:r>
              <w:rPr>
                <w:rFonts w:ascii="Figtree" w:hAnsi="Figtree"/>
                <w:b w:val="0"/>
                <w:i w:val="0"/>
                <w:sz w:val="20"/>
              </w:rPr>
              <w:t>[VARIABLE]</w:t>
            </w:r>
          </w:p>
        </w:tc>
      </w:tr>
      <w:tr>
        <w:trPr>
          <w:trHeight w:val="425" w:hRule="atLeast"/>
        </w:trPr>
        <w:tc>
          <w:tcPr>
            <w:tcW w:type="dxa" w:w="4873"/>
            <w:vAlign w:val="center"/>
          </w:tcPr>
          <w:p>
            <w:pPr>
              <w:spacing w:line="276" w:lineRule="auto" w:before="0" w:after="0"/>
            </w:pPr>
            <w:r/>
            <w:r>
              <w:rPr>
                <w:rFonts w:ascii="Figtree" w:hAnsi="Figtree"/>
                <w:b w:val="0"/>
                <w:i w:val="0"/>
                <w:sz w:val="20"/>
              </w:rPr>
              <w:t>Integration</w:t>
            </w:r>
          </w:p>
        </w:tc>
        <w:tc>
          <w:tcPr>
            <w:tcW w:type="dxa" w:w="4873"/>
            <w:vAlign w:val="center"/>
          </w:tcPr>
          <w:p>
            <w:pPr>
              <w:spacing w:line="276" w:lineRule="auto" w:before="0" w:after="0"/>
            </w:pPr>
            <w:r/>
            <w:r>
              <w:rPr>
                <w:rFonts w:ascii="Figtree" w:hAnsi="Figtree"/>
                <w:b w:val="0"/>
                <w:i w:val="0"/>
                <w:sz w:val="20"/>
              </w:rPr>
              <w:t>[VARIABLE]</w:t>
            </w:r>
          </w:p>
        </w:tc>
      </w:tr>
      <w:tr>
        <w:trPr>
          <w:trHeight w:val="425" w:hRule="atLeast"/>
        </w:trPr>
        <w:tc>
          <w:tcPr>
            <w:tcW w:type="dxa" w:w="4873"/>
            <w:vAlign w:val="center"/>
          </w:tcPr>
          <w:p>
            <w:pPr>
              <w:spacing w:line="276" w:lineRule="auto" w:before="0" w:after="0"/>
            </w:pPr>
            <w:r/>
            <w:r>
              <w:rPr>
                <w:rFonts w:ascii="Figtree" w:hAnsi="Figtree"/>
                <w:b w:val="0"/>
                <w:i w:val="0"/>
                <w:sz w:val="20"/>
              </w:rPr>
              <w:t>Testing</w:t>
            </w:r>
          </w:p>
        </w:tc>
        <w:tc>
          <w:tcPr>
            <w:tcW w:type="dxa" w:w="4873"/>
            <w:vAlign w:val="center"/>
          </w:tcPr>
          <w:p>
            <w:pPr>
              <w:spacing w:line="276" w:lineRule="auto" w:before="0" w:after="0"/>
            </w:pPr>
            <w:r/>
            <w:r>
              <w:rPr>
                <w:rFonts w:ascii="Figtree" w:hAnsi="Figtree"/>
                <w:b w:val="0"/>
                <w:i w:val="0"/>
                <w:sz w:val="20"/>
              </w:rPr>
              <w:t>[VARIABLE]</w:t>
            </w:r>
          </w:p>
        </w:tc>
      </w:tr>
      <w:tr>
        <w:trPr>
          <w:trHeight w:val="425" w:hRule="atLeast"/>
        </w:trPr>
        <w:tc>
          <w:tcPr>
            <w:tcW w:type="dxa" w:w="4873"/>
            <w:vAlign w:val="center"/>
          </w:tcPr>
          <w:p>
            <w:pPr>
              <w:spacing w:line="276" w:lineRule="auto" w:before="0" w:after="0"/>
            </w:pPr>
            <w:r/>
            <w:r>
              <w:rPr>
                <w:rFonts w:ascii="Figtree" w:hAnsi="Figtree"/>
                <w:b w:val="0"/>
                <w:i w:val="0"/>
                <w:sz w:val="20"/>
              </w:rPr>
              <w:t>Go-Live</w:t>
            </w:r>
          </w:p>
        </w:tc>
        <w:tc>
          <w:tcPr>
            <w:tcW w:type="dxa" w:w="4873"/>
            <w:vAlign w:val="center"/>
          </w:tcPr>
          <w:p>
            <w:pPr>
              <w:spacing w:line="276" w:lineRule="auto" w:before="0" w:after="0"/>
            </w:pPr>
            <w:r/>
            <w:r>
              <w:rPr>
                <w:rFonts w:ascii="Figtree" w:hAnsi="Figtree"/>
                <w:b w:val="0"/>
                <w:i w:val="0"/>
                <w:sz w:val="20"/>
              </w:rPr>
              <w:t>[VARIABLE]</w:t>
            </w:r>
          </w:p>
        </w:tc>
      </w:tr>
      <w:tr>
        <w:trPr>
          <w:trHeight w:val="425" w:hRule="atLeast"/>
        </w:trPr>
        <w:tc>
          <w:tcPr>
            <w:tcW w:type="dxa" w:w="4873"/>
            <w:vAlign w:val="center"/>
          </w:tcPr>
          <w:p>
            <w:pPr>
              <w:spacing w:line="276" w:lineRule="auto" w:before="0" w:after="0"/>
            </w:pPr>
            <w:r/>
            <w:r>
              <w:rPr>
                <w:rFonts w:ascii="Figtree" w:hAnsi="Figtree"/>
                <w:b w:val="0"/>
                <w:i w:val="0"/>
                <w:sz w:val="20"/>
              </w:rPr>
              <w:t>Hypercare</w:t>
            </w:r>
          </w:p>
        </w:tc>
        <w:tc>
          <w:tcPr>
            <w:tcW w:type="dxa" w:w="4873"/>
            <w:vAlign w:val="center"/>
          </w:tcPr>
          <w:p>
            <w:pPr>
              <w:spacing w:line="276" w:lineRule="auto" w:before="0" w:after="0"/>
            </w:pPr>
            <w:r/>
            <w:r>
              <w:rPr>
                <w:rFonts w:ascii="Figtree" w:hAnsi="Figtree"/>
                <w:b w:val="0"/>
                <w:i w:val="0"/>
                <w:sz w:val="20"/>
              </w:rPr>
              <w:t>[VARIABLE]</w:t>
            </w:r>
          </w:p>
        </w:tc>
      </w:tr>
      <w:tr>
        <w:trPr>
          <w:trHeight w:val="425" w:hRule="atLeast"/>
        </w:trPr>
        <w:tc>
          <w:tcPr>
            <w:tcW w:type="dxa" w:w="4873"/>
            <w:vAlign w:val="center"/>
          </w:tcPr>
          <w:p>
            <w:pPr>
              <w:spacing w:line="276" w:lineRule="auto" w:before="0" w:after="0"/>
            </w:pPr>
            <w:r/>
            <w:r>
              <w:rPr>
                <w:rFonts w:ascii="Figtree" w:hAnsi="Figtree"/>
                <w:b/>
                <w:i w:val="0"/>
                <w:sz w:val="20"/>
              </w:rPr>
              <w:t>Total</w:t>
            </w:r>
          </w:p>
        </w:tc>
        <w:tc>
          <w:tcPr>
            <w:tcW w:type="dxa" w:w="4873"/>
            <w:vAlign w:val="center"/>
          </w:tcPr>
          <w:p>
            <w:pPr>
              <w:spacing w:line="276" w:lineRule="auto" w:before="0" w:after="0"/>
            </w:pPr>
            <w:r/>
            <w:r>
              <w:rPr>
                <w:rFonts w:ascii="Figtree" w:hAnsi="Figtree"/>
                <w:b/>
                <w:i w:val="0"/>
                <w:sz w:val="20"/>
              </w:rPr>
              <w:t>[VARIABLE]</w:t>
            </w:r>
          </w:p>
        </w:tc>
      </w:tr>
    </w:tbl>
    <w:p>
      <w:pPr>
        <w:spacing w:before="0" w:after="0" w:line="120" w:lineRule="exact"/>
      </w:pPr>
    </w:p>
    <w:p>
      <w:pPr>
        <w:pStyle w:val="H3"/>
        <w:numPr>
          <w:ilvl w:val="2"/>
          <w:numId w:val="1"/>
        </w:numPr>
      </w:pPr>
      <w:r>
        <w:t>6.3 Accelerators and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93"/>
        <w:gridCol w:w="757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Type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Item</w:t>
            </w:r>
          </w:p>
        </w:tc>
      </w:tr>
      <w:tr>
        <w:trPr>
          <w:trHeight w:val="425" w:hRule="atLeast"/>
        </w:trPr>
        <w:tc>
          <w:tcPr>
            <w:tcW w:type="dxa" w:w="4873"/>
            <w:vAlign w:val="center"/>
          </w:tcPr>
          <w:p>
            <w:pPr>
              <w:spacing w:line="276" w:lineRule="auto" w:before="0" w:after="0"/>
            </w:pPr>
            <w:r/>
            <w:r>
              <w:rPr>
                <w:rFonts w:ascii="Figtree" w:hAnsi="Figtree"/>
                <w:b w:val="0"/>
                <w:i w:val="0"/>
                <w:sz w:val="20"/>
              </w:rPr>
              <w:t>Accelerator</w:t>
            </w:r>
          </w:p>
        </w:tc>
        <w:tc>
          <w:tcPr>
            <w:tcW w:type="dxa" w:w="4873"/>
            <w:vAlign w:val="center"/>
          </w:tcPr>
          <w:p>
            <w:pPr>
              <w:spacing w:line="276" w:lineRule="auto" w:before="0" w:after="0"/>
            </w:pPr>
            <w:r/>
            <w:r>
              <w:rPr>
                <w:rFonts w:ascii="Figtree" w:hAnsi="Figtree"/>
                <w:b w:val="0"/>
                <w:i w:val="0"/>
                <w:sz w:val="20"/>
              </w:rPr>
              <w:t>Pre-built custody compliance templates (force transfer, freeze, recovery policies)</w:t>
            </w:r>
          </w:p>
        </w:tc>
      </w:tr>
      <w:tr>
        <w:trPr>
          <w:trHeight w:val="425" w:hRule="atLeast"/>
        </w:trPr>
        <w:tc>
          <w:tcPr>
            <w:tcW w:type="dxa" w:w="4873"/>
            <w:vAlign w:val="center"/>
          </w:tcPr>
          <w:p>
            <w:pPr>
              <w:spacing w:line="276" w:lineRule="auto" w:before="0" w:after="0"/>
            </w:pPr>
            <w:r/>
            <w:r>
              <w:rPr>
                <w:rFonts w:ascii="Figtree" w:hAnsi="Figtree"/>
                <w:b w:val="0"/>
                <w:i w:val="0"/>
                <w:sz w:val="20"/>
              </w:rPr>
              <w:t>Accelerator</w:t>
            </w:r>
          </w:p>
        </w:tc>
        <w:tc>
          <w:tcPr>
            <w:tcW w:type="dxa" w:w="4873"/>
            <w:vAlign w:val="center"/>
          </w:tcPr>
          <w:p>
            <w:pPr>
              <w:spacing w:line="276" w:lineRule="auto" w:before="0" w:after="0"/>
            </w:pPr>
            <w:r/>
            <w:r>
              <w:rPr>
                <w:rFonts w:ascii="Figtree" w:hAnsi="Figtree"/>
                <w:b w:val="0"/>
                <w:i w:val="0"/>
                <w:sz w:val="20"/>
              </w:rPr>
              <w:t>OnchainID identity claim templates for ICBC KYC integration</w:t>
            </w:r>
          </w:p>
        </w:tc>
      </w:tr>
      <w:tr>
        <w:trPr>
          <w:trHeight w:val="425" w:hRule="atLeast"/>
        </w:trPr>
        <w:tc>
          <w:tcPr>
            <w:tcW w:type="dxa" w:w="4873"/>
            <w:vAlign w:val="center"/>
          </w:tcPr>
          <w:p>
            <w:pPr>
              <w:spacing w:line="276" w:lineRule="auto" w:before="0" w:after="0"/>
            </w:pPr>
            <w:r/>
            <w:r>
              <w:rPr>
                <w:rFonts w:ascii="Figtree" w:hAnsi="Figtree"/>
                <w:b w:val="0"/>
                <w:i w:val="0"/>
                <w:sz w:val="20"/>
              </w:rPr>
              <w:t>Risk</w:t>
            </w:r>
          </w:p>
        </w:tc>
        <w:tc>
          <w:tcPr>
            <w:tcW w:type="dxa" w:w="4873"/>
            <w:vAlign w:val="center"/>
          </w:tcPr>
          <w:p>
            <w:pPr>
              <w:spacing w:line="276" w:lineRule="auto" w:before="0" w:after="0"/>
            </w:pPr>
            <w:r/>
            <w:r>
              <w:rPr>
                <w:rFonts w:ascii="Figtree" w:hAnsi="Figtree"/>
                <w:b w:val="0"/>
                <w:i w:val="0"/>
                <w:sz w:val="20"/>
              </w:rPr>
              <w:t>HSM procurement and certification lead time</w:t>
            </w:r>
          </w:p>
        </w:tc>
      </w:tr>
      <w:tr>
        <w:trPr>
          <w:trHeight w:val="425" w:hRule="atLeast"/>
        </w:trPr>
        <w:tc>
          <w:tcPr>
            <w:tcW w:type="dxa" w:w="4873"/>
            <w:vAlign w:val="center"/>
          </w:tcPr>
          <w:p>
            <w:pPr>
              <w:spacing w:line="276" w:lineRule="auto" w:before="0" w:after="0"/>
            </w:pPr>
            <w:r/>
            <w:r>
              <w:rPr>
                <w:rFonts w:ascii="Figtree" w:hAnsi="Figtree"/>
                <w:b w:val="0"/>
                <w:i w:val="0"/>
                <w:sz w:val="20"/>
              </w:rPr>
              <w:t>Risk</w:t>
            </w:r>
          </w:p>
        </w:tc>
        <w:tc>
          <w:tcPr>
            <w:tcW w:type="dxa" w:w="4873"/>
            <w:vAlign w:val="center"/>
          </w:tcPr>
          <w:p>
            <w:pPr>
              <w:spacing w:line="276" w:lineRule="auto" w:before="0" w:after="0"/>
            </w:pPr>
            <w:r/>
            <w:r>
              <w:rPr>
                <w:rFonts w:ascii="Figtree" w:hAnsi="Figtree"/>
                <w:b w:val="0"/>
                <w:i w:val="0"/>
                <w:sz w:val="20"/>
              </w:rPr>
              <w:t>CSRC reporting format specification delay</w:t>
            </w:r>
          </w:p>
        </w:tc>
      </w:tr>
      <w:tr>
        <w:trPr>
          <w:trHeight w:val="425" w:hRule="atLeast"/>
        </w:trPr>
        <w:tc>
          <w:tcPr>
            <w:tcW w:type="dxa" w:w="4873"/>
            <w:vAlign w:val="center"/>
          </w:tcPr>
          <w:p>
            <w:pPr>
              <w:spacing w:line="276" w:lineRule="auto" w:before="0" w:after="0"/>
            </w:pPr>
            <w:r/>
            <w:r>
              <w:rPr>
                <w:rFonts w:ascii="Figtree" w:hAnsi="Figtree"/>
                <w:b w:val="0"/>
                <w:i w:val="0"/>
                <w:sz w:val="20"/>
              </w:rPr>
              <w:t>Risk</w:t>
            </w:r>
          </w:p>
        </w:tc>
        <w:tc>
          <w:tcPr>
            <w:tcW w:type="dxa" w:w="4873"/>
            <w:vAlign w:val="center"/>
          </w:tcPr>
          <w:p>
            <w:pPr>
              <w:spacing w:line="276" w:lineRule="auto" w:before="0" w:after="0"/>
            </w:pPr>
            <w:r/>
            <w:r>
              <w:rPr>
                <w:rFonts w:ascii="Figtree" w:hAnsi="Figtree"/>
                <w:b w:val="0"/>
                <w:i w:val="0"/>
                <w:sz w:val="20"/>
              </w:rPr>
              <w:t>Slow internal governance approval for compliance module configuration</w:t>
            </w:r>
          </w:p>
        </w:tc>
      </w:tr>
    </w:tbl>
    <w:p>
      <w:pPr>
        <w:spacing w:before="0" w:after="0" w:line="120" w:lineRule="exact"/>
      </w:pPr>
    </w:p>
    <w:p>
      <w:pPr>
        <w:pStyle w:val="H3"/>
        <w:numPr>
          <w:ilvl w:val="2"/>
          <w:numId w:val="1"/>
        </w:numPr>
      </w:pPr>
      <w:r>
        <w:t>6.4 Training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343"/>
        <w:gridCol w:w="272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r>
      <w:tr>
        <w:trPr>
          <w:trHeight w:val="425" w:hRule="atLeast"/>
        </w:trPr>
        <w:tc>
          <w:tcPr>
            <w:tcW w:type="dxa" w:w="4873"/>
            <w:vAlign w:val="center"/>
          </w:tcPr>
          <w:p>
            <w:pPr>
              <w:spacing w:line="276" w:lineRule="auto" w:before="0" w:after="0"/>
            </w:pPr>
            <w:r/>
            <w:r>
              <w:rPr>
                <w:rFonts w:ascii="Figtree" w:hAnsi="Figtree"/>
                <w:b w:val="0"/>
                <w:i w:val="0"/>
                <w:sz w:val="20"/>
              </w:rPr>
              <w:t>Platform administrators</w:t>
            </w:r>
          </w:p>
        </w:tc>
        <w:tc>
          <w:tcPr>
            <w:tcW w:type="dxa" w:w="4873"/>
            <w:vAlign w:val="center"/>
          </w:tcPr>
          <w:p>
            <w:pPr>
              <w:spacing w:line="276" w:lineRule="auto" w:before="0" w:after="0"/>
            </w:pPr>
            <w:r/>
            <w:r>
              <w:rPr>
                <w:rFonts w:ascii="Figtree" w:hAnsi="Figtree"/>
                <w:b w:val="0"/>
                <w:i w:val="0"/>
                <w:sz w:val="20"/>
              </w:rPr>
              <w:t>3 days</w:t>
            </w:r>
          </w:p>
        </w:tc>
      </w:tr>
      <w:tr>
        <w:trPr>
          <w:trHeight w:val="425" w:hRule="atLeast"/>
        </w:trPr>
        <w:tc>
          <w:tcPr>
            <w:tcW w:type="dxa" w:w="4873"/>
            <w:vAlign w:val="center"/>
          </w:tcPr>
          <w:p>
            <w:pPr>
              <w:spacing w:line="276" w:lineRule="auto" w:before="0" w:after="0"/>
            </w:pPr>
            <w:r/>
            <w:r>
              <w:rPr>
                <w:rFonts w:ascii="Figtree" w:hAnsi="Figtree"/>
                <w:b w:val="0"/>
                <w:i w:val="0"/>
                <w:sz w:val="20"/>
              </w:rPr>
              <w:t>Custody operations team</w:t>
            </w:r>
          </w:p>
        </w:tc>
        <w:tc>
          <w:tcPr>
            <w:tcW w:type="dxa" w:w="4873"/>
            <w:vAlign w:val="center"/>
          </w:tcPr>
          <w:p>
            <w:pPr>
              <w:spacing w:line="276" w:lineRule="auto" w:before="0" w:after="0"/>
            </w:pPr>
            <w:r/>
            <w:r>
              <w:rPr>
                <w:rFonts w:ascii="Figtree" w:hAnsi="Figtree"/>
                <w:b w:val="0"/>
                <w:i w:val="0"/>
                <w:sz w:val="20"/>
              </w:rPr>
              <w:t>2 days</w:t>
            </w:r>
          </w:p>
        </w:tc>
      </w:tr>
      <w:tr>
        <w:trPr>
          <w:trHeight w:val="425" w:hRule="atLeast"/>
        </w:trPr>
        <w:tc>
          <w:tcPr>
            <w:tcW w:type="dxa" w:w="4873"/>
            <w:vAlign w:val="center"/>
          </w:tcPr>
          <w:p>
            <w:pPr>
              <w:spacing w:line="276" w:lineRule="auto" w:before="0" w:after="0"/>
            </w:pPr>
            <w:r/>
            <w:r>
              <w:rPr>
                <w:rFonts w:ascii="Figtree" w:hAnsi="Figtree"/>
                <w:b w:val="0"/>
                <w:i w:val="0"/>
                <w:sz w:val="20"/>
              </w:rPr>
              <w:t>Compliance officers</w:t>
            </w:r>
          </w:p>
        </w:tc>
        <w:tc>
          <w:tcPr>
            <w:tcW w:type="dxa" w:w="4873"/>
            <w:vAlign w:val="center"/>
          </w:tcPr>
          <w:p>
            <w:pPr>
              <w:spacing w:line="276" w:lineRule="auto" w:before="0" w:after="0"/>
            </w:pPr>
            <w:r/>
            <w:r>
              <w:rPr>
                <w:rFonts w:ascii="Figtree" w:hAnsi="Figtree"/>
                <w:b w:val="0"/>
                <w:i w:val="0"/>
                <w:sz w:val="20"/>
              </w:rPr>
              <w:t>1 day</w:t>
            </w:r>
          </w:p>
        </w:tc>
      </w:tr>
      <w:tr>
        <w:trPr>
          <w:trHeight w:val="425" w:hRule="atLeast"/>
        </w:trPr>
        <w:tc>
          <w:tcPr>
            <w:tcW w:type="dxa" w:w="4873"/>
            <w:vAlign w:val="center"/>
          </w:tcPr>
          <w:p>
            <w:pPr>
              <w:spacing w:line="276" w:lineRule="auto" w:before="0" w:after="0"/>
            </w:pPr>
            <w:r/>
            <w:r>
              <w:rPr>
                <w:rFonts w:ascii="Figtree" w:hAnsi="Figtree"/>
                <w:b w:val="0"/>
                <w:i w:val="0"/>
                <w:sz w:val="20"/>
              </w:rPr>
              <w:t>Internal audit</w:t>
            </w:r>
          </w:p>
        </w:tc>
        <w:tc>
          <w:tcPr>
            <w:tcW w:type="dxa" w:w="4873"/>
            <w:vAlign w:val="center"/>
          </w:tcPr>
          <w:p>
            <w:pPr>
              <w:spacing w:line="276" w:lineRule="auto" w:before="0" w:after="0"/>
            </w:pPr>
            <w:r/>
            <w:r>
              <w:rPr>
                <w:rFonts w:ascii="Figtree" w:hAnsi="Figtree"/>
                <w:b w:val="0"/>
                <w:i w:val="0"/>
                <w:sz w:val="20"/>
              </w:rPr>
              <w:t>0.5 days</w:t>
            </w:r>
          </w:p>
        </w:tc>
      </w:tr>
      <w:tr>
        <w:trPr>
          <w:trHeight w:val="425" w:hRule="atLeast"/>
        </w:trPr>
        <w:tc>
          <w:tcPr>
            <w:tcW w:type="dxa" w:w="4873"/>
            <w:vAlign w:val="center"/>
          </w:tcPr>
          <w:p>
            <w:pPr>
              <w:spacing w:line="276" w:lineRule="auto" w:before="0" w:after="0"/>
            </w:pPr>
            <w:r/>
            <w:r>
              <w:rPr>
                <w:rFonts w:ascii="Figtree" w:hAnsi="Figtree"/>
                <w:b w:val="0"/>
                <w:i w:val="0"/>
                <w:sz w:val="20"/>
              </w:rPr>
              <w:t>Integration developers</w:t>
            </w:r>
          </w:p>
        </w:tc>
        <w:tc>
          <w:tcPr>
            <w:tcW w:type="dxa" w:w="4873"/>
            <w:vAlign w:val="center"/>
          </w:tcPr>
          <w:p>
            <w:pPr>
              <w:spacing w:line="276" w:lineRule="auto" w:before="0" w:after="0"/>
            </w:pPr>
            <w:r/>
            <w:r>
              <w:rPr>
                <w:rFonts w:ascii="Figtree" w:hAnsi="Figtree"/>
                <w:b w:val="0"/>
                <w:i w:val="0"/>
                <w:sz w:val="20"/>
              </w:rPr>
              <w:t>2 days</w:t>
            </w:r>
          </w:p>
        </w:tc>
      </w:tr>
    </w:tbl>
    <w:p>
      <w:pPr>
        <w:spacing w:before="0" w:after="0" w:line="120" w:lineRule="exact"/>
      </w:pPr>
    </w:p>
    <w:p>
      <w:pPr>
        <w:pStyle w:val="H2"/>
        <w:numPr>
          <w:ilvl w:val="1"/>
          <w:numId w:val="1"/>
        </w:numPr>
      </w:pPr>
      <w:r>
        <w:t>7. Commercial Terms</w:t>
      </w:r>
    </w:p>
    <w:p>
      <w:pPr>
        <w:pStyle w:val="H3"/>
        <w:numPr>
          <w:ilvl w:val="2"/>
          <w:numId w:val="1"/>
        </w:numPr>
      </w:pPr>
      <w:r>
        <w:t>7.1 Contract Structure</w:t>
      </w:r>
    </w:p>
    <w:p>
      <w:r>
        <w:rPr>
          <w:rFonts w:ascii="Figtree" w:hAnsi="Figtree"/>
          <w:b w:val="0"/>
          <w:i w:val="0"/>
          <w:sz w:val="22"/>
        </w:rPr>
        <w:t>MSA (platform license, IP, liability, confidentiality), SoW (implementation scope and pricing), Support Agreement (SLA, escalation, credits), DPA (PIPL and CAC data obligations). All co-terminous. DPA survives termination.</w:t>
      </w:r>
    </w:p>
    <w:p>
      <w:pPr>
        <w:pStyle w:val="H3"/>
        <w:numPr>
          <w:ilvl w:val="2"/>
          <w:numId w:val="1"/>
        </w:numPr>
      </w:pPr>
      <w:r>
        <w:t>7.2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063"/>
        <w:gridCol w:w="400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 of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Contract execution</w:t>
            </w:r>
          </w:p>
        </w:tc>
        <w:tc>
          <w:tcPr>
            <w:tcW w:type="dxa" w:w="4873"/>
            <w:vAlign w:val="center"/>
          </w:tcPr>
          <w:p>
            <w:pPr>
              <w:spacing w:line="276" w:lineRule="auto" w:before="0" w:after="0"/>
            </w:pPr>
            <w:r/>
            <w:r>
              <w:rPr>
                <w:rFonts w:ascii="Figtree" w:hAnsi="Figtree"/>
                <w:b w:val="0"/>
                <w:i w:val="0"/>
                <w:sz w:val="20"/>
              </w:rPr>
              <w:t>20%</w:t>
            </w:r>
          </w:p>
        </w:tc>
      </w:tr>
      <w:tr>
        <w:trPr>
          <w:trHeight w:val="425" w:hRule="atLeast"/>
        </w:trPr>
        <w:tc>
          <w:tcPr>
            <w:tcW w:type="dxa" w:w="4873"/>
            <w:vAlign w:val="center"/>
          </w:tcPr>
          <w:p>
            <w:pPr>
              <w:spacing w:line="276" w:lineRule="auto" w:before="0" w:after="0"/>
            </w:pPr>
            <w:r/>
            <w:r>
              <w:rPr>
                <w:rFonts w:ascii="Figtree" w:hAnsi="Figtree"/>
                <w:b w:val="0"/>
                <w:i w:val="0"/>
                <w:sz w:val="20"/>
              </w:rPr>
              <w:t>Discovery completion</w:t>
            </w:r>
          </w:p>
        </w:tc>
        <w:tc>
          <w:tcPr>
            <w:tcW w:type="dxa" w:w="4873"/>
            <w:vAlign w:val="center"/>
          </w:tcPr>
          <w:p>
            <w:pPr>
              <w:spacing w:line="276" w:lineRule="auto" w:before="0" w:after="0"/>
            </w:pPr>
            <w:r/>
            <w:r>
              <w:rPr>
                <w:rFonts w:ascii="Figtree" w:hAnsi="Figtree"/>
                <w:b w:val="0"/>
                <w:i w:val="0"/>
                <w:sz w:val="20"/>
              </w:rPr>
              <w:t>15%</w:t>
            </w:r>
          </w:p>
        </w:tc>
      </w:tr>
      <w:tr>
        <w:trPr>
          <w:trHeight w:val="425" w:hRule="atLeast"/>
        </w:trPr>
        <w:tc>
          <w:tcPr>
            <w:tcW w:type="dxa" w:w="4873"/>
            <w:vAlign w:val="center"/>
          </w:tcPr>
          <w:p>
            <w:pPr>
              <w:spacing w:line="276" w:lineRule="auto" w:before="0" w:after="0"/>
            </w:pPr>
            <w:r/>
            <w:r>
              <w:rPr>
                <w:rFonts w:ascii="Figtree" w:hAnsi="Figtree"/>
                <w:b w:val="0"/>
                <w:i w:val="0"/>
                <w:sz w:val="20"/>
              </w:rPr>
              <w:t>Configuration completion</w:t>
            </w:r>
          </w:p>
        </w:tc>
        <w:tc>
          <w:tcPr>
            <w:tcW w:type="dxa" w:w="4873"/>
            <w:vAlign w:val="center"/>
          </w:tcPr>
          <w:p>
            <w:pPr>
              <w:spacing w:line="276" w:lineRule="auto" w:before="0" w:after="0"/>
            </w:pPr>
            <w:r/>
            <w:r>
              <w:rPr>
                <w:rFonts w:ascii="Figtree" w:hAnsi="Figtree"/>
                <w:b w:val="0"/>
                <w:i w:val="0"/>
                <w:sz w:val="20"/>
              </w:rPr>
              <w:t>20%</w:t>
            </w:r>
          </w:p>
        </w:tc>
      </w:tr>
      <w:tr>
        <w:trPr>
          <w:trHeight w:val="425" w:hRule="atLeast"/>
        </w:trPr>
        <w:tc>
          <w:tcPr>
            <w:tcW w:type="dxa" w:w="4873"/>
            <w:vAlign w:val="center"/>
          </w:tcPr>
          <w:p>
            <w:pPr>
              <w:spacing w:line="276" w:lineRule="auto" w:before="0" w:after="0"/>
            </w:pPr>
            <w:r/>
            <w:r>
              <w:rPr>
                <w:rFonts w:ascii="Figtree" w:hAnsi="Figtree"/>
                <w:b w:val="0"/>
                <w:i w:val="0"/>
                <w:sz w:val="20"/>
              </w:rPr>
              <w:t>Integration completion</w:t>
            </w:r>
          </w:p>
        </w:tc>
        <w:tc>
          <w:tcPr>
            <w:tcW w:type="dxa" w:w="4873"/>
            <w:vAlign w:val="center"/>
          </w:tcPr>
          <w:p>
            <w:pPr>
              <w:spacing w:line="276" w:lineRule="auto" w:before="0" w:after="0"/>
            </w:pPr>
            <w:r/>
            <w:r>
              <w:rPr>
                <w:rFonts w:ascii="Figtree" w:hAnsi="Figtree"/>
                <w:b w:val="0"/>
                <w:i w:val="0"/>
                <w:sz w:val="20"/>
              </w:rPr>
              <w:t>20%</w:t>
            </w:r>
          </w:p>
        </w:tc>
      </w:tr>
      <w:tr>
        <w:trPr>
          <w:trHeight w:val="425" w:hRule="atLeast"/>
        </w:trPr>
        <w:tc>
          <w:tcPr>
            <w:tcW w:type="dxa" w:w="4873"/>
            <w:vAlign w:val="center"/>
          </w:tcPr>
          <w:p>
            <w:pPr>
              <w:spacing w:line="276" w:lineRule="auto" w:before="0" w:after="0"/>
            </w:pPr>
            <w:r/>
            <w:r>
              <w:rPr>
                <w:rFonts w:ascii="Figtree" w:hAnsi="Figtree"/>
                <w:b w:val="0"/>
                <w:i w:val="0"/>
                <w:sz w:val="20"/>
              </w:rPr>
              <w:t>Testing completion</w:t>
            </w:r>
          </w:p>
        </w:tc>
        <w:tc>
          <w:tcPr>
            <w:tcW w:type="dxa" w:w="4873"/>
            <w:vAlign w:val="center"/>
          </w:tcPr>
          <w:p>
            <w:pPr>
              <w:spacing w:line="276" w:lineRule="auto" w:before="0" w:after="0"/>
            </w:pPr>
            <w:r/>
            <w:r>
              <w:rPr>
                <w:rFonts w:ascii="Figtree" w:hAnsi="Figtree"/>
                <w:b w:val="0"/>
                <w:i w:val="0"/>
                <w:sz w:val="20"/>
              </w:rPr>
              <w:t>15%</w:t>
            </w:r>
          </w:p>
        </w:tc>
      </w:tr>
      <w:tr>
        <w:trPr>
          <w:trHeight w:val="425" w:hRule="atLeast"/>
        </w:trPr>
        <w:tc>
          <w:tcPr>
            <w:tcW w:type="dxa" w:w="4873"/>
            <w:vAlign w:val="center"/>
          </w:tcPr>
          <w:p>
            <w:pPr>
              <w:spacing w:line="276" w:lineRule="auto" w:before="0" w:after="0"/>
            </w:pPr>
            <w:r/>
            <w:r>
              <w:rPr>
                <w:rFonts w:ascii="Figtree" w:hAnsi="Figtree"/>
                <w:b w:val="0"/>
                <w:i w:val="0"/>
                <w:sz w:val="20"/>
              </w:rPr>
              <w:t>Go-Live and hypercare</w:t>
            </w:r>
          </w:p>
        </w:tc>
        <w:tc>
          <w:tcPr>
            <w:tcW w:type="dxa" w:w="4873"/>
            <w:vAlign w:val="center"/>
          </w:tcPr>
          <w:p>
            <w:pPr>
              <w:spacing w:line="276" w:lineRule="auto" w:before="0" w:after="0"/>
            </w:pPr>
            <w:r/>
            <w:r>
              <w:rPr>
                <w:rFonts w:ascii="Figtree" w:hAnsi="Figtree"/>
                <w:b w:val="0"/>
                <w:i w:val="0"/>
                <w:sz w:val="20"/>
              </w:rPr>
              <w:t>10%</w:t>
            </w:r>
          </w:p>
        </w:tc>
      </w:tr>
    </w:tbl>
    <w:p>
      <w:pPr>
        <w:spacing w:before="0" w:after="0" w:line="120" w:lineRule="exact"/>
      </w:pPr>
    </w:p>
    <w:p>
      <w:r>
        <w:rPr>
          <w:rFonts w:ascii="Figtree" w:hAnsi="Figtree"/>
          <w:b w:val="0"/>
          <w:i w:val="0"/>
          <w:sz w:val="22"/>
        </w:rPr>
        <w:t>Annual license and support invoiced annually in advance.</w:t>
      </w:r>
    </w:p>
    <w:p>
      <w:pPr>
        <w:pStyle w:val="H3"/>
        <w:numPr>
          <w:ilvl w:val="2"/>
          <w:numId w:val="1"/>
        </w:numPr>
      </w:pPr>
      <w:r>
        <w:t>7.3 Duration</w:t>
      </w:r>
    </w:p>
    <w:p>
      <w:r>
        <w:rPr>
          <w:rFonts w:ascii="Figtree" w:hAnsi="Figtree"/>
          <w:b w:val="0"/>
          <w:i w:val="0"/>
          <w:sz w:val="22"/>
        </w:rPr>
        <w:t>Initial term: 3 years recommended. License activation from production go-live. Multi-year commitment provides best commercial terms.</w:t>
      </w:r>
    </w:p>
    <w:p>
      <w:pPr>
        <w:pStyle w:val="H3"/>
        <w:numPr>
          <w:ilvl w:val="2"/>
          <w:numId w:val="1"/>
        </w:numPr>
      </w:pPr>
      <w:r>
        <w:t>7.4 IP Ownership</w:t>
      </w:r>
    </w:p>
    <w:p>
      <w:r>
        <w:rPr>
          <w:rFonts w:ascii="Figtree" w:hAnsi="Figtree"/>
          <w:b w:val="0"/>
          <w:i w:val="0"/>
          <w:sz w:val="22"/>
        </w:rPr>
        <w:t>DALP platform and SMART Protocol: SettleMint NV. ICBC custody configuration, transaction data, and operational records: ICBC. Integration code: negotiable. Documentation from implementation: ICBC with SettleMint usage rights.</w:t>
      </w:r>
    </w:p>
    <w:p>
      <w:pPr>
        <w:pStyle w:val="H3"/>
        <w:numPr>
          <w:ilvl w:val="2"/>
          <w:numId w:val="1"/>
        </w:numPr>
      </w:pPr>
      <w:r>
        <w:t>7.5 Exit and Transition</w:t>
      </w:r>
    </w:p>
    <w:p>
      <w:r>
        <w:rPr>
          <w:rFonts w:ascii="Figtree" w:hAnsi="Figtree"/>
          <w:b w:val="0"/>
          <w:i w:val="0"/>
          <w:sz w:val="22"/>
        </w:rPr>
        <w:t>90-day notice for termination. Complete data export in JSON and CSV formats included. 90-day transition support at hourly rates available.</w:t>
      </w:r>
    </w:p>
    <w:p>
      <w:pPr>
        <w:pStyle w:val="H2"/>
        <w:numPr>
          <w:ilvl w:val="1"/>
          <w:numId w:val="1"/>
        </w:numPr>
      </w:pPr>
      <w:r>
        <w:t>8. Total Cost of Ownership</w:t>
      </w:r>
    </w:p>
    <w:p>
      <w:pPr>
        <w:pStyle w:val="H3"/>
        <w:numPr>
          <w:ilvl w:val="2"/>
          <w:numId w:val="1"/>
        </w:numPr>
      </w:pPr>
      <w:r>
        <w:t>8.1 TCO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58"/>
        <w:gridCol w:w="1451"/>
        <w:gridCol w:w="2993"/>
        <w:gridCol w:w="226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Build In-House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Assembled Solution</w:t>
            </w:r>
          </w:p>
        </w:tc>
      </w:tr>
      <w:tr>
        <w:trPr>
          <w:trHeight w:val="425" w:hRule="atLeast"/>
        </w:trPr>
        <w:tc>
          <w:tcPr>
            <w:tcW w:type="dxa" w:w="2436"/>
            <w:vAlign w:val="center"/>
          </w:tcPr>
          <w:p>
            <w:pPr>
              <w:spacing w:line="276" w:lineRule="auto" w:before="0" w:after="0"/>
            </w:pPr>
            <w:r/>
            <w:r>
              <w:rPr>
                <w:rFonts w:ascii="Figtree" w:hAnsi="Figtree"/>
                <w:b w:val="0"/>
                <w:i w:val="0"/>
                <w:sz w:val="20"/>
              </w:rPr>
              <w:t>Time to custody capability</w:t>
            </w:r>
          </w:p>
        </w:tc>
        <w:tc>
          <w:tcPr>
            <w:tcW w:type="dxa" w:w="2436"/>
            <w:vAlign w:val="center"/>
          </w:tcPr>
          <w:p>
            <w:pPr>
              <w:spacing w:line="276" w:lineRule="auto" w:before="0" w:after="0"/>
            </w:pPr>
            <w:r/>
            <w:r>
              <w:rPr>
                <w:rFonts w:ascii="Figtree" w:hAnsi="Figtree"/>
                <w:b w:val="0"/>
                <w:i w:val="0"/>
                <w:sz w:val="20"/>
              </w:rPr>
              <w:t>9-10 months</w:t>
            </w:r>
          </w:p>
        </w:tc>
        <w:tc>
          <w:tcPr>
            <w:tcW w:type="dxa" w:w="2436"/>
            <w:vAlign w:val="center"/>
          </w:tcPr>
          <w:p>
            <w:pPr>
              <w:spacing w:line="276" w:lineRule="auto" w:before="0" w:after="0"/>
            </w:pPr>
            <w:r/>
            <w:r>
              <w:rPr>
                <w:rFonts w:ascii="Figtree" w:hAnsi="Figtree"/>
                <w:b w:val="0"/>
                <w:i w:val="0"/>
                <w:sz w:val="20"/>
              </w:rPr>
              <w:t>24-36 months</w:t>
            </w:r>
          </w:p>
        </w:tc>
        <w:tc>
          <w:tcPr>
            <w:tcW w:type="dxa" w:w="2436"/>
            <w:vAlign w:val="center"/>
          </w:tcPr>
          <w:p>
            <w:pPr>
              <w:spacing w:line="276" w:lineRule="auto" w:before="0" w:after="0"/>
            </w:pPr>
            <w:r/>
            <w:r>
              <w:rPr>
                <w:rFonts w:ascii="Figtree" w:hAnsi="Figtree"/>
                <w:b w:val="0"/>
                <w:i w:val="0"/>
                <w:sz w:val="20"/>
              </w:rPr>
              <w:t>15-20 months</w:t>
            </w:r>
          </w:p>
        </w:tc>
      </w:tr>
      <w:tr>
        <w:trPr>
          <w:trHeight w:val="425" w:hRule="atLeast"/>
        </w:trPr>
        <w:tc>
          <w:tcPr>
            <w:tcW w:type="dxa" w:w="2436"/>
            <w:vAlign w:val="center"/>
          </w:tcPr>
          <w:p>
            <w:pPr>
              <w:spacing w:line="276" w:lineRule="auto" w:before="0" w:after="0"/>
            </w:pPr>
            <w:r/>
            <w:r>
              <w:rPr>
                <w:rFonts w:ascii="Figtree" w:hAnsi="Figtree"/>
                <w:b w:val="0"/>
                <w:i w:val="0"/>
                <w:sz w:val="20"/>
              </w:rPr>
              <w:t>Ongoing engineering burden</w:t>
            </w:r>
          </w:p>
        </w:tc>
        <w:tc>
          <w:tcPr>
            <w:tcW w:type="dxa" w:w="2436"/>
            <w:vAlign w:val="center"/>
          </w:tcPr>
          <w:p>
            <w:pPr>
              <w:spacing w:line="276" w:lineRule="auto" w:before="0" w:after="0"/>
            </w:pPr>
            <w:r/>
            <w:r>
              <w:rPr>
                <w:rFonts w:ascii="Figtree" w:hAnsi="Figtree"/>
                <w:b w:val="0"/>
                <w:i w:val="0"/>
                <w:sz w:val="20"/>
              </w:rPr>
              <w:t>Minimal (config)</w:t>
            </w:r>
          </w:p>
        </w:tc>
        <w:tc>
          <w:tcPr>
            <w:tcW w:type="dxa" w:w="2436"/>
            <w:vAlign w:val="center"/>
          </w:tcPr>
          <w:p>
            <w:pPr>
              <w:spacing w:line="276" w:lineRule="auto" w:before="0" w:after="0"/>
            </w:pPr>
            <w:r/>
            <w:r>
              <w:rPr>
                <w:rFonts w:ascii="Figtree" w:hAnsi="Figtree"/>
                <w:b w:val="0"/>
                <w:i w:val="0"/>
                <w:sz w:val="20"/>
              </w:rPr>
              <w:t>Permanent 6-10 FTE</w:t>
            </w:r>
          </w:p>
        </w:tc>
        <w:tc>
          <w:tcPr>
            <w:tcW w:type="dxa" w:w="2436"/>
            <w:vAlign w:val="center"/>
          </w:tcPr>
          <w:p>
            <w:pPr>
              <w:spacing w:line="276" w:lineRule="auto" w:before="0" w:after="0"/>
            </w:pPr>
            <w:r/>
            <w:r>
              <w:rPr>
                <w:rFonts w:ascii="Figtree" w:hAnsi="Figtree"/>
                <w:b w:val="0"/>
                <w:i w:val="0"/>
                <w:sz w:val="20"/>
              </w:rPr>
              <w:t>3-5 FTE integration</w:t>
            </w:r>
          </w:p>
        </w:tc>
      </w:tr>
      <w:tr>
        <w:trPr>
          <w:trHeight w:val="425" w:hRule="atLeast"/>
        </w:trPr>
        <w:tc>
          <w:tcPr>
            <w:tcW w:type="dxa" w:w="2436"/>
            <w:vAlign w:val="center"/>
          </w:tcPr>
          <w:p>
            <w:pPr>
              <w:spacing w:line="276" w:lineRule="auto" w:before="0" w:after="0"/>
            </w:pPr>
            <w:r/>
            <w:r>
              <w:rPr>
                <w:rFonts w:ascii="Figtree" w:hAnsi="Figtree"/>
                <w:b w:val="0"/>
                <w:i w:val="0"/>
                <w:sz w:val="20"/>
              </w:rPr>
              <w:t>CSRC audit evidence</w:t>
            </w:r>
          </w:p>
        </w:tc>
        <w:tc>
          <w:tcPr>
            <w:tcW w:type="dxa" w:w="2436"/>
            <w:vAlign w:val="center"/>
          </w:tcPr>
          <w:p>
            <w:pPr>
              <w:spacing w:line="276" w:lineRule="auto" w:before="0" w:after="0"/>
            </w:pPr>
            <w:r/>
            <w:r>
              <w:rPr>
                <w:rFonts w:ascii="Figtree" w:hAnsi="Figtree"/>
                <w:b w:val="0"/>
                <w:i w:val="0"/>
                <w:sz w:val="20"/>
              </w:rPr>
              <w:t>Automated</w:t>
            </w:r>
          </w:p>
        </w:tc>
        <w:tc>
          <w:tcPr>
            <w:tcW w:type="dxa" w:w="2436"/>
            <w:vAlign w:val="center"/>
          </w:tcPr>
          <w:p>
            <w:pPr>
              <w:spacing w:line="276" w:lineRule="auto" w:before="0" w:after="0"/>
            </w:pPr>
            <w:r/>
            <w:r>
              <w:rPr>
                <w:rFonts w:ascii="Figtree" w:hAnsi="Figtree"/>
                <w:b w:val="0"/>
                <w:i w:val="0"/>
                <w:sz w:val="20"/>
              </w:rPr>
              <w:t>Custom</w:t>
            </w:r>
          </w:p>
        </w:tc>
        <w:tc>
          <w:tcPr>
            <w:tcW w:type="dxa" w:w="2436"/>
            <w:vAlign w:val="center"/>
          </w:tcPr>
          <w:p>
            <w:pPr>
              <w:spacing w:line="276" w:lineRule="auto" w:before="0" w:after="0"/>
            </w:pPr>
            <w:r/>
            <w:r>
              <w:rPr>
                <w:rFonts w:ascii="Figtree" w:hAnsi="Figtree"/>
                <w:b w:val="0"/>
                <w:i w:val="0"/>
                <w:sz w:val="20"/>
              </w:rPr>
              <w:t>Fragmented</w:t>
            </w:r>
          </w:p>
        </w:tc>
      </w:tr>
      <w:tr>
        <w:trPr>
          <w:trHeight w:val="425" w:hRule="atLeast"/>
        </w:trPr>
        <w:tc>
          <w:tcPr>
            <w:tcW w:type="dxa" w:w="2436"/>
            <w:vAlign w:val="center"/>
          </w:tcPr>
          <w:p>
            <w:pPr>
              <w:spacing w:line="276" w:lineRule="auto" w:before="0" w:after="0"/>
            </w:pPr>
            <w:r/>
            <w:r>
              <w:rPr>
                <w:rFonts w:ascii="Figtree" w:hAnsi="Figtree"/>
                <w:b w:val="0"/>
                <w:i w:val="0"/>
                <w:sz w:val="20"/>
              </w:rPr>
              <w:t>New custody programme cost</w:t>
            </w:r>
          </w:p>
        </w:tc>
        <w:tc>
          <w:tcPr>
            <w:tcW w:type="dxa" w:w="2436"/>
            <w:vAlign w:val="center"/>
          </w:tcPr>
          <w:p>
            <w:pPr>
              <w:spacing w:line="276" w:lineRule="auto" w:before="0" w:after="0"/>
            </w:pPr>
            <w:r/>
            <w:r>
              <w:rPr>
                <w:rFonts w:ascii="Figtree" w:hAnsi="Figtree"/>
                <w:b w:val="0"/>
                <w:i w:val="0"/>
                <w:sz w:val="20"/>
              </w:rPr>
              <w:t>Config only</w:t>
            </w:r>
          </w:p>
        </w:tc>
        <w:tc>
          <w:tcPr>
            <w:tcW w:type="dxa" w:w="2436"/>
            <w:vAlign w:val="center"/>
          </w:tcPr>
          <w:p>
            <w:pPr>
              <w:spacing w:line="276" w:lineRule="auto" w:before="0" w:after="0"/>
            </w:pPr>
            <w:r/>
            <w:r>
              <w:rPr>
                <w:rFonts w:ascii="Figtree" w:hAnsi="Figtree"/>
                <w:b w:val="0"/>
                <w:i w:val="0"/>
                <w:sz w:val="20"/>
              </w:rPr>
              <w:t>3-6 months engineering</w:t>
            </w:r>
          </w:p>
        </w:tc>
        <w:tc>
          <w:tcPr>
            <w:tcW w:type="dxa" w:w="2436"/>
            <w:vAlign w:val="center"/>
          </w:tcPr>
          <w:p>
            <w:pPr>
              <w:spacing w:line="276" w:lineRule="auto" w:before="0" w:after="0"/>
            </w:pPr>
            <w:r/>
            <w:r>
              <w:rPr>
                <w:rFonts w:ascii="Figtree" w:hAnsi="Figtree"/>
                <w:b w:val="0"/>
                <w:i w:val="0"/>
                <w:sz w:val="20"/>
              </w:rPr>
              <w:t>New procurement</w:t>
            </w:r>
          </w:p>
        </w:tc>
      </w:tr>
      <w:tr>
        <w:trPr>
          <w:trHeight w:val="425" w:hRule="atLeast"/>
        </w:trPr>
        <w:tc>
          <w:tcPr>
            <w:tcW w:type="dxa" w:w="2436"/>
            <w:vAlign w:val="center"/>
          </w:tcPr>
          <w:p>
            <w:pPr>
              <w:spacing w:line="276" w:lineRule="auto" w:before="0" w:after="0"/>
            </w:pPr>
            <w:r/>
            <w:r>
              <w:rPr>
                <w:rFonts w:ascii="Figtree" w:hAnsi="Figtree"/>
                <w:b w:val="0"/>
                <w:i w:val="0"/>
                <w:sz w:val="20"/>
              </w:rPr>
              <w:t>3-year total cost</w:t>
            </w:r>
          </w:p>
        </w:tc>
        <w:tc>
          <w:tcPr>
            <w:tcW w:type="dxa" w:w="2436"/>
            <w:vAlign w:val="center"/>
          </w:tcPr>
          <w:p>
            <w:pPr>
              <w:spacing w:line="276" w:lineRule="auto" w:before="0" w:after="0"/>
            </w:pPr>
            <w:r/>
            <w:r>
              <w:rPr>
                <w:rFonts w:ascii="Figtree" w:hAnsi="Figtree"/>
                <w:b w:val="0"/>
                <w:i w:val="0"/>
                <w:sz w:val="20"/>
              </w:rPr>
              <w:t>[VAR]</w:t>
            </w:r>
          </w:p>
        </w:tc>
        <w:tc>
          <w:tcPr>
            <w:tcW w:type="dxa" w:w="2436"/>
            <w:vAlign w:val="center"/>
          </w:tcPr>
          <w:p>
            <w:pPr>
              <w:spacing w:line="276" w:lineRule="auto" w:before="0" w:after="0"/>
            </w:pPr>
            <w:r/>
            <w:r>
              <w:rPr>
                <w:rFonts w:ascii="Figtree" w:hAnsi="Figtree"/>
                <w:b w:val="0"/>
                <w:i w:val="0"/>
                <w:sz w:val="20"/>
              </w:rPr>
              <w:t>Higher (engineering + compliance)</w:t>
            </w:r>
          </w:p>
        </w:tc>
        <w:tc>
          <w:tcPr>
            <w:tcW w:type="dxa" w:w="2436"/>
            <w:vAlign w:val="center"/>
          </w:tcPr>
          <w:p>
            <w:pPr>
              <w:spacing w:line="276" w:lineRule="auto" w:before="0" w:after="0"/>
            </w:pPr>
            <w:r/>
            <w:r>
              <w:rPr>
                <w:rFonts w:ascii="Figtree" w:hAnsi="Figtree"/>
                <w:b w:val="0"/>
                <w:i w:val="0"/>
                <w:sz w:val="20"/>
              </w:rPr>
              <w:t>Comparable but fragmented</w:t>
            </w:r>
          </w:p>
        </w:tc>
      </w:tr>
    </w:tbl>
    <w:p>
      <w:pPr>
        <w:spacing w:before="0" w:after="0" w:line="120" w:lineRule="exact"/>
      </w:pPr>
    </w:p>
    <w:p>
      <w:pPr>
        <w:pStyle w:val="H3"/>
        <w:numPr>
          <w:ilvl w:val="2"/>
          <w:numId w:val="1"/>
        </w:numPr>
      </w:pPr>
      <w:r>
        <w:t>8.2 3-Year DALP TCO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21"/>
        <w:gridCol w:w="1395"/>
        <w:gridCol w:w="1395"/>
        <w:gridCol w:w="1395"/>
        <w:gridCol w:w="116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[VAR]</w:t>
            </w:r>
          </w:p>
        </w:tc>
      </w:tr>
      <w:tr>
        <w:trPr>
          <w:trHeight w:val="425" w:hRule="atLeast"/>
        </w:trPr>
        <w:tc>
          <w:tcPr>
            <w:tcW w:type="dxa" w:w="1949"/>
            <w:vAlign w:val="center"/>
          </w:tcPr>
          <w:p>
            <w:pPr>
              <w:spacing w:line="276" w:lineRule="auto" w:before="0" w:after="0"/>
            </w:pPr>
            <w:r/>
            <w:r>
              <w:rPr>
                <w:rFonts w:ascii="Figtree" w:hAnsi="Figtree"/>
                <w:b w:val="0"/>
                <w:i w:val="0"/>
                <w:sz w:val="20"/>
              </w:rPr>
              <w:t>Support</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r>
      <w:tr>
        <w:trPr>
          <w:trHeight w:val="425" w:hRule="atLeast"/>
        </w:trPr>
        <w:tc>
          <w:tcPr>
            <w:tcW w:type="dxa" w:w="1949"/>
            <w:vAlign w:val="center"/>
          </w:tcPr>
          <w:p>
            <w:pPr>
              <w:spacing w:line="276" w:lineRule="auto" w:before="0" w:after="0"/>
            </w:pPr>
            <w:r/>
            <w:r>
              <w:rPr>
                <w:rFonts w:ascii="Figtree" w:hAnsi="Figtree"/>
                <w:b w:val="0"/>
                <w:i w:val="0"/>
                <w:sz w:val="20"/>
              </w:rPr>
              <w:t>Training</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[VAR]</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r>
    </w:tbl>
    <w:p>
      <w:pPr>
        <w:spacing w:before="0" w:after="0" w:line="120" w:lineRule="exact"/>
      </w:pPr>
    </w:p>
    <w:p>
      <w:pPr>
        <w:pStyle w:val="H2"/>
        <w:numPr>
          <w:ilvl w:val="1"/>
          <w:numId w:val="1"/>
        </w:numPr>
      </w:pPr>
      <w:r>
        <w:t>9. 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69"/>
        <w:gridCol w:w="722"/>
        <w:gridCol w:w="2732"/>
        <w:gridCol w:w="394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Outcome</w:t>
            </w:r>
          </w:p>
        </w:tc>
      </w:tr>
      <w:tr>
        <w:trPr>
          <w:trHeight w:val="425" w:hRule="atLeast"/>
        </w:trPr>
        <w:tc>
          <w:tcPr>
            <w:tcW w:type="dxa" w:w="2436"/>
            <w:vAlign w:val="center"/>
          </w:tcPr>
          <w:p>
            <w:pPr>
              <w:spacing w:line="276" w:lineRule="auto" w:before="0" w:after="0"/>
            </w:pPr>
            <w:r/>
            <w:r>
              <w:rPr>
                <w:rFonts w:ascii="Figtree" w:hAnsi="Figtree"/>
                <w:b w:val="0"/>
                <w:i w:val="0"/>
                <w:sz w:val="20"/>
              </w:rPr>
              <w:t>DBS Bank</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Tokenized deposit custody</w:t>
            </w:r>
          </w:p>
        </w:tc>
        <w:tc>
          <w:tcPr>
            <w:tcW w:type="dxa" w:w="2436"/>
            <w:vAlign w:val="center"/>
          </w:tcPr>
          <w:p>
            <w:pPr>
              <w:spacing w:line="276" w:lineRule="auto" w:before="0" w:after="0"/>
            </w:pPr>
            <w:r/>
            <w:r>
              <w:rPr>
                <w:rFonts w:ascii="Figtree" w:hAnsi="Figtree"/>
                <w:b w:val="0"/>
                <w:i w:val="0"/>
                <w:sz w:val="20"/>
              </w:rPr>
              <w:t>T+0 settlement; MAS compliant; 12+ months production</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Wealth product custody</w:t>
            </w:r>
          </w:p>
        </w:tc>
        <w:tc>
          <w:tcPr>
            <w:tcW w:type="dxa" w:w="2436"/>
            <w:vAlign w:val="center"/>
          </w:tcPr>
          <w:p>
            <w:pPr>
              <w:spacing w:line="276" w:lineRule="auto" w:before="0" w:after="0"/>
            </w:pPr>
            <w:r/>
            <w:r>
              <w:rPr>
                <w:rFonts w:ascii="Figtree" w:hAnsi="Figtree"/>
                <w:b w:val="0"/>
                <w:i w:val="0"/>
                <w:sz w:val="20"/>
              </w:rPr>
              <w:t>MAS compliant; rapid deployment</w:t>
            </w:r>
          </w:p>
        </w:tc>
      </w:tr>
      <w:tr>
        <w:trPr>
          <w:trHeight w:val="425" w:hRule="atLeast"/>
        </w:trPr>
        <w:tc>
          <w:tcPr>
            <w:tcW w:type="dxa" w:w="2436"/>
            <w:vAlign w:val="center"/>
          </w:tcPr>
          <w:p>
            <w:pPr>
              <w:spacing w:line="276" w:lineRule="auto" w:before="0" w:after="0"/>
            </w:pPr>
            <w:r/>
            <w:r>
              <w:rPr>
                <w:rFonts w:ascii="Figtree" w:hAnsi="Figtree"/>
                <w:b w:val="0"/>
                <w:i w:val="0"/>
                <w:sz w:val="20"/>
              </w:rPr>
              <w:t>National Bank of Egypt</w:t>
            </w:r>
          </w:p>
        </w:tc>
        <w:tc>
          <w:tcPr>
            <w:tcW w:type="dxa" w:w="2436"/>
            <w:vAlign w:val="center"/>
          </w:tcPr>
          <w:p>
            <w:pPr>
              <w:spacing w:line="276" w:lineRule="auto" w:before="0" w:after="0"/>
            </w:pPr>
            <w:r/>
            <w:r>
              <w:rPr>
                <w:rFonts w:ascii="Figtree" w:hAnsi="Figtree"/>
                <w:b w:val="0"/>
                <w:i w:val="0"/>
                <w:sz w:val="20"/>
              </w:rPr>
              <w:t>Egypt</w:t>
            </w:r>
          </w:p>
        </w:tc>
        <w:tc>
          <w:tcPr>
            <w:tcW w:type="dxa" w:w="2436"/>
            <w:vAlign w:val="center"/>
          </w:tcPr>
          <w:p>
            <w:pPr>
              <w:spacing w:line="276" w:lineRule="auto" w:before="0" w:after="0"/>
            </w:pPr>
            <w:r/>
            <w:r>
              <w:rPr>
                <w:rFonts w:ascii="Figtree" w:hAnsi="Figtree"/>
                <w:b w:val="0"/>
                <w:i w:val="0"/>
                <w:sz w:val="20"/>
              </w:rPr>
              <w:t>Digital asset custody infrastructure</w:t>
            </w:r>
          </w:p>
        </w:tc>
        <w:tc>
          <w:tcPr>
            <w:tcW w:type="dxa" w:w="2436"/>
            <w:vAlign w:val="center"/>
          </w:tcPr>
          <w:p>
            <w:pPr>
              <w:spacing w:line="276" w:lineRule="auto" w:before="0" w:after="0"/>
            </w:pPr>
            <w:r/>
            <w:r>
              <w:rPr>
                <w:rFonts w:ascii="Figtree" w:hAnsi="Figtree"/>
                <w:b w:val="0"/>
                <w:i w:val="0"/>
                <w:sz w:val="20"/>
              </w:rPr>
              <w:t>CBE regulatory approval; on-premises deployment</w:t>
            </w:r>
          </w:p>
        </w:tc>
      </w:tr>
      <w:tr>
        <w:trPr>
          <w:trHeight w:val="425" w:hRule="atLeast"/>
        </w:trPr>
        <w:tc>
          <w:tcPr>
            <w:tcW w:type="dxa" w:w="2436"/>
            <w:vAlign w:val="center"/>
          </w:tcPr>
          <w:p>
            <w:pPr>
              <w:spacing w:line="276" w:lineRule="auto" w:before="0" w:after="0"/>
            </w:pPr>
            <w:r/>
            <w:r>
              <w:rPr>
                <w:rFonts w:ascii="Figtree" w:hAnsi="Figtree"/>
                <w:b w:val="0"/>
                <w:i w:val="0"/>
                <w:sz w:val="20"/>
              </w:rPr>
              <w:t>Clearstream</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Tokenized collateral custody</w:t>
            </w:r>
          </w:p>
        </w:tc>
        <w:tc>
          <w:tcPr>
            <w:tcW w:type="dxa" w:w="2436"/>
            <w:vAlign w:val="center"/>
          </w:tcPr>
          <w:p>
            <w:pPr>
              <w:spacing w:line="276" w:lineRule="auto" w:before="0" w:after="0"/>
            </w:pPr>
            <w:r/>
            <w:r>
              <w:rPr>
                <w:rFonts w:ascii="Figtree" w:hAnsi="Figtree"/>
                <w:b w:val="0"/>
                <w:i w:val="0"/>
                <w:sz w:val="20"/>
              </w:rPr>
              <w:t>BaFin compliant; market infrastructure deployment</w:t>
            </w:r>
          </w:p>
        </w:tc>
      </w:tr>
    </w:tbl>
    <w:p>
      <w:pPr>
        <w:spacing w:before="0" w:after="0" w:line="120" w:lineRule="exact"/>
      </w:pPr>
    </w:p>
    <w:p>
      <w:pPr>
        <w:pStyle w:val="H2"/>
        <w:numPr>
          <w:ilvl w:val="1"/>
          <w:numId w:val="1"/>
        </w:numPr>
      </w:pPr>
      <w:r>
        <w:t>10. 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94"/>
        <w:gridCol w:w="3066"/>
        <w:gridCol w:w="281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3249"/>
            <w:vAlign w:val="center"/>
          </w:tcPr>
          <w:p>
            <w:pPr>
              <w:spacing w:line="276" w:lineRule="auto" w:before="0" w:after="0"/>
            </w:pPr>
            <w:r/>
            <w:r>
              <w:rPr>
                <w:rFonts w:ascii="Figtree" w:hAnsi="Figtree"/>
                <w:b w:val="0"/>
                <w:i w:val="0"/>
                <w:sz w:val="20"/>
              </w:rPr>
              <w:t>Proposal review meeting</w:t>
            </w:r>
          </w:p>
        </w:tc>
        <w:tc>
          <w:tcPr>
            <w:tcW w:type="dxa" w:w="3249"/>
            <w:vAlign w:val="center"/>
          </w:tcPr>
          <w:p>
            <w:pPr>
              <w:spacing w:line="276" w:lineRule="auto" w:before="0" w:after="0"/>
            </w:pPr>
            <w:r/>
            <w:r>
              <w:rPr>
                <w:rFonts w:ascii="Figtree" w:hAnsi="Figtree"/>
                <w:b w:val="0"/>
                <w:i w:val="0"/>
                <w:sz w:val="20"/>
              </w:rPr>
              <w:t>Bank + SettleMint</w:t>
            </w:r>
          </w:p>
        </w:tc>
        <w:tc>
          <w:tcPr>
            <w:tcW w:type="dxa" w:w="3249"/>
            <w:vAlign w:val="center"/>
          </w:tcPr>
          <w:p>
            <w:pPr>
              <w:spacing w:line="276" w:lineRule="auto" w:before="0" w:after="0"/>
            </w:pPr>
            <w:r/>
            <w:r>
              <w:rPr>
                <w:rFonts w:ascii="Figtree" w:hAnsi="Figtree"/>
                <w:b w:val="0"/>
                <w:i w:val="0"/>
                <w:sz w:val="20"/>
              </w:rPr>
              <w:t>Week 1 post-submission</w:t>
            </w:r>
          </w:p>
        </w:tc>
      </w:tr>
      <w:tr>
        <w:trPr>
          <w:trHeight w:val="425" w:hRule="atLeast"/>
        </w:trPr>
        <w:tc>
          <w:tcPr>
            <w:tcW w:type="dxa" w:w="3249"/>
            <w:vAlign w:val="center"/>
          </w:tcPr>
          <w:p>
            <w:pPr>
              <w:spacing w:line="276" w:lineRule="auto" w:before="0" w:after="0"/>
            </w:pPr>
            <w:r/>
            <w:r>
              <w:rPr>
                <w:rFonts w:ascii="Figtree" w:hAnsi="Figtree"/>
                <w:b w:val="0"/>
                <w:i w:val="0"/>
                <w:sz w:val="20"/>
              </w:rPr>
              <w:t>Architecture workshop</w:t>
            </w:r>
          </w:p>
        </w:tc>
        <w:tc>
          <w:tcPr>
            <w:tcW w:type="dxa" w:w="3249"/>
            <w:vAlign w:val="center"/>
          </w:tcPr>
          <w:p>
            <w:pPr>
              <w:spacing w:line="276" w:lineRule="auto" w:before="0" w:after="0"/>
            </w:pPr>
            <w:r/>
            <w:r>
              <w:rPr>
                <w:rFonts w:ascii="Figtree" w:hAnsi="Figtree"/>
                <w:b w:val="0"/>
                <w:i w:val="0"/>
                <w:sz w:val="20"/>
              </w:rPr>
              <w:t>Technical teams</w:t>
            </w:r>
          </w:p>
        </w:tc>
        <w:tc>
          <w:tcPr>
            <w:tcW w:type="dxa" w:w="3249"/>
            <w:vAlign w:val="center"/>
          </w:tcPr>
          <w:p>
            <w:pPr>
              <w:spacing w:line="276" w:lineRule="auto" w:before="0" w:after="0"/>
            </w:pPr>
            <w:r/>
            <w:r>
              <w:rPr>
                <w:rFonts w:ascii="Figtree" w:hAnsi="Figtree"/>
                <w:b w:val="0"/>
                <w:i w:val="0"/>
                <w:sz w:val="20"/>
              </w:rPr>
              <w:t>Week 3</w:t>
            </w:r>
          </w:p>
        </w:tc>
      </w:tr>
      <w:tr>
        <w:trPr>
          <w:trHeight w:val="425" w:hRule="atLeast"/>
        </w:trPr>
        <w:tc>
          <w:tcPr>
            <w:tcW w:type="dxa" w:w="3249"/>
            <w:vAlign w:val="center"/>
          </w:tcPr>
          <w:p>
            <w:pPr>
              <w:spacing w:line="276" w:lineRule="auto" w:before="0" w:after="0"/>
            </w:pPr>
            <w:r/>
            <w:r>
              <w:rPr>
                <w:rFonts w:ascii="Figtree" w:hAnsi="Figtree"/>
                <w:b w:val="0"/>
                <w:i w:val="0"/>
                <w:sz w:val="20"/>
              </w:rPr>
              <w:t>Commercial validation</w:t>
            </w:r>
          </w:p>
        </w:tc>
        <w:tc>
          <w:tcPr>
            <w:tcW w:type="dxa" w:w="3249"/>
            <w:vAlign w:val="center"/>
          </w:tcPr>
          <w:p>
            <w:pPr>
              <w:spacing w:line="276" w:lineRule="auto" w:before="0" w:after="0"/>
            </w:pPr>
            <w:r/>
            <w:r>
              <w:rPr>
                <w:rFonts w:ascii="Figtree" w:hAnsi="Figtree"/>
                <w:b w:val="0"/>
                <w:i w:val="0"/>
                <w:sz w:val="20"/>
              </w:rPr>
              <w:t>Procurement + SettleMint</w:t>
            </w:r>
          </w:p>
        </w:tc>
        <w:tc>
          <w:tcPr>
            <w:tcW w:type="dxa" w:w="3249"/>
            <w:vAlign w:val="center"/>
          </w:tcPr>
          <w:p>
            <w:pPr>
              <w:spacing w:line="276" w:lineRule="auto" w:before="0" w:after="0"/>
            </w:pPr>
            <w:r/>
            <w:r>
              <w:rPr>
                <w:rFonts w:ascii="Figtree" w:hAnsi="Figtree"/>
                <w:b w:val="0"/>
                <w:i w:val="0"/>
                <w:sz w:val="20"/>
              </w:rPr>
              <w:t>Week 4</w:t>
            </w:r>
          </w:p>
        </w:tc>
      </w:tr>
      <w:tr>
        <w:trPr>
          <w:trHeight w:val="425" w:hRule="atLeast"/>
        </w:trPr>
        <w:tc>
          <w:tcPr>
            <w:tcW w:type="dxa" w:w="3249"/>
            <w:vAlign w:val="center"/>
          </w:tcPr>
          <w:p>
            <w:pPr>
              <w:spacing w:line="276" w:lineRule="auto" w:before="0" w:after="0"/>
            </w:pPr>
            <w:r/>
            <w:r>
              <w:rPr>
                <w:rFonts w:ascii="Figtree" w:hAnsi="Figtree"/>
                <w:b w:val="0"/>
                <w:i w:val="0"/>
                <w:sz w:val="20"/>
              </w:rPr>
              <w:t>Contract red-line</w:t>
            </w:r>
          </w:p>
        </w:tc>
        <w:tc>
          <w:tcPr>
            <w:tcW w:type="dxa" w:w="3249"/>
            <w:vAlign w:val="center"/>
          </w:tcPr>
          <w:p>
            <w:pPr>
              <w:spacing w:line="276" w:lineRule="auto" w:before="0" w:after="0"/>
            </w:pPr>
            <w:r/>
            <w:r>
              <w:rPr>
                <w:rFonts w:ascii="Figtree" w:hAnsi="Figtree"/>
                <w:b w:val="0"/>
                <w:i w:val="0"/>
                <w:sz w:val="20"/>
              </w:rPr>
              <w:t>Legal teams</w:t>
            </w:r>
          </w:p>
        </w:tc>
        <w:tc>
          <w:tcPr>
            <w:tcW w:type="dxa" w:w="3249"/>
            <w:vAlign w:val="center"/>
          </w:tcPr>
          <w:p>
            <w:pPr>
              <w:spacing w:line="276" w:lineRule="auto" w:before="0" w:after="0"/>
            </w:pPr>
            <w:r/>
            <w:r>
              <w:rPr>
                <w:rFonts w:ascii="Figtree" w:hAnsi="Figtree"/>
                <w:b w:val="0"/>
                <w:i w:val="0"/>
                <w:sz w:val="20"/>
              </w:rPr>
              <w:t>Week 5</w:t>
            </w:r>
          </w:p>
        </w:tc>
      </w:tr>
      <w:tr>
        <w:trPr>
          <w:trHeight w:val="425" w:hRule="atLeast"/>
        </w:trPr>
        <w:tc>
          <w:tcPr>
            <w:tcW w:type="dxa" w:w="3249"/>
            <w:vAlign w:val="center"/>
          </w:tcPr>
          <w:p>
            <w:pPr>
              <w:spacing w:line="276" w:lineRule="auto" w:before="0" w:after="0"/>
            </w:pPr>
            <w:r/>
            <w:r>
              <w:rPr>
                <w:rFonts w:ascii="Figtree" w:hAnsi="Figtree"/>
                <w:b w:val="0"/>
                <w:i w:val="0"/>
                <w:sz w:val="20"/>
              </w:rPr>
              <w:t>Best-and-final submission</w:t>
            </w:r>
          </w:p>
        </w:tc>
        <w:tc>
          <w:tcPr>
            <w:tcW w:type="dxa" w:w="3249"/>
            <w:vAlign w:val="center"/>
          </w:tcPr>
          <w:p>
            <w:pPr>
              <w:spacing w:line="276" w:lineRule="auto" w:before="0" w:after="0"/>
            </w:pPr>
            <w:r/>
            <w:r>
              <w:rPr>
                <w:rFonts w:ascii="Figtree" w:hAnsi="Figtree"/>
                <w:b w:val="0"/>
                <w:i w:val="0"/>
                <w:sz w:val="20"/>
              </w:rPr>
              <w:t>SettleMint</w:t>
            </w:r>
          </w:p>
        </w:tc>
        <w:tc>
          <w:tcPr>
            <w:tcW w:type="dxa" w:w="3249"/>
            <w:vAlign w:val="center"/>
          </w:tcPr>
          <w:p>
            <w:pPr>
              <w:spacing w:line="276" w:lineRule="auto" w:before="0" w:after="0"/>
            </w:pPr>
            <w:r/>
            <w:r>
              <w:rPr>
                <w:rFonts w:ascii="Figtree" w:hAnsi="Figtree"/>
                <w:b w:val="0"/>
                <w:i w:val="0"/>
                <w:sz w:val="20"/>
              </w:rPr>
              <w:t>Week 6</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Both parties</w:t>
            </w:r>
          </w:p>
        </w:tc>
        <w:tc>
          <w:tcPr>
            <w:tcW w:type="dxa" w:w="3249"/>
            <w:vAlign w:val="center"/>
          </w:tcPr>
          <w:p>
            <w:pPr>
              <w:spacing w:line="276" w:lineRule="auto" w:before="0" w:after="0"/>
            </w:pPr>
            <w:r/>
            <w:r>
              <w:rPr>
                <w:rFonts w:ascii="Figtree" w:hAnsi="Figtree"/>
                <w:b w:val="0"/>
                <w:i w:val="0"/>
                <w:sz w:val="20"/>
              </w:rPr>
              <w:t>Week 8</w:t>
            </w:r>
          </w:p>
        </w:tc>
      </w:tr>
      <w:tr>
        <w:trPr>
          <w:trHeight w:val="425" w:hRule="atLeast"/>
        </w:trPr>
        <w:tc>
          <w:tcPr>
            <w:tcW w:type="dxa" w:w="3249"/>
            <w:vAlign w:val="center"/>
          </w:tcPr>
          <w:p>
            <w:pPr>
              <w:spacing w:line="276" w:lineRule="auto" w:before="0" w:after="0"/>
            </w:pPr>
            <w:r/>
            <w:r>
              <w:rPr>
                <w:rFonts w:ascii="Figtree" w:hAnsi="Figtree"/>
                <w:b w:val="0"/>
                <w:i w:val="0"/>
                <w:sz w:val="20"/>
              </w:rPr>
              <w:t>Programme mobilisation</w:t>
            </w:r>
          </w:p>
        </w:tc>
        <w:tc>
          <w:tcPr>
            <w:tcW w:type="dxa" w:w="3249"/>
            <w:vAlign w:val="center"/>
          </w:tcPr>
          <w:p>
            <w:pPr>
              <w:spacing w:line="276" w:lineRule="auto" w:before="0" w:after="0"/>
            </w:pPr>
            <w:r/>
            <w:r>
              <w:rPr>
                <w:rFonts w:ascii="Figtree" w:hAnsi="Figtree"/>
                <w:b w:val="0"/>
                <w:i w:val="0"/>
                <w:sz w:val="20"/>
              </w:rPr>
              <w:t>Joint team</w:t>
            </w:r>
          </w:p>
        </w:tc>
        <w:tc>
          <w:tcPr>
            <w:tcW w:type="dxa" w:w="3249"/>
            <w:vAlign w:val="center"/>
          </w:tcPr>
          <w:p>
            <w:pPr>
              <w:spacing w:line="276" w:lineRule="auto" w:before="0" w:after="0"/>
            </w:pPr>
            <w:r/>
            <w:r>
              <w:rPr>
                <w:rFonts w:ascii="Figtree" w:hAnsi="Figtree"/>
                <w:b w:val="0"/>
                <w:i w:val="0"/>
                <w:sz w:val="20"/>
              </w:rPr>
              <w:t>Week 9</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