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Commercial Summary</w:t>
          </w:r>
          <w:r>
            <w:tab/>
          </w:r>
          <w:r>
            <w:t xml:space="preserve">5</w:t>
          </w:r>
        </w:p>
        <w:p>
          <w:pPr>
            <w:pStyle w:val="TOC2"/>
            <w:tabs>
              <w:tab w:val="right" w:leader="dot" w:pos="9072"/>
            </w:tabs>
          </w:pPr>
          <w:r>
            <w:t xml:space="preserve">3. Licensing Model</w:t>
          </w:r>
          <w:r>
            <w:tab/>
          </w:r>
          <w:r>
            <w:t xml:space="preserve">6</w:t>
          </w:r>
        </w:p>
        <w:p>
          <w:pPr>
            <w:pStyle w:val="TOC3"/>
            <w:tabs>
              <w:tab w:val="right" w:leader="dot" w:pos="9072"/>
            </w:tabs>
          </w:pPr>
          <w:r>
            <w:t xml:space="preserve">3.1 Principles</w:t>
          </w:r>
          <w:r>
            <w:tab/>
          </w:r>
          <w:r>
            <w:t xml:space="preserve">7</w:t>
          </w:r>
        </w:p>
        <w:p>
          <w:pPr>
            <w:pStyle w:val="TOC3"/>
            <w:tabs>
              <w:tab w:val="right" w:leader="dot" w:pos="9072"/>
            </w:tabs>
          </w:pPr>
          <w:r>
            <w:t xml:space="preserve">3.2 License Types</w:t>
          </w:r>
          <w:r>
            <w:tab/>
          </w:r>
          <w:r>
            <w:t xml:space="preserve">8</w:t>
          </w:r>
        </w:p>
        <w:p>
          <w:pPr>
            <w:pStyle w:val="TOC2"/>
            <w:tabs>
              <w:tab w:val="right" w:leader="dot" w:pos="9072"/>
            </w:tabs>
          </w:pPr>
          <w:r>
            <w:t xml:space="preserve">4. Implementation Services Pricing</w:t>
          </w:r>
          <w:r>
            <w:tab/>
          </w:r>
          <w:r>
            <w:t xml:space="preserve">9</w:t>
          </w:r>
        </w:p>
        <w:p>
          <w:pPr>
            <w:pStyle w:val="TOC2"/>
            <w:tabs>
              <w:tab w:val="right" w:leader="dot" w:pos="9072"/>
            </w:tabs>
          </w:pPr>
          <w:r>
            <w:t xml:space="preserve">5. Environment and Infrastructure Costs</w:t>
          </w:r>
          <w:r>
            <w:tab/>
          </w:r>
          <w:r>
            <w:t xml:space="preserve">10</w:t>
          </w:r>
        </w:p>
        <w:p>
          <w:pPr>
            <w:pStyle w:val="TOC3"/>
            <w:tabs>
              <w:tab w:val="right" w:leader="dot" w:pos="9072"/>
            </w:tabs>
          </w:pPr>
          <w:r>
            <w:t xml:space="preserve">5.1 AWS ap-southeast-1 Infrastructure (Pass-Through)</w:t>
          </w:r>
          <w:r>
            <w:tab/>
          </w:r>
          <w:r>
            <w:t xml:space="preserve">11</w:t>
          </w:r>
        </w:p>
        <w:p>
          <w:pPr>
            <w:pStyle w:val="TOC3"/>
            <w:tabs>
              <w:tab w:val="right" w:leader="dot" w:pos="9072"/>
            </w:tabs>
          </w:pPr>
          <w:r>
            <w:t xml:space="preserve">5.2 Blockchain Network Infrastructure</w:t>
          </w:r>
          <w:r>
            <w:tab/>
          </w:r>
          <w:r>
            <w:t xml:space="preserve">12</w:t>
          </w:r>
        </w:p>
        <w:p>
          <w:pPr>
            <w:pStyle w:val="TOC2"/>
            <w:tabs>
              <w:tab w:val="right" w:leader="dot" w:pos="9072"/>
            </w:tabs>
          </w:pPr>
          <w:r>
            <w:t xml:space="preserve">6. Support and Maintenance Fees</w:t>
          </w:r>
          <w:r>
            <w:tab/>
          </w:r>
          <w:r>
            <w:t xml:space="preserve">13</w:t>
          </w:r>
        </w:p>
        <w:p>
          <w:pPr>
            <w:pStyle w:val="TOC3"/>
            <w:tabs>
              <w:tab w:val="right" w:leader="dot" w:pos="9072"/>
            </w:tabs>
          </w:pPr>
          <w:r>
            <w:t xml:space="preserve">6.1 Premium Support Recommendation</w:t>
          </w:r>
          <w:r>
            <w:tab/>
          </w:r>
          <w:r>
            <w:t xml:space="preserve">14</w:t>
          </w:r>
        </w:p>
        <w:p>
          <w:pPr>
            <w:pStyle w:val="TOC2"/>
            <w:tabs>
              <w:tab w:val="right" w:leader="dot" w:pos="9072"/>
            </w:tabs>
          </w:pPr>
          <w:r>
            <w:t xml:space="preserve">7. Total Cost of Ownership Analysis</w:t>
          </w:r>
          <w:r>
            <w:tab/>
          </w:r>
          <w:r>
            <w:t xml:space="preserve">15</w:t>
          </w:r>
        </w:p>
        <w:p>
          <w:pPr>
            <w:pStyle w:val="TOC3"/>
            <w:tabs>
              <w:tab w:val="right" w:leader="dot" w:pos="9072"/>
            </w:tabs>
          </w:pPr>
          <w:r>
            <w:t xml:space="preserve">7.1 Three-Year TCO</w:t>
          </w:r>
          <w:r>
            <w:tab/>
          </w:r>
          <w:r>
            <w:t xml:space="preserve">16</w:t>
          </w:r>
        </w:p>
        <w:p>
          <w:pPr>
            <w:pStyle w:val="TOC3"/>
            <w:tabs>
              <w:tab w:val="right" w:leader="dot" w:pos="9072"/>
            </w:tabs>
          </w:pPr>
          <w:r>
            <w:t xml:space="preserve">7.2 Five-Year TCO</w:t>
          </w:r>
          <w:r>
            <w:tab/>
          </w:r>
          <w:r>
            <w:t xml:space="preserve">17</w:t>
          </w:r>
        </w:p>
        <w:p>
          <w:pPr>
            <w:pStyle w:val="TOC3"/>
            <w:tabs>
              <w:tab w:val="right" w:leader="dot" w:pos="9072"/>
            </w:tabs>
          </w:pPr>
          <w:r>
            <w:t xml:space="preserve">7.3 Trade Finance Volume Economics</w:t>
          </w:r>
          <w:r>
            <w:tab/>
          </w:r>
          <w:r>
            <w:t xml:space="preserve">18</w:t>
          </w:r>
        </w:p>
        <w:p>
          <w:pPr>
            <w:pStyle w:val="TOC2"/>
            <w:tabs>
              <w:tab w:val="right" w:leader="dot" w:pos="9072"/>
            </w:tabs>
          </w:pPr>
          <w:r>
            <w:t xml:space="preserve">8. Payment Terms and Milestones</w:t>
          </w:r>
          <w:r>
            <w:tab/>
          </w:r>
          <w:r>
            <w:t xml:space="preserve">19</w:t>
          </w:r>
        </w:p>
        <w:p>
          <w:pPr>
            <w:pStyle w:val="TOC3"/>
            <w:tabs>
              <w:tab w:val="right" w:leader="dot" w:pos="9072"/>
            </w:tabs>
          </w:pPr>
          <w:r>
            <w:t xml:space="preserve">8.1 Platform License</w:t>
          </w:r>
          <w:r>
            <w:tab/>
          </w:r>
          <w:r>
            <w:t xml:space="preserve">20</w:t>
          </w:r>
        </w:p>
        <w:p>
          <w:pPr>
            <w:pStyle w:val="TOC3"/>
            <w:tabs>
              <w:tab w:val="right" w:leader="dot" w:pos="9072"/>
            </w:tabs>
          </w:pPr>
          <w:r>
            <w:t xml:space="preserve">8.2 Implementation Services</w:t>
          </w:r>
          <w:r>
            <w:tab/>
          </w:r>
          <w:r>
            <w:t xml:space="preserve">21</w:t>
          </w:r>
        </w:p>
        <w:p>
          <w:pPr>
            <w:pStyle w:val="TOC3"/>
            <w:tabs>
              <w:tab w:val="right" w:leader="dot" w:pos="9072"/>
            </w:tabs>
          </w:pPr>
          <w:r>
            <w:t xml:space="preserve">8.3 Support</w:t>
          </w:r>
          <w:r>
            <w:tab/>
          </w:r>
          <w:r>
            <w:t xml:space="preserve">22</w:t>
          </w:r>
        </w:p>
        <w:p>
          <w:pPr>
            <w:pStyle w:val="TOC3"/>
            <w:tabs>
              <w:tab w:val="right" w:leader="dot" w:pos="9072"/>
            </w:tabs>
          </w:pPr>
          <w:r>
            <w:t xml:space="preserve">8.4 Infrastructure</w:t>
          </w:r>
          <w:r>
            <w:tab/>
          </w:r>
          <w:r>
            <w:t xml:space="preserve">23</w:t>
          </w:r>
        </w:p>
        <w:p>
          <w:pPr>
            <w:pStyle w:val="TOC2"/>
            <w:tabs>
              <w:tab w:val="right" w:leader="dot" w:pos="9072"/>
            </w:tabs>
          </w:pPr>
          <w:r>
            <w:t xml:space="preserve">9. Commercial Assumptions Register</w:t>
          </w:r>
          <w:r>
            <w:tab/>
          </w:r>
          <w:r>
            <w:t xml:space="preserve">24</w:t>
          </w:r>
        </w:p>
        <w:p>
          <w:pPr>
            <w:pStyle w:val="TOC2"/>
            <w:tabs>
              <w:tab w:val="right" w:leader="dot" w:pos="9072"/>
            </w:tabs>
          </w:pPr>
          <w:r>
            <w:t xml:space="preserve">10. Exit and Transition Terms</w:t>
          </w:r>
          <w:r>
            <w:tab/>
          </w:r>
          <w:r>
            <w:t xml:space="preserve">25</w:t>
          </w:r>
        </w:p>
        <w:p>
          <w:pPr>
            <w:pStyle w:val="TOC3"/>
            <w:tabs>
              <w:tab w:val="right" w:leader="dot" w:pos="9072"/>
            </w:tabs>
          </w:pPr>
          <w:r>
            <w:t xml:space="preserve">10.1 Data Portability</w:t>
          </w:r>
          <w:r>
            <w:tab/>
          </w:r>
          <w:r>
            <w:t xml:space="preserve">26</w:t>
          </w:r>
        </w:p>
        <w:p>
          <w:pPr>
            <w:pStyle w:val="TOC3"/>
            <w:tabs>
              <w:tab w:val="right" w:leader="dot" w:pos="9072"/>
            </w:tabs>
          </w:pPr>
          <w:r>
            <w:t xml:space="preserve">10.2 Transition Support</w:t>
          </w:r>
          <w:r>
            <w:tab/>
          </w:r>
          <w:r>
            <w:t xml:space="preserve">27</w:t>
          </w:r>
        </w:p>
        <w:p>
          <w:pPr>
            <w:pStyle w:val="TOC3"/>
            <w:tabs>
              <w:tab w:val="right" w:leader="dot" w:pos="9072"/>
            </w:tabs>
          </w:pPr>
          <w:r>
            <w:t xml:space="preserve">10.3 Intellectual Property and Blockchain Continuity</w:t>
          </w:r>
          <w:r>
            <w:tab/>
          </w:r>
          <w:r>
            <w:t xml:space="preserve">28</w:t>
          </w:r>
        </w:p>
        <w:p>
          <w:pPr>
            <w:pStyle w:val="TOC2"/>
            <w:tabs>
              <w:tab w:val="right" w:leader="dot" w:pos="9072"/>
            </w:tabs>
          </w:pPr>
          <w:r>
            <w:t xml:space="preserve">11. Value Justification</w:t>
          </w:r>
          <w:r>
            <w:tab/>
          </w:r>
          <w:r>
            <w:t xml:space="preserve">29</w:t>
          </w:r>
        </w:p>
        <w:p>
          <w:pPr>
            <w:pStyle w:val="TOC3"/>
            <w:tabs>
              <w:tab w:val="right" w:leader="dot" w:pos="9072"/>
            </w:tabs>
          </w:pPr>
          <w:r>
            <w:t xml:space="preserve">11.1 Build vs. Buy</w:t>
          </w:r>
          <w:r>
            <w:tab/>
          </w:r>
          <w:r>
            <w:t xml:space="preserve">30</w:t>
          </w:r>
        </w:p>
        <w:p>
          <w:pPr>
            <w:pStyle w:val="TOC3"/>
            <w:tabs>
              <w:tab w:val="right" w:leader="dot" w:pos="9072"/>
            </w:tabs>
          </w:pPr>
          <w:r>
            <w:t xml:space="preserve">11.2 Revenue Opportunity Acceleration</w:t>
          </w:r>
          <w:r>
            <w:tab/>
          </w:r>
          <w:r>
            <w:t xml:space="preserve">31</w:t>
          </w:r>
        </w:p>
        <w:p>
          <w:pPr>
            <w:pStyle w:val="TOC3"/>
            <w:tabs>
              <w:tab w:val="right" w:leader="dot" w:pos="9072"/>
            </w:tabs>
          </w:pPr>
          <w:r>
            <w:t xml:space="preserve">11.3 Operational Cost Reduction</w:t>
          </w:r>
          <w:r>
            <w:tab/>
          </w:r>
          <w:r>
            <w:t xml:space="preserve">32</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UOB (United Overseas Bank Limited)</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UOB-RFP-202603</w:t>
      </w:r>
    </w:p>
    <w:p>
      <w:r>
        <w:rPr>
          <w:rFonts w:ascii="Figtree" w:hAnsi="Figtree"/>
          <w:b w:val="0"/>
          <w:i/>
          <w:sz w:val="22"/>
        </w:rPr>
        <w:t>All prices exclude applicable taxes and VAT. Taxes are added separately based on the client's jurisdiction and applicable tax treaties.</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Commercial Summary</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Implementation Services Pricing</w:t>
      </w:r>
    </w:p>
    <w:p>
      <w:pPr>
        <w:pStyle w:val="ListParagraph"/>
        <w:numPr>
          <w:ilvl w:val="0"/>
          <w:numId w:val="6"/>
        </w:numPr>
      </w:pPr>
      <w:r>
        <w:rPr>
          <w:rFonts w:ascii="Figtree" w:hAnsi="Figtree"/>
          <w:b w:val="0"/>
          <w:i w:val="0"/>
          <w:sz w:val="22"/>
        </w:rPr>
        <w:t>Environment and Infrastructure Costs</w:t>
      </w:r>
    </w:p>
    <w:p>
      <w:pPr>
        <w:pStyle w:val="ListParagraph"/>
        <w:numPr>
          <w:ilvl w:val="0"/>
          <w:numId w:val="6"/>
        </w:numPr>
      </w:pPr>
      <w:r>
        <w:rPr>
          <w:rFonts w:ascii="Figtree" w:hAnsi="Figtree"/>
          <w:b w:val="0"/>
          <w:i w:val="0"/>
          <w:sz w:val="22"/>
        </w:rPr>
        <w:t>Support and Maintenance Fees</w:t>
      </w:r>
    </w:p>
    <w:p>
      <w:pPr>
        <w:pStyle w:val="ListParagraph"/>
        <w:numPr>
          <w:ilvl w:val="0"/>
          <w:numId w:val="6"/>
        </w:numPr>
      </w:pPr>
      <w:r>
        <w:rPr>
          <w:rFonts w:ascii="Figtree" w:hAnsi="Figtree"/>
          <w:b w:val="0"/>
          <w:i w:val="0"/>
          <w:sz w:val="22"/>
        </w:rPr>
        <w:t>Total Cost of Ownership Analysis</w:t>
      </w:r>
    </w:p>
    <w:p>
      <w:pPr>
        <w:pStyle w:val="ListParagraph"/>
        <w:numPr>
          <w:ilvl w:val="0"/>
          <w:numId w:val="6"/>
        </w:numPr>
      </w:pPr>
      <w:r>
        <w:rPr>
          <w:rFonts w:ascii="Figtree" w:hAnsi="Figtree"/>
          <w:b w:val="0"/>
          <w:i w:val="0"/>
          <w:sz w:val="22"/>
        </w:rPr>
        <w:t>Payment Terms and Milestones</w:t>
      </w:r>
    </w:p>
    <w:p>
      <w:pPr>
        <w:pStyle w:val="ListParagraph"/>
        <w:numPr>
          <w:ilvl w:val="0"/>
          <w:numId w:val="6"/>
        </w:numPr>
      </w:pPr>
      <w:r>
        <w:rPr>
          <w:rFonts w:ascii="Figtree" w:hAnsi="Figtree"/>
          <w:b w:val="0"/>
          <w:i w:val="0"/>
          <w:sz w:val="22"/>
        </w:rPr>
        <w:t>Commercial Assumptions Register</w:t>
      </w:r>
    </w:p>
    <w:p>
      <w:pPr>
        <w:pStyle w:val="ListParagraph"/>
        <w:numPr>
          <w:ilvl w:val="0"/>
          <w:numId w:val="6"/>
        </w:numPr>
      </w:pPr>
      <w:r>
        <w:rPr>
          <w:rFonts w:ascii="Figtree" w:hAnsi="Figtree"/>
          <w:b w:val="0"/>
          <w:i w:val="0"/>
          <w:sz w:val="22"/>
        </w:rPr>
        <w:t>Exit and Transition Terms</w:t>
      </w:r>
    </w:p>
    <w:p>
      <w:pPr>
        <w:pStyle w:val="ListParagraph"/>
        <w:numPr>
          <w:ilvl w:val="0"/>
          <w:numId w:val="6"/>
        </w:numPr>
      </w:pPr>
      <w:r>
        <w:rPr>
          <w:rFonts w:ascii="Figtree" w:hAnsi="Figtree"/>
          <w:b w:val="0"/>
          <w:i w:val="0"/>
          <w:sz w:val="22"/>
        </w:rPr>
        <w:t>Value Justification</w:t>
      </w:r>
    </w:p>
    <w:p>
      <w:r>
        <w:br w:type="page"/>
      </w:r>
    </w:p>
    <w:p>
      <w:pPr>
        <w:pStyle w:val="H2"/>
        <w:numPr>
          <w:ilvl w:val="1"/>
          <w:numId w:val="1"/>
        </w:numPr>
      </w:pPr>
      <w:r>
        <w:t>1. Cover Page</w:t>
      </w:r>
    </w:p>
    <w:p>
      <w:r>
        <w:rPr>
          <w:rFonts w:ascii="Figtree" w:hAnsi="Figtree"/>
          <w:b/>
          <w:i w:val="0"/>
          <w:sz w:val="22"/>
        </w:rPr>
        <w:t>Document Title:</w:t>
      </w:r>
      <w:r>
        <w:rPr>
          <w:rFonts w:ascii="Figtree" w:hAnsi="Figtree"/>
          <w:b w:val="0"/>
          <w:i w:val="0"/>
          <w:sz w:val="22"/>
        </w:rPr>
        <w:t xml:space="preserve"> Commercial Proposal: Digital Trade Finance Platform</w:t>
      </w:r>
    </w:p>
    <w:p>
      <w:r>
        <w:rPr>
          <w:rFonts w:ascii="Figtree" w:hAnsi="Figtree"/>
          <w:b/>
          <w:i w:val="0"/>
          <w:sz w:val="22"/>
        </w:rPr>
        <w:t>Client:</w:t>
      </w:r>
      <w:r>
        <w:rPr>
          <w:rFonts w:ascii="Figtree" w:hAnsi="Figtree"/>
          <w:b w:val="0"/>
          <w:i w:val="0"/>
          <w:sz w:val="22"/>
        </w:rPr>
        <w:t xml:space="preserve"> UOB (United Overseas Bank Limited), Singapore</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val="0"/>
          <w:i/>
          <w:sz w:val="22"/>
        </w:rPr>
        <w:t>This document contains proprietary and confidential pricing information belonging to SettleMint NV. It is submitted exclusively in response to UOB-RFP-202603. All prices exclude applicable taxes and VAT.</w:t>
      </w:r>
    </w:p>
    <w:p>
      <w:r>
        <w:br w:type="page"/>
      </w:r>
    </w:p>
    <w:p>
      <w:pPr>
        <w:pStyle w:val="H2"/>
        <w:numPr>
          <w:ilvl w:val="1"/>
          <w:numId w:val="1"/>
        </w:numPr>
      </w:pPr>
      <w:r>
        <w:t>2. Commercial Summary</w:t>
      </w:r>
    </w:p>
    <w:p>
      <w:r>
        <w:rPr>
          <w:rFonts w:ascii="Figtree" w:hAnsi="Figtree"/>
          <w:b w:val="0"/>
          <w:i w:val="0"/>
          <w:sz w:val="22"/>
        </w:rPr>
        <w:t>UOB's digital trade finance platform requires a commercial model that scales with the programme's growth across ASEAN trade corridors — without creating a situation where commercial success in trade volumes drives license cost escalation. SettleMint's environment-based licensing model provides exactly this: costs are fixed per environment, not variable with transaction volume, trade value processed, or number of counterparties onboarded.</w:t>
      </w:r>
    </w:p>
    <w:p>
      <w:r>
        <w:rPr>
          <w:rFonts w:ascii="Figtree" w:hAnsi="Figtree"/>
          <w:b/>
          <w:i w:val="0"/>
          <w:sz w:val="22"/>
        </w:rPr>
        <w:t>Year 1 Platform License Summary:</w:t>
      </w:r>
    </w:p>
    <w:p>
      <w:r>
        <w:rPr>
          <w:rFonts w:ascii="Figtree" w:hAnsi="Figtree"/>
          <w:b w:val="0"/>
          <w:i/>
          <w:sz w:val="22"/>
        </w:rPr>
        <w:t>All prices exclude applicable taxes and VAT.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229"/>
        <w:gridCol w:w="384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Annual Cost (EUR)</w:t>
            </w:r>
          </w:p>
        </w:tc>
      </w:tr>
      <w:tr>
        <w:trPr>
          <w:trHeight w:val="425" w:hRule="atLeast"/>
        </w:trPr>
        <w:tc>
          <w:tcPr>
            <w:tcW w:type="dxa" w:w="4873"/>
            <w:vAlign w:val="center"/>
          </w:tcPr>
          <w:p>
            <w:pPr>
              <w:spacing w:line="276" w:lineRule="auto" w:before="0" w:after="0"/>
            </w:pPr>
            <w:r/>
            <w:r>
              <w:rPr>
                <w:rFonts w:ascii="Figtree" w:hAnsi="Figtree"/>
                <w:b w:val="0"/>
                <w:i w:val="0"/>
                <w:sz w:val="20"/>
              </w:rPr>
              <w:t>Production License (1 environment)</w:t>
            </w:r>
          </w:p>
        </w:tc>
        <w:tc>
          <w:tcPr>
            <w:tcW w:type="dxa" w:w="4873"/>
            <w:vAlign w:val="center"/>
          </w:tcPr>
          <w:p>
            <w:pPr>
              <w:spacing w:line="276" w:lineRule="auto" w:before="0" w:after="0"/>
            </w:pPr>
            <w:r/>
            <w:r>
              <w:rPr>
                <w:rFonts w:ascii="Figtree" w:hAnsi="Figtree"/>
                <w:b w:val="0"/>
                <w:i w:val="0"/>
                <w:sz w:val="20"/>
              </w:rPr>
              <w:t>300,000</w:t>
            </w:r>
          </w:p>
        </w:tc>
      </w:tr>
      <w:tr>
        <w:trPr>
          <w:trHeight w:val="425" w:hRule="atLeast"/>
        </w:trPr>
        <w:tc>
          <w:tcPr>
            <w:tcW w:type="dxa" w:w="4873"/>
            <w:vAlign w:val="center"/>
          </w:tcPr>
          <w:p>
            <w:pPr>
              <w:spacing w:line="276" w:lineRule="auto" w:before="0" w:after="0"/>
            </w:pPr>
            <w:r/>
            <w:r>
              <w:rPr>
                <w:rFonts w:ascii="Figtree" w:hAnsi="Figtree"/>
                <w:b w:val="0"/>
                <w:i w:val="0"/>
                <w:sz w:val="20"/>
              </w:rPr>
              <w:t>Development License (1 environment)</w:t>
            </w:r>
          </w:p>
        </w:tc>
        <w:tc>
          <w:tcPr>
            <w:tcW w:type="dxa" w:w="4873"/>
            <w:vAlign w:val="center"/>
          </w:tcPr>
          <w:p>
            <w:pPr>
              <w:spacing w:line="276" w:lineRule="auto" w:before="0" w:after="0"/>
            </w:pPr>
            <w:r/>
            <w:r>
              <w:rPr>
                <w:rFonts w:ascii="Figtree" w:hAnsi="Figtree"/>
                <w:b w:val="0"/>
                <w:i w:val="0"/>
                <w:sz w:val="20"/>
              </w:rPr>
              <w:t>120,000</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 (19-week programme)</w:t>
            </w:r>
          </w:p>
        </w:tc>
        <w:tc>
          <w:tcPr>
            <w:tcW w:type="dxa" w:w="4873"/>
            <w:vAlign w:val="center"/>
          </w:tcPr>
          <w:p>
            <w:pPr>
              <w:spacing w:line="276" w:lineRule="auto" w:before="0" w:after="0"/>
            </w:pPr>
            <w:r/>
            <w:r>
              <w:rPr>
                <w:rFonts w:ascii="Figtree" w:hAnsi="Figtree"/>
                <w:b w:val="0"/>
                <w:i w:val="0"/>
                <w:sz w:val="20"/>
              </w:rPr>
              <w:t>[CLIENT-SPECIFIC: scoped in Phase 1]</w:t>
            </w:r>
          </w:p>
        </w:tc>
      </w:tr>
      <w:tr>
        <w:trPr>
          <w:trHeight w:val="425" w:hRule="atLeast"/>
        </w:trPr>
        <w:tc>
          <w:tcPr>
            <w:tcW w:type="dxa" w:w="4873"/>
            <w:vAlign w:val="center"/>
          </w:tcPr>
          <w:p>
            <w:pPr>
              <w:spacing w:line="276" w:lineRule="auto" w:before="0" w:after="0"/>
            </w:pPr>
            <w:r/>
            <w:r>
              <w:rPr>
                <w:rFonts w:ascii="Figtree" w:hAnsi="Figtree"/>
                <w:b w:val="0"/>
                <w:i w:val="0"/>
                <w:sz w:val="20"/>
              </w:rPr>
              <w:t>Premium Support</w:t>
            </w:r>
          </w:p>
        </w:tc>
        <w:tc>
          <w:tcPr>
            <w:tcW w:type="dxa" w:w="4873"/>
            <w:vAlign w:val="center"/>
          </w:tcPr>
          <w:p>
            <w:pPr>
              <w:spacing w:line="276" w:lineRule="auto" w:before="0" w:after="0"/>
            </w:pPr>
            <w:r/>
            <w:r>
              <w:rPr>
                <w:rFonts w:ascii="Figtree" w:hAnsi="Figtree"/>
                <w:b w:val="0"/>
                <w:i w:val="0"/>
                <w:sz w:val="20"/>
              </w:rPr>
              <w:t>[CLIENT-SPECIFIC: scoped per tier]</w:t>
            </w:r>
          </w:p>
        </w:tc>
      </w:tr>
      <w:tr>
        <w:trPr>
          <w:trHeight w:val="425" w:hRule="atLeast"/>
        </w:trPr>
        <w:tc>
          <w:tcPr>
            <w:tcW w:type="dxa" w:w="4873"/>
            <w:vAlign w:val="center"/>
          </w:tcPr>
          <w:p>
            <w:pPr>
              <w:spacing w:line="276" w:lineRule="auto" w:before="0" w:after="0"/>
            </w:pPr>
            <w:r/>
            <w:r>
              <w:rPr>
                <w:rFonts w:ascii="Figtree" w:hAnsi="Figtree"/>
                <w:b w:val="0"/>
                <w:i w:val="0"/>
                <w:sz w:val="20"/>
              </w:rPr>
              <w:t>Infrastructure (AWS ap-southeast-1, pass-through)</w:t>
            </w:r>
          </w:p>
        </w:tc>
        <w:tc>
          <w:tcPr>
            <w:tcW w:type="dxa" w:w="4873"/>
            <w:vAlign w:val="center"/>
          </w:tcPr>
          <w:p>
            <w:pPr>
              <w:spacing w:line="276" w:lineRule="auto" w:before="0" w:after="0"/>
            </w:pPr>
            <w:r/>
            <w:r>
              <w:rPr>
                <w:rFonts w:ascii="Figtree" w:hAnsi="Figtree"/>
                <w:b w:val="0"/>
                <w:i w:val="0"/>
                <w:sz w:val="20"/>
              </w:rPr>
              <w:t>[Pass-through at cost]</w:t>
            </w:r>
          </w:p>
        </w:tc>
      </w:tr>
      <w:tr>
        <w:trPr>
          <w:trHeight w:val="425" w:hRule="atLeast"/>
        </w:trPr>
        <w:tc>
          <w:tcPr>
            <w:tcW w:type="dxa" w:w="4873"/>
            <w:vAlign w:val="center"/>
          </w:tcPr>
          <w:p>
            <w:pPr>
              <w:spacing w:line="276" w:lineRule="auto" w:before="0" w:after="0"/>
            </w:pPr>
            <w:r/>
            <w:r>
              <w:rPr>
                <w:rFonts w:ascii="Figtree" w:hAnsi="Figtree"/>
                <w:b/>
                <w:i w:val="0"/>
                <w:sz w:val="20"/>
              </w:rPr>
              <w:t>Platform License Total (Year 1)</w:t>
            </w:r>
          </w:p>
        </w:tc>
        <w:tc>
          <w:tcPr>
            <w:tcW w:type="dxa" w:w="4873"/>
            <w:vAlign w:val="center"/>
          </w:tcPr>
          <w:p>
            <w:pPr>
              <w:spacing w:line="276" w:lineRule="auto" w:before="0" w:after="0"/>
            </w:pPr>
            <w:r/>
            <w:r>
              <w:rPr>
                <w:rFonts w:ascii="Figtree" w:hAnsi="Figtree"/>
                <w:b/>
                <w:i w:val="0"/>
                <w:sz w:val="20"/>
              </w:rPr>
              <w:t>420,000</w:t>
            </w:r>
          </w:p>
        </w:tc>
      </w:tr>
    </w:tbl>
    <w:p>
      <w:pPr>
        <w:spacing w:before="0" w:after="0" w:line="120" w:lineRule="exact"/>
      </w:pPr>
    </w:p>
    <w:p>
      <w:r>
        <w:rPr>
          <w:rFonts w:ascii="Figtree" w:hAnsi="Figtree"/>
          <w:b w:val="0"/>
          <w:i/>
          <w:sz w:val="22"/>
        </w:rPr>
        <w:t>All prices payable annually and upfront. All prices exclude applicable taxes and VAT.</w:t>
      </w:r>
    </w:p>
    <w:p>
      <w:r>
        <w:rPr>
          <w:rFonts w:ascii="Figtree" w:hAnsi="Figtree"/>
          <w:b/>
          <w:i w:val="0"/>
          <w:sz w:val="22"/>
        </w:rPr>
        <w:t>Three-Year Platform License: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41"/>
        <w:gridCol w:w="2341"/>
        <w:gridCol w:w="2487"/>
        <w:gridCol w:w="190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Production (EUR)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Development (EUR)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Total (EUR)</w:t>
            </w:r>
          </w:p>
        </w:tc>
      </w:tr>
      <w:tr>
        <w:trPr>
          <w:trHeight w:val="425" w:hRule="atLeast"/>
        </w:trPr>
        <w:tc>
          <w:tcPr>
            <w:tcW w:type="dxa" w:w="2436"/>
            <w:vAlign w:val="center"/>
          </w:tcPr>
          <w:p>
            <w:pPr>
              <w:spacing w:line="276" w:lineRule="auto" w:before="0" w:after="0"/>
            </w:pPr>
            <w:r/>
            <w:r>
              <w:rPr>
                <w:rFonts w:ascii="Figtree" w:hAnsi="Figtree"/>
                <w:b w:val="0"/>
                <w:i w:val="0"/>
                <w:sz w:val="20"/>
              </w:rPr>
              <w:t>Year 1</w:t>
            </w:r>
          </w:p>
        </w:tc>
        <w:tc>
          <w:tcPr>
            <w:tcW w:type="dxa" w:w="2436"/>
            <w:vAlign w:val="center"/>
          </w:tcPr>
          <w:p>
            <w:pPr>
              <w:spacing w:line="276" w:lineRule="auto" w:before="0" w:after="0"/>
            </w:pPr>
            <w:r/>
            <w:r>
              <w:rPr>
                <w:rFonts w:ascii="Figtree" w:hAnsi="Figtree"/>
                <w:b w:val="0"/>
                <w:i w:val="0"/>
                <w:sz w:val="20"/>
              </w:rPr>
              <w:t>300,000</w:t>
            </w:r>
          </w:p>
        </w:tc>
        <w:tc>
          <w:tcPr>
            <w:tcW w:type="dxa" w:w="2436"/>
            <w:vAlign w:val="center"/>
          </w:tcPr>
          <w:p>
            <w:pPr>
              <w:spacing w:line="276" w:lineRule="auto" w:before="0" w:after="0"/>
            </w:pPr>
            <w:r/>
            <w:r>
              <w:rPr>
                <w:rFonts w:ascii="Figtree" w:hAnsi="Figtree"/>
                <w:b w:val="0"/>
                <w:i w:val="0"/>
                <w:sz w:val="20"/>
              </w:rPr>
              <w:t>120,000</w:t>
            </w:r>
          </w:p>
        </w:tc>
        <w:tc>
          <w:tcPr>
            <w:tcW w:type="dxa" w:w="2436"/>
            <w:vAlign w:val="center"/>
          </w:tcPr>
          <w:p>
            <w:pPr>
              <w:spacing w:line="276" w:lineRule="auto" w:before="0" w:after="0"/>
            </w:pPr>
            <w:r/>
            <w:r>
              <w:rPr>
                <w:rFonts w:ascii="Figtree" w:hAnsi="Figtree"/>
                <w:b w:val="0"/>
                <w:i w:val="0"/>
                <w:sz w:val="20"/>
              </w:rPr>
              <w:t>420,000</w:t>
            </w:r>
          </w:p>
        </w:tc>
      </w:tr>
      <w:tr>
        <w:trPr>
          <w:trHeight w:val="425" w:hRule="atLeast"/>
        </w:trPr>
        <w:tc>
          <w:tcPr>
            <w:tcW w:type="dxa" w:w="2436"/>
            <w:vAlign w:val="center"/>
          </w:tcPr>
          <w:p>
            <w:pPr>
              <w:spacing w:line="276" w:lineRule="auto" w:before="0" w:after="0"/>
            </w:pPr>
            <w:r/>
            <w:r>
              <w:rPr>
                <w:rFonts w:ascii="Figtree" w:hAnsi="Figtree"/>
                <w:b w:val="0"/>
                <w:i w:val="0"/>
                <w:sz w:val="20"/>
              </w:rPr>
              <w:t>Year 2</w:t>
            </w:r>
          </w:p>
        </w:tc>
        <w:tc>
          <w:tcPr>
            <w:tcW w:type="dxa" w:w="2436"/>
            <w:vAlign w:val="center"/>
          </w:tcPr>
          <w:p>
            <w:pPr>
              <w:spacing w:line="276" w:lineRule="auto" w:before="0" w:after="0"/>
            </w:pPr>
            <w:r/>
            <w:r>
              <w:rPr>
                <w:rFonts w:ascii="Figtree" w:hAnsi="Figtree"/>
                <w:b w:val="0"/>
                <w:i w:val="0"/>
                <w:sz w:val="20"/>
              </w:rPr>
              <w:t>300,000</w:t>
            </w:r>
          </w:p>
        </w:tc>
        <w:tc>
          <w:tcPr>
            <w:tcW w:type="dxa" w:w="2436"/>
            <w:vAlign w:val="center"/>
          </w:tcPr>
          <w:p>
            <w:pPr>
              <w:spacing w:line="276" w:lineRule="auto" w:before="0" w:after="0"/>
            </w:pPr>
            <w:r/>
            <w:r>
              <w:rPr>
                <w:rFonts w:ascii="Figtree" w:hAnsi="Figtree"/>
                <w:b w:val="0"/>
                <w:i w:val="0"/>
                <w:sz w:val="20"/>
              </w:rPr>
              <w:t>120,000</w:t>
            </w:r>
          </w:p>
        </w:tc>
        <w:tc>
          <w:tcPr>
            <w:tcW w:type="dxa" w:w="2436"/>
            <w:vAlign w:val="center"/>
          </w:tcPr>
          <w:p>
            <w:pPr>
              <w:spacing w:line="276" w:lineRule="auto" w:before="0" w:after="0"/>
            </w:pPr>
            <w:r/>
            <w:r>
              <w:rPr>
                <w:rFonts w:ascii="Figtree" w:hAnsi="Figtree"/>
                <w:b w:val="0"/>
                <w:i w:val="0"/>
                <w:sz w:val="20"/>
              </w:rPr>
              <w:t>420,000</w:t>
            </w:r>
          </w:p>
        </w:tc>
      </w:tr>
      <w:tr>
        <w:trPr>
          <w:trHeight w:val="425" w:hRule="atLeast"/>
        </w:trPr>
        <w:tc>
          <w:tcPr>
            <w:tcW w:type="dxa" w:w="2436"/>
            <w:vAlign w:val="center"/>
          </w:tcPr>
          <w:p>
            <w:pPr>
              <w:spacing w:line="276" w:lineRule="auto" w:before="0" w:after="0"/>
            </w:pPr>
            <w:r/>
            <w:r>
              <w:rPr>
                <w:rFonts w:ascii="Figtree" w:hAnsi="Figtree"/>
                <w:b w:val="0"/>
                <w:i w:val="0"/>
                <w:sz w:val="20"/>
              </w:rPr>
              <w:t>Year 3</w:t>
            </w:r>
          </w:p>
        </w:tc>
        <w:tc>
          <w:tcPr>
            <w:tcW w:type="dxa" w:w="2436"/>
            <w:vAlign w:val="center"/>
          </w:tcPr>
          <w:p>
            <w:pPr>
              <w:spacing w:line="276" w:lineRule="auto" w:before="0" w:after="0"/>
            </w:pPr>
            <w:r/>
            <w:r>
              <w:rPr>
                <w:rFonts w:ascii="Figtree" w:hAnsi="Figtree"/>
                <w:b w:val="0"/>
                <w:i w:val="0"/>
                <w:sz w:val="20"/>
              </w:rPr>
              <w:t>300,000</w:t>
            </w:r>
          </w:p>
        </w:tc>
        <w:tc>
          <w:tcPr>
            <w:tcW w:type="dxa" w:w="2436"/>
            <w:vAlign w:val="center"/>
          </w:tcPr>
          <w:p>
            <w:pPr>
              <w:spacing w:line="276" w:lineRule="auto" w:before="0" w:after="0"/>
            </w:pPr>
            <w:r/>
            <w:r>
              <w:rPr>
                <w:rFonts w:ascii="Figtree" w:hAnsi="Figtree"/>
                <w:b w:val="0"/>
                <w:i w:val="0"/>
                <w:sz w:val="20"/>
              </w:rPr>
              <w:t>120,000</w:t>
            </w:r>
          </w:p>
        </w:tc>
        <w:tc>
          <w:tcPr>
            <w:tcW w:type="dxa" w:w="2436"/>
            <w:vAlign w:val="center"/>
          </w:tcPr>
          <w:p>
            <w:pPr>
              <w:spacing w:line="276" w:lineRule="auto" w:before="0" w:after="0"/>
            </w:pPr>
            <w:r/>
            <w:r>
              <w:rPr>
                <w:rFonts w:ascii="Figtree" w:hAnsi="Figtree"/>
                <w:b w:val="0"/>
                <w:i w:val="0"/>
                <w:sz w:val="20"/>
              </w:rPr>
              <w:t>420,000</w:t>
            </w:r>
          </w:p>
        </w:tc>
      </w:tr>
      <w:tr>
        <w:trPr>
          <w:trHeight w:val="425" w:hRule="atLeast"/>
        </w:trPr>
        <w:tc>
          <w:tcPr>
            <w:tcW w:type="dxa" w:w="2436"/>
            <w:vAlign w:val="center"/>
          </w:tcPr>
          <w:p>
            <w:pPr>
              <w:spacing w:line="276" w:lineRule="auto" w:before="0" w:after="0"/>
            </w:pPr>
            <w:r/>
            <w:r>
              <w:rPr>
                <w:rFonts w:ascii="Figtree" w:hAnsi="Figtree"/>
                <w:b/>
                <w:i w:val="0"/>
                <w:sz w:val="20"/>
              </w:rPr>
              <w:t>3-Year Total</w:t>
            </w:r>
          </w:p>
        </w:tc>
        <w:tc>
          <w:tcPr>
            <w:tcW w:type="dxa" w:w="2436"/>
            <w:vAlign w:val="center"/>
          </w:tcPr>
          <w:p>
            <w:pPr>
              <w:spacing w:line="276" w:lineRule="auto" w:before="0" w:after="0"/>
            </w:pPr>
            <w:r/>
            <w:r>
              <w:rPr>
                <w:rFonts w:ascii="Figtree" w:hAnsi="Figtree"/>
                <w:b/>
                <w:i w:val="0"/>
                <w:sz w:val="20"/>
              </w:rPr>
              <w:t>900,000</w:t>
            </w:r>
          </w:p>
        </w:tc>
        <w:tc>
          <w:tcPr>
            <w:tcW w:type="dxa" w:w="2436"/>
            <w:vAlign w:val="center"/>
          </w:tcPr>
          <w:p>
            <w:pPr>
              <w:spacing w:line="276" w:lineRule="auto" w:before="0" w:after="0"/>
            </w:pPr>
            <w:r/>
            <w:r>
              <w:rPr>
                <w:rFonts w:ascii="Figtree" w:hAnsi="Figtree"/>
                <w:b/>
                <w:i w:val="0"/>
                <w:sz w:val="20"/>
              </w:rPr>
              <w:t>360,000</w:t>
            </w:r>
          </w:p>
        </w:tc>
        <w:tc>
          <w:tcPr>
            <w:tcW w:type="dxa" w:w="2436"/>
            <w:vAlign w:val="center"/>
          </w:tcPr>
          <w:p>
            <w:pPr>
              <w:spacing w:line="276" w:lineRule="auto" w:before="0" w:after="0"/>
            </w:pPr>
            <w:r/>
            <w:r>
              <w:rPr>
                <w:rFonts w:ascii="Figtree" w:hAnsi="Figtree"/>
                <w:b/>
                <w:i w:val="0"/>
                <w:sz w:val="20"/>
              </w:rPr>
              <w:t>1,260,000</w:t>
            </w:r>
          </w:p>
        </w:tc>
      </w:tr>
    </w:tbl>
    <w:p>
      <w:pPr>
        <w:spacing w:before="0" w:after="0" w:line="120" w:lineRule="exact"/>
      </w:pPr>
    </w:p>
    <w:p>
      <w:r>
        <w:rPr>
          <w:rFonts w:ascii="Figtree" w:hAnsi="Figtree"/>
          <w:b w:val="0"/>
          <w:i/>
          <w:sz w:val="22"/>
        </w:rPr>
        <w:t>All prices exclude applicable taxes and VAT.</w:t>
      </w:r>
    </w:p>
    <w:p>
      <w:r>
        <w:br w:type="page"/>
      </w:r>
    </w:p>
    <w:p>
      <w:pPr>
        <w:pStyle w:val="H2"/>
        <w:numPr>
          <w:ilvl w:val="1"/>
          <w:numId w:val="1"/>
        </w:numPr>
      </w:pPr>
      <w:r>
        <w:t>3. Licensing Model</w:t>
      </w:r>
    </w:p>
    <w:p>
      <w:pPr>
        <w:pStyle w:val="H3"/>
        <w:numPr>
          <w:ilvl w:val="2"/>
          <w:numId w:val="1"/>
        </w:numPr>
      </w:pPr>
      <w:r>
        <w:t>3.1 Principles</w:t>
      </w:r>
    </w:p>
    <w:p>
      <w:r>
        <w:rPr>
          <w:rFonts w:ascii="Figtree" w:hAnsi="Figtree"/>
          <w:b/>
          <w:i w:val="0"/>
          <w:sz w:val="22"/>
        </w:rPr>
        <w:t>Volume-insensitive pricing:</w:t>
      </w:r>
      <w:r>
        <w:rPr>
          <w:rFonts w:ascii="Figtree" w:hAnsi="Figtree"/>
          <w:b w:val="0"/>
          <w:i w:val="0"/>
          <w:sz w:val="22"/>
        </w:rPr>
        <w:t xml:space="preserve"> UOB pays for environments. As UOB's digital trade finance volumes grow — from initial controlled deployment to hundreds of LCs and thousands of BoL transfers monthly — the license cost remains EUR 420,000/year for the two-environment baseline. Commercial success does not create license cost escalation.</w:t>
      </w:r>
    </w:p>
    <w:p>
      <w:r>
        <w:rPr>
          <w:rFonts w:ascii="Figtree" w:hAnsi="Figtree"/>
          <w:b/>
          <w:i w:val="0"/>
          <w:sz w:val="22"/>
        </w:rPr>
        <w:t>All instruments, one license:</w:t>
      </w:r>
      <w:r>
        <w:rPr>
          <w:rFonts w:ascii="Figtree" w:hAnsi="Figtree"/>
          <w:b w:val="0"/>
          <w:i w:val="0"/>
          <w:sz w:val="22"/>
        </w:rPr>
        <w:t xml:space="preserve"> The production license covers all DALP trade finance capabilities: LCs, BoLs, invoice financing, receivables, SGD XvP settlement, TradeTrust integration, SWIFT connectivity — without incremental fees per instrument type or corridor.</w:t>
      </w:r>
    </w:p>
    <w:p>
      <w:r>
        <w:rPr>
          <w:rFonts w:ascii="Figtree" w:hAnsi="Figtree"/>
          <w:b/>
          <w:i w:val="0"/>
          <w:sz w:val="22"/>
        </w:rPr>
        <w:t>Corridor expansion through configuration:</w:t>
      </w:r>
      <w:r>
        <w:rPr>
          <w:rFonts w:ascii="Figtree" w:hAnsi="Figtree"/>
          <w:b w:val="0"/>
          <w:i w:val="0"/>
          <w:sz w:val="22"/>
        </w:rPr>
        <w:t xml:space="preserve"> Adding new ASEAN trade corridors (Thailand, Vietnam, Indonesia, Philippines) or new counterparty relationships is a configuration exercise within the existing license. No additional license fee for corridor or counterparty expansion.</w:t>
      </w:r>
    </w:p>
    <w:p>
      <w:r>
        <w:rPr>
          <w:rFonts w:ascii="Figtree" w:hAnsi="Figtree"/>
          <w:b/>
          <w:i w:val="0"/>
          <w:sz w:val="22"/>
        </w:rPr>
        <w:t>Entity expansion through additional environments:</w:t>
      </w:r>
      <w:r>
        <w:rPr>
          <w:rFonts w:ascii="Figtree" w:hAnsi="Figtree"/>
          <w:b w:val="0"/>
          <w:i w:val="0"/>
          <w:sz w:val="22"/>
        </w:rPr>
        <w:t xml:space="preserve"> A new UOB legal entity (e.g., UOB Thailand using the same platform as UOB Singapore) requires a separate environment license at the standard rate (EUR 300,000/year for production), not a bespoke pricing negotiation.</w:t>
      </w:r>
    </w:p>
    <w:p>
      <w:pPr>
        <w:pStyle w:val="H3"/>
        <w:numPr>
          <w:ilvl w:val="2"/>
          <w:numId w:val="1"/>
        </w:numPr>
      </w:pPr>
      <w:r>
        <w:t>3.2 License Types</w:t>
      </w:r>
    </w:p>
    <w:p>
      <w:r>
        <w:rPr>
          <w:rFonts w:ascii="Figtree" w:hAnsi="Figtree"/>
          <w:b/>
          <w:i w:val="0"/>
          <w:sz w:val="22"/>
        </w:rPr>
        <w:t>Production License: EUR 300,000 per year</w:t>
      </w:r>
    </w:p>
    <w:p>
      <w:r>
        <w:rPr>
          <w:rFonts w:ascii="Figtree" w:hAnsi="Figtree"/>
          <w:b w:val="0"/>
          <w:i w:val="0"/>
          <w:sz w:val="22"/>
        </w:rPr>
        <w:t>Live trade finance operations environment. Covers: all LC, BoL, invoice, and receivable lifecycle operations; all compliance enforcement; SGD XvP settlement; TradeTrust integration; all API access; and the full observability stack.</w:t>
      </w:r>
    </w:p>
    <w:p>
      <w:r>
        <w:rPr>
          <w:rFonts w:ascii="Figtree" w:hAnsi="Figtree"/>
          <w:b/>
          <w:i w:val="0"/>
          <w:sz w:val="22"/>
        </w:rPr>
        <w:t>Development License: EUR 120,000 per year</w:t>
      </w:r>
    </w:p>
    <w:p>
      <w:r>
        <w:rPr>
          <w:rFonts w:ascii="Figtree" w:hAnsi="Figtree"/>
          <w:b w:val="0"/>
          <w:i w:val="0"/>
          <w:sz w:val="22"/>
        </w:rPr>
        <w:t>Non-production environments for development, integration testing, UAT, and pre-production validation. Full DALP capability; no live customer transactions.</w:t>
      </w:r>
    </w:p>
    <w:p>
      <w:r>
        <w:rPr>
          <w:rFonts w:ascii="Figtree" w:hAnsi="Figtree"/>
          <w:b w:val="0"/>
          <w:i/>
          <w:sz w:val="22"/>
        </w:rPr>
        <w:t>All prices exclude applicable taxes and VAT. All licenses payable annually and upfront.</w:t>
      </w:r>
    </w:p>
    <w:p>
      <w:r>
        <w:br w:type="page"/>
      </w:r>
    </w:p>
    <w:p>
      <w:pPr>
        <w:pStyle w:val="H2"/>
        <w:numPr>
          <w:ilvl w:val="1"/>
          <w:numId w:val="1"/>
        </w:numPr>
      </w:pPr>
      <w:r>
        <w:t>4. Implementation Services Pricing</w:t>
      </w:r>
    </w:p>
    <w:p>
      <w:r>
        <w:rPr>
          <w:rFonts w:ascii="Figtree" w:hAnsi="Figtree"/>
          <w:b/>
          <w:i w:val="0"/>
          <w:sz w:val="22"/>
        </w:rPr>
        <w:t>Implementation Services: [CLIENT-SPECIFIC — confirmed in Phase 1]</w:t>
      </w:r>
    </w:p>
    <w:p>
      <w:r>
        <w:rPr>
          <w:rFonts w:ascii="Figtree" w:hAnsi="Figtree"/>
          <w:b w:val="0"/>
          <w:i w:val="0"/>
          <w:sz w:val="22"/>
        </w:rPr>
        <w:t>Fixed-fee implementation for UOB's 19-week digital trade finance programme. Scope includes:</w:t>
      </w:r>
    </w:p>
    <w:p>
      <w:pPr>
        <w:pStyle w:val="ListParagraph"/>
        <w:numPr>
          <w:ilvl w:val="0"/>
          <w:numId w:val="4"/>
        </w:numPr>
      </w:pPr>
      <w:r>
        <w:rPr>
          <w:rFonts w:ascii="Figtree" w:hAnsi="Figtree"/>
          <w:b w:val="0"/>
          <w:i w:val="0"/>
          <w:sz w:val="22"/>
        </w:rPr>
        <w:t>Phase 1: Discovery (3 weeks) — GTB architecture review, MAS TRM compliance mapping, TradeTrust integration assessment, SWIFT connectivity review</w:t>
      </w:r>
    </w:p>
    <w:p>
      <w:pPr>
        <w:pStyle w:val="ListParagraph"/>
        <w:numPr>
          <w:ilvl w:val="0"/>
          <w:numId w:val="4"/>
        </w:numPr>
      </w:pPr>
      <w:r>
        <w:rPr>
          <w:rFonts w:ascii="Figtree" w:hAnsi="Figtree"/>
          <w:b w:val="0"/>
          <w:i w:val="0"/>
          <w:sz w:val="22"/>
        </w:rPr>
        <w:t>Phase 2: Configuration (4 weeks) — LC/BoL token configuration, compliance modules (MAS PSA, sanctions, TBML), Singapore-domiciled environment provisioning</w:t>
      </w:r>
    </w:p>
    <w:p>
      <w:pPr>
        <w:pStyle w:val="ListParagraph"/>
        <w:numPr>
          <w:ilvl w:val="0"/>
          <w:numId w:val="4"/>
        </w:numPr>
      </w:pPr>
      <w:r>
        <w:rPr>
          <w:rFonts w:ascii="Figtree" w:hAnsi="Figtree"/>
          <w:b w:val="0"/>
          <w:i w:val="0"/>
          <w:sz w:val="22"/>
        </w:rPr>
        <w:t>Phase 3: Integration (4 weeks) — GTB integration, SWIFT/ISO 20022 integration, FAST/PayNow integration, AML/KYB integration, TradeTrust integration</w:t>
      </w:r>
    </w:p>
    <w:p>
      <w:pPr>
        <w:pStyle w:val="ListParagraph"/>
        <w:numPr>
          <w:ilvl w:val="0"/>
          <w:numId w:val="4"/>
        </w:numPr>
      </w:pPr>
      <w:r>
        <w:rPr>
          <w:rFonts w:ascii="Figtree" w:hAnsi="Figtree"/>
          <w:b w:val="0"/>
          <w:i w:val="0"/>
          <w:sz w:val="22"/>
        </w:rPr>
        <w:t>Phase 4: Testing (3 weeks) — Functional SIT, MAS TRM security assessment, UAT, performance testing</w:t>
      </w:r>
    </w:p>
    <w:p>
      <w:pPr>
        <w:pStyle w:val="ListParagraph"/>
        <w:numPr>
          <w:ilvl w:val="0"/>
          <w:numId w:val="4"/>
        </w:numPr>
      </w:pPr>
      <w:r>
        <w:rPr>
          <w:rFonts w:ascii="Figtree" w:hAnsi="Figtree"/>
          <w:b w:val="0"/>
          <w:i w:val="0"/>
          <w:sz w:val="22"/>
        </w:rPr>
        <w:t>Phase 5: Go-Live (1 week) — Singapore production deployment, go-live validation</w:t>
      </w:r>
    </w:p>
    <w:p>
      <w:pPr>
        <w:pStyle w:val="ListParagraph"/>
        <w:numPr>
          <w:ilvl w:val="0"/>
          <w:numId w:val="4"/>
        </w:numPr>
      </w:pPr>
      <w:r>
        <w:rPr>
          <w:rFonts w:ascii="Figtree" w:hAnsi="Figtree"/>
          <w:b w:val="0"/>
          <w:i w:val="0"/>
          <w:sz w:val="22"/>
        </w:rPr>
        <w:t>Phase 6: Hypercare (4 weeks) — Intensive monitoring, optimisation, knowledge transfer</w:t>
      </w:r>
    </w:p>
    <w:p>
      <w:r>
        <w:rPr>
          <w:rFonts w:ascii="Figtree" w:hAnsi="Figtree"/>
          <w:b/>
          <w:i w:val="0"/>
          <w:sz w:val="22"/>
        </w:rPr>
        <w:t>Out of scope:</w:t>
      </w:r>
    </w:p>
    <w:p>
      <w:pPr>
        <w:pStyle w:val="ListParagraph"/>
        <w:numPr>
          <w:ilvl w:val="0"/>
          <w:numId w:val="4"/>
        </w:numPr>
      </w:pPr>
      <w:r>
        <w:rPr>
          <w:rFonts w:ascii="Figtree" w:hAnsi="Figtree"/>
          <w:b w:val="0"/>
          <w:i w:val="0"/>
          <w:sz w:val="22"/>
        </w:rPr>
        <w:t>Legal advisory on MAS PSA licensing for digital trade finance</w:t>
      </w:r>
    </w:p>
    <w:p>
      <w:pPr>
        <w:pStyle w:val="ListParagraph"/>
        <w:numPr>
          <w:ilvl w:val="0"/>
          <w:numId w:val="4"/>
        </w:numPr>
      </w:pPr>
      <w:r>
        <w:rPr>
          <w:rFonts w:ascii="Figtree" w:hAnsi="Figtree"/>
          <w:b w:val="0"/>
          <w:i w:val="0"/>
          <w:sz w:val="22"/>
        </w:rPr>
        <w:t>Bespoke electronic Bills of Lading legal engineering (TradeTrust framework standards apply)</w:t>
      </w:r>
    </w:p>
    <w:p>
      <w:pPr>
        <w:pStyle w:val="ListParagraph"/>
        <w:numPr>
          <w:ilvl w:val="0"/>
          <w:numId w:val="4"/>
        </w:numPr>
      </w:pPr>
      <w:r>
        <w:rPr>
          <w:rFonts w:ascii="Figtree" w:hAnsi="Figtree"/>
          <w:b w:val="0"/>
          <w:i w:val="0"/>
          <w:sz w:val="22"/>
        </w:rPr>
        <w:t>Investor-facing mobile or portal application development</w:t>
      </w:r>
    </w:p>
    <w:p>
      <w:pPr>
        <w:pStyle w:val="ListParagraph"/>
        <w:numPr>
          <w:ilvl w:val="0"/>
          <w:numId w:val="4"/>
        </w:numPr>
      </w:pPr>
      <w:r>
        <w:rPr>
          <w:rFonts w:ascii="Figtree" w:hAnsi="Figtree"/>
          <w:b w:val="0"/>
          <w:i w:val="0"/>
          <w:sz w:val="22"/>
        </w:rPr>
        <w:t>Correspondent bank onboarding (UOB manages counterparty relationships)</w:t>
      </w:r>
    </w:p>
    <w:p>
      <w:pPr>
        <w:pStyle w:val="ListParagraph"/>
        <w:numPr>
          <w:ilvl w:val="0"/>
          <w:numId w:val="4"/>
        </w:numPr>
      </w:pPr>
      <w:r>
        <w:rPr>
          <w:rFonts w:ascii="Figtree" w:hAnsi="Figtree"/>
          <w:b w:val="0"/>
          <w:i w:val="0"/>
          <w:sz w:val="22"/>
        </w:rPr>
        <w:t>Additional integration points beyond those identified in Section 8 of the technical proposal</w:t>
      </w:r>
    </w:p>
    <w:p>
      <w:r>
        <w:br w:type="page"/>
      </w:r>
    </w:p>
    <w:p>
      <w:pPr>
        <w:pStyle w:val="H2"/>
        <w:numPr>
          <w:ilvl w:val="1"/>
          <w:numId w:val="1"/>
        </w:numPr>
      </w:pPr>
      <w:r>
        <w:t>5. Environment and Infrastructure Costs</w:t>
      </w:r>
    </w:p>
    <w:p>
      <w:pPr>
        <w:pStyle w:val="H3"/>
        <w:numPr>
          <w:ilvl w:val="2"/>
          <w:numId w:val="1"/>
        </w:numPr>
      </w:pPr>
      <w:r>
        <w:t>5.1 AWS ap-southeast-1 Infrastructure (Pass-Through)</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536"/>
        <w:gridCol w:w="2320"/>
        <w:gridCol w:w="221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Monthly Estimate (USD)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Estimate (USD)</w:t>
            </w:r>
          </w:p>
        </w:tc>
      </w:tr>
      <w:tr>
        <w:trPr>
          <w:trHeight w:val="425" w:hRule="atLeast"/>
        </w:trPr>
        <w:tc>
          <w:tcPr>
            <w:tcW w:type="dxa" w:w="3249"/>
            <w:vAlign w:val="center"/>
          </w:tcPr>
          <w:p>
            <w:pPr>
              <w:spacing w:line="276" w:lineRule="auto" w:before="0" w:after="0"/>
            </w:pPr>
            <w:r/>
            <w:r>
              <w:rPr>
                <w:rFonts w:ascii="Figtree" w:hAnsi="Figtree"/>
                <w:b w:val="0"/>
                <w:i w:val="0"/>
                <w:sz w:val="20"/>
              </w:rPr>
              <w:t>Compute (EKS + EC2, multi-AZ Singapore)</w:t>
            </w:r>
          </w:p>
        </w:tc>
        <w:tc>
          <w:tcPr>
            <w:tcW w:type="dxa" w:w="3249"/>
            <w:vAlign w:val="center"/>
          </w:tcPr>
          <w:p>
            <w:pPr>
              <w:spacing w:line="276" w:lineRule="auto" w:before="0" w:after="0"/>
            </w:pPr>
            <w:r/>
            <w:r>
              <w:rPr>
                <w:rFonts w:ascii="Figtree" w:hAnsi="Figtree"/>
                <w:b w:val="0"/>
                <w:i w:val="0"/>
                <w:sz w:val="20"/>
              </w:rPr>
              <w:t>3,000–5,000</w:t>
            </w:r>
          </w:p>
        </w:tc>
        <w:tc>
          <w:tcPr>
            <w:tcW w:type="dxa" w:w="3249"/>
            <w:vAlign w:val="center"/>
          </w:tcPr>
          <w:p>
            <w:pPr>
              <w:spacing w:line="276" w:lineRule="auto" w:before="0" w:after="0"/>
            </w:pPr>
            <w:r/>
            <w:r>
              <w:rPr>
                <w:rFonts w:ascii="Figtree" w:hAnsi="Figtree"/>
                <w:b w:val="0"/>
                <w:i w:val="0"/>
                <w:sz w:val="20"/>
              </w:rPr>
              <w:t>36,000–60,000</w:t>
            </w:r>
          </w:p>
        </w:tc>
      </w:tr>
      <w:tr>
        <w:trPr>
          <w:trHeight w:val="425" w:hRule="atLeast"/>
        </w:trPr>
        <w:tc>
          <w:tcPr>
            <w:tcW w:type="dxa" w:w="3249"/>
            <w:vAlign w:val="center"/>
          </w:tcPr>
          <w:p>
            <w:pPr>
              <w:spacing w:line="276" w:lineRule="auto" w:before="0" w:after="0"/>
            </w:pPr>
            <w:r/>
            <w:r>
              <w:rPr>
                <w:rFonts w:ascii="Figtree" w:hAnsi="Figtree"/>
                <w:b w:val="0"/>
                <w:i w:val="0"/>
                <w:sz w:val="20"/>
              </w:rPr>
              <w:t>Database (RDS PostgreSQL, multi-AZ)</w:t>
            </w:r>
          </w:p>
        </w:tc>
        <w:tc>
          <w:tcPr>
            <w:tcW w:type="dxa" w:w="3249"/>
            <w:vAlign w:val="center"/>
          </w:tcPr>
          <w:p>
            <w:pPr>
              <w:spacing w:line="276" w:lineRule="auto" w:before="0" w:after="0"/>
            </w:pPr>
            <w:r/>
            <w:r>
              <w:rPr>
                <w:rFonts w:ascii="Figtree" w:hAnsi="Figtree"/>
                <w:b w:val="0"/>
                <w:i w:val="0"/>
                <w:sz w:val="20"/>
              </w:rPr>
              <w:t>800–1,500</w:t>
            </w:r>
          </w:p>
        </w:tc>
        <w:tc>
          <w:tcPr>
            <w:tcW w:type="dxa" w:w="3249"/>
            <w:vAlign w:val="center"/>
          </w:tcPr>
          <w:p>
            <w:pPr>
              <w:spacing w:line="276" w:lineRule="auto" w:before="0" w:after="0"/>
            </w:pPr>
            <w:r/>
            <w:r>
              <w:rPr>
                <w:rFonts w:ascii="Figtree" w:hAnsi="Figtree"/>
                <w:b w:val="0"/>
                <w:i w:val="0"/>
                <w:sz w:val="20"/>
              </w:rPr>
              <w:t>9,600–18,000</w:t>
            </w:r>
          </w:p>
        </w:tc>
      </w:tr>
      <w:tr>
        <w:trPr>
          <w:trHeight w:val="425" w:hRule="atLeast"/>
        </w:trPr>
        <w:tc>
          <w:tcPr>
            <w:tcW w:type="dxa" w:w="3249"/>
            <w:vAlign w:val="center"/>
          </w:tcPr>
          <w:p>
            <w:pPr>
              <w:spacing w:line="276" w:lineRule="auto" w:before="0" w:after="0"/>
            </w:pPr>
            <w:r/>
            <w:r>
              <w:rPr>
                <w:rFonts w:ascii="Figtree" w:hAnsi="Figtree"/>
                <w:b w:val="0"/>
                <w:i w:val="0"/>
                <w:sz w:val="20"/>
              </w:rPr>
              <w:t>Object Storage (S3, trade document archive)</w:t>
            </w:r>
          </w:p>
        </w:tc>
        <w:tc>
          <w:tcPr>
            <w:tcW w:type="dxa" w:w="3249"/>
            <w:vAlign w:val="center"/>
          </w:tcPr>
          <w:p>
            <w:pPr>
              <w:spacing w:line="276" w:lineRule="auto" w:before="0" w:after="0"/>
            </w:pPr>
            <w:r/>
            <w:r>
              <w:rPr>
                <w:rFonts w:ascii="Figtree" w:hAnsi="Figtree"/>
                <w:b w:val="0"/>
                <w:i w:val="0"/>
                <w:sz w:val="20"/>
              </w:rPr>
              <w:t>150–400</w:t>
            </w:r>
          </w:p>
        </w:tc>
        <w:tc>
          <w:tcPr>
            <w:tcW w:type="dxa" w:w="3249"/>
            <w:vAlign w:val="center"/>
          </w:tcPr>
          <w:p>
            <w:pPr>
              <w:spacing w:line="276" w:lineRule="auto" w:before="0" w:after="0"/>
            </w:pPr>
            <w:r/>
            <w:r>
              <w:rPr>
                <w:rFonts w:ascii="Figtree" w:hAnsi="Figtree"/>
                <w:b w:val="0"/>
                <w:i w:val="0"/>
                <w:sz w:val="20"/>
              </w:rPr>
              <w:t>1,800–4,800</w:t>
            </w:r>
          </w:p>
        </w:tc>
      </w:tr>
      <w:tr>
        <w:trPr>
          <w:trHeight w:val="425" w:hRule="atLeast"/>
        </w:trPr>
        <w:tc>
          <w:tcPr>
            <w:tcW w:type="dxa" w:w="3249"/>
            <w:vAlign w:val="center"/>
          </w:tcPr>
          <w:p>
            <w:pPr>
              <w:spacing w:line="276" w:lineRule="auto" w:before="0" w:after="0"/>
            </w:pPr>
            <w:r/>
            <w:r>
              <w:rPr>
                <w:rFonts w:ascii="Figtree" w:hAnsi="Figtree"/>
                <w:b w:val="0"/>
                <w:i w:val="0"/>
                <w:sz w:val="20"/>
              </w:rPr>
              <w:t>Observability stack</w:t>
            </w:r>
          </w:p>
        </w:tc>
        <w:tc>
          <w:tcPr>
            <w:tcW w:type="dxa" w:w="3249"/>
            <w:vAlign w:val="center"/>
          </w:tcPr>
          <w:p>
            <w:pPr>
              <w:spacing w:line="276" w:lineRule="auto" w:before="0" w:after="0"/>
            </w:pPr>
            <w:r/>
            <w:r>
              <w:rPr>
                <w:rFonts w:ascii="Figtree" w:hAnsi="Figtree"/>
                <w:b w:val="0"/>
                <w:i w:val="0"/>
                <w:sz w:val="20"/>
              </w:rPr>
              <w:t>400–700</w:t>
            </w:r>
          </w:p>
        </w:tc>
        <w:tc>
          <w:tcPr>
            <w:tcW w:type="dxa" w:w="3249"/>
            <w:vAlign w:val="center"/>
          </w:tcPr>
          <w:p>
            <w:pPr>
              <w:spacing w:line="276" w:lineRule="auto" w:before="0" w:after="0"/>
            </w:pPr>
            <w:r/>
            <w:r>
              <w:rPr>
                <w:rFonts w:ascii="Figtree" w:hAnsi="Figtree"/>
                <w:b w:val="0"/>
                <w:i w:val="0"/>
                <w:sz w:val="20"/>
              </w:rPr>
              <w:t>4,800–8,400</w:t>
            </w:r>
          </w:p>
        </w:tc>
      </w:tr>
      <w:tr>
        <w:trPr>
          <w:trHeight w:val="425" w:hRule="atLeast"/>
        </w:trPr>
        <w:tc>
          <w:tcPr>
            <w:tcW w:type="dxa" w:w="3249"/>
            <w:vAlign w:val="center"/>
          </w:tcPr>
          <w:p>
            <w:pPr>
              <w:spacing w:line="276" w:lineRule="auto" w:before="0" w:after="0"/>
            </w:pPr>
            <w:r/>
            <w:r>
              <w:rPr>
                <w:rFonts w:ascii="Figtree" w:hAnsi="Figtree"/>
                <w:b w:val="0"/>
                <w:i w:val="0"/>
                <w:sz w:val="20"/>
              </w:rPr>
              <w:t>Data transfer + Direct Connect</w:t>
            </w:r>
          </w:p>
        </w:tc>
        <w:tc>
          <w:tcPr>
            <w:tcW w:type="dxa" w:w="3249"/>
            <w:vAlign w:val="center"/>
          </w:tcPr>
          <w:p>
            <w:pPr>
              <w:spacing w:line="276" w:lineRule="auto" w:before="0" w:after="0"/>
            </w:pPr>
            <w:r/>
            <w:r>
              <w:rPr>
                <w:rFonts w:ascii="Figtree" w:hAnsi="Figtree"/>
                <w:b w:val="0"/>
                <w:i w:val="0"/>
                <w:sz w:val="20"/>
              </w:rPr>
              <w:t>300–600</w:t>
            </w:r>
          </w:p>
        </w:tc>
        <w:tc>
          <w:tcPr>
            <w:tcW w:type="dxa" w:w="3249"/>
            <w:vAlign w:val="center"/>
          </w:tcPr>
          <w:p>
            <w:pPr>
              <w:spacing w:line="276" w:lineRule="auto" w:before="0" w:after="0"/>
            </w:pPr>
            <w:r/>
            <w:r>
              <w:rPr>
                <w:rFonts w:ascii="Figtree" w:hAnsi="Figtree"/>
                <w:b w:val="0"/>
                <w:i w:val="0"/>
                <w:sz w:val="20"/>
              </w:rPr>
              <w:t>3,600–7,200</w:t>
            </w:r>
          </w:p>
        </w:tc>
      </w:tr>
      <w:tr>
        <w:trPr>
          <w:trHeight w:val="425" w:hRule="atLeast"/>
        </w:trPr>
        <w:tc>
          <w:tcPr>
            <w:tcW w:type="dxa" w:w="3249"/>
            <w:vAlign w:val="center"/>
          </w:tcPr>
          <w:p>
            <w:pPr>
              <w:spacing w:line="276" w:lineRule="auto" w:before="0" w:after="0"/>
            </w:pPr>
            <w:r/>
            <w:r>
              <w:rPr>
                <w:rFonts w:ascii="Figtree" w:hAnsi="Figtree"/>
                <w:b/>
                <w:i w:val="0"/>
                <w:sz w:val="20"/>
              </w:rPr>
              <w:t>Total Estimated Cloud (USD)</w:t>
            </w:r>
          </w:p>
        </w:tc>
        <w:tc>
          <w:tcPr>
            <w:tcW w:type="dxa" w:w="3249"/>
            <w:vAlign w:val="center"/>
          </w:tcPr>
          <w:p>
            <w:pPr>
              <w:spacing w:line="276" w:lineRule="auto" w:before="0" w:after="0"/>
            </w:pPr>
            <w:r/>
            <w:r>
              <w:rPr>
                <w:rFonts w:ascii="Figtree" w:hAnsi="Figtree"/>
                <w:b/>
                <w:i w:val="0"/>
                <w:sz w:val="20"/>
              </w:rPr>
              <w:t>4,650–8,200</w:t>
            </w:r>
          </w:p>
        </w:tc>
        <w:tc>
          <w:tcPr>
            <w:tcW w:type="dxa" w:w="3249"/>
            <w:vAlign w:val="center"/>
          </w:tcPr>
          <w:p>
            <w:pPr>
              <w:spacing w:line="276" w:lineRule="auto" w:before="0" w:after="0"/>
            </w:pPr>
            <w:r/>
            <w:r>
              <w:rPr>
                <w:rFonts w:ascii="Figtree" w:hAnsi="Figtree"/>
                <w:b/>
                <w:i w:val="0"/>
                <w:sz w:val="20"/>
              </w:rPr>
              <w:t>56,000–98,400</w:t>
            </w:r>
          </w:p>
        </w:tc>
      </w:tr>
    </w:tbl>
    <w:p>
      <w:pPr>
        <w:spacing w:before="0" w:after="0" w:line="120" w:lineRule="exact"/>
      </w:pPr>
    </w:p>
    <w:p>
      <w:r>
        <w:rPr>
          <w:rFonts w:ascii="Figtree" w:hAnsi="Figtree"/>
          <w:b w:val="0"/>
          <w:i/>
          <w:sz w:val="22"/>
        </w:rPr>
        <w:t>Pass-through at AWS billing rates, without SettleMint markup. All infrastructure costs exclude applicable taxes.</w:t>
      </w:r>
    </w:p>
    <w:p>
      <w:pPr>
        <w:pStyle w:val="H3"/>
        <w:numPr>
          <w:ilvl w:val="2"/>
          <w:numId w:val="1"/>
        </w:numPr>
      </w:pPr>
      <w:r>
        <w:t>5.2 Blockchain Network Infrastructure</w:t>
      </w:r>
    </w:p>
    <w:p>
      <w:r>
        <w:rPr>
          <w:rFonts w:ascii="Figtree" w:hAnsi="Figtree"/>
          <w:b w:val="0"/>
          <w:i w:val="0"/>
          <w:sz w:val="22"/>
        </w:rPr>
        <w:t>The private Besu network for UOB's trade finance blockchain operates within the same AWS ap-southeast-1 environment. Node infrastructure costs are included in the compute estimate above. No separate blockchain network costs beyond the infrastructure range.</w:t>
      </w:r>
    </w:p>
    <w:p>
      <w:r>
        <w:br w:type="page"/>
      </w:r>
    </w:p>
    <w:p>
      <w:pPr>
        <w:pStyle w:val="H2"/>
        <w:numPr>
          <w:ilvl w:val="1"/>
          <w:numId w:val="1"/>
        </w:numPr>
      </w:pPr>
      <w:r>
        <w:t>6. Support and Maintenance Fees</w:t>
      </w:r>
    </w:p>
    <w:p>
      <w:pPr>
        <w:pStyle w:val="H3"/>
        <w:numPr>
          <w:ilvl w:val="2"/>
          <w:numId w:val="1"/>
        </w:numPr>
      </w:pPr>
      <w:r>
        <w:t>6.1 Premium Support Recommendation</w:t>
      </w:r>
    </w:p>
    <w:p>
      <w:r>
        <w:rPr>
          <w:rFonts w:ascii="Figtree" w:hAnsi="Figtree"/>
          <w:b/>
          <w:i w:val="0"/>
          <w:sz w:val="22"/>
        </w:rPr>
        <w:t>Premium Support: [CLIENT-SPECIFIC]</w:t>
      </w:r>
    </w:p>
    <w:p>
      <w:pPr>
        <w:pStyle w:val="ListParagraph"/>
        <w:numPr>
          <w:ilvl w:val="0"/>
          <w:numId w:val="4"/>
        </w:numPr>
      </w:pPr>
      <w:r>
        <w:rPr>
          <w:rFonts w:ascii="Figtree" w:hAnsi="Figtree"/>
          <w:b w:val="0"/>
          <w:i w:val="0"/>
          <w:sz w:val="22"/>
        </w:rPr>
        <w:t>Extended hours: 07:00–22:00 CET, Monday–Friday; P1 on-call weekends</w:t>
      </w:r>
    </w:p>
    <w:p>
      <w:pPr>
        <w:pStyle w:val="ListParagraph"/>
        <w:numPr>
          <w:ilvl w:val="0"/>
          <w:numId w:val="4"/>
        </w:numPr>
      </w:pPr>
      <w:r>
        <w:rPr>
          <w:rFonts w:ascii="Figtree" w:hAnsi="Figtree"/>
          <w:b w:val="0"/>
          <w:i w:val="0"/>
          <w:sz w:val="22"/>
        </w:rPr>
        <w:t>Named support engineer familiar with UOB's GTB and SWIFT integration</w:t>
      </w:r>
    </w:p>
    <w:p>
      <w:pPr>
        <w:pStyle w:val="ListParagraph"/>
        <w:numPr>
          <w:ilvl w:val="0"/>
          <w:numId w:val="4"/>
        </w:numPr>
      </w:pPr>
      <w:r>
        <w:rPr>
          <w:rFonts w:ascii="Figtree" w:hAnsi="Figtree"/>
          <w:b w:val="0"/>
          <w:i w:val="0"/>
          <w:sz w:val="22"/>
        </w:rPr>
        <w:t>P1 (trade finance blocking incident): 1-hour response, 4-hour resolution</w:t>
      </w:r>
    </w:p>
    <w:p>
      <w:pPr>
        <w:pStyle w:val="ListParagraph"/>
        <w:numPr>
          <w:ilvl w:val="0"/>
          <w:numId w:val="4"/>
        </w:numPr>
      </w:pPr>
      <w:r>
        <w:rPr>
          <w:rFonts w:ascii="Figtree" w:hAnsi="Figtree"/>
          <w:b w:val="0"/>
          <w:i w:val="0"/>
          <w:sz w:val="22"/>
        </w:rPr>
        <w:t>P2 (degraded trade processing): 4-hour response, 8-hour resolution</w:t>
      </w:r>
    </w:p>
    <w:p>
      <w:pPr>
        <w:pStyle w:val="ListParagraph"/>
        <w:numPr>
          <w:ilvl w:val="0"/>
          <w:numId w:val="4"/>
        </w:numPr>
      </w:pPr>
      <w:r>
        <w:rPr>
          <w:rFonts w:ascii="Figtree" w:hAnsi="Figtree"/>
          <w:b w:val="0"/>
          <w:i w:val="0"/>
          <w:sz w:val="22"/>
        </w:rPr>
        <w:t>99.95% monthly uptime SLA</w:t>
      </w:r>
    </w:p>
    <w:p>
      <w:pPr>
        <w:pStyle w:val="ListParagraph"/>
        <w:numPr>
          <w:ilvl w:val="0"/>
          <w:numId w:val="4"/>
        </w:numPr>
      </w:pPr>
      <w:r>
        <w:rPr>
          <w:rFonts w:ascii="Figtree" w:hAnsi="Figtree"/>
          <w:b w:val="0"/>
          <w:i w:val="0"/>
          <w:sz w:val="22"/>
        </w:rPr>
        <w:t>Monthly technical business review</w:t>
      </w:r>
    </w:p>
    <w:p>
      <w:pPr>
        <w:pStyle w:val="ListParagraph"/>
        <w:numPr>
          <w:ilvl w:val="0"/>
          <w:numId w:val="4"/>
        </w:numPr>
      </w:pPr>
      <w:r>
        <w:rPr>
          <w:rFonts w:ascii="Figtree" w:hAnsi="Figtree"/>
          <w:b w:val="0"/>
          <w:i w:val="0"/>
          <w:sz w:val="22"/>
        </w:rPr>
        <w:t>Escalation path aligned with UOB's trade operations hours (Singapore time)</w:t>
      </w:r>
    </w:p>
    <w:p>
      <w:r>
        <w:rPr>
          <w:rFonts w:ascii="Figtree" w:hAnsi="Figtree"/>
          <w:b/>
          <w:i w:val="0"/>
          <w:sz w:val="22"/>
        </w:rPr>
        <w:t>Trade Finance P1 Examples:</w:t>
      </w:r>
      <w:r>
        <w:rPr>
          <w:rFonts w:ascii="Figtree" w:hAnsi="Figtree"/>
          <w:b w:val="0"/>
          <w:i w:val="0"/>
          <w:sz w:val="22"/>
        </w:rPr>
        <w:t xml:space="preserve"> DALP platform unresponsive during LC examination window; XvP settlement failure in production; sanctions screening integration unavailable preventing new LC issuance; Key Guardian signing failure.</w:t>
      </w:r>
    </w:p>
    <w:p>
      <w:r>
        <w:br w:type="page"/>
      </w:r>
    </w:p>
    <w:p>
      <w:pPr>
        <w:pStyle w:val="H2"/>
        <w:numPr>
          <w:ilvl w:val="1"/>
          <w:numId w:val="1"/>
        </w:numPr>
      </w:pPr>
      <w:r>
        <w:t>7. Total Cost of Ownership Analysis</w:t>
      </w:r>
    </w:p>
    <w:p>
      <w:pPr>
        <w:pStyle w:val="H3"/>
        <w:numPr>
          <w:ilvl w:val="2"/>
          <w:numId w:val="1"/>
        </w:numPr>
      </w:pPr>
      <w:r>
        <w:t>7.1 Three-Year TCO</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66"/>
        <w:gridCol w:w="1454"/>
        <w:gridCol w:w="1454"/>
        <w:gridCol w:w="1454"/>
        <w:gridCol w:w="154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 (EUR)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 (EUR)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 (EUR)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 (EUR)</w:t>
            </w:r>
          </w:p>
        </w:tc>
      </w:tr>
      <w:tr>
        <w:trPr>
          <w:trHeight w:val="425" w:hRule="atLeast"/>
        </w:trPr>
        <w:tc>
          <w:tcPr>
            <w:tcW w:type="dxa" w:w="1949"/>
            <w:vAlign w:val="center"/>
          </w:tcPr>
          <w:p>
            <w:pPr>
              <w:spacing w:line="276" w:lineRule="auto" w:before="0" w:after="0"/>
            </w:pPr>
            <w:r/>
            <w:r>
              <w:rPr>
                <w:rFonts w:ascii="Figtree" w:hAnsi="Figtree"/>
                <w:b w:val="0"/>
                <w:i w:val="0"/>
                <w:sz w:val="20"/>
              </w:rPr>
              <w:t>Production License</w:t>
            </w:r>
          </w:p>
        </w:tc>
        <w:tc>
          <w:tcPr>
            <w:tcW w:type="dxa" w:w="1949"/>
            <w:vAlign w:val="center"/>
          </w:tcPr>
          <w:p>
            <w:pPr>
              <w:spacing w:line="276" w:lineRule="auto" w:before="0" w:after="0"/>
            </w:pPr>
            <w:r/>
            <w:r>
              <w:rPr>
                <w:rFonts w:ascii="Figtree" w:hAnsi="Figtree"/>
                <w:b w:val="0"/>
                <w:i w:val="0"/>
                <w:sz w:val="20"/>
              </w:rPr>
              <w:t>300,000</w:t>
            </w:r>
          </w:p>
        </w:tc>
        <w:tc>
          <w:tcPr>
            <w:tcW w:type="dxa" w:w="1949"/>
            <w:vAlign w:val="center"/>
          </w:tcPr>
          <w:p>
            <w:pPr>
              <w:spacing w:line="276" w:lineRule="auto" w:before="0" w:after="0"/>
            </w:pPr>
            <w:r/>
            <w:r>
              <w:rPr>
                <w:rFonts w:ascii="Figtree" w:hAnsi="Figtree"/>
                <w:b w:val="0"/>
                <w:i w:val="0"/>
                <w:sz w:val="20"/>
              </w:rPr>
              <w:t>300,000</w:t>
            </w:r>
          </w:p>
        </w:tc>
        <w:tc>
          <w:tcPr>
            <w:tcW w:type="dxa" w:w="1949"/>
            <w:vAlign w:val="center"/>
          </w:tcPr>
          <w:p>
            <w:pPr>
              <w:spacing w:line="276" w:lineRule="auto" w:before="0" w:after="0"/>
            </w:pPr>
            <w:r/>
            <w:r>
              <w:rPr>
                <w:rFonts w:ascii="Figtree" w:hAnsi="Figtree"/>
                <w:b w:val="0"/>
                <w:i w:val="0"/>
                <w:sz w:val="20"/>
              </w:rPr>
              <w:t>300,000</w:t>
            </w:r>
          </w:p>
        </w:tc>
        <w:tc>
          <w:tcPr>
            <w:tcW w:type="dxa" w:w="1949"/>
            <w:vAlign w:val="center"/>
          </w:tcPr>
          <w:p>
            <w:pPr>
              <w:spacing w:line="276" w:lineRule="auto" w:before="0" w:after="0"/>
            </w:pPr>
            <w:r/>
            <w:r>
              <w:rPr>
                <w:rFonts w:ascii="Figtree" w:hAnsi="Figtree"/>
                <w:b w:val="0"/>
                <w:i w:val="0"/>
                <w:sz w:val="20"/>
              </w:rPr>
              <w:t>900,000</w:t>
            </w:r>
          </w:p>
        </w:tc>
      </w:tr>
      <w:tr>
        <w:trPr>
          <w:trHeight w:val="425" w:hRule="atLeast"/>
        </w:trPr>
        <w:tc>
          <w:tcPr>
            <w:tcW w:type="dxa" w:w="1949"/>
            <w:vAlign w:val="center"/>
          </w:tcPr>
          <w:p>
            <w:pPr>
              <w:spacing w:line="276" w:lineRule="auto" w:before="0" w:after="0"/>
            </w:pPr>
            <w:r/>
            <w:r>
              <w:rPr>
                <w:rFonts w:ascii="Figtree" w:hAnsi="Figtree"/>
                <w:b w:val="0"/>
                <w:i w:val="0"/>
                <w:sz w:val="20"/>
              </w:rPr>
              <w:t>Development License</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360,000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(Year 1 only)</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Premium Support (annual)</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Cloud Infrastructure (USD indicative)</w:t>
            </w:r>
          </w:p>
        </w:tc>
        <w:tc>
          <w:tcPr>
            <w:tcW w:type="dxa" w:w="1949"/>
            <w:vAlign w:val="center"/>
          </w:tcPr>
          <w:p>
            <w:pPr>
              <w:spacing w:line="276" w:lineRule="auto" w:before="0" w:after="0"/>
            </w:pPr>
            <w:r/>
            <w:r>
              <w:rPr>
                <w:rFonts w:ascii="Figtree" w:hAnsi="Figtree"/>
                <w:b w:val="0"/>
                <w:i w:val="0"/>
                <w:sz w:val="20"/>
              </w:rPr>
              <w:t>56,000–98,000</w:t>
            </w:r>
          </w:p>
        </w:tc>
        <w:tc>
          <w:tcPr>
            <w:tcW w:type="dxa" w:w="1949"/>
            <w:vAlign w:val="center"/>
          </w:tcPr>
          <w:p>
            <w:pPr>
              <w:spacing w:line="276" w:lineRule="auto" w:before="0" w:after="0"/>
            </w:pPr>
            <w:r/>
            <w:r>
              <w:rPr>
                <w:rFonts w:ascii="Figtree" w:hAnsi="Figtree"/>
                <w:b w:val="0"/>
                <w:i w:val="0"/>
                <w:sz w:val="20"/>
              </w:rPr>
              <w:t>60,000–105,000</w:t>
            </w:r>
          </w:p>
        </w:tc>
        <w:tc>
          <w:tcPr>
            <w:tcW w:type="dxa" w:w="1949"/>
            <w:vAlign w:val="center"/>
          </w:tcPr>
          <w:p>
            <w:pPr>
              <w:spacing w:line="276" w:lineRule="auto" w:before="0" w:after="0"/>
            </w:pPr>
            <w:r/>
            <w:r>
              <w:rPr>
                <w:rFonts w:ascii="Figtree" w:hAnsi="Figtree"/>
                <w:b w:val="0"/>
                <w:i w:val="0"/>
                <w:sz w:val="20"/>
              </w:rPr>
              <w:t>65,000–112,000</w:t>
            </w:r>
          </w:p>
        </w:tc>
        <w:tc>
          <w:tcPr>
            <w:tcW w:type="dxa" w:w="1949"/>
            <w:vAlign w:val="center"/>
          </w:tcPr>
          <w:p>
            <w:pPr>
              <w:spacing w:line="276" w:lineRule="auto" w:before="0" w:after="0"/>
            </w:pPr>
            <w:r/>
            <w:r>
              <w:rPr>
                <w:rFonts w:ascii="Figtree" w:hAnsi="Figtree"/>
                <w:b w:val="0"/>
                <w:i w:val="0"/>
                <w:sz w:val="20"/>
              </w:rPr>
              <w:t>181,000–315,000</w:t>
            </w:r>
          </w:p>
        </w:tc>
      </w:tr>
      <w:tr>
        <w:trPr>
          <w:trHeight w:val="425" w:hRule="atLeast"/>
        </w:trPr>
        <w:tc>
          <w:tcPr>
            <w:tcW w:type="dxa" w:w="1949"/>
            <w:vAlign w:val="center"/>
          </w:tcPr>
          <w:p>
            <w:pPr>
              <w:spacing w:line="276" w:lineRule="auto" w:before="0" w:after="0"/>
            </w:pPr>
            <w:r/>
            <w:r>
              <w:rPr>
                <w:rFonts w:ascii="Figtree" w:hAnsi="Figtree"/>
                <w:b/>
                <w:i w:val="0"/>
                <w:sz w:val="20"/>
              </w:rPr>
              <w:t>Platform License Subtotal</w:t>
            </w:r>
          </w:p>
        </w:tc>
        <w:tc>
          <w:tcPr>
            <w:tcW w:type="dxa" w:w="1949"/>
            <w:vAlign w:val="center"/>
          </w:tcPr>
          <w:p>
            <w:pPr>
              <w:spacing w:line="276" w:lineRule="auto" w:before="0" w:after="0"/>
            </w:pPr>
            <w:r/>
            <w:r>
              <w:rPr>
                <w:rFonts w:ascii="Figtree" w:hAnsi="Figtree"/>
                <w:b/>
                <w:i w:val="0"/>
                <w:sz w:val="20"/>
              </w:rPr>
              <w:t>420,000</w:t>
            </w:r>
          </w:p>
        </w:tc>
        <w:tc>
          <w:tcPr>
            <w:tcW w:type="dxa" w:w="1949"/>
            <w:vAlign w:val="center"/>
          </w:tcPr>
          <w:p>
            <w:pPr>
              <w:spacing w:line="276" w:lineRule="auto" w:before="0" w:after="0"/>
            </w:pPr>
            <w:r/>
            <w:r>
              <w:rPr>
                <w:rFonts w:ascii="Figtree" w:hAnsi="Figtree"/>
                <w:b/>
                <w:i w:val="0"/>
                <w:sz w:val="20"/>
              </w:rPr>
              <w:t>420,000</w:t>
            </w:r>
          </w:p>
        </w:tc>
        <w:tc>
          <w:tcPr>
            <w:tcW w:type="dxa" w:w="1949"/>
            <w:vAlign w:val="center"/>
          </w:tcPr>
          <w:p>
            <w:pPr>
              <w:spacing w:line="276" w:lineRule="auto" w:before="0" w:after="0"/>
            </w:pPr>
            <w:r/>
            <w:r>
              <w:rPr>
                <w:rFonts w:ascii="Figtree" w:hAnsi="Figtree"/>
                <w:b/>
                <w:i w:val="0"/>
                <w:sz w:val="20"/>
              </w:rPr>
              <w:t>420,000</w:t>
            </w:r>
          </w:p>
        </w:tc>
        <w:tc>
          <w:tcPr>
            <w:tcW w:type="dxa" w:w="1949"/>
            <w:vAlign w:val="center"/>
          </w:tcPr>
          <w:p>
            <w:pPr>
              <w:spacing w:line="276" w:lineRule="auto" w:before="0" w:after="0"/>
            </w:pPr>
            <w:r/>
            <w:r>
              <w:rPr>
                <w:rFonts w:ascii="Figtree" w:hAnsi="Figtree"/>
                <w:b/>
                <w:i w:val="0"/>
                <w:sz w:val="20"/>
              </w:rPr>
              <w:t>1,260,000</w:t>
            </w:r>
          </w:p>
        </w:tc>
      </w:tr>
    </w:tbl>
    <w:p>
      <w:pPr>
        <w:spacing w:before="0" w:after="0" w:line="120" w:lineRule="exact"/>
      </w:pPr>
    </w:p>
    <w:p>
      <w:r>
        <w:rPr>
          <w:rFonts w:ascii="Figtree" w:hAnsi="Figtree"/>
          <w:b w:val="0"/>
          <w:i/>
          <w:sz w:val="22"/>
        </w:rPr>
        <w:t>All prices exclude applicable taxes and VAT.</w:t>
      </w:r>
    </w:p>
    <w:p>
      <w:pPr>
        <w:pStyle w:val="H3"/>
        <w:numPr>
          <w:ilvl w:val="2"/>
          <w:numId w:val="1"/>
        </w:numPr>
      </w:pPr>
      <w:r>
        <w:t>7.2 Five-Year TCO</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712"/>
        <w:gridCol w:w="336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5-Year Total (EUR)</w:t>
            </w:r>
          </w:p>
        </w:tc>
      </w:tr>
      <w:tr>
        <w:trPr>
          <w:trHeight w:val="425" w:hRule="atLeast"/>
        </w:trPr>
        <w:tc>
          <w:tcPr>
            <w:tcW w:type="dxa" w:w="4873"/>
            <w:vAlign w:val="center"/>
          </w:tcPr>
          <w:p>
            <w:pPr>
              <w:spacing w:line="276" w:lineRule="auto" w:before="0" w:after="0"/>
            </w:pPr>
            <w:r/>
            <w:r>
              <w:rPr>
                <w:rFonts w:ascii="Figtree" w:hAnsi="Figtree"/>
                <w:b w:val="0"/>
                <w:i w:val="0"/>
                <w:sz w:val="20"/>
              </w:rPr>
              <w:t>Platform Licenses (5 years)</w:t>
            </w:r>
          </w:p>
        </w:tc>
        <w:tc>
          <w:tcPr>
            <w:tcW w:type="dxa" w:w="4873"/>
            <w:vAlign w:val="center"/>
          </w:tcPr>
          <w:p>
            <w:pPr>
              <w:spacing w:line="276" w:lineRule="auto" w:before="0" w:after="0"/>
            </w:pPr>
            <w:r/>
            <w:r>
              <w:rPr>
                <w:rFonts w:ascii="Figtree" w:hAnsi="Figtree"/>
                <w:b w:val="0"/>
                <w:i w:val="0"/>
                <w:sz w:val="20"/>
              </w:rPr>
              <w:t>2,100,000</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(Year 1)</w:t>
            </w:r>
          </w:p>
        </w:tc>
        <w:tc>
          <w:tcPr>
            <w:tcW w:type="dxa" w:w="4873"/>
            <w:vAlign w:val="center"/>
          </w:tcPr>
          <w:p>
            <w:pPr>
              <w:spacing w:line="276" w:lineRule="auto" w:before="0" w:after="0"/>
            </w:pPr>
            <w:r/>
            <w:r>
              <w:rPr>
                <w:rFonts w:ascii="Figtree" w:hAnsi="Figtree"/>
                <w:b w:val="0"/>
                <w:i w:val="0"/>
                <w:sz w:val="20"/>
              </w:rPr>
              <w:t>[CLIENT-SPECIFIC]</w:t>
            </w:r>
          </w:p>
        </w:tc>
      </w:tr>
      <w:tr>
        <w:trPr>
          <w:trHeight w:val="425" w:hRule="atLeast"/>
        </w:trPr>
        <w:tc>
          <w:tcPr>
            <w:tcW w:type="dxa" w:w="4873"/>
            <w:vAlign w:val="center"/>
          </w:tcPr>
          <w:p>
            <w:pPr>
              <w:spacing w:line="276" w:lineRule="auto" w:before="0" w:after="0"/>
            </w:pPr>
            <w:r/>
            <w:r>
              <w:rPr>
                <w:rFonts w:ascii="Figtree" w:hAnsi="Figtree"/>
                <w:b w:val="0"/>
                <w:i w:val="0"/>
                <w:sz w:val="20"/>
              </w:rPr>
              <w:t>Premium Support (5 years)</w:t>
            </w:r>
          </w:p>
        </w:tc>
        <w:tc>
          <w:tcPr>
            <w:tcW w:type="dxa" w:w="4873"/>
            <w:vAlign w:val="center"/>
          </w:tcPr>
          <w:p>
            <w:pPr>
              <w:spacing w:line="276" w:lineRule="auto" w:before="0" w:after="0"/>
            </w:pPr>
            <w:r/>
            <w:r>
              <w:rPr>
                <w:rFonts w:ascii="Figtree" w:hAnsi="Figtree"/>
                <w:b w:val="0"/>
                <w:i w:val="0"/>
                <w:sz w:val="20"/>
              </w:rPr>
              <w:t>[CLIENT-SPECIFIC]</w:t>
            </w:r>
          </w:p>
        </w:tc>
      </w:tr>
      <w:tr>
        <w:trPr>
          <w:trHeight w:val="425" w:hRule="atLeast"/>
        </w:trPr>
        <w:tc>
          <w:tcPr>
            <w:tcW w:type="dxa" w:w="4873"/>
            <w:vAlign w:val="center"/>
          </w:tcPr>
          <w:p>
            <w:pPr>
              <w:spacing w:line="276" w:lineRule="auto" w:before="0" w:after="0"/>
            </w:pPr>
            <w:r/>
            <w:r>
              <w:rPr>
                <w:rFonts w:ascii="Figtree" w:hAnsi="Figtree"/>
                <w:b w:val="0"/>
                <w:i w:val="0"/>
                <w:sz w:val="20"/>
              </w:rPr>
              <w:t>Cloud Infrastructure (indicative)</w:t>
            </w:r>
          </w:p>
        </w:tc>
        <w:tc>
          <w:tcPr>
            <w:tcW w:type="dxa" w:w="4873"/>
            <w:vAlign w:val="center"/>
          </w:tcPr>
          <w:p>
            <w:pPr>
              <w:spacing w:line="276" w:lineRule="auto" w:before="0" w:after="0"/>
            </w:pPr>
            <w:r/>
            <w:r>
              <w:rPr>
                <w:rFonts w:ascii="Figtree" w:hAnsi="Figtree"/>
                <w:b w:val="0"/>
                <w:i w:val="0"/>
                <w:sz w:val="20"/>
              </w:rPr>
              <w:t>310,000–550,000</w:t>
            </w:r>
          </w:p>
        </w:tc>
      </w:tr>
    </w:tbl>
    <w:p>
      <w:pPr>
        <w:spacing w:before="0" w:after="0" w:line="120" w:lineRule="exact"/>
      </w:pPr>
    </w:p>
    <w:p>
      <w:pPr>
        <w:pStyle w:val="H3"/>
        <w:numPr>
          <w:ilvl w:val="2"/>
          <w:numId w:val="1"/>
        </w:numPr>
      </w:pPr>
      <w:r>
        <w:t>7.3 Trade Finance Volume Economics</w:t>
      </w:r>
    </w:p>
    <w:p>
      <w:r>
        <w:rPr>
          <w:rFonts w:ascii="Figtree" w:hAnsi="Figtree"/>
          <w:b w:val="0"/>
          <w:i w:val="0"/>
          <w:sz w:val="22"/>
        </w:rPr>
        <w:t>One of the most important commercial characteristics of SettleMint's licensing model for a trade finance platform is the decoupling of license cost from transaction volume. UOB's trade finance business is expected to grow significantly as digital instruments become the standard for ASEAN trade. The commercial implications: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024"/>
        <w:gridCol w:w="304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UOB Trade Finance Scale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License Cost</w:t>
            </w:r>
          </w:p>
        </w:tc>
      </w:tr>
      <w:tr>
        <w:trPr>
          <w:trHeight w:val="425" w:hRule="atLeast"/>
        </w:trPr>
        <w:tc>
          <w:tcPr>
            <w:tcW w:type="dxa" w:w="4873"/>
            <w:vAlign w:val="center"/>
          </w:tcPr>
          <w:p>
            <w:pPr>
              <w:spacing w:line="276" w:lineRule="auto" w:before="0" w:after="0"/>
            </w:pPr>
            <w:r/>
            <w:r>
              <w:rPr>
                <w:rFonts w:ascii="Figtree" w:hAnsi="Figtree"/>
                <w:b w:val="0"/>
                <w:i w:val="0"/>
                <w:sz w:val="20"/>
              </w:rPr>
              <w:t>50 LCs/month, SGD 50M in trade volume</w:t>
            </w:r>
          </w:p>
        </w:tc>
        <w:tc>
          <w:tcPr>
            <w:tcW w:type="dxa" w:w="4873"/>
            <w:vAlign w:val="center"/>
          </w:tcPr>
          <w:p>
            <w:pPr>
              <w:spacing w:line="276" w:lineRule="auto" w:before="0" w:after="0"/>
            </w:pPr>
            <w:r/>
            <w:r>
              <w:rPr>
                <w:rFonts w:ascii="Figtree" w:hAnsi="Figtree"/>
                <w:b w:val="0"/>
                <w:i w:val="0"/>
                <w:sz w:val="20"/>
              </w:rPr>
              <w:t>EUR 420,000/year</w:t>
            </w:r>
          </w:p>
        </w:tc>
      </w:tr>
      <w:tr>
        <w:trPr>
          <w:trHeight w:val="425" w:hRule="atLeast"/>
        </w:trPr>
        <w:tc>
          <w:tcPr>
            <w:tcW w:type="dxa" w:w="4873"/>
            <w:vAlign w:val="center"/>
          </w:tcPr>
          <w:p>
            <w:pPr>
              <w:spacing w:line="276" w:lineRule="auto" w:before="0" w:after="0"/>
            </w:pPr>
            <w:r/>
            <w:r>
              <w:rPr>
                <w:rFonts w:ascii="Figtree" w:hAnsi="Figtree"/>
                <w:b w:val="0"/>
                <w:i w:val="0"/>
                <w:sz w:val="20"/>
              </w:rPr>
              <w:t>500 LCs/month, SGD 500M in trade volume</w:t>
            </w:r>
          </w:p>
        </w:tc>
        <w:tc>
          <w:tcPr>
            <w:tcW w:type="dxa" w:w="4873"/>
            <w:vAlign w:val="center"/>
          </w:tcPr>
          <w:p>
            <w:pPr>
              <w:spacing w:line="276" w:lineRule="auto" w:before="0" w:after="0"/>
            </w:pPr>
            <w:r/>
            <w:r>
              <w:rPr>
                <w:rFonts w:ascii="Figtree" w:hAnsi="Figtree"/>
                <w:b w:val="0"/>
                <w:i w:val="0"/>
                <w:sz w:val="20"/>
              </w:rPr>
              <w:t>EUR 420,000/year</w:t>
            </w:r>
          </w:p>
        </w:tc>
      </w:tr>
      <w:tr>
        <w:trPr>
          <w:trHeight w:val="425" w:hRule="atLeast"/>
        </w:trPr>
        <w:tc>
          <w:tcPr>
            <w:tcW w:type="dxa" w:w="4873"/>
            <w:vAlign w:val="center"/>
          </w:tcPr>
          <w:p>
            <w:pPr>
              <w:spacing w:line="276" w:lineRule="auto" w:before="0" w:after="0"/>
            </w:pPr>
            <w:r/>
            <w:r>
              <w:rPr>
                <w:rFonts w:ascii="Figtree" w:hAnsi="Figtree"/>
                <w:b w:val="0"/>
                <w:i w:val="0"/>
                <w:sz w:val="20"/>
              </w:rPr>
              <w:t>5,000 LCs/month, SGD 5B in trade volume</w:t>
            </w:r>
          </w:p>
        </w:tc>
        <w:tc>
          <w:tcPr>
            <w:tcW w:type="dxa" w:w="4873"/>
            <w:vAlign w:val="center"/>
          </w:tcPr>
          <w:p>
            <w:pPr>
              <w:spacing w:line="276" w:lineRule="auto" w:before="0" w:after="0"/>
            </w:pPr>
            <w:r/>
            <w:r>
              <w:rPr>
                <w:rFonts w:ascii="Figtree" w:hAnsi="Figtree"/>
                <w:b w:val="0"/>
                <w:i w:val="0"/>
                <w:sz w:val="20"/>
              </w:rPr>
              <w:t>EUR 420,000/year</w:t>
            </w:r>
          </w:p>
        </w:tc>
      </w:tr>
    </w:tbl>
    <w:p>
      <w:pPr>
        <w:spacing w:before="0" w:after="0" w:line="120" w:lineRule="exact"/>
      </w:pPr>
    </w:p>
    <w:p>
      <w:r>
        <w:rPr>
          <w:rFonts w:ascii="Figtree" w:hAnsi="Figtree"/>
          <w:b w:val="0"/>
          <w:i w:val="0"/>
          <w:sz w:val="22"/>
        </w:rPr>
        <w:t>The license cost per SGD of trade processed improves dramatically with volume — a direct commercial incentive for UOB to scale the programme aggressively rather than rationing digital trade finance transactions to manage license costs.</w:t>
      </w:r>
    </w:p>
    <w:p>
      <w:r>
        <w:rPr>
          <w:rFonts w:ascii="Figtree" w:hAnsi="Figtree"/>
          <w:b w:val="0"/>
          <w:i w:val="0"/>
          <w:sz w:val="22"/>
        </w:rPr>
        <w:t>At SGD 500M annual trade volume (a modest target for UOB's trade franchise), the DALP platform license represents 0.084% of trade value — a cost structure that is commercially sustainable even with very thin margins on individual trade transactions.</w:t>
      </w:r>
    </w:p>
    <w:p>
      <w:r>
        <w:br w:type="page"/>
      </w:r>
    </w:p>
    <w:p>
      <w:pPr>
        <w:pStyle w:val="H2"/>
        <w:numPr>
          <w:ilvl w:val="1"/>
          <w:numId w:val="1"/>
        </w:numPr>
      </w:pPr>
      <w:r>
        <w:t>8. Payment Terms and Milestones</w:t>
      </w:r>
    </w:p>
    <w:p>
      <w:pPr>
        <w:pStyle w:val="H3"/>
        <w:numPr>
          <w:ilvl w:val="2"/>
          <w:numId w:val="1"/>
        </w:numPr>
      </w:pPr>
      <w:r>
        <w:t>8.1 Platform License</w:t>
      </w:r>
    </w:p>
    <w:p>
      <w:r>
        <w:rPr>
          <w:rFonts w:ascii="Figtree" w:hAnsi="Figtree"/>
          <w:b w:val="0"/>
          <w:i w:val="0"/>
          <w:sz w:val="22"/>
        </w:rPr>
        <w:t>Annual, upfront. Year 1 invoice issued at contract execution; subsequent years at 12-month anniversaries. Payable within 30 days of invoice. All prices in EUR.</w:t>
      </w:r>
    </w:p>
    <w:p>
      <w:pPr>
        <w:pStyle w:val="H3"/>
        <w:numPr>
          <w:ilvl w:val="2"/>
          <w:numId w:val="1"/>
        </w:numPr>
      </w:pPr>
      <w:r>
        <w:t>8.2 Implementation Services</w:t>
      </w:r>
    </w:p>
    <w:p>
      <w:r>
        <w:rPr>
          <w:rFonts w:ascii="Figtree" w:hAnsi="Figtree"/>
          <w:b w:val="0"/>
          <w:i w:val="0"/>
          <w:sz w:val="22"/>
        </w:rPr>
        <w:t>Milestone-based payment: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36"/>
        <w:gridCol w:w="1131"/>
        <w:gridCol w:w="590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 of Total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r>
      <w:tr>
        <w:trPr>
          <w:trHeight w:val="425" w:hRule="atLeast"/>
        </w:trPr>
        <w:tc>
          <w:tcPr>
            <w:tcW w:type="dxa" w:w="3249"/>
            <w:vAlign w:val="center"/>
          </w:tcPr>
          <w:p>
            <w:pPr>
              <w:spacing w:line="276" w:lineRule="auto" w:before="0" w:after="0"/>
            </w:pPr>
            <w:r/>
            <w:r>
              <w:rPr>
                <w:rFonts w:ascii="Figtree" w:hAnsi="Figtree"/>
                <w:b w:val="0"/>
                <w:i w:val="0"/>
                <w:sz w:val="20"/>
              </w:rPr>
              <w:t>Contract execution</w:t>
            </w:r>
          </w:p>
        </w:tc>
        <w:tc>
          <w:tcPr>
            <w:tcW w:type="dxa" w:w="3249"/>
            <w:vAlign w:val="center"/>
          </w:tcPr>
          <w:p>
            <w:pPr>
              <w:spacing w:line="276" w:lineRule="auto" w:before="0" w:after="0"/>
            </w:pPr>
            <w:r/>
            <w:r>
              <w:rPr>
                <w:rFonts w:ascii="Figtree" w:hAnsi="Figtree"/>
                <w:b w:val="0"/>
                <w:i w:val="0"/>
                <w:sz w:val="20"/>
              </w:rPr>
              <w:t>30%</w:t>
            </w:r>
          </w:p>
        </w:tc>
        <w:tc>
          <w:tcPr>
            <w:tcW w:type="dxa" w:w="3249"/>
            <w:vAlign w:val="center"/>
          </w:tcPr>
          <w:p>
            <w:pPr>
              <w:spacing w:line="276" w:lineRule="auto" w:before="0" w:after="0"/>
            </w:pPr>
            <w:r/>
            <w:r>
              <w:rPr>
                <w:rFonts w:ascii="Figtree" w:hAnsi="Figtree"/>
                <w:b w:val="0"/>
                <w:i w:val="0"/>
                <w:sz w:val="20"/>
              </w:rPr>
              <w:t>Signed commercial agreement</w:t>
            </w:r>
          </w:p>
        </w:tc>
      </w:tr>
      <w:tr>
        <w:trPr>
          <w:trHeight w:val="425" w:hRule="atLeast"/>
        </w:trPr>
        <w:tc>
          <w:tcPr>
            <w:tcW w:type="dxa" w:w="3249"/>
            <w:vAlign w:val="center"/>
          </w:tcPr>
          <w:p>
            <w:pPr>
              <w:spacing w:line="276" w:lineRule="auto" w:before="0" w:after="0"/>
            </w:pPr>
            <w:r/>
            <w:r>
              <w:rPr>
                <w:rFonts w:ascii="Figtree" w:hAnsi="Figtree"/>
                <w:b w:val="0"/>
                <w:i w:val="0"/>
                <w:sz w:val="20"/>
              </w:rPr>
              <w:t>Phase 1 gate</w:t>
            </w:r>
          </w:p>
        </w:tc>
        <w:tc>
          <w:tcPr>
            <w:tcW w:type="dxa" w:w="3249"/>
            <w:vAlign w:val="center"/>
          </w:tcPr>
          <w:p>
            <w:pPr>
              <w:spacing w:line="276" w:lineRule="auto" w:before="0" w:after="0"/>
            </w:pPr>
            <w:r/>
            <w:r>
              <w:rPr>
                <w:rFonts w:ascii="Figtree" w:hAnsi="Figtree"/>
                <w:b w:val="0"/>
                <w:i w:val="0"/>
                <w:sz w:val="20"/>
              </w:rPr>
              <w:t>20%</w:t>
            </w:r>
          </w:p>
        </w:tc>
        <w:tc>
          <w:tcPr>
            <w:tcW w:type="dxa" w:w="3249"/>
            <w:vAlign w:val="center"/>
          </w:tcPr>
          <w:p>
            <w:pPr>
              <w:spacing w:line="276" w:lineRule="auto" w:before="0" w:after="0"/>
            </w:pPr>
            <w:r/>
            <w:r>
              <w:rPr>
                <w:rFonts w:ascii="Figtree" w:hAnsi="Figtree"/>
                <w:b w:val="0"/>
                <w:i w:val="0"/>
                <w:sz w:val="20"/>
              </w:rPr>
              <w:t>Architecture document + MAS TRM compliance matrix delivered</w:t>
            </w:r>
          </w:p>
        </w:tc>
      </w:tr>
      <w:tr>
        <w:trPr>
          <w:trHeight w:val="425" w:hRule="atLeast"/>
        </w:trPr>
        <w:tc>
          <w:tcPr>
            <w:tcW w:type="dxa" w:w="3249"/>
            <w:vAlign w:val="center"/>
          </w:tcPr>
          <w:p>
            <w:pPr>
              <w:spacing w:line="276" w:lineRule="auto" w:before="0" w:after="0"/>
            </w:pPr>
            <w:r/>
            <w:r>
              <w:rPr>
                <w:rFonts w:ascii="Figtree" w:hAnsi="Figtree"/>
                <w:b w:val="0"/>
                <w:i w:val="0"/>
                <w:sz w:val="20"/>
              </w:rPr>
              <w:t>Phase 3 gate</w:t>
            </w:r>
          </w:p>
        </w:tc>
        <w:tc>
          <w:tcPr>
            <w:tcW w:type="dxa" w:w="3249"/>
            <w:vAlign w:val="center"/>
          </w:tcPr>
          <w:p>
            <w:pPr>
              <w:spacing w:line="276" w:lineRule="auto" w:before="0" w:after="0"/>
            </w:pPr>
            <w:r/>
            <w:r>
              <w:rPr>
                <w:rFonts w:ascii="Figtree" w:hAnsi="Figtree"/>
                <w:b w:val="0"/>
                <w:i w:val="0"/>
                <w:sz w:val="20"/>
              </w:rPr>
              <w:t>30%</w:t>
            </w:r>
          </w:p>
        </w:tc>
        <w:tc>
          <w:tcPr>
            <w:tcW w:type="dxa" w:w="3249"/>
            <w:vAlign w:val="center"/>
          </w:tcPr>
          <w:p>
            <w:pPr>
              <w:spacing w:line="276" w:lineRule="auto" w:before="0" w:after="0"/>
            </w:pPr>
            <w:r/>
            <w:r>
              <w:rPr>
                <w:rFonts w:ascii="Figtree" w:hAnsi="Figtree"/>
                <w:b w:val="0"/>
                <w:i w:val="0"/>
                <w:sz w:val="20"/>
              </w:rPr>
              <w:t>GTB + SWIFT + FAST/PayNow integrations operational</w:t>
            </w:r>
          </w:p>
        </w:tc>
      </w:tr>
      <w:tr>
        <w:trPr>
          <w:trHeight w:val="425" w:hRule="atLeast"/>
        </w:trPr>
        <w:tc>
          <w:tcPr>
            <w:tcW w:type="dxa" w:w="3249"/>
            <w:vAlign w:val="center"/>
          </w:tcPr>
          <w:p>
            <w:pPr>
              <w:spacing w:line="276" w:lineRule="auto" w:before="0" w:after="0"/>
            </w:pPr>
            <w:r/>
            <w:r>
              <w:rPr>
                <w:rFonts w:ascii="Figtree" w:hAnsi="Figtree"/>
                <w:b w:val="0"/>
                <w:i w:val="0"/>
                <w:sz w:val="20"/>
              </w:rPr>
              <w:t>Phase 5 go-live</w:t>
            </w:r>
          </w:p>
        </w:tc>
        <w:tc>
          <w:tcPr>
            <w:tcW w:type="dxa" w:w="3249"/>
            <w:vAlign w:val="center"/>
          </w:tcPr>
          <w:p>
            <w:pPr>
              <w:spacing w:line="276" w:lineRule="auto" w:before="0" w:after="0"/>
            </w:pPr>
            <w:r/>
            <w:r>
              <w:rPr>
                <w:rFonts w:ascii="Figtree" w:hAnsi="Figtree"/>
                <w:b w:val="0"/>
                <w:i w:val="0"/>
                <w:sz w:val="20"/>
              </w:rPr>
              <w:t>20%</w:t>
            </w:r>
          </w:p>
        </w:tc>
        <w:tc>
          <w:tcPr>
            <w:tcW w:type="dxa" w:w="3249"/>
            <w:vAlign w:val="center"/>
          </w:tcPr>
          <w:p>
            <w:pPr>
              <w:spacing w:line="276" w:lineRule="auto" w:before="0" w:after="0"/>
            </w:pPr>
            <w:r/>
            <w:r>
              <w:rPr>
                <w:rFonts w:ascii="Figtree" w:hAnsi="Figtree"/>
                <w:b w:val="0"/>
                <w:i w:val="0"/>
                <w:sz w:val="20"/>
              </w:rPr>
              <w:t>Production deployment confirmed</w:t>
            </w:r>
          </w:p>
        </w:tc>
      </w:tr>
    </w:tbl>
    <w:p>
      <w:pPr>
        <w:spacing w:before="0" w:after="0" w:line="120" w:lineRule="exact"/>
      </w:pPr>
    </w:p>
    <w:p>
      <w:pPr>
        <w:pStyle w:val="H3"/>
        <w:numPr>
          <w:ilvl w:val="2"/>
          <w:numId w:val="1"/>
        </w:numPr>
      </w:pPr>
      <w:r>
        <w:t>8.3 Support</w:t>
      </w:r>
    </w:p>
    <w:p>
      <w:r>
        <w:rPr>
          <w:rFonts w:ascii="Figtree" w:hAnsi="Figtree"/>
          <w:b w:val="0"/>
          <w:i w:val="0"/>
          <w:sz w:val="22"/>
        </w:rPr>
        <w:t>Annual, upfront, concurrent with platform license invoice.</w:t>
      </w:r>
    </w:p>
    <w:p>
      <w:pPr>
        <w:pStyle w:val="H3"/>
        <w:numPr>
          <w:ilvl w:val="2"/>
          <w:numId w:val="1"/>
        </w:numPr>
      </w:pPr>
      <w:r>
        <w:t>8.4 Infrastructure</w:t>
      </w:r>
    </w:p>
    <w:p>
      <w:r>
        <w:rPr>
          <w:rFonts w:ascii="Figtree" w:hAnsi="Figtree"/>
          <w:b w:val="0"/>
          <w:i w:val="0"/>
          <w:sz w:val="22"/>
        </w:rPr>
        <w:t>Monthly in arrears; AWS billing report attached.</w:t>
      </w:r>
    </w:p>
    <w:p>
      <w:r>
        <w:br w:type="page"/>
      </w:r>
    </w:p>
    <w:p>
      <w:pPr>
        <w:pStyle w:val="H2"/>
        <w:numPr>
          <w:ilvl w:val="1"/>
          <w:numId w:val="1"/>
        </w:numPr>
      </w:pPr>
      <w:r>
        <w:t>9. Commercial Assumptions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90"/>
        <w:gridCol w:w="3662"/>
        <w:gridCol w:w="471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Assumption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Impact if Incorrect</w:t>
            </w:r>
          </w:p>
        </w:tc>
      </w:tr>
      <w:tr>
        <w:trPr>
          <w:trHeight w:val="425" w:hRule="atLeast"/>
        </w:trPr>
        <w:tc>
          <w:tcPr>
            <w:tcW w:type="dxa" w:w="3249"/>
            <w:vAlign w:val="center"/>
          </w:tcPr>
          <w:p>
            <w:pPr>
              <w:spacing w:line="276" w:lineRule="auto" w:before="0" w:after="0"/>
            </w:pPr>
            <w:r/>
            <w:r>
              <w:rPr>
                <w:rFonts w:ascii="Figtree" w:hAnsi="Figtree"/>
                <w:b w:val="0"/>
                <w:i w:val="0"/>
                <w:sz w:val="20"/>
              </w:rPr>
              <w:t>CA-001</w:t>
            </w:r>
          </w:p>
        </w:tc>
        <w:tc>
          <w:tcPr>
            <w:tcW w:type="dxa" w:w="3249"/>
            <w:vAlign w:val="center"/>
          </w:tcPr>
          <w:p>
            <w:pPr>
              <w:spacing w:line="276" w:lineRule="auto" w:before="0" w:after="0"/>
            </w:pPr>
            <w:r/>
            <w:r>
              <w:rPr>
                <w:rFonts w:ascii="Figtree" w:hAnsi="Figtree"/>
                <w:b w:val="0"/>
                <w:i w:val="0"/>
                <w:sz w:val="20"/>
              </w:rPr>
              <w:t>Initial scope: Production + Development environments</w:t>
            </w:r>
          </w:p>
        </w:tc>
        <w:tc>
          <w:tcPr>
            <w:tcW w:type="dxa" w:w="3249"/>
            <w:vAlign w:val="center"/>
          </w:tcPr>
          <w:p>
            <w:pPr>
              <w:spacing w:line="276" w:lineRule="auto" w:before="0" w:after="0"/>
            </w:pPr>
            <w:r/>
            <w:r>
              <w:rPr>
                <w:rFonts w:ascii="Figtree" w:hAnsi="Figtree"/>
                <w:b w:val="0"/>
                <w:i w:val="0"/>
                <w:sz w:val="20"/>
              </w:rPr>
              <w:t>Third environment licensed separately</w:t>
            </w:r>
          </w:p>
        </w:tc>
      </w:tr>
      <w:tr>
        <w:trPr>
          <w:trHeight w:val="425" w:hRule="atLeast"/>
        </w:trPr>
        <w:tc>
          <w:tcPr>
            <w:tcW w:type="dxa" w:w="3249"/>
            <w:vAlign w:val="center"/>
          </w:tcPr>
          <w:p>
            <w:pPr>
              <w:spacing w:line="276" w:lineRule="auto" w:before="0" w:after="0"/>
            </w:pPr>
            <w:r/>
            <w:r>
              <w:rPr>
                <w:rFonts w:ascii="Figtree" w:hAnsi="Figtree"/>
                <w:b w:val="0"/>
                <w:i w:val="0"/>
                <w:sz w:val="20"/>
              </w:rPr>
              <w:t>CA-002</w:t>
            </w:r>
          </w:p>
        </w:tc>
        <w:tc>
          <w:tcPr>
            <w:tcW w:type="dxa" w:w="3249"/>
            <w:vAlign w:val="center"/>
          </w:tcPr>
          <w:p>
            <w:pPr>
              <w:spacing w:line="276" w:lineRule="auto" w:before="0" w:after="0"/>
            </w:pPr>
            <w:r/>
            <w:r>
              <w:rPr>
                <w:rFonts w:ascii="Figtree" w:hAnsi="Figtree"/>
                <w:b w:val="0"/>
                <w:i w:val="0"/>
                <w:sz w:val="20"/>
              </w:rPr>
              <w:t>Minimum term: 36 months</w:t>
            </w:r>
          </w:p>
        </w:tc>
        <w:tc>
          <w:tcPr>
            <w:tcW w:type="dxa" w:w="3249"/>
            <w:vAlign w:val="center"/>
          </w:tcPr>
          <w:p>
            <w:pPr>
              <w:spacing w:line="276" w:lineRule="auto" w:before="0" w:after="0"/>
            </w:pPr>
            <w:r/>
            <w:r>
              <w:rPr>
                <w:rFonts w:ascii="Figtree" w:hAnsi="Figtree"/>
                <w:b w:val="0"/>
                <w:i w:val="0"/>
                <w:sz w:val="20"/>
              </w:rPr>
              <w:t>Shorter term may affect structure</w:t>
            </w:r>
          </w:p>
        </w:tc>
      </w:tr>
      <w:tr>
        <w:trPr>
          <w:trHeight w:val="425" w:hRule="atLeast"/>
        </w:trPr>
        <w:tc>
          <w:tcPr>
            <w:tcW w:type="dxa" w:w="3249"/>
            <w:vAlign w:val="center"/>
          </w:tcPr>
          <w:p>
            <w:pPr>
              <w:spacing w:line="276" w:lineRule="auto" w:before="0" w:after="0"/>
            </w:pPr>
            <w:r/>
            <w:r>
              <w:rPr>
                <w:rFonts w:ascii="Figtree" w:hAnsi="Figtree"/>
                <w:b w:val="0"/>
                <w:i w:val="0"/>
                <w:sz w:val="20"/>
              </w:rPr>
              <w:t>CA-003</w:t>
            </w:r>
          </w:p>
        </w:tc>
        <w:tc>
          <w:tcPr>
            <w:tcW w:type="dxa" w:w="3249"/>
            <w:vAlign w:val="center"/>
          </w:tcPr>
          <w:p>
            <w:pPr>
              <w:spacing w:line="276" w:lineRule="auto" w:before="0" w:after="0"/>
            </w:pPr>
            <w:r/>
            <w:r>
              <w:rPr>
                <w:rFonts w:ascii="Figtree" w:hAnsi="Figtree"/>
                <w:b w:val="0"/>
                <w:i w:val="0"/>
                <w:sz w:val="20"/>
              </w:rPr>
              <w:t>All prices in EUR; SGD/EUR FX risk borne by UOB</w:t>
            </w:r>
          </w:p>
        </w:tc>
        <w:tc>
          <w:tcPr>
            <w:tcW w:type="dxa" w:w="3249"/>
            <w:vAlign w:val="center"/>
          </w:tcPr>
          <w:p>
            <w:pPr>
              <w:spacing w:line="276" w:lineRule="auto" w:before="0" w:after="0"/>
            </w:pPr>
            <w:r/>
            <w:r>
              <w:rPr>
                <w:rFonts w:ascii="Figtree" w:hAnsi="Figtree"/>
                <w:b w:val="0"/>
                <w:i w:val="0"/>
                <w:sz w:val="20"/>
              </w:rPr>
              <w:t>No impact on SettleMint invoice</w:t>
            </w:r>
          </w:p>
        </w:tc>
      </w:tr>
      <w:tr>
        <w:trPr>
          <w:trHeight w:val="425" w:hRule="atLeast"/>
        </w:trPr>
        <w:tc>
          <w:tcPr>
            <w:tcW w:type="dxa" w:w="3249"/>
            <w:vAlign w:val="center"/>
          </w:tcPr>
          <w:p>
            <w:pPr>
              <w:spacing w:line="276" w:lineRule="auto" w:before="0" w:after="0"/>
            </w:pPr>
            <w:r/>
            <w:r>
              <w:rPr>
                <w:rFonts w:ascii="Figtree" w:hAnsi="Figtree"/>
                <w:b w:val="0"/>
                <w:i w:val="0"/>
                <w:sz w:val="20"/>
              </w:rPr>
              <w:t>CA-004</w:t>
            </w:r>
          </w:p>
        </w:tc>
        <w:tc>
          <w:tcPr>
            <w:tcW w:type="dxa" w:w="3249"/>
            <w:vAlign w:val="center"/>
          </w:tcPr>
          <w:p>
            <w:pPr>
              <w:spacing w:line="276" w:lineRule="auto" w:before="0" w:after="0"/>
            </w:pPr>
            <w:r/>
            <w:r>
              <w:rPr>
                <w:rFonts w:ascii="Figtree" w:hAnsi="Figtree"/>
                <w:b w:val="0"/>
                <w:i w:val="0"/>
                <w:sz w:val="20"/>
              </w:rPr>
              <w:t>Singapore GST (9%) on imported software services — UOB to confirm applicability</w:t>
            </w:r>
          </w:p>
        </w:tc>
        <w:tc>
          <w:tcPr>
            <w:tcW w:type="dxa" w:w="3249"/>
            <w:vAlign w:val="center"/>
          </w:tcPr>
          <w:p>
            <w:pPr>
              <w:spacing w:line="276" w:lineRule="auto" w:before="0" w:after="0"/>
            </w:pPr>
            <w:r/>
            <w:r>
              <w:rPr>
                <w:rFonts w:ascii="Figtree" w:hAnsi="Figtree"/>
                <w:b w:val="0"/>
                <w:i w:val="0"/>
                <w:sz w:val="20"/>
              </w:rPr>
              <w:t>UOB's tax team to confirm; excluded from SettleMint invoice</w:t>
            </w:r>
          </w:p>
        </w:tc>
      </w:tr>
      <w:tr>
        <w:trPr>
          <w:trHeight w:val="425" w:hRule="atLeast"/>
        </w:trPr>
        <w:tc>
          <w:tcPr>
            <w:tcW w:type="dxa" w:w="3249"/>
            <w:vAlign w:val="center"/>
          </w:tcPr>
          <w:p>
            <w:pPr>
              <w:spacing w:line="276" w:lineRule="auto" w:before="0" w:after="0"/>
            </w:pPr>
            <w:r/>
            <w:r>
              <w:rPr>
                <w:rFonts w:ascii="Figtree" w:hAnsi="Figtree"/>
                <w:b w:val="0"/>
                <w:i w:val="0"/>
                <w:sz w:val="20"/>
              </w:rPr>
              <w:t>CA-005</w:t>
            </w:r>
          </w:p>
        </w:tc>
        <w:tc>
          <w:tcPr>
            <w:tcW w:type="dxa" w:w="3249"/>
            <w:vAlign w:val="center"/>
          </w:tcPr>
          <w:p>
            <w:pPr>
              <w:spacing w:line="276" w:lineRule="auto" w:before="0" w:after="0"/>
            </w:pPr>
            <w:r/>
            <w:r>
              <w:rPr>
                <w:rFonts w:ascii="Figtree" w:hAnsi="Figtree"/>
                <w:b w:val="0"/>
                <w:i w:val="0"/>
                <w:sz w:val="20"/>
              </w:rPr>
              <w:t>GTB API access and documentation provided in Phase 1</w:t>
            </w:r>
          </w:p>
        </w:tc>
        <w:tc>
          <w:tcPr>
            <w:tcW w:type="dxa" w:w="3249"/>
            <w:vAlign w:val="center"/>
          </w:tcPr>
          <w:p>
            <w:pPr>
              <w:spacing w:line="276" w:lineRule="auto" w:before="0" w:after="0"/>
            </w:pPr>
            <w:r/>
            <w:r>
              <w:rPr>
                <w:rFonts w:ascii="Figtree" w:hAnsi="Figtree"/>
                <w:b w:val="0"/>
                <w:i w:val="0"/>
                <w:sz w:val="20"/>
              </w:rPr>
              <w:t>Delayed GTB access extends Phase 3 timeline; fixed-fee unchanged</w:t>
            </w:r>
          </w:p>
        </w:tc>
      </w:tr>
      <w:tr>
        <w:trPr>
          <w:trHeight w:val="425" w:hRule="atLeast"/>
        </w:trPr>
        <w:tc>
          <w:tcPr>
            <w:tcW w:type="dxa" w:w="3249"/>
            <w:vAlign w:val="center"/>
          </w:tcPr>
          <w:p>
            <w:pPr>
              <w:spacing w:line="276" w:lineRule="auto" w:before="0" w:after="0"/>
            </w:pPr>
            <w:r/>
            <w:r>
              <w:rPr>
                <w:rFonts w:ascii="Figtree" w:hAnsi="Figtree"/>
                <w:b w:val="0"/>
                <w:i w:val="0"/>
                <w:sz w:val="20"/>
              </w:rPr>
              <w:t>CA-006</w:t>
            </w:r>
          </w:p>
        </w:tc>
        <w:tc>
          <w:tcPr>
            <w:tcW w:type="dxa" w:w="3249"/>
            <w:vAlign w:val="center"/>
          </w:tcPr>
          <w:p>
            <w:pPr>
              <w:spacing w:line="276" w:lineRule="auto" w:before="0" w:after="0"/>
            </w:pPr>
            <w:r/>
            <w:r>
              <w:rPr>
                <w:rFonts w:ascii="Figtree" w:hAnsi="Figtree"/>
                <w:b w:val="0"/>
                <w:i w:val="0"/>
                <w:sz w:val="20"/>
              </w:rPr>
              <w:t>UOB provides SWIFT BIC and test credentials for SWIFT integration</w:t>
            </w:r>
          </w:p>
        </w:tc>
        <w:tc>
          <w:tcPr>
            <w:tcW w:type="dxa" w:w="3249"/>
            <w:vAlign w:val="center"/>
          </w:tcPr>
          <w:p>
            <w:pPr>
              <w:spacing w:line="276" w:lineRule="auto" w:before="0" w:after="0"/>
            </w:pPr>
            <w:r/>
            <w:r>
              <w:rPr>
                <w:rFonts w:ascii="Figtree" w:hAnsi="Figtree"/>
                <w:b w:val="0"/>
                <w:i w:val="0"/>
                <w:sz w:val="20"/>
              </w:rPr>
              <w:t>SWIFT access is UOB-managed; SettleMint provides integration capability</w:t>
            </w:r>
          </w:p>
        </w:tc>
      </w:tr>
      <w:tr>
        <w:trPr>
          <w:trHeight w:val="425" w:hRule="atLeast"/>
        </w:trPr>
        <w:tc>
          <w:tcPr>
            <w:tcW w:type="dxa" w:w="3249"/>
            <w:vAlign w:val="center"/>
          </w:tcPr>
          <w:p>
            <w:pPr>
              <w:spacing w:line="276" w:lineRule="auto" w:before="0" w:after="0"/>
            </w:pPr>
            <w:r/>
            <w:r>
              <w:rPr>
                <w:rFonts w:ascii="Figtree" w:hAnsi="Figtree"/>
                <w:b w:val="0"/>
                <w:i w:val="0"/>
                <w:sz w:val="20"/>
              </w:rPr>
              <w:t>CA-007</w:t>
            </w:r>
          </w:p>
        </w:tc>
        <w:tc>
          <w:tcPr>
            <w:tcW w:type="dxa" w:w="3249"/>
            <w:vAlign w:val="center"/>
          </w:tcPr>
          <w:p>
            <w:pPr>
              <w:spacing w:line="276" w:lineRule="auto" w:before="0" w:after="0"/>
            </w:pPr>
            <w:r/>
            <w:r>
              <w:rPr>
                <w:rFonts w:ascii="Figtree" w:hAnsi="Figtree"/>
                <w:b w:val="0"/>
                <w:i w:val="0"/>
                <w:sz w:val="20"/>
              </w:rPr>
              <w:t>TradeTrust corridor coverage of initial target trade lanes (ASEAN to China/India)</w:t>
            </w:r>
          </w:p>
        </w:tc>
        <w:tc>
          <w:tcPr>
            <w:tcW w:type="dxa" w:w="3249"/>
            <w:vAlign w:val="center"/>
          </w:tcPr>
          <w:p>
            <w:pPr>
              <w:spacing w:line="276" w:lineRule="auto" w:before="0" w:after="0"/>
            </w:pPr>
            <w:r/>
            <w:r>
              <w:rPr>
                <w:rFonts w:ascii="Figtree" w:hAnsi="Figtree"/>
                <w:b w:val="0"/>
                <w:i w:val="0"/>
                <w:sz w:val="20"/>
              </w:rPr>
              <w:t>TradeTrust coverage assessed in Phase 1; native BoL issuance available as fallback for non-TradeTrust counterparties</w:t>
            </w:r>
          </w:p>
        </w:tc>
      </w:tr>
      <w:tr>
        <w:trPr>
          <w:trHeight w:val="425" w:hRule="atLeast"/>
        </w:trPr>
        <w:tc>
          <w:tcPr>
            <w:tcW w:type="dxa" w:w="3249"/>
            <w:vAlign w:val="center"/>
          </w:tcPr>
          <w:p>
            <w:pPr>
              <w:spacing w:line="276" w:lineRule="auto" w:before="0" w:after="0"/>
            </w:pPr>
            <w:r/>
            <w:r>
              <w:rPr>
                <w:rFonts w:ascii="Figtree" w:hAnsi="Figtree"/>
                <w:b w:val="0"/>
                <w:i w:val="0"/>
                <w:sz w:val="20"/>
              </w:rPr>
              <w:t>CA-008</w:t>
            </w:r>
          </w:p>
        </w:tc>
        <w:tc>
          <w:tcPr>
            <w:tcW w:type="dxa" w:w="3249"/>
            <w:vAlign w:val="center"/>
          </w:tcPr>
          <w:p>
            <w:pPr>
              <w:spacing w:line="276" w:lineRule="auto" w:before="0" w:after="0"/>
            </w:pPr>
            <w:r/>
            <w:r>
              <w:rPr>
                <w:rFonts w:ascii="Figtree" w:hAnsi="Figtree"/>
                <w:b w:val="0"/>
                <w:i w:val="0"/>
                <w:sz w:val="20"/>
              </w:rPr>
              <w:t>FAST/PayNow API access through UOB's existing payment infrastructure</w:t>
            </w:r>
          </w:p>
        </w:tc>
        <w:tc>
          <w:tcPr>
            <w:tcW w:type="dxa" w:w="3249"/>
            <w:vAlign w:val="center"/>
          </w:tcPr>
          <w:p>
            <w:pPr>
              <w:spacing w:line="276" w:lineRule="auto" w:before="0" w:after="0"/>
            </w:pPr>
            <w:r/>
            <w:r>
              <w:rPr>
                <w:rFonts w:ascii="Figtree" w:hAnsi="Figtree"/>
                <w:b w:val="0"/>
                <w:i w:val="0"/>
                <w:sz w:val="20"/>
              </w:rPr>
              <w:t>FAST/PayNow integration uses UOB's existing bank connectivity; SettleMint does not connect to FAST/PayNow directly</w:t>
            </w:r>
          </w:p>
        </w:tc>
      </w:tr>
      <w:tr>
        <w:trPr>
          <w:trHeight w:val="425" w:hRule="atLeast"/>
        </w:trPr>
        <w:tc>
          <w:tcPr>
            <w:tcW w:type="dxa" w:w="3249"/>
            <w:vAlign w:val="center"/>
          </w:tcPr>
          <w:p>
            <w:pPr>
              <w:spacing w:line="276" w:lineRule="auto" w:before="0" w:after="0"/>
            </w:pPr>
            <w:r/>
            <w:r>
              <w:rPr>
                <w:rFonts w:ascii="Figtree" w:hAnsi="Figtree"/>
                <w:b w:val="0"/>
                <w:i w:val="0"/>
                <w:sz w:val="20"/>
              </w:rPr>
              <w:t>CA-009</w:t>
            </w:r>
          </w:p>
        </w:tc>
        <w:tc>
          <w:tcPr>
            <w:tcW w:type="dxa" w:w="3249"/>
            <w:vAlign w:val="center"/>
          </w:tcPr>
          <w:p>
            <w:pPr>
              <w:spacing w:line="276" w:lineRule="auto" w:before="0" w:after="0"/>
            </w:pPr>
            <w:r/>
            <w:r>
              <w:rPr>
                <w:rFonts w:ascii="Figtree" w:hAnsi="Figtree"/>
                <w:b w:val="0"/>
                <w:i w:val="0"/>
                <w:sz w:val="20"/>
              </w:rPr>
              <w:t>License is payable regardless of LC or trade volume achieved post-go-live</w:t>
            </w:r>
          </w:p>
        </w:tc>
        <w:tc>
          <w:tcPr>
            <w:tcW w:type="dxa" w:w="3249"/>
            <w:vAlign w:val="center"/>
          </w:tcPr>
          <w:p>
            <w:pPr>
              <w:spacing w:line="276" w:lineRule="auto" w:before="0" w:after="0"/>
            </w:pPr>
            <w:r/>
            <w:r>
              <w:rPr>
                <w:rFonts w:ascii="Figtree" w:hAnsi="Figtree"/>
                <w:b w:val="0"/>
                <w:i w:val="0"/>
                <w:sz w:val="20"/>
              </w:rPr>
              <w:t>Commercial risk that programme volumes take time to ramp is UOB's</w:t>
            </w:r>
          </w:p>
        </w:tc>
      </w:tr>
      <w:tr>
        <w:trPr>
          <w:trHeight w:val="425" w:hRule="atLeast"/>
        </w:trPr>
        <w:tc>
          <w:tcPr>
            <w:tcW w:type="dxa" w:w="3249"/>
            <w:vAlign w:val="center"/>
          </w:tcPr>
          <w:p>
            <w:pPr>
              <w:spacing w:line="276" w:lineRule="auto" w:before="0" w:after="0"/>
            </w:pPr>
            <w:r/>
            <w:r>
              <w:rPr>
                <w:rFonts w:ascii="Figtree" w:hAnsi="Figtree"/>
                <w:b w:val="0"/>
                <w:i w:val="0"/>
                <w:sz w:val="20"/>
              </w:rPr>
              <w:t>CA-010</w:t>
            </w:r>
          </w:p>
        </w:tc>
        <w:tc>
          <w:tcPr>
            <w:tcW w:type="dxa" w:w="3249"/>
            <w:vAlign w:val="center"/>
          </w:tcPr>
          <w:p>
            <w:pPr>
              <w:spacing w:line="276" w:lineRule="auto" w:before="0" w:after="0"/>
            </w:pPr>
            <w:r/>
            <w:r>
              <w:rPr>
                <w:rFonts w:ascii="Figtree" w:hAnsi="Figtree"/>
                <w:b w:val="0"/>
                <w:i w:val="0"/>
                <w:sz w:val="20"/>
              </w:rPr>
              <w:t>Price hold for 36-month initial term; Year 4/5 subject to CPI review with 6 months' notice</w:t>
            </w:r>
          </w:p>
        </w:tc>
        <w:tc>
          <w:tcPr>
            <w:tcW w:type="dxa" w:w="3249"/>
            <w:vAlign w:val="center"/>
          </w:tcPr>
          <w:p>
            <w:pPr>
              <w:spacing w:line="276" w:lineRule="auto" w:before="0" w:after="0"/>
            </w:pPr>
            <w:r/>
            <w:r>
              <w:rPr>
                <w:rFonts w:ascii="Figtree" w:hAnsi="Figtree"/>
                <w:b w:val="0"/>
                <w:i w:val="0"/>
                <w:sz w:val="20"/>
              </w:rPr>
              <w:t>Renewal discussion begins 6 months before initial term expiry</w:t>
            </w:r>
          </w:p>
        </w:tc>
      </w:tr>
    </w:tbl>
    <w:p>
      <w:pPr>
        <w:spacing w:before="0" w:after="0" w:line="120" w:lineRule="exact"/>
      </w:pPr>
    </w:p>
    <w:p>
      <w:r>
        <w:br w:type="page"/>
      </w:r>
    </w:p>
    <w:p>
      <w:pPr>
        <w:pStyle w:val="H2"/>
        <w:numPr>
          <w:ilvl w:val="1"/>
          <w:numId w:val="1"/>
        </w:numPr>
      </w:pPr>
      <w:r>
        <w:t>10. Exit and Transition Terms</w:t>
      </w:r>
    </w:p>
    <w:p>
      <w:pPr>
        <w:pStyle w:val="H3"/>
        <w:numPr>
          <w:ilvl w:val="2"/>
          <w:numId w:val="1"/>
        </w:numPr>
      </w:pPr>
      <w:r>
        <w:t>10.1 Data Portability</w:t>
      </w:r>
    </w:p>
    <w:p>
      <w:r>
        <w:rPr>
          <w:rFonts w:ascii="Figtree" w:hAnsi="Figtree"/>
          <w:b w:val="0"/>
          <w:i w:val="0"/>
          <w:sz w:val="22"/>
        </w:rPr>
        <w:t>UOB retains full ownership of all trade finance data:</w:t>
      </w:r>
    </w:p>
    <w:p>
      <w:pPr>
        <w:pStyle w:val="ListParagraph"/>
        <w:numPr>
          <w:ilvl w:val="0"/>
          <w:numId w:val="4"/>
        </w:numPr>
      </w:pPr>
      <w:r>
        <w:rPr>
          <w:rFonts w:ascii="Figtree" w:hAnsi="Figtree"/>
          <w:b w:val="0"/>
          <w:i w:val="0"/>
          <w:sz w:val="22"/>
        </w:rPr>
        <w:t>Complete export of all LC, BoL, invoice, and receivable transaction records in structured JSON/CSV format</w:t>
      </w:r>
    </w:p>
    <w:p>
      <w:pPr>
        <w:pStyle w:val="ListParagraph"/>
        <w:numPr>
          <w:ilvl w:val="0"/>
          <w:numId w:val="4"/>
        </w:numPr>
      </w:pPr>
      <w:r>
        <w:rPr>
          <w:rFonts w:ascii="Figtree" w:hAnsi="Figtree"/>
          <w:b w:val="0"/>
          <w:i w:val="0"/>
          <w:sz w:val="22"/>
        </w:rPr>
        <w:t>Export of all counterparty registry data, compliance event records, and audit logs</w:t>
      </w:r>
    </w:p>
    <w:p>
      <w:pPr>
        <w:pStyle w:val="ListParagraph"/>
        <w:numPr>
          <w:ilvl w:val="0"/>
          <w:numId w:val="4"/>
        </w:numPr>
      </w:pPr>
      <w:r>
        <w:rPr>
          <w:rFonts w:ascii="Figtree" w:hAnsi="Figtree"/>
          <w:b w:val="0"/>
          <w:i w:val="0"/>
          <w:sz w:val="22"/>
        </w:rPr>
        <w:t>Trade document metadata and document hash records for TradeTrust verification continuity</w:t>
      </w:r>
    </w:p>
    <w:p>
      <w:pPr>
        <w:pStyle w:val="ListParagraph"/>
        <w:numPr>
          <w:ilvl w:val="0"/>
          <w:numId w:val="4"/>
        </w:numPr>
      </w:pPr>
      <w:r>
        <w:rPr>
          <w:rFonts w:ascii="Figtree" w:hAnsi="Figtree"/>
          <w:b w:val="0"/>
          <w:i w:val="0"/>
          <w:sz w:val="22"/>
        </w:rPr>
        <w:t>Architecture documentation, integration specifications, runbooks, and operational guides</w:t>
      </w:r>
    </w:p>
    <w:p>
      <w:r>
        <w:rPr>
          <w:rFonts w:ascii="Figtree" w:hAnsi="Figtree"/>
          <w:b w:val="0"/>
          <w:i w:val="0"/>
          <w:sz w:val="22"/>
        </w:rPr>
        <w:t>Data export available via self-service API at any time; managed export on termination within 30 days.</w:t>
      </w:r>
    </w:p>
    <w:p>
      <w:pPr>
        <w:pStyle w:val="H3"/>
        <w:numPr>
          <w:ilvl w:val="2"/>
          <w:numId w:val="1"/>
        </w:numPr>
      </w:pPr>
      <w:r>
        <w:t>10.2 Transition Support</w:t>
      </w:r>
    </w:p>
    <w:p>
      <w:r>
        <w:rPr>
          <w:rFonts w:ascii="Figtree" w:hAnsi="Figtree"/>
          <w:b w:val="0"/>
          <w:i w:val="0"/>
          <w:sz w:val="22"/>
        </w:rPr>
        <w:t>90 days minimum from termination notice:</w:t>
      </w:r>
    </w:p>
    <w:p>
      <w:pPr>
        <w:pStyle w:val="ListParagraph"/>
        <w:numPr>
          <w:ilvl w:val="0"/>
          <w:numId w:val="4"/>
        </w:numPr>
      </w:pPr>
      <w:r>
        <w:rPr>
          <w:rFonts w:ascii="Figtree" w:hAnsi="Figtree"/>
          <w:b w:val="0"/>
          <w:i w:val="0"/>
          <w:sz w:val="22"/>
        </w:rPr>
        <w:t>Read-only platform access for data extraction</w:t>
      </w:r>
    </w:p>
    <w:p>
      <w:pPr>
        <w:pStyle w:val="ListParagraph"/>
        <w:numPr>
          <w:ilvl w:val="0"/>
          <w:numId w:val="4"/>
        </w:numPr>
      </w:pPr>
      <w:r>
        <w:rPr>
          <w:rFonts w:ascii="Figtree" w:hAnsi="Figtree"/>
          <w:b w:val="0"/>
          <w:i w:val="0"/>
          <w:sz w:val="22"/>
        </w:rPr>
        <w:t>Assistance with transition of active trade finance positions</w:t>
      </w:r>
    </w:p>
    <w:p>
      <w:pPr>
        <w:pStyle w:val="ListParagraph"/>
        <w:numPr>
          <w:ilvl w:val="0"/>
          <w:numId w:val="4"/>
        </w:numPr>
      </w:pPr>
      <w:r>
        <w:rPr>
          <w:rFonts w:ascii="Figtree" w:hAnsi="Figtree"/>
          <w:b w:val="0"/>
          <w:i w:val="0"/>
          <w:sz w:val="22"/>
        </w:rPr>
        <w:t>Support for correspondent bank notification and transition</w:t>
      </w:r>
    </w:p>
    <w:p>
      <w:pPr>
        <w:pStyle w:val="ListParagraph"/>
        <w:numPr>
          <w:ilvl w:val="0"/>
          <w:numId w:val="4"/>
        </w:numPr>
      </w:pPr>
      <w:r>
        <w:rPr>
          <w:rFonts w:ascii="Figtree" w:hAnsi="Figtree"/>
          <w:b w:val="0"/>
          <w:i w:val="0"/>
          <w:sz w:val="22"/>
        </w:rPr>
        <w:t>Knowledge transfer to incoming provider or UOB internal team</w:t>
      </w:r>
    </w:p>
    <w:p>
      <w:pPr>
        <w:pStyle w:val="H3"/>
        <w:numPr>
          <w:ilvl w:val="2"/>
          <w:numId w:val="1"/>
        </w:numPr>
      </w:pPr>
      <w:r>
        <w:t>10.3 Intellectual Property and Blockchain Continuity</w:t>
      </w:r>
    </w:p>
    <w:p>
      <w:r>
        <w:rPr>
          <w:rFonts w:ascii="Figtree" w:hAnsi="Figtree"/>
          <w:b w:val="0"/>
          <w:i w:val="0"/>
          <w:sz w:val="22"/>
        </w:rPr>
        <w:t>Smart contracts deployed on UOB's private Besu network remain accessible after contract termination — UOB owns the network and the deployed contracts. Governance keys are held by UOB under the bring-your-own-custody model. SettleMint retains DALP platform IP; UOB retains all data, configurations, and integration code produced during the engagement.</w:t>
      </w:r>
    </w:p>
    <w:p>
      <w:r>
        <w:br w:type="page"/>
      </w:r>
    </w:p>
    <w:p>
      <w:pPr>
        <w:pStyle w:val="H2"/>
        <w:numPr>
          <w:ilvl w:val="1"/>
          <w:numId w:val="1"/>
        </w:numPr>
      </w:pPr>
      <w:r>
        <w:t>11. Value Justification</w:t>
      </w:r>
    </w:p>
    <w:p>
      <w:pPr>
        <w:pStyle w:val="H3"/>
        <w:numPr>
          <w:ilvl w:val="2"/>
          <w:numId w:val="1"/>
        </w:numPr>
      </w:pPr>
      <w:r>
        <w:t>11.1 Build vs. Buy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372"/>
        <w:gridCol w:w="2951"/>
        <w:gridCol w:w="174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Custom Build Estimate (EUR)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Timeline</w:t>
            </w:r>
          </w:p>
        </w:tc>
      </w:tr>
      <w:tr>
        <w:trPr>
          <w:trHeight w:val="425" w:hRule="atLeast"/>
        </w:trPr>
        <w:tc>
          <w:tcPr>
            <w:tcW w:type="dxa" w:w="3249"/>
            <w:vAlign w:val="center"/>
          </w:tcPr>
          <w:p>
            <w:pPr>
              <w:spacing w:line="276" w:lineRule="auto" w:before="0" w:after="0"/>
            </w:pPr>
            <w:r/>
            <w:r>
              <w:rPr>
                <w:rFonts w:ascii="Figtree" w:hAnsi="Figtree"/>
                <w:b w:val="0"/>
                <w:i w:val="0"/>
                <w:sz w:val="20"/>
              </w:rPr>
              <w:t>LC / BoL configurable token platform</w:t>
            </w:r>
          </w:p>
        </w:tc>
        <w:tc>
          <w:tcPr>
            <w:tcW w:type="dxa" w:w="3249"/>
            <w:vAlign w:val="center"/>
          </w:tcPr>
          <w:p>
            <w:pPr>
              <w:spacing w:line="276" w:lineRule="auto" w:before="0" w:after="0"/>
            </w:pPr>
            <w:r/>
            <w:r>
              <w:rPr>
                <w:rFonts w:ascii="Figtree" w:hAnsi="Figtree"/>
                <w:b w:val="0"/>
                <w:i w:val="0"/>
                <w:sz w:val="20"/>
              </w:rPr>
              <w:t>2,000,000–3,500,000</w:t>
            </w:r>
          </w:p>
        </w:tc>
        <w:tc>
          <w:tcPr>
            <w:tcW w:type="dxa" w:w="3249"/>
            <w:vAlign w:val="center"/>
          </w:tcPr>
          <w:p>
            <w:pPr>
              <w:spacing w:line="276" w:lineRule="auto" w:before="0" w:after="0"/>
            </w:pPr>
            <w:r/>
            <w:r>
              <w:rPr>
                <w:rFonts w:ascii="Figtree" w:hAnsi="Figtree"/>
                <w:b w:val="0"/>
                <w:i w:val="0"/>
                <w:sz w:val="20"/>
              </w:rPr>
              <w:t>18–24 months</w:t>
            </w:r>
          </w:p>
        </w:tc>
      </w:tr>
      <w:tr>
        <w:trPr>
          <w:trHeight w:val="425" w:hRule="atLeast"/>
        </w:trPr>
        <w:tc>
          <w:tcPr>
            <w:tcW w:type="dxa" w:w="3249"/>
            <w:vAlign w:val="center"/>
          </w:tcPr>
          <w:p>
            <w:pPr>
              <w:spacing w:line="276" w:lineRule="auto" w:before="0" w:after="0"/>
            </w:pPr>
            <w:r/>
            <w:r>
              <w:rPr>
                <w:rFonts w:ascii="Figtree" w:hAnsi="Figtree"/>
                <w:b w:val="0"/>
                <w:i w:val="0"/>
                <w:sz w:val="20"/>
              </w:rPr>
              <w:t>TradeTrust / electronic BoL integration</w:t>
            </w:r>
          </w:p>
        </w:tc>
        <w:tc>
          <w:tcPr>
            <w:tcW w:type="dxa" w:w="3249"/>
            <w:vAlign w:val="center"/>
          </w:tcPr>
          <w:p>
            <w:pPr>
              <w:spacing w:line="276" w:lineRule="auto" w:before="0" w:after="0"/>
            </w:pPr>
            <w:r/>
            <w:r>
              <w:rPr>
                <w:rFonts w:ascii="Figtree" w:hAnsi="Figtree"/>
                <w:b w:val="0"/>
                <w:i w:val="0"/>
                <w:sz w:val="20"/>
              </w:rPr>
              <w:t>500,000–1,000,000</w:t>
            </w:r>
          </w:p>
        </w:tc>
        <w:tc>
          <w:tcPr>
            <w:tcW w:type="dxa" w:w="3249"/>
            <w:vAlign w:val="center"/>
          </w:tcPr>
          <w:p>
            <w:pPr>
              <w:spacing w:line="276" w:lineRule="auto" w:before="0" w:after="0"/>
            </w:pPr>
            <w:r/>
            <w:r>
              <w:rPr>
                <w:rFonts w:ascii="Figtree" w:hAnsi="Figtree"/>
                <w:b w:val="0"/>
                <w:i w:val="0"/>
                <w:sz w:val="20"/>
              </w:rPr>
              <w:t>6–9 months</w:t>
            </w:r>
          </w:p>
        </w:tc>
      </w:tr>
      <w:tr>
        <w:trPr>
          <w:trHeight w:val="425" w:hRule="atLeast"/>
        </w:trPr>
        <w:tc>
          <w:tcPr>
            <w:tcW w:type="dxa" w:w="3249"/>
            <w:vAlign w:val="center"/>
          </w:tcPr>
          <w:p>
            <w:pPr>
              <w:spacing w:line="276" w:lineRule="auto" w:before="0" w:after="0"/>
            </w:pPr>
            <w:r/>
            <w:r>
              <w:rPr>
                <w:rFonts w:ascii="Figtree" w:hAnsi="Figtree"/>
                <w:b w:val="0"/>
                <w:i w:val="0"/>
                <w:sz w:val="20"/>
              </w:rPr>
              <w:t>Compliance engine (sanctions, TBML, MAS)</w:t>
            </w:r>
          </w:p>
        </w:tc>
        <w:tc>
          <w:tcPr>
            <w:tcW w:type="dxa" w:w="3249"/>
            <w:vAlign w:val="center"/>
          </w:tcPr>
          <w:p>
            <w:pPr>
              <w:spacing w:line="276" w:lineRule="auto" w:before="0" w:after="0"/>
            </w:pPr>
            <w:r/>
            <w:r>
              <w:rPr>
                <w:rFonts w:ascii="Figtree" w:hAnsi="Figtree"/>
                <w:b w:val="0"/>
                <w:i w:val="0"/>
                <w:sz w:val="20"/>
              </w:rPr>
              <w:t>700,000–1,200,000</w:t>
            </w:r>
          </w:p>
        </w:tc>
        <w:tc>
          <w:tcPr>
            <w:tcW w:type="dxa" w:w="3249"/>
            <w:vAlign w:val="center"/>
          </w:tcPr>
          <w:p>
            <w:pPr>
              <w:spacing w:line="276" w:lineRule="auto" w:before="0" w:after="0"/>
            </w:pPr>
            <w:r/>
            <w:r>
              <w:rPr>
                <w:rFonts w:ascii="Figtree" w:hAnsi="Figtree"/>
                <w:b w:val="0"/>
                <w:i w:val="0"/>
                <w:sz w:val="20"/>
              </w:rPr>
              <w:t>6–9 months</w:t>
            </w:r>
          </w:p>
        </w:tc>
      </w:tr>
      <w:tr>
        <w:trPr>
          <w:trHeight w:val="425" w:hRule="atLeast"/>
        </w:trPr>
        <w:tc>
          <w:tcPr>
            <w:tcW w:type="dxa" w:w="3249"/>
            <w:vAlign w:val="center"/>
          </w:tcPr>
          <w:p>
            <w:pPr>
              <w:spacing w:line="276" w:lineRule="auto" w:before="0" w:after="0"/>
            </w:pPr>
            <w:r/>
            <w:r>
              <w:rPr>
                <w:rFonts w:ascii="Figtree" w:hAnsi="Figtree"/>
                <w:b w:val="0"/>
                <w:i w:val="0"/>
                <w:sz w:val="20"/>
              </w:rPr>
              <w:t>XvP settlement module</w:t>
            </w:r>
          </w:p>
        </w:tc>
        <w:tc>
          <w:tcPr>
            <w:tcW w:type="dxa" w:w="3249"/>
            <w:vAlign w:val="center"/>
          </w:tcPr>
          <w:p>
            <w:pPr>
              <w:spacing w:line="276" w:lineRule="auto" w:before="0" w:after="0"/>
            </w:pPr>
            <w:r/>
            <w:r>
              <w:rPr>
                <w:rFonts w:ascii="Figtree" w:hAnsi="Figtree"/>
                <w:b w:val="0"/>
                <w:i w:val="0"/>
                <w:sz w:val="20"/>
              </w:rPr>
              <w:t>400,000–800,000</w:t>
            </w:r>
          </w:p>
        </w:tc>
        <w:tc>
          <w:tcPr>
            <w:tcW w:type="dxa" w:w="3249"/>
            <w:vAlign w:val="center"/>
          </w:tcPr>
          <w:p>
            <w:pPr>
              <w:spacing w:line="276" w:lineRule="auto" w:before="0" w:after="0"/>
            </w:pPr>
            <w:r/>
            <w:r>
              <w:rPr>
                <w:rFonts w:ascii="Figtree" w:hAnsi="Figtree"/>
                <w:b w:val="0"/>
                <w:i w:val="0"/>
                <w:sz w:val="20"/>
              </w:rPr>
              <w:t>4–6 months</w:t>
            </w:r>
          </w:p>
        </w:tc>
      </w:tr>
      <w:tr>
        <w:trPr>
          <w:trHeight w:val="425" w:hRule="atLeast"/>
        </w:trPr>
        <w:tc>
          <w:tcPr>
            <w:tcW w:type="dxa" w:w="3249"/>
            <w:vAlign w:val="center"/>
          </w:tcPr>
          <w:p>
            <w:pPr>
              <w:spacing w:line="276" w:lineRule="auto" w:before="0" w:after="0"/>
            </w:pPr>
            <w:r/>
            <w:r>
              <w:rPr>
                <w:rFonts w:ascii="Figtree" w:hAnsi="Figtree"/>
                <w:b w:val="0"/>
                <w:i w:val="0"/>
                <w:sz w:val="20"/>
              </w:rPr>
              <w:t>GTB + SWIFT + FAST/PayNow integration</w:t>
            </w:r>
          </w:p>
        </w:tc>
        <w:tc>
          <w:tcPr>
            <w:tcW w:type="dxa" w:w="3249"/>
            <w:vAlign w:val="center"/>
          </w:tcPr>
          <w:p>
            <w:pPr>
              <w:spacing w:line="276" w:lineRule="auto" w:before="0" w:after="0"/>
            </w:pPr>
            <w:r/>
            <w:r>
              <w:rPr>
                <w:rFonts w:ascii="Figtree" w:hAnsi="Figtree"/>
                <w:b w:val="0"/>
                <w:i w:val="0"/>
                <w:sz w:val="20"/>
              </w:rPr>
              <w:t>600,000–1,200,000</w:t>
            </w:r>
          </w:p>
        </w:tc>
        <w:tc>
          <w:tcPr>
            <w:tcW w:type="dxa" w:w="3249"/>
            <w:vAlign w:val="center"/>
          </w:tcPr>
          <w:p>
            <w:pPr>
              <w:spacing w:line="276" w:lineRule="auto" w:before="0" w:after="0"/>
            </w:pPr>
            <w:r/>
            <w:r>
              <w:rPr>
                <w:rFonts w:ascii="Figtree" w:hAnsi="Figtree"/>
                <w:b w:val="0"/>
                <w:i w:val="0"/>
                <w:sz w:val="20"/>
              </w:rPr>
              <w:t>6–9 months</w:t>
            </w:r>
          </w:p>
        </w:tc>
      </w:tr>
      <w:tr>
        <w:trPr>
          <w:trHeight w:val="425" w:hRule="atLeast"/>
        </w:trPr>
        <w:tc>
          <w:tcPr>
            <w:tcW w:type="dxa" w:w="3249"/>
            <w:vAlign w:val="center"/>
          </w:tcPr>
          <w:p>
            <w:pPr>
              <w:spacing w:line="276" w:lineRule="auto" w:before="0" w:after="0"/>
            </w:pPr>
            <w:r/>
            <w:r>
              <w:rPr>
                <w:rFonts w:ascii="Figtree" w:hAnsi="Figtree"/>
                <w:b w:val="0"/>
                <w:i w:val="0"/>
                <w:sz w:val="20"/>
              </w:rPr>
              <w:t>Security (audit, pen testing, MAS TRM)</w:t>
            </w:r>
          </w:p>
        </w:tc>
        <w:tc>
          <w:tcPr>
            <w:tcW w:type="dxa" w:w="3249"/>
            <w:vAlign w:val="center"/>
          </w:tcPr>
          <w:p>
            <w:pPr>
              <w:spacing w:line="276" w:lineRule="auto" w:before="0" w:after="0"/>
            </w:pPr>
            <w:r/>
            <w:r>
              <w:rPr>
                <w:rFonts w:ascii="Figtree" w:hAnsi="Figtree"/>
                <w:b w:val="0"/>
                <w:i w:val="0"/>
                <w:sz w:val="20"/>
              </w:rPr>
              <w:t>250,000–500,000</w:t>
            </w:r>
          </w:p>
        </w:tc>
        <w:tc>
          <w:tcPr>
            <w:tcW w:type="dxa" w:w="3249"/>
            <w:vAlign w:val="center"/>
          </w:tcPr>
          <w:p>
            <w:pPr>
              <w:spacing w:line="276" w:lineRule="auto" w:before="0" w:after="0"/>
            </w:pPr>
            <w:r/>
            <w:r>
              <w:rPr>
                <w:rFonts w:ascii="Figtree" w:hAnsi="Figtree"/>
                <w:b w:val="0"/>
                <w:i w:val="0"/>
                <w:sz w:val="20"/>
              </w:rPr>
              <w:t>3–4 months</w:t>
            </w:r>
          </w:p>
        </w:tc>
      </w:tr>
      <w:tr>
        <w:trPr>
          <w:trHeight w:val="425" w:hRule="atLeast"/>
        </w:trPr>
        <w:tc>
          <w:tcPr>
            <w:tcW w:type="dxa" w:w="3249"/>
            <w:vAlign w:val="center"/>
          </w:tcPr>
          <w:p>
            <w:pPr>
              <w:spacing w:line="276" w:lineRule="auto" w:before="0" w:after="0"/>
            </w:pPr>
            <w:r/>
            <w:r>
              <w:rPr>
                <w:rFonts w:ascii="Figtree" w:hAnsi="Figtree"/>
                <w:b/>
                <w:i w:val="0"/>
                <w:sz w:val="20"/>
              </w:rPr>
              <w:t>Total Custom Build</w:t>
            </w:r>
          </w:p>
        </w:tc>
        <w:tc>
          <w:tcPr>
            <w:tcW w:type="dxa" w:w="3249"/>
            <w:vAlign w:val="center"/>
          </w:tcPr>
          <w:p>
            <w:pPr>
              <w:spacing w:line="276" w:lineRule="auto" w:before="0" w:after="0"/>
            </w:pPr>
            <w:r/>
            <w:r>
              <w:rPr>
                <w:rFonts w:ascii="Figtree" w:hAnsi="Figtree"/>
                <w:b/>
                <w:i w:val="0"/>
                <w:sz w:val="20"/>
              </w:rPr>
              <w:t>4,450,000–8,200,000</w:t>
            </w:r>
          </w:p>
        </w:tc>
        <w:tc>
          <w:tcPr>
            <w:tcW w:type="dxa" w:w="3249"/>
            <w:vAlign w:val="center"/>
          </w:tcPr>
          <w:p>
            <w:pPr>
              <w:spacing w:line="276" w:lineRule="auto" w:before="0" w:after="0"/>
            </w:pPr>
            <w:r/>
            <w:r>
              <w:rPr>
                <w:rFonts w:ascii="Figtree" w:hAnsi="Figtree"/>
                <w:b/>
                <w:i w:val="0"/>
                <w:sz w:val="20"/>
              </w:rPr>
              <w:t>24–36 months</w:t>
            </w:r>
          </w:p>
        </w:tc>
      </w:tr>
      <w:tr>
        <w:trPr>
          <w:trHeight w:val="425" w:hRule="atLeast"/>
        </w:trPr>
        <w:tc>
          <w:tcPr>
            <w:tcW w:type="dxa" w:w="3249"/>
            <w:vAlign w:val="center"/>
          </w:tcPr>
          <w:p>
            <w:pPr>
              <w:spacing w:line="276" w:lineRule="auto" w:before="0" w:after="0"/>
            </w:pPr>
            <w:r/>
            <w:r>
              <w:rPr>
                <w:rFonts w:ascii="Figtree" w:hAnsi="Figtree"/>
                <w:b/>
                <w:i w:val="0"/>
                <w:sz w:val="20"/>
              </w:rPr>
              <w:t>Annual Maintenance (20%)</w:t>
            </w:r>
          </w:p>
        </w:tc>
        <w:tc>
          <w:tcPr>
            <w:tcW w:type="dxa" w:w="3249"/>
            <w:vAlign w:val="center"/>
          </w:tcPr>
          <w:p>
            <w:pPr>
              <w:spacing w:line="276" w:lineRule="auto" w:before="0" w:after="0"/>
            </w:pPr>
            <w:r/>
            <w:r>
              <w:rPr>
                <w:rFonts w:ascii="Figtree" w:hAnsi="Figtree"/>
                <w:b/>
                <w:i w:val="0"/>
                <w:sz w:val="20"/>
              </w:rPr>
              <w:t>890,000–1,640,000/year</w:t>
            </w:r>
          </w:p>
        </w:tc>
        <w:tc>
          <w:tcPr>
            <w:tcW w:type="dxa" w:w="3249"/>
            <w:vAlign w:val="center"/>
          </w:tcPr>
          <w:p>
            <w:pPr>
              <w:spacing w:line="276" w:lineRule="auto" w:before="0" w:after="0"/>
            </w:pPr>
            <w:r/>
            <w:r>
              <w:rPr>
                <w:rFonts w:ascii="Figtree" w:hAnsi="Figtree"/>
                <w:b w:val="0"/>
                <w:i w:val="0"/>
                <w:sz w:val="20"/>
              </w:rPr>
              <w:t>Ongoing</w:t>
            </w:r>
          </w:p>
        </w:tc>
      </w:tr>
    </w:tbl>
    <w:p>
      <w:pPr>
        <w:spacing w:before="0" w:after="0" w:line="120" w:lineRule="exact"/>
      </w:pPr>
    </w:p>
    <w:p>
      <w:r>
        <w:rPr>
          <w:rFonts w:ascii="Figtree" w:hAnsi="Figtree"/>
          <w:b w:val="0"/>
          <w:i w:val="0"/>
          <w:sz w:val="22"/>
        </w:rPr>
        <w:t>DALP's three-year platform license (EUR 1,260,000) represents approximately 15–28% of the estimated custom build cost — with a 19-week deployment timeline versus 24–36 months. The annual license (EUR 420,000) is less than half the estimated annual maintenance cost of a custom build.</w:t>
      </w:r>
    </w:p>
    <w:p>
      <w:pPr>
        <w:pStyle w:val="H3"/>
        <w:numPr>
          <w:ilvl w:val="2"/>
          <w:numId w:val="1"/>
        </w:numPr>
      </w:pPr>
      <w:r>
        <w:t>11.2 Revenue Opportunity Acceleration</w:t>
      </w:r>
    </w:p>
    <w:p>
      <w:r>
        <w:rPr>
          <w:rFonts w:ascii="Figtree" w:hAnsi="Figtree"/>
          <w:b w:val="0"/>
          <w:i w:val="0"/>
          <w:sz w:val="22"/>
        </w:rPr>
        <w:t>UOB's trade finance digitalisation is both a cost-reduction programme and a revenue opportunity. Digital trade finance enables:</w:t>
      </w:r>
    </w:p>
    <w:p>
      <w:r>
        <w:rPr>
          <w:rFonts w:ascii="Figtree" w:hAnsi="Figtree"/>
          <w:b/>
          <w:i w:val="0"/>
          <w:sz w:val="22"/>
        </w:rPr>
        <w:t>New Corridor Capture:</w:t>
      </w:r>
      <w:r>
        <w:rPr>
          <w:rFonts w:ascii="Figtree" w:hAnsi="Figtree"/>
          <w:b w:val="0"/>
          <w:i w:val="0"/>
          <w:sz w:val="22"/>
        </w:rPr>
        <w:t xml:space="preserve"> ASEAN trade corridors where paper-based LC and BoL processes create friction can be captured with digital instruments — enabling UOB to serve smaller trade transactions that are not economically viable with paper-based processing overhead.</w:t>
      </w:r>
    </w:p>
    <w:p>
      <w:r>
        <w:rPr>
          <w:rFonts w:ascii="Figtree" w:hAnsi="Figtree"/>
          <w:b/>
          <w:i w:val="0"/>
          <w:sz w:val="22"/>
        </w:rPr>
        <w:t>Financing Revenue:</w:t>
      </w:r>
      <w:r>
        <w:rPr>
          <w:rFonts w:ascii="Figtree" w:hAnsi="Figtree"/>
          <w:b w:val="0"/>
          <w:i w:val="0"/>
          <w:sz w:val="22"/>
        </w:rPr>
        <w:t xml:space="preserve"> Digital invoice financing and BoL-backed lending provide fee income streams that paper-based trade finance supports less efficiently. Faster processing (from days to hours) increases throughput per trade finance officer.</w:t>
      </w:r>
    </w:p>
    <w:p>
      <w:r>
        <w:rPr>
          <w:rFonts w:ascii="Figtree" w:hAnsi="Figtree"/>
          <w:b/>
          <w:i w:val="0"/>
          <w:sz w:val="22"/>
        </w:rPr>
        <w:t>Correspondent Banking Differentiation:</w:t>
      </w:r>
      <w:r>
        <w:rPr>
          <w:rFonts w:ascii="Figtree" w:hAnsi="Figtree"/>
          <w:b w:val="0"/>
          <w:i w:val="0"/>
          <w:sz w:val="22"/>
        </w:rPr>
        <w:t xml:space="preserve"> A UOB digital trade finance capability positions UOB as a preferred correspondent bank for ASEAN financial institutions seeking to digitise their trade finance operations — a growing market following Singapore's TradeTrust initiative.</w:t>
      </w:r>
    </w:p>
    <w:p>
      <w:r>
        <w:rPr>
          <w:rFonts w:ascii="Figtree" w:hAnsi="Figtree"/>
          <w:b w:val="0"/>
          <w:i w:val="0"/>
          <w:sz w:val="22"/>
        </w:rPr>
        <w:t>The 19-week deployment timeline versus 24–36 months for a custom build means UOB captures 18–24 months of this revenue opportunity earlier with DALP.</w:t>
      </w:r>
    </w:p>
    <w:p>
      <w:pPr>
        <w:pStyle w:val="H3"/>
        <w:numPr>
          <w:ilvl w:val="2"/>
          <w:numId w:val="1"/>
        </w:numPr>
      </w:pPr>
      <w:r>
        <w:t>11.3 Operational Cost Reduction</w:t>
      </w:r>
    </w:p>
    <w:p>
      <w:r>
        <w:rPr>
          <w:rFonts w:ascii="Figtree" w:hAnsi="Figtree"/>
          <w:b/>
          <w:i w:val="0"/>
          <w:sz w:val="22"/>
        </w:rPr>
        <w:t>LC Processing Automation:</w:t>
      </w:r>
      <w:r>
        <w:rPr>
          <w:rFonts w:ascii="Figtree" w:hAnsi="Figtree"/>
          <w:b w:val="0"/>
          <w:i w:val="0"/>
          <w:sz w:val="22"/>
        </w:rPr>
        <w:t xml:space="preserve"> Automated LC examination support (compliance engine validates presentation conditions; discrepancy workflow automation) reduces manual examination time. Conservative estimate: 30–40% reduction in trade finance officer time per LC examination.</w:t>
      </w:r>
    </w:p>
    <w:p>
      <w:r>
        <w:rPr>
          <w:rFonts w:ascii="Figtree" w:hAnsi="Figtree"/>
          <w:b/>
          <w:i w:val="0"/>
          <w:sz w:val="22"/>
        </w:rPr>
        <w:t>Reconciliation Elimination:</w:t>
      </w:r>
      <w:r>
        <w:rPr>
          <w:rFonts w:ascii="Figtree" w:hAnsi="Figtree"/>
          <w:b w:val="0"/>
          <w:i w:val="0"/>
          <w:sz w:val="22"/>
        </w:rPr>
        <w:t xml:space="preserve"> DALP's atomic XvP settlement eliminates the reconciliation gap between document transfer and payment. No failed settlements to unwind; no counterparty disputes about payment timing. Conservative estimate: 15–20 hours per month in reconciliation overhead eliminated per corridor.</w:t>
      </w:r>
    </w:p>
    <w:p>
      <w:r>
        <w:rPr>
          <w:rFonts w:ascii="Figtree" w:hAnsi="Figtree"/>
          <w:b/>
          <w:i w:val="0"/>
          <w:sz w:val="22"/>
        </w:rPr>
        <w:t>Audit Evidence Generation:</w:t>
      </w:r>
      <w:r>
        <w:rPr>
          <w:rFonts w:ascii="Figtree" w:hAnsi="Figtree"/>
          <w:b w:val="0"/>
          <w:i w:val="0"/>
          <w:sz w:val="22"/>
        </w:rPr>
        <w:t xml:space="preserve"> DALP's immutable audit trail generates the MAS examination evidence pack automatically. Current manual audit evidence assembly for MAS IT examinations can take 2–5 days per examination. DALP reduces this to hours.</w:t>
      </w:r>
    </w:p>
    <w:p>
      <w:r>
        <w:br w:type="page"/>
      </w:r>
    </w:p>
    <w:p>
      <w:r>
        <w:rPr>
          <w:rFonts w:ascii="Figtree" w:hAnsi="Figtree"/>
          <w:b w:val="0"/>
          <w:i/>
          <w:sz w:val="22"/>
        </w:rPr>
        <w:t>All prices exclude applicable taxes and VAT. Platform licenses are payable annually and upfront. This proposal is valid for 90 days from the date above.</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