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1. Cover Page</w:t>
          </w:r>
          <w:r>
            <w:tab/>
          </w:r>
          <w:r>
            <w:t xml:space="preserve">3</w:t>
          </w:r>
        </w:p>
        <w:p>
          <w:pPr>
            <w:pStyle w:val="TOC2"/>
            <w:tabs>
              <w:tab w:val="right" w:leader="dot" w:pos="9072"/>
            </w:tabs>
          </w:pPr>
          <w:r>
            <w:t xml:space="preserve">2. Commercial Summary</w:t>
          </w:r>
          <w:r>
            <w:tab/>
          </w:r>
          <w:r>
            <w:t xml:space="preserve">4</w:t>
          </w:r>
        </w:p>
        <w:p>
          <w:pPr>
            <w:pStyle w:val="TOC2"/>
            <w:tabs>
              <w:tab w:val="right" w:leader="dot" w:pos="9072"/>
            </w:tabs>
          </w:pPr>
          <w:r>
            <w:t xml:space="preserve">3. Licensing Model</w:t>
          </w:r>
          <w:r>
            <w:tab/>
          </w:r>
          <w:r>
            <w:t xml:space="preserve">5</w:t>
          </w:r>
        </w:p>
        <w:p>
          <w:pPr>
            <w:pStyle w:val="TOC2"/>
            <w:tabs>
              <w:tab w:val="right" w:leader="dot" w:pos="9072"/>
            </w:tabs>
          </w:pPr>
          <w:r>
            <w:t xml:space="preserve">4. Implementation Services</w:t>
          </w:r>
          <w:r>
            <w:tab/>
          </w:r>
          <w:r>
            <w:t xml:space="preserve">6</w:t>
          </w:r>
        </w:p>
        <w:p>
          <w:pPr>
            <w:pStyle w:val="TOC2"/>
            <w:tabs>
              <w:tab w:val="right" w:leader="dot" w:pos="9072"/>
            </w:tabs>
          </w:pPr>
          <w:r>
            <w:t xml:space="preserve">5. Infrastructure Costs</w:t>
          </w:r>
          <w:r>
            <w:tab/>
          </w:r>
          <w:r>
            <w:t xml:space="preserve">7</w:t>
          </w:r>
        </w:p>
        <w:p>
          <w:pPr>
            <w:pStyle w:val="TOC2"/>
            <w:tabs>
              <w:tab w:val="right" w:leader="dot" w:pos="9072"/>
            </w:tabs>
          </w:pPr>
          <w:r>
            <w:t xml:space="preserve">6. Support Fees</w:t>
          </w:r>
          <w:r>
            <w:tab/>
          </w:r>
          <w:r>
            <w:t xml:space="preserve">8</w:t>
          </w:r>
        </w:p>
        <w:p>
          <w:pPr>
            <w:pStyle w:val="TOC2"/>
            <w:tabs>
              <w:tab w:val="right" w:leader="dot" w:pos="9072"/>
            </w:tabs>
          </w:pPr>
          <w:r>
            <w:t xml:space="preserve">7. Total Cost of Ownership</w:t>
          </w:r>
          <w:r>
            <w:tab/>
          </w:r>
          <w:r>
            <w:t xml:space="preserve">9</w:t>
          </w:r>
        </w:p>
        <w:p>
          <w:pPr>
            <w:pStyle w:val="TOC2"/>
            <w:tabs>
              <w:tab w:val="right" w:leader="dot" w:pos="9072"/>
            </w:tabs>
          </w:pPr>
          <w:r>
            <w:t xml:space="preserve">8. Build vs Buy</w:t>
          </w:r>
          <w:r>
            <w:tab/>
          </w:r>
          <w:r>
            <w:t xml:space="preserve">10</w:t>
          </w:r>
        </w:p>
        <w:p>
          <w:pPr>
            <w:pStyle w:val="TOC2"/>
            <w:tabs>
              <w:tab w:val="right" w:leader="dot" w:pos="9072"/>
            </w:tabs>
          </w:pPr>
          <w:r>
            <w:t xml:space="preserve">9. ROI Analysis</w:t>
          </w:r>
          <w:r>
            <w:tab/>
          </w:r>
          <w:r>
            <w:t xml:space="preserve">11</w:t>
          </w:r>
        </w:p>
        <w:p>
          <w:pPr>
            <w:pStyle w:val="TOC2"/>
            <w:tabs>
              <w:tab w:val="right" w:leader="dot" w:pos="9072"/>
            </w:tabs>
          </w:pPr>
          <w:r>
            <w:t xml:space="preserve">10. Payment Milestones</w:t>
          </w:r>
          <w:r>
            <w:tab/>
          </w:r>
          <w:r>
            <w:t xml:space="preserve">12</w:t>
          </w:r>
        </w:p>
        <w:p>
          <w:pPr>
            <w:pStyle w:val="TOC2"/>
            <w:tabs>
              <w:tab w:val="right" w:leader="dot" w:pos="9072"/>
            </w:tabs>
          </w:pPr>
          <w:r>
            <w:t xml:space="preserve">11. Commercial Assumptions</w:t>
          </w:r>
          <w:r>
            <w:tab/>
          </w:r>
          <w:r>
            <w:t xml:space="preserve">13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Westpac Banking Corporation</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0.1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WESTPAC-RFP-202603</w:t>
      </w:r>
    </w:p>
    <w:p>
      <w:r>
        <w:rPr>
          <w:rFonts w:ascii="Figtree" w:hAnsi="Figtree"/>
          <w:b w:val="0"/>
          <w:i/>
          <w:sz w:val="22"/>
        </w:rPr>
        <w:t>All prices exclude applicable taxes and Australian GST. GST treatment is addressed in Section 12. Prices are stated in EUR. AUD/EUR exchange rate treatment is addressed in Section 13.</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Mortgage Securities Platform</w:t>
      </w:r>
    </w:p>
    <w:p>
      <w:r>
        <w:rPr>
          <w:rFonts w:ascii="Figtree" w:hAnsi="Figtree"/>
          <w:b/>
          <w:i w:val="0"/>
          <w:sz w:val="22"/>
        </w:rPr>
        <w:t>Client:</w:t>
      </w:r>
      <w:r>
        <w:rPr>
          <w:rFonts w:ascii="Figtree" w:hAnsi="Figtree"/>
          <w:b w:val="0"/>
          <w:i w:val="0"/>
          <w:sz w:val="22"/>
        </w:rPr>
        <w:t xml:space="preserve"> Westpac Banking Corporation,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0.1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w:t>
      </w:r>
    </w:p>
    <w:p>
      <w:r>
        <w:br w:type="page"/>
      </w:r>
    </w:p>
    <w:p>
      <w:pPr>
        <w:pStyle w:val="H2"/>
        <w:numPr>
          <w:ilvl w:val="1"/>
          <w:numId w:val="1"/>
        </w:numPr>
      </w:pPr>
      <w:r>
        <w:t>2. Commercial Summary</w:t>
      </w:r>
    </w:p>
    <w:p>
      <w:r>
        <w:rPr>
          <w:rFonts w:ascii="Figtree" w:hAnsi="Figtree"/>
          <w:b/>
          <w:i w:val="0"/>
          <w:sz w:val="22"/>
        </w:rPr>
        <w:t>Year 1 Cost Estimate (EUR):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60"/>
        <w:gridCol w:w="32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(20-week, scoped Phase 1)</w:t>
            </w:r>
          </w:p>
        </w:tc>
        <w:tc>
          <w:tcPr>
            <w:tcW w:type="dxa" w:w="4873"/>
            <w:vAlign w:val="center"/>
          </w:tcPr>
          <w:p>
            <w:pPr>
              <w:spacing w:line="276" w:lineRule="auto" w:before="0" w:after="0"/>
            </w:pPr>
            <w:r/>
            <w:r>
              <w:rPr>
                <w:rFonts w:ascii="Figtree" w:hAnsi="Figtree"/>
                <w:b w:val="0"/>
                <w:i w:val="0"/>
                <w:sz w:val="20"/>
              </w:rPr>
              <w:t>280,000 to 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70,000 to 100,000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ap-southeast-2</w:t>
            </w:r>
          </w:p>
        </w:tc>
        <w:tc>
          <w:tcPr>
            <w:tcW w:type="dxa" w:w="4873"/>
            <w:vAlign w:val="center"/>
          </w:tcPr>
          <w:p>
            <w:pPr>
              <w:spacing w:line="276" w:lineRule="auto" w:before="0" w:after="0"/>
            </w:pPr>
            <w:r/>
            <w:r>
              <w:rPr>
                <w:rFonts w:ascii="Figtree" w:hAnsi="Figtree"/>
                <w:b w:val="0"/>
                <w:i w:val="0"/>
                <w:sz w:val="20"/>
              </w:rPr>
              <w:t>55,000 to 95,000</w:t>
            </w:r>
          </w:p>
        </w:tc>
      </w:tr>
      <w:tr>
        <w:trPr>
          <w:trHeight w:val="425" w:hRule="atLeast"/>
        </w:trPr>
        <w:tc>
          <w:tcPr>
            <w:tcW w:type="dxa" w:w="4873"/>
            <w:vAlign w:val="center"/>
          </w:tcPr>
          <w:p>
            <w:pPr>
              <w:spacing w:line="276" w:lineRule="auto" w:before="0" w:after="0"/>
            </w:pPr>
            <w:r/>
            <w:r>
              <w:rPr>
                <w:rFonts w:ascii="Figtree" w:hAnsi="Figtree"/>
                <w:b/>
                <w:i w:val="0"/>
                <w:sz w:val="20"/>
              </w:rPr>
              <w:t>Estimated Year 1 Total</w:t>
            </w:r>
          </w:p>
        </w:tc>
        <w:tc>
          <w:tcPr>
            <w:tcW w:type="dxa" w:w="4873"/>
            <w:vAlign w:val="center"/>
          </w:tcPr>
          <w:p>
            <w:pPr>
              <w:spacing w:line="276" w:lineRule="auto" w:before="0" w:after="0"/>
            </w:pPr>
            <w:r/>
            <w:r>
              <w:rPr>
                <w:rFonts w:ascii="Figtree" w:hAnsi="Figtree"/>
                <w:b/>
                <w:i w:val="0"/>
                <w:sz w:val="20"/>
              </w:rPr>
              <w:t>825,000 to 1,035,000</w:t>
            </w:r>
          </w:p>
        </w:tc>
      </w:tr>
    </w:tbl>
    <w:p>
      <w:pPr>
        <w:spacing w:before="0" w:after="0" w:line="120" w:lineRule="exact"/>
      </w:pPr>
    </w:p>
    <w:p>
      <w:r>
        <w:rPr>
          <w:rFonts w:ascii="Figtree" w:hAnsi="Figtree"/>
          <w:b/>
          <w:i w:val="0"/>
          <w:sz w:val="22"/>
        </w:rPr>
        <w:t>Commercial Headline:</w:t>
      </w:r>
      <w:r>
        <w:rPr>
          <w:rFonts w:ascii="Figtree" w:hAnsi="Figtree"/>
          <w:b w:val="0"/>
          <w:i w:val="0"/>
          <w:sz w:val="22"/>
        </w:rPr>
        <w:t xml:space="preserve"> DALP's 5-year total cost of approximately EUR 2.9-3.5 million represents 15-25% of the estimated AUD 8-15 million custom build cost. Deployment in 20 weeks vs 24-36 months captures 18-24 months of operational savings and investor demand earlier.</w:t>
      </w:r>
    </w:p>
    <w:p>
      <w:r>
        <w:br w:type="page"/>
      </w:r>
    </w:p>
    <w:p>
      <w:pPr>
        <w:pStyle w:val="H2"/>
        <w:numPr>
          <w:ilvl w:val="1"/>
          <w:numId w:val="1"/>
        </w:numPr>
      </w:pPr>
      <w:r>
        <w:t>3. Licensing Model</w:t>
      </w:r>
    </w:p>
    <w:p>
      <w:r>
        <w:rPr>
          <w:rFonts w:ascii="Figtree" w:hAnsi="Figtree"/>
          <w:b w:val="0"/>
          <w:i w:val="0"/>
          <w:sz w:val="22"/>
        </w:rPr>
        <w:t>Production License: EUR 300,000/year. Development License: EUR 120,000/year. Volume-insensitive: no per-securitization, per-transaction, or per-investor fees. Covered bond programme requires a separate production environment (EUR 300,000/year).</w:t>
      </w:r>
    </w:p>
    <w:p>
      <w:r>
        <w:br w:type="page"/>
      </w:r>
    </w:p>
    <w:p>
      <w:pPr>
        <w:pStyle w:val="H2"/>
        <w:numPr>
          <w:ilvl w:val="1"/>
          <w:numId w:val="1"/>
        </w:numPr>
      </w:pPr>
      <w:r>
        <w:t>4. Implementation Services</w:t>
      </w:r>
    </w:p>
    <w:p>
      <w:r>
        <w:rPr>
          <w:rFonts w:ascii="Figtree" w:hAnsi="Figtree"/>
          <w:b w:val="0"/>
          <w:i w:val="0"/>
          <w:sz w:val="22"/>
        </w:rPr>
        <w:t>Fixed-fee 20-week programme. Indicative range: EUR 280,000 to EUR 420,000. Confirmed in Phase 1 based on Hogan integration complexity, RITS ISO 20022 scope, and CloudHSM or on-premise HSM decision.</w:t>
      </w:r>
    </w:p>
    <w:p>
      <w:r>
        <w:br w:type="page"/>
      </w:r>
    </w:p>
    <w:p>
      <w:pPr>
        <w:pStyle w:val="H2"/>
        <w:numPr>
          <w:ilvl w:val="1"/>
          <w:numId w:val="1"/>
        </w:numPr>
      </w:pPr>
      <w:r>
        <w:t>5. Infrastructure Costs</w:t>
      </w:r>
    </w:p>
    <w:p>
      <w:r>
        <w:rPr>
          <w:rFonts w:ascii="Figtree" w:hAnsi="Figtree"/>
          <w:b w:val="0"/>
          <w:i w:val="0"/>
          <w:sz w:val="22"/>
        </w:rPr>
        <w:t>AWS ap-southeast-2 infrastructure pass-through at cost. Estimated AUD 80,000 to 140,000/year (EUR 53,000 to 95,000 at 1.48 AUD/EUR).</w:t>
      </w:r>
    </w:p>
    <w:p>
      <w:r>
        <w:br w:type="page"/>
      </w:r>
    </w:p>
    <w:p>
      <w:pPr>
        <w:pStyle w:val="H2"/>
        <w:numPr>
          <w:ilvl w:val="1"/>
          <w:numId w:val="1"/>
        </w:numPr>
      </w:pPr>
      <w:r>
        <w:t>6. Support Fees</w:t>
      </w:r>
    </w:p>
    <w:p>
      <w:r>
        <w:rPr>
          <w:rFonts w:ascii="Figtree" w:hAnsi="Figtree"/>
          <w:b w:val="0"/>
          <w:i w:val="0"/>
          <w:sz w:val="22"/>
        </w:rPr>
        <w:t>Premium Support: EUR 70,000 to 100,000/year. Includes Sydney-timezone coverage (07:00-22:00 AEDT); 24/7 P1 on-call; named support engineer familiar with Westpac RMBS configuration.</w:t>
      </w:r>
    </w:p>
    <w:p>
      <w:r>
        <w:br w:type="page"/>
      </w:r>
    </w:p>
    <w:p>
      <w:pPr>
        <w:pStyle w:val="H2"/>
        <w:numPr>
          <w:ilvl w:val="1"/>
          <w:numId w:val="1"/>
        </w:numPr>
      </w:pPr>
      <w:r>
        <w:t>7. Total Cost of Ownership</w:t>
      </w:r>
    </w:p>
    <w:p>
      <w:r>
        <w:rPr>
          <w:rFonts w:ascii="Figtree" w:hAnsi="Figtree"/>
          <w:b/>
          <w:i w:val="0"/>
          <w:sz w:val="22"/>
        </w:rPr>
        <w:t>5-Year TCO (EUR):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3"/>
        <w:gridCol w:w="54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w:t>
            </w:r>
          </w:p>
        </w:tc>
        <w:tc>
          <w:tcPr>
            <w:tcW w:type="dxa" w:w="4873"/>
            <w:vAlign w:val="center"/>
          </w:tcPr>
          <w:p>
            <w:pPr>
              <w:spacing w:line="276" w:lineRule="auto" w:before="0" w:after="0"/>
            </w:pPr>
            <w:r/>
            <w:r>
              <w:rPr>
                <w:rFonts w:ascii="Figtree" w:hAnsi="Figtree"/>
                <w:b w:val="0"/>
                <w:i w:val="0"/>
                <w:sz w:val="20"/>
              </w:rPr>
              <w:t>2,100,000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280,000 to 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350,000 to 500,000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w:t>
            </w:r>
          </w:p>
        </w:tc>
        <w:tc>
          <w:tcPr>
            <w:tcW w:type="dxa" w:w="4873"/>
            <w:vAlign w:val="center"/>
          </w:tcPr>
          <w:p>
            <w:pPr>
              <w:spacing w:line="276" w:lineRule="auto" w:before="0" w:after="0"/>
            </w:pPr>
            <w:r/>
            <w:r>
              <w:rPr>
                <w:rFonts w:ascii="Figtree" w:hAnsi="Figtree"/>
                <w:b w:val="0"/>
                <w:i w:val="0"/>
                <w:sz w:val="20"/>
              </w:rPr>
              <w:t>295,000 to 530,000</w:t>
            </w:r>
          </w:p>
        </w:tc>
      </w:tr>
      <w:tr>
        <w:trPr>
          <w:trHeight w:val="425" w:hRule="atLeast"/>
        </w:trPr>
        <w:tc>
          <w:tcPr>
            <w:tcW w:type="dxa" w:w="4873"/>
            <w:vAlign w:val="center"/>
          </w:tcPr>
          <w:p>
            <w:pPr>
              <w:spacing w:line="276" w:lineRule="auto" w:before="0" w:after="0"/>
            </w:pPr>
            <w:r/>
            <w:r>
              <w:rPr>
                <w:rFonts w:ascii="Figtree" w:hAnsi="Figtree"/>
                <w:b/>
                <w:i w:val="0"/>
                <w:sz w:val="20"/>
              </w:rPr>
              <w:t>5-Year Total</w:t>
            </w:r>
          </w:p>
        </w:tc>
        <w:tc>
          <w:tcPr>
            <w:tcW w:type="dxa" w:w="4873"/>
            <w:vAlign w:val="center"/>
          </w:tcPr>
          <w:p>
            <w:pPr>
              <w:spacing w:line="276" w:lineRule="auto" w:before="0" w:after="0"/>
            </w:pPr>
            <w:r/>
            <w:r>
              <w:rPr>
                <w:rFonts w:ascii="Figtree" w:hAnsi="Figtree"/>
                <w:b/>
                <w:i w:val="0"/>
                <w:sz w:val="20"/>
              </w:rPr>
              <w:t>3,025,000 to 3,550,000</w:t>
            </w:r>
          </w:p>
        </w:tc>
      </w:tr>
    </w:tbl>
    <w:p>
      <w:pPr>
        <w:spacing w:before="0" w:after="0" w:line="120" w:lineRule="exact"/>
      </w:pPr>
    </w:p>
    <w:p>
      <w:r>
        <w:br w:type="page"/>
      </w:r>
    </w:p>
    <w:p>
      <w:pPr>
        <w:pStyle w:val="H2"/>
        <w:numPr>
          <w:ilvl w:val="1"/>
          <w:numId w:val="1"/>
        </w:numPr>
      </w:pPr>
      <w:r>
        <w:t>8. Build vs Buy</w:t>
      </w:r>
    </w:p>
    <w:p>
      <w:r>
        <w:rPr>
          <w:rFonts w:ascii="Figtree" w:hAnsi="Figtree"/>
          <w:b w:val="0"/>
          <w:i w:val="0"/>
          <w:sz w:val="22"/>
        </w:rPr>
        <w:t>Custom build estimate: AUD 8-15 million plus AUD 1.5-3 million/year maintenance. DALP 5-year cost: approximately AUD 4.5-5.2 million (at 1.48 AUD/EUR). Savings over 5 years: AUD 8-18 million.</w:t>
      </w:r>
    </w:p>
    <w:p>
      <w:r>
        <w:br w:type="page"/>
      </w:r>
    </w:p>
    <w:p>
      <w:pPr>
        <w:pStyle w:val="H2"/>
        <w:numPr>
          <w:ilvl w:val="1"/>
          <w:numId w:val="1"/>
        </w:numPr>
      </w:pPr>
      <w:r>
        <w:t>9. ROI Analysis</w:t>
      </w:r>
    </w:p>
    <w:p>
      <w:r>
        <w:rPr>
          <w:rFonts w:ascii="Figtree" w:hAnsi="Figtree"/>
          <w:b w:val="0"/>
          <w:i w:val="0"/>
          <w:sz w:val="22"/>
        </w:rPr>
        <w:t>Key quantified savings annually at AUD 10B RMBS programme scale: servicer report assembly automation (AUD 500,000/year staff cost saved); T+0 settlement counterparty risk reduction (AUD 600,000/year expected loss reduction); APRA examination preparation (AUD 120,000/year saved); reconciliation elimination (AUD 350,000/year). Total annual savings at scale: approximately AUD 1.6 million/year. Payback period: under 18 months from go-live.</w:t>
      </w:r>
    </w:p>
    <w:p>
      <w:r>
        <w:br w:type="page"/>
      </w:r>
    </w:p>
    <w:p>
      <w:pPr>
        <w:pStyle w:val="H2"/>
        <w:numPr>
          <w:ilvl w:val="1"/>
          <w:numId w:val="1"/>
        </w:numPr>
      </w:pPr>
      <w:r>
        <w:t>10. Payment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6"/>
        <w:gridCol w:w="761"/>
        <w:gridCol w:w="5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gate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Architecture review delivered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Hogan, RITS, AUSTRAC integrations operational</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Production deployment confirmed</w:t>
            </w:r>
          </w:p>
        </w:tc>
      </w:tr>
      <w:tr>
        <w:trPr>
          <w:trHeight w:val="425" w:hRule="atLeast"/>
        </w:trPr>
        <w:tc>
          <w:tcPr>
            <w:tcW w:type="dxa" w:w="3249"/>
            <w:vAlign w:val="center"/>
          </w:tcPr>
          <w:p>
            <w:pPr>
              <w:spacing w:line="276" w:lineRule="auto" w:before="0" w:after="0"/>
            </w:pPr>
            <w:r/>
            <w:r>
              <w:rPr>
                <w:rFonts w:ascii="Figtree" w:hAnsi="Figtree"/>
                <w:b w:val="0"/>
                <w:i w:val="0"/>
                <w:sz w:val="20"/>
              </w:rPr>
              <w:t>Phase 6 close</w:t>
            </w:r>
          </w:p>
        </w:tc>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Hypercare sign-off</w:t>
            </w:r>
          </w:p>
        </w:tc>
      </w:tr>
    </w:tbl>
    <w:p>
      <w:pPr>
        <w:spacing w:before="0" w:after="0" w:line="120" w:lineRule="exact"/>
      </w:pPr>
    </w:p>
    <w:p>
      <w:r>
        <w:br w:type="page"/>
      </w:r>
    </w:p>
    <w:p>
      <w:pPr>
        <w:pStyle w:val="H2"/>
        <w:numPr>
          <w:ilvl w:val="1"/>
          <w:numId w:val="1"/>
        </w:numPr>
      </w:pPr>
      <w:r>
        <w:t>11. Commercial Assumptions</w:t>
      </w:r>
    </w:p>
    <w:p>
      <w:r>
        <w:rPr>
          <w:rFonts w:ascii="Figtree" w:hAnsi="Figtree"/>
          <w:b w:val="0"/>
          <w:i w:val="0"/>
          <w:sz w:val="22"/>
        </w:rPr>
        <w:t>Key assumptions: 36-month initial term; EUR pricing; AUD/EUR FX risk borne by Westpac treasury; Westpac provides CloudHSM or on-premise HSM decision in Phase 2; RITS test environment access by Phase 3; Hogan API documentation in Phase 1 Week 1.</w:t>
      </w:r>
    </w:p>
    <w:p>
      <w:r>
        <w:br w:type="page"/>
      </w:r>
    </w:p>
    <w:p>
      <w:r>
        <w:rPr>
          <w:rFonts w:ascii="Figtree" w:hAnsi="Figtree"/>
          <w:b w:val="0"/>
          <w:i/>
          <w:sz w:val="22"/>
        </w:rPr>
        <w:t>Version 0.1 Draft.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