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 Tokenized Settlement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2"/>
            <w:tabs>
              <w:tab w:val="right" w:leader="dot" w:pos="9072"/>
            </w:tabs>
          </w:pPr>
          <w:r>
            <w:t xml:space="preserve">2. Investment Rationale</w:t>
          </w:r>
          <w:r>
            <w:tab/>
          </w:r>
          <w:r>
            <w:t xml:space="preserve">6</w:t>
          </w:r>
        </w:p>
        <w:p>
          <w:pPr>
            <w:pStyle w:val="TOC3"/>
            <w:tabs>
              <w:tab w:val="right" w:leader="dot" w:pos="9072"/>
            </w:tabs>
          </w:pPr>
          <w:r>
            <w:t xml:space="preserve">2.1 Cost of Existing Settlement Infrastructure</w:t>
          </w:r>
          <w:r>
            <w:tab/>
          </w:r>
          <w:r>
            <w:t xml:space="preserve">7</w:t>
          </w:r>
        </w:p>
        <w:p>
          <w:pPr>
            <w:pStyle w:val="TOC3"/>
            <w:tabs>
              <w:tab w:val="right" w:leader="dot" w:pos="9072"/>
            </w:tabs>
          </w:pPr>
          <w:r>
            <w:t xml:space="preserve">2.2 Why DALP Changes the Economics</w:t>
          </w:r>
          <w:r>
            <w:tab/>
          </w:r>
          <w:r>
            <w:t xml:space="preserve">8</w:t>
          </w:r>
        </w:p>
        <w:p>
          <w:pPr>
            <w:pStyle w:val="TOC3"/>
            <w:tabs>
              <w:tab w:val="right" w:leader="dot" w:pos="9072"/>
            </w:tabs>
          </w:pPr>
          <w:r>
            <w:t xml:space="preserve">2.3 ROI Framework</w:t>
          </w:r>
          <w:r>
            <w:tab/>
          </w:r>
          <w:r>
            <w:t xml:space="preserve">9</w:t>
          </w:r>
        </w:p>
        <w:p>
          <w:pPr>
            <w:pStyle w:val="TOC2"/>
            <w:tabs>
              <w:tab w:val="right" w:leader="dot" w:pos="9072"/>
            </w:tabs>
          </w:pPr>
          <w:r>
            <w:t xml:space="preserve">3. Licensing Model</w:t>
          </w:r>
          <w:r>
            <w:tab/>
          </w:r>
          <w:r>
            <w:t xml:space="preserve">10</w:t>
          </w:r>
        </w:p>
        <w:p>
          <w:pPr>
            <w:pStyle w:val="TOC3"/>
            <w:tabs>
              <w:tab w:val="right" w:leader="dot" w:pos="9072"/>
            </w:tabs>
          </w:pPr>
          <w:r>
            <w:t xml:space="preserve">3.1 Sovereign Tier for Market Infrastructure</w:t>
          </w:r>
          <w:r>
            <w:tab/>
          </w:r>
          <w:r>
            <w:t xml:space="preserve">11</w:t>
          </w:r>
        </w:p>
        <w:p>
          <w:pPr>
            <w:pStyle w:val="TOC3"/>
            <w:tabs>
              <w:tab w:val="right" w:leader="dot" w:pos="9072"/>
            </w:tabs>
          </w:pPr>
          <w:r>
            <w:t xml:space="preserve">3.2 What's Included</w:t>
          </w:r>
          <w:r>
            <w:tab/>
          </w:r>
          <w:r>
            <w:t xml:space="preserve">12</w:t>
          </w:r>
        </w:p>
        <w:p>
          <w:pPr>
            <w:pStyle w:val="TOC3"/>
            <w:tabs>
              <w:tab w:val="right" w:leader="dot" w:pos="9072"/>
            </w:tabs>
          </w:pPr>
          <w:r>
            <w:t xml:space="preserve">3.3 What Varies</w:t>
          </w:r>
          <w:r>
            <w:tab/>
          </w:r>
          <w:r>
            <w:t xml:space="preserve">13</w:t>
          </w:r>
        </w:p>
        <w:p>
          <w:pPr>
            <w:pStyle w:val="TOC2"/>
            <w:tabs>
              <w:tab w:val="right" w:leader="dot" w:pos="9072"/>
            </w:tabs>
          </w:pPr>
          <w:r>
            <w:t xml:space="preserve">4. Deployment Options and Pricing</w:t>
          </w:r>
          <w:r>
            <w:tab/>
          </w:r>
          <w:r>
            <w:t xml:space="preserve">14</w:t>
          </w:r>
        </w:p>
        <w:p>
          <w:pPr>
            <w:pStyle w:val="TOC3"/>
            <w:tabs>
              <w:tab w:val="right" w:leader="dot" w:pos="9072"/>
            </w:tabs>
          </w:pPr>
          <w:r>
            <w:t xml:space="preserve">4.1 Recommended: Australian Private Cloud</w:t>
          </w:r>
          <w:r>
            <w:tab/>
          </w:r>
          <w:r>
            <w:t xml:space="preserve">15</w:t>
          </w:r>
        </w:p>
        <w:p>
          <w:pPr>
            <w:pStyle w:val="TOC3"/>
            <w:tabs>
              <w:tab w:val="right" w:leader="dot" w:pos="9072"/>
            </w:tabs>
          </w:pPr>
          <w:r>
            <w:t xml:space="preserve">4.2 Cost Structure</w:t>
          </w:r>
          <w:r>
            <w:tab/>
          </w:r>
          <w:r>
            <w:t xml:space="preserve">16</w:t>
          </w:r>
        </w:p>
        <w:p>
          <w:pPr>
            <w:pStyle w:val="TOC3"/>
            <w:tabs>
              <w:tab w:val="right" w:leader="dot" w:pos="9072"/>
            </w:tabs>
          </w:pPr>
          <w:r>
            <w:t xml:space="preserve">4.3 Cost Drivers</w:t>
          </w:r>
          <w:r>
            <w:tab/>
          </w:r>
          <w:r>
            <w:t xml:space="preserve">17</w:t>
          </w:r>
        </w:p>
        <w:p>
          <w:pPr>
            <w:pStyle w:val="TOC2"/>
            <w:tabs>
              <w:tab w:val="right" w:leader="dot" w:pos="9072"/>
            </w:tabs>
          </w:pPr>
          <w:r>
            <w:t xml:space="preserve">5. Support and SLA Framework</w:t>
          </w:r>
          <w:r>
            <w:tab/>
          </w:r>
          <w:r>
            <w:t xml:space="preserve">18</w:t>
          </w:r>
        </w:p>
        <w:p>
          <w:pPr>
            <w:pStyle w:val="TOC3"/>
            <w:tabs>
              <w:tab w:val="right" w:leader="dot" w:pos="9072"/>
            </w:tabs>
          </w:pPr>
          <w:r>
            <w:t xml:space="preserve">5.1 Market Infrastructure Support Tier</w:t>
          </w:r>
          <w:r>
            <w:tab/>
          </w:r>
          <w:r>
            <w:t xml:space="preserve">19</w:t>
          </w:r>
        </w:p>
        <w:p>
          <w:pPr>
            <w:pStyle w:val="TOC2"/>
            <w:tabs>
              <w:tab w:val="right" w:leader="dot" w:pos="9072"/>
            </w:tabs>
          </w:pPr>
          <w:r>
            <w:t xml:space="preserve">6. Implementation Investment</w:t>
          </w:r>
          <w:r>
            <w:tab/>
          </w:r>
          <w:r>
            <w:t xml:space="preserve">20</w:t>
          </w:r>
        </w:p>
        <w:p>
          <w:pPr>
            <w:pStyle w:val="TOC3"/>
            <w:tabs>
              <w:tab w:val="right" w:leader="dot" w:pos="9072"/>
            </w:tabs>
          </w:pPr>
          <w:r>
            <w:t xml:space="preserve">6.1 Phase Summary</w:t>
          </w:r>
          <w:r>
            <w:tab/>
          </w:r>
          <w:r>
            <w:t xml:space="preserve">21</w:t>
          </w:r>
        </w:p>
        <w:p>
          <w:pPr>
            <w:pStyle w:val="TOC3"/>
            <w:tabs>
              <w:tab w:val="right" w:leader="dot" w:pos="9072"/>
            </w:tabs>
          </w:pPr>
          <w:r>
            <w:t xml:space="preserve">6.2 Investment Summary</w:t>
          </w:r>
          <w:r>
            <w:tab/>
          </w:r>
          <w:r>
            <w:t xml:space="preserve">22</w:t>
          </w:r>
        </w:p>
        <w:p>
          <w:pPr>
            <w:pStyle w:val="TOC3"/>
            <w:tabs>
              <w:tab w:val="right" w:leader="dot" w:pos="9072"/>
            </w:tabs>
          </w:pPr>
          <w:r>
            <w:t xml:space="preserve">6.3 Accelerators and Risks</w:t>
          </w:r>
          <w:r>
            <w:tab/>
          </w:r>
          <w:r>
            <w:t xml:space="preserve">23</w:t>
          </w:r>
        </w:p>
        <w:p>
          <w:pPr>
            <w:pStyle w:val="TOC3"/>
            <w:tabs>
              <w:tab w:val="right" w:leader="dot" w:pos="9072"/>
            </w:tabs>
          </w:pPr>
          <w:r>
            <w:t xml:space="preserve">6.4 Training</w:t>
          </w:r>
          <w:r>
            <w:tab/>
          </w:r>
          <w:r>
            <w:t xml:space="preserve">24</w:t>
          </w:r>
        </w:p>
        <w:p>
          <w:pPr>
            <w:pStyle w:val="TOC2"/>
            <w:tabs>
              <w:tab w:val="right" w:leader="dot" w:pos="9072"/>
            </w:tabs>
          </w:pPr>
          <w:r>
            <w:t xml:space="preserve">7. Commercial Terms</w:t>
          </w:r>
          <w:r>
            <w:tab/>
          </w:r>
          <w:r>
            <w:t xml:space="preserve">25</w:t>
          </w:r>
        </w:p>
        <w:p>
          <w:pPr>
            <w:pStyle w:val="TOC3"/>
            <w:tabs>
              <w:tab w:val="right" w:leader="dot" w:pos="9072"/>
            </w:tabs>
          </w:pPr>
          <w:r>
            <w:t xml:space="preserve">7.1 CPS 230 Material Service Provider Compliance</w:t>
          </w:r>
          <w:r>
            <w:tab/>
          </w:r>
          <w:r>
            <w:t xml:space="preserve">26</w:t>
          </w:r>
        </w:p>
        <w:p>
          <w:pPr>
            <w:pStyle w:val="TOC3"/>
            <w:tabs>
              <w:tab w:val="right" w:leader="dot" w:pos="9072"/>
            </w:tabs>
          </w:pPr>
          <w:r>
            <w:t xml:space="preserve">7.2 Contract Structure</w:t>
          </w:r>
          <w:r>
            <w:tab/>
          </w:r>
          <w:r>
            <w:t xml:space="preserve">27</w:t>
          </w:r>
        </w:p>
        <w:p>
          <w:pPr>
            <w:pStyle w:val="TOC3"/>
            <w:tabs>
              <w:tab w:val="right" w:leader="dot" w:pos="9072"/>
            </w:tabs>
          </w:pPr>
          <w:r>
            <w:t xml:space="preserve">7.3 Payment Schedule</w:t>
          </w:r>
          <w:r>
            <w:tab/>
          </w:r>
          <w:r>
            <w:t xml:space="preserve">28</w:t>
          </w:r>
        </w:p>
        <w:p>
          <w:pPr>
            <w:pStyle w:val="TOC3"/>
            <w:tabs>
              <w:tab w:val="right" w:leader="dot" w:pos="9072"/>
            </w:tabs>
          </w:pPr>
          <w:r>
            <w:t xml:space="preserve">7.4 Duration</w:t>
          </w:r>
          <w:r>
            <w:tab/>
          </w:r>
          <w:r>
            <w:t xml:space="preserve">29</w:t>
          </w:r>
        </w:p>
        <w:p>
          <w:pPr>
            <w:pStyle w:val="TOC3"/>
            <w:tabs>
              <w:tab w:val="right" w:leader="dot" w:pos="9072"/>
            </w:tabs>
          </w:pPr>
          <w:r>
            <w:t xml:space="preserve">7.5 Exit Provisions</w:t>
          </w:r>
          <w:r>
            <w:tab/>
          </w:r>
          <w:r>
            <w:t xml:space="preserve">30</w:t>
          </w:r>
        </w:p>
        <w:p>
          <w:pPr>
            <w:pStyle w:val="TOC2"/>
            <w:tabs>
              <w:tab w:val="right" w:leader="dot" w:pos="9072"/>
            </w:tabs>
          </w:pPr>
          <w:r>
            <w:t xml:space="preserve">8. Total Cost of Ownership</w:t>
          </w:r>
          <w:r>
            <w:tab/>
          </w:r>
          <w:r>
            <w:t xml:space="preserve">31</w:t>
          </w:r>
        </w:p>
        <w:p>
          <w:pPr>
            <w:pStyle w:val="TOC3"/>
            <w:tabs>
              <w:tab w:val="right" w:leader="dot" w:pos="9072"/>
            </w:tabs>
          </w:pPr>
          <w:r>
            <w:t xml:space="preserve">8.1 TCO Framework</w:t>
          </w:r>
          <w:r>
            <w:tab/>
          </w:r>
          <w:r>
            <w:t xml:space="preserve">32</w:t>
          </w:r>
        </w:p>
        <w:p>
          <w:pPr>
            <w:pStyle w:val="TOC3"/>
            <w:tabs>
              <w:tab w:val="right" w:leader="dot" w:pos="9072"/>
            </w:tabs>
          </w:pPr>
          <w:r>
            <w:t xml:space="preserve">8.2 3-Year TCO Model (DALP)</w:t>
          </w:r>
          <w:r>
            <w:tab/>
          </w:r>
          <w:r>
            <w:t xml:space="preserve">33</w:t>
          </w:r>
        </w:p>
        <w:p>
          <w:pPr>
            <w:pStyle w:val="TOC3"/>
            <w:tabs>
              <w:tab w:val="right" w:leader="dot" w:pos="9072"/>
            </w:tabs>
          </w:pPr>
          <w:r>
            <w:t xml:space="preserve">8.3 Comparative Analysis</w:t>
          </w:r>
          <w:r>
            <w:tab/>
          </w:r>
          <w:r>
            <w:t xml:space="preserve">34</w:t>
          </w:r>
        </w:p>
        <w:p>
          <w:pPr>
            <w:pStyle w:val="TOC2"/>
            <w:tabs>
              <w:tab w:val="right" w:leader="dot" w:pos="9072"/>
            </w:tabs>
          </w:pPr>
          <w:r>
            <w:t xml:space="preserve">9. Reference Clients</w:t>
          </w:r>
          <w:r>
            <w:tab/>
          </w:r>
          <w:r>
            <w:t xml:space="preserve">35</w:t>
          </w:r>
        </w:p>
        <w:p>
          <w:pPr>
            <w:pStyle w:val="TOC2"/>
            <w:tabs>
              <w:tab w:val="right" w:leader="dot" w:pos="9072"/>
            </w:tabs>
          </w:pPr>
          <w:r>
            <w:t xml:space="preserve">10. Next Steps</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Tokenized Settlement Platform"</w:t>
      </w:r>
    </w:p>
    <w:p>
      <w:r>
        <w:rPr>
          <w:rFonts w:ascii="Figtree" w:hAnsi="Figtree"/>
          <w:b w:val="0"/>
          <w:i w:val="0"/>
          <w:sz w:val="22"/>
        </w:rPr>
        <w:t>client: "ASX"</w:t>
      </w:r>
    </w:p>
    <w:p>
      <w:r>
        <w:rPr>
          <w:rFonts w:ascii="Figtree" w:hAnsi="Figtree"/>
          <w:b w:val="0"/>
          <w:i w:val="0"/>
          <w:sz w:val="22"/>
        </w:rPr>
        <w:t>reference: "ASX-RFP-202603"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Commercial Proposal: Tokenized Settlement Platform</w:t>
      </w:r>
    </w:p>
    <w:p>
      <w:r>
        <w:rPr>
          <w:rFonts w:ascii="Figtree" w:hAnsi="Figtree"/>
          <w:b/>
          <w:i w:val="0"/>
          <w:sz w:val="22"/>
        </w:rPr>
        <w:t>Prepared for:</w:t>
      </w:r>
      <w:r>
        <w:rPr>
          <w:rFonts w:ascii="Figtree" w:hAnsi="Figtree"/>
          <w:b w:val="0"/>
          <w:i w:val="0"/>
          <w:sz w:val="22"/>
        </w:rPr>
        <w:t xml:space="preserve"> ASX (Australian Securities Exchange)</w:t>
      </w:r>
    </w:p>
    <w:p>
      <w:r>
        <w:rPr>
          <w:rFonts w:ascii="Figtree" w:hAnsi="Figtree"/>
          <w:b/>
          <w:i w:val="0"/>
          <w:sz w:val="22"/>
        </w:rPr>
        <w:t>Reference:</w:t>
      </w:r>
      <w:r>
        <w:rPr>
          <w:rFonts w:ascii="Figtree" w:hAnsi="Figtree"/>
          <w:b w:val="0"/>
          <w:i w:val="0"/>
          <w:sz w:val="22"/>
        </w:rPr>
        <w:t xml:space="preserve"> ASX-RFP-202603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ASX's tokenized settlement programme has a commercial dimension that goes beyond software licensing. It requires a technology partner that understands the regulatory, operational, and reputational stakes of market infrastructure deployment in Australia, and that can structure a commercial relationship appropriate to those stakes.</w:t>
      </w:r>
    </w:p>
    <w:p>
      <w:r>
        <w:rPr>
          <w:rFonts w:ascii="Figtree" w:hAnsi="Figtree"/>
          <w:b w:val="0"/>
          <w:i w:val="0"/>
          <w:sz w:val="22"/>
        </w:rPr>
        <w:t>SettleMint recommends DALP under a Sovereign-grade License structured for market infrastructure requirements, with Australian private cloud deployment and Enterprise Support with market-hours operational commitments.</w:t>
      </w:r>
    </w:p>
    <w:p>
      <w:r>
        <w:rPr>
          <w:rFonts w:ascii="Figtree" w:hAnsi="Figtree"/>
          <w:b/>
          <w:i w:val="0"/>
          <w:sz w:val="22"/>
        </w:rPr>
        <w:t>Commercial decision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8"/>
        <w:gridCol w:w="1571"/>
        <w:gridCol w:w="2285"/>
        <w:gridCol w:w="22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Point Solution Assembly</w:t>
            </w:r>
          </w:p>
        </w:tc>
      </w:tr>
      <w:tr>
        <w:trPr>
          <w:trHeight w:val="425" w:hRule="atLeast"/>
        </w:trPr>
        <w:tc>
          <w:tcPr>
            <w:tcW w:type="dxa" w:w="2436"/>
            <w:vAlign w:val="center"/>
          </w:tcPr>
          <w:p>
            <w:pPr>
              <w:spacing w:line="276" w:lineRule="auto" w:before="0" w:after="0"/>
            </w:pPr>
            <w:r/>
            <w:r>
              <w:rPr>
                <w:rFonts w:ascii="Figtree" w:hAnsi="Figtree"/>
                <w:b w:val="0"/>
                <w:i w:val="0"/>
                <w:sz w:val="20"/>
              </w:rPr>
              <w:t>Time to controlled pilot</w:t>
            </w:r>
          </w:p>
        </w:tc>
        <w:tc>
          <w:tcPr>
            <w:tcW w:type="dxa" w:w="2436"/>
            <w:vAlign w:val="center"/>
          </w:tcPr>
          <w:p>
            <w:pPr>
              <w:spacing w:line="276" w:lineRule="auto" w:before="0" w:after="0"/>
            </w:pPr>
            <w:r/>
            <w:r>
              <w:rPr>
                <w:rFonts w:ascii="Figtree" w:hAnsi="Figtree"/>
                <w:b w:val="0"/>
                <w:i w:val="0"/>
                <w:sz w:val="20"/>
              </w:rPr>
              <w:t>12 months</w:t>
            </w:r>
          </w:p>
        </w:tc>
        <w:tc>
          <w:tcPr>
            <w:tcW w:type="dxa" w:w="2436"/>
            <w:vAlign w:val="center"/>
          </w:tcPr>
          <w:p>
            <w:pPr>
              <w:spacing w:line="276" w:lineRule="auto" w:before="0" w:after="0"/>
            </w:pPr>
            <w:r/>
            <w:r>
              <w:rPr>
                <w:rFonts w:ascii="Figtree" w:hAnsi="Figtree"/>
                <w:b w:val="0"/>
                <w:i w:val="0"/>
                <w:sz w:val="20"/>
              </w:rPr>
              <w:t>30+ months</w:t>
            </w:r>
          </w:p>
        </w:tc>
        <w:tc>
          <w:tcPr>
            <w:tcW w:type="dxa" w:w="2436"/>
            <w:vAlign w:val="center"/>
          </w:tcPr>
          <w:p>
            <w:pPr>
              <w:spacing w:line="276" w:lineRule="auto" w:before="0" w:after="0"/>
            </w:pPr>
            <w:r/>
            <w:r>
              <w:rPr>
                <w:rFonts w:ascii="Figtree" w:hAnsi="Figtree"/>
                <w:b w:val="0"/>
                <w:i w:val="0"/>
                <w:sz w:val="20"/>
              </w:rPr>
              <w:t>18-24 months</w:t>
            </w:r>
          </w:p>
        </w:tc>
      </w:tr>
      <w:tr>
        <w:trPr>
          <w:trHeight w:val="425" w:hRule="atLeast"/>
        </w:trPr>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Custom engineering</w:t>
            </w:r>
          </w:p>
        </w:tc>
        <w:tc>
          <w:tcPr>
            <w:tcW w:type="dxa" w:w="2436"/>
            <w:vAlign w:val="center"/>
          </w:tcPr>
          <w:p>
            <w:pPr>
              <w:spacing w:line="276" w:lineRule="auto" w:before="0" w:after="0"/>
            </w:pPr>
            <w:r/>
            <w:r>
              <w:rPr>
                <w:rFonts w:ascii="Figtree" w:hAnsi="Figtree"/>
                <w:b w:val="0"/>
                <w:i w:val="0"/>
                <w:sz w:val="20"/>
              </w:rPr>
              <w:t>Requires multiple components</w:t>
            </w:r>
          </w:p>
        </w:tc>
      </w:tr>
      <w:tr>
        <w:trPr>
          <w:trHeight w:val="425" w:hRule="atLeast"/>
        </w:trPr>
        <w:tc>
          <w:tcPr>
            <w:tcW w:type="dxa" w:w="2436"/>
            <w:vAlign w:val="center"/>
          </w:tcPr>
          <w:p>
            <w:pPr>
              <w:spacing w:line="276" w:lineRule="auto" w:before="0" w:after="0"/>
            </w:pPr>
            <w:r/>
            <w:r>
              <w:rPr>
                <w:rFonts w:ascii="Figtree" w:hAnsi="Figtree"/>
                <w:b w:val="0"/>
                <w:i w:val="0"/>
                <w:sz w:val="20"/>
              </w:rPr>
              <w:t>APRA CPS 230/234 compliance documentation</w:t>
            </w:r>
          </w:p>
        </w:tc>
        <w:tc>
          <w:tcPr>
            <w:tcW w:type="dxa" w:w="2436"/>
            <w:vAlign w:val="center"/>
          </w:tcPr>
          <w:p>
            <w:pPr>
              <w:spacing w:line="276" w:lineRule="auto" w:before="0" w:after="0"/>
            </w:pPr>
            <w:r/>
            <w:r>
              <w:rPr>
                <w:rFonts w:ascii="Figtree" w:hAnsi="Figtree"/>
                <w:b w:val="0"/>
                <w:i w:val="0"/>
                <w:sz w:val="20"/>
              </w:rPr>
              <w:t>Provided</w:t>
            </w:r>
          </w:p>
        </w:tc>
        <w:tc>
          <w:tcPr>
            <w:tcW w:type="dxa" w:w="2436"/>
            <w:vAlign w:val="center"/>
          </w:tcPr>
          <w:p>
            <w:pPr>
              <w:spacing w:line="276" w:lineRule="auto" w:before="0" w:after="0"/>
            </w:pPr>
            <w:r/>
            <w:r>
              <w:rPr>
                <w:rFonts w:ascii="Figtree" w:hAnsi="Figtree"/>
                <w:b w:val="0"/>
                <w:i w:val="0"/>
                <w:sz w:val="20"/>
              </w:rPr>
              <w:t>ASX's burden</w:t>
            </w:r>
          </w:p>
        </w:tc>
        <w:tc>
          <w:tcPr>
            <w:tcW w:type="dxa" w:w="2436"/>
            <w:vAlign w:val="center"/>
          </w:tcPr>
          <w:p>
            <w:pPr>
              <w:spacing w:line="276" w:lineRule="auto" w:before="0" w:after="0"/>
            </w:pPr>
            <w:r/>
            <w:r>
              <w:rPr>
                <w:rFonts w:ascii="Figtree" w:hAnsi="Figtree"/>
                <w:b w:val="0"/>
                <w:i w:val="0"/>
                <w:sz w:val="20"/>
              </w:rPr>
              <w:t>Fragmented</w:t>
            </w:r>
          </w:p>
        </w:tc>
      </w:tr>
      <w:tr>
        <w:trPr>
          <w:trHeight w:val="425" w:hRule="atLeast"/>
        </w:trPr>
        <w:tc>
          <w:tcPr>
            <w:tcW w:type="dxa" w:w="2436"/>
            <w:vAlign w:val="center"/>
          </w:tcPr>
          <w:p>
            <w:pPr>
              <w:spacing w:line="276" w:lineRule="auto" w:before="0" w:after="0"/>
            </w:pPr>
            <w:r/>
            <w:r>
              <w:rPr>
                <w:rFonts w:ascii="Figtree" w:hAnsi="Figtree"/>
                <w:b w:val="0"/>
                <w:i w:val="0"/>
                <w:sz w:val="20"/>
              </w:rPr>
              <w:t>Participant onboarding scalability</w:t>
            </w:r>
          </w:p>
        </w:tc>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Engineering per participant type</w:t>
            </w:r>
          </w:p>
        </w:tc>
        <w:tc>
          <w:tcPr>
            <w:tcW w:type="dxa" w:w="2436"/>
            <w:vAlign w:val="center"/>
          </w:tcPr>
          <w:p>
            <w:pPr>
              <w:spacing w:line="276" w:lineRule="auto" w:before="0" w:after="0"/>
            </w:pPr>
            <w:r/>
            <w:r>
              <w:rPr>
                <w:rFonts w:ascii="Figtree" w:hAnsi="Figtree"/>
                <w:b w:val="0"/>
                <w:i w:val="0"/>
                <w:sz w:val="20"/>
              </w:rPr>
              <w:t>Integration per participant type</w:t>
            </w:r>
          </w:p>
        </w:tc>
      </w:tr>
      <w:tr>
        <w:trPr>
          <w:trHeight w:val="425" w:hRule="atLeast"/>
        </w:trPr>
        <w:tc>
          <w:tcPr>
            <w:tcW w:type="dxa" w:w="2436"/>
            <w:vAlign w:val="center"/>
          </w:tcPr>
          <w:p>
            <w:pPr>
              <w:spacing w:line="276" w:lineRule="auto" w:before="0" w:after="0"/>
            </w:pPr>
            <w:r/>
            <w:r>
              <w:rPr>
                <w:rFonts w:ascii="Figtree" w:hAnsi="Figtree"/>
                <w:b w:val="0"/>
                <w:i w:val="0"/>
                <w:sz w:val="20"/>
              </w:rPr>
              <w:t>Total 3-year cost</w:t>
            </w:r>
          </w:p>
        </w:tc>
        <w:tc>
          <w:tcPr>
            <w:tcW w:type="dxa" w:w="2436"/>
            <w:vAlign w:val="center"/>
          </w:tcPr>
          <w:p>
            <w:pPr>
              <w:spacing w:line="276" w:lineRule="auto" w:before="0" w:after="0"/>
            </w:pPr>
            <w:r/>
            <w:r>
              <w:rPr>
                <w:rFonts w:ascii="Figtree" w:hAnsi="Figtree"/>
                <w:b w:val="0"/>
                <w:i w:val="0"/>
                <w:sz w:val="20"/>
              </w:rPr>
              <w:t>Medium-high</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High</w:t>
            </w:r>
          </w:p>
        </w:tc>
      </w:tr>
    </w:tbl>
    <w:p>
      <w:pPr>
        <w:spacing w:before="0" w:after="0" w:line="120" w:lineRule="exact"/>
      </w:pPr>
    </w:p>
    <w:p>
      <w:r>
        <w:rPr>
          <w:rFonts w:ascii="Figtree" w:hAnsi="Figtree"/>
          <w:b w:val="0"/>
          <w:i w:val="0"/>
          <w:sz w:val="22"/>
        </w:rPr>
        <w:t>The scale and significance of ASX's programme warrants investment in the right platform. The cost of a second failed post-trade modernisation attempt would be measured not just in project costs but in regulatory credibility and market confidence.</w:t>
      </w:r>
    </w:p>
    <w:p>
      <w:pPr>
        <w:pStyle w:val="H2"/>
        <w:numPr>
          <w:ilvl w:val="1"/>
          <w:numId w:val="1"/>
        </w:numPr>
      </w:pPr>
      <w:r>
        <w:t>2. Investment Rationale</w:t>
      </w:r>
    </w:p>
    <w:p>
      <w:pPr>
        <w:pStyle w:val="H3"/>
        <w:numPr>
          <w:ilvl w:val="2"/>
          <w:numId w:val="1"/>
        </w:numPr>
      </w:pPr>
      <w:r>
        <w:t>2.1 Cost of Existing Settlement Infrastructure</w:t>
      </w:r>
    </w:p>
    <w:p>
      <w:r>
        <w:rPr>
          <w:rFonts w:ascii="Figtree" w:hAnsi="Figtree"/>
          <w:b w:val="0"/>
          <w:i w:val="0"/>
          <w:sz w:val="22"/>
        </w:rPr>
        <w:t>CHESS and its successor infrastructure carry hidden costs that extend beyond their annual operating budgets. Batch settlement cycles create intraday credit exposure. Manual exception handling for settlement failures requires dedicated operations teams. Reconciliation between CHESS positions, broker-dealer records, and custodian records generates FTE costs and introduces data quality risk. Participant communication about settlement failures is manual and slow.</w:t>
      </w:r>
    </w:p>
    <w:p>
      <w:r>
        <w:rPr>
          <w:rFonts w:ascii="Figtree" w:hAnsi="Figtree"/>
          <w:b w:val="0"/>
          <w:i w:val="0"/>
          <w:sz w:val="22"/>
        </w:rPr>
        <w:t>The opportunity cost of delay is also real. Every year that Australian securities settlement operates on batch rather than atomic settlement is a year that Australia's capital markets lag markets that have already moved to real-time settlement finality.</w:t>
      </w:r>
    </w:p>
    <w:p>
      <w:pPr>
        <w:pStyle w:val="H3"/>
        <w:numPr>
          <w:ilvl w:val="2"/>
          <w:numId w:val="1"/>
        </w:numPr>
      </w:pPr>
      <w:r>
        <w:t>2.2 Why DALP Changes the Economics</w:t>
      </w:r>
    </w:p>
    <w:p>
      <w:r>
        <w:rPr>
          <w:rFonts w:ascii="Figtree" w:hAnsi="Figtree"/>
          <w:b w:val="0"/>
          <w:i w:val="0"/>
          <w:sz w:val="22"/>
        </w:rPr>
        <w:t>DALP's atomic DvP model eliminates intraday credit exposure between sellers and buyers. Settlement finality occurs at transaction execution rather than at end-of-day batch. Reconciliation between internal systems is automated through the Chain Indexer's continuous position tracking. Exception handling for settlement failures is structured through the platform's exception queue, reducing manual investigation time.</w:t>
      </w:r>
    </w:p>
    <w:p>
      <w:r>
        <w:rPr>
          <w:rFonts w:ascii="Figtree" w:hAnsi="Figtree"/>
          <w:b w:val="0"/>
          <w:i w:val="0"/>
          <w:sz w:val="22"/>
        </w:rPr>
        <w:t>For ASX's participant community, the economic benefit is a reduction in the collateral they must hold against intraday settlement exposure. For ASX, the economic benefit is reduced operational cost for exception management and a modernised infrastructure that can support new asset classes and market structures.</w:t>
      </w:r>
    </w:p>
    <w:p>
      <w:pPr>
        <w:pStyle w:val="H3"/>
        <w:numPr>
          <w:ilvl w:val="2"/>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479"/>
        <w:gridCol w:w="1479"/>
        <w:gridCol w:w="15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Conservative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Expected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Upside</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 cost reduction</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50%</w:t>
            </w:r>
          </w:p>
        </w:tc>
        <w:tc>
          <w:tcPr>
            <w:tcW w:type="dxa" w:w="2436"/>
            <w:vAlign w:val="center"/>
          </w:tcPr>
          <w:p>
            <w:pPr>
              <w:spacing w:line="276" w:lineRule="auto" w:before="0" w:after="0"/>
            </w:pPr>
            <w:r/>
            <w:r>
              <w:rPr>
                <w:rFonts w:ascii="Figtree" w:hAnsi="Figtree"/>
                <w:b w:val="0"/>
                <w:i w:val="0"/>
                <w:sz w:val="20"/>
              </w:rPr>
              <w:t>65%</w:t>
            </w:r>
          </w:p>
        </w:tc>
      </w:tr>
      <w:tr>
        <w:trPr>
          <w:trHeight w:val="425" w:hRule="atLeast"/>
        </w:trPr>
        <w:tc>
          <w:tcPr>
            <w:tcW w:type="dxa" w:w="2436"/>
            <w:vAlign w:val="center"/>
          </w:tcPr>
          <w:p>
            <w:pPr>
              <w:spacing w:line="276" w:lineRule="auto" w:before="0" w:after="0"/>
            </w:pPr>
            <w:r/>
            <w:r>
              <w:rPr>
                <w:rFonts w:ascii="Figtree" w:hAnsi="Figtree"/>
                <w:b w:val="0"/>
                <w:i w:val="0"/>
                <w:sz w:val="20"/>
              </w:rPr>
              <w:t>Collateral requirement reduction (participant)</w:t>
            </w:r>
          </w:p>
        </w:tc>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30%</w:t>
            </w:r>
          </w:p>
        </w:tc>
      </w:tr>
      <w:tr>
        <w:trPr>
          <w:trHeight w:val="425" w:hRule="atLeast"/>
        </w:trPr>
        <w:tc>
          <w:tcPr>
            <w:tcW w:type="dxa" w:w="2436"/>
            <w:vAlign w:val="center"/>
          </w:tcPr>
          <w:p>
            <w:pPr>
              <w:spacing w:line="276" w:lineRule="auto" w:before="0" w:after="0"/>
            </w:pPr>
            <w:r/>
            <w:r>
              <w:rPr>
                <w:rFonts w:ascii="Figtree" w:hAnsi="Figtree"/>
                <w:b w:val="0"/>
                <w:i w:val="0"/>
                <w:sz w:val="20"/>
              </w:rPr>
              <w:t>New asset class time-to-market</w:t>
            </w:r>
          </w:p>
        </w:tc>
        <w:tc>
          <w:tcPr>
            <w:tcW w:type="dxa" w:w="2436"/>
            <w:vAlign w:val="center"/>
          </w:tcPr>
          <w:p>
            <w:pPr>
              <w:spacing w:line="276" w:lineRule="auto" w:before="0" w:after="0"/>
            </w:pPr>
            <w:r/>
            <w:r>
              <w:rPr>
                <w:rFonts w:ascii="Figtree" w:hAnsi="Figtree"/>
                <w:b w:val="0"/>
                <w:i w:val="0"/>
                <w:sz w:val="20"/>
              </w:rPr>
              <w:t>6 months faster</w:t>
            </w:r>
          </w:p>
        </w:tc>
        <w:tc>
          <w:tcPr>
            <w:tcW w:type="dxa" w:w="2436"/>
            <w:vAlign w:val="center"/>
          </w:tcPr>
          <w:p>
            <w:pPr>
              <w:spacing w:line="276" w:lineRule="auto" w:before="0" w:after="0"/>
            </w:pPr>
            <w:r/>
            <w:r>
              <w:rPr>
                <w:rFonts w:ascii="Figtree" w:hAnsi="Figtree"/>
                <w:b w:val="0"/>
                <w:i w:val="0"/>
                <w:sz w:val="20"/>
              </w:rPr>
              <w:t>9 months faster</w:t>
            </w:r>
          </w:p>
        </w:tc>
        <w:tc>
          <w:tcPr>
            <w:tcW w:type="dxa" w:w="2436"/>
            <w:vAlign w:val="center"/>
          </w:tcPr>
          <w:p>
            <w:pPr>
              <w:spacing w:line="276" w:lineRule="auto" w:before="0" w:after="0"/>
            </w:pPr>
            <w:r/>
            <w:r>
              <w:rPr>
                <w:rFonts w:ascii="Figtree" w:hAnsi="Figtree"/>
                <w:b w:val="0"/>
                <w:i w:val="0"/>
                <w:sz w:val="20"/>
              </w:rPr>
              <w:t>12 months faster</w:t>
            </w:r>
          </w:p>
        </w:tc>
      </w:tr>
      <w:tr>
        <w:trPr>
          <w:trHeight w:val="425" w:hRule="atLeast"/>
        </w:trPr>
        <w:tc>
          <w:tcPr>
            <w:tcW w:type="dxa" w:w="2436"/>
            <w:vAlign w:val="center"/>
          </w:tcPr>
          <w:p>
            <w:pPr>
              <w:spacing w:line="276" w:lineRule="auto" w:before="0" w:after="0"/>
            </w:pPr>
            <w:r/>
            <w:r>
              <w:rPr>
                <w:rFonts w:ascii="Figtree" w:hAnsi="Figtree"/>
                <w:b w:val="0"/>
                <w:i w:val="0"/>
                <w:sz w:val="20"/>
              </w:rPr>
              <w:t>Settlement failure rate reduction</w:t>
            </w:r>
          </w:p>
        </w:tc>
        <w:tc>
          <w:tcPr>
            <w:tcW w:type="dxa" w:w="2436"/>
            <w:vAlign w:val="center"/>
          </w:tcPr>
          <w:p>
            <w:pPr>
              <w:spacing w:line="276" w:lineRule="auto" w:before="0" w:after="0"/>
            </w:pPr>
            <w:r/>
            <w:r>
              <w:rPr>
                <w:rFonts w:ascii="Figtree" w:hAnsi="Figtree"/>
                <w:b w:val="0"/>
                <w:i w:val="0"/>
                <w:sz w:val="20"/>
              </w:rPr>
              <w:t>40%</w:t>
            </w:r>
          </w:p>
        </w:tc>
        <w:tc>
          <w:tcPr>
            <w:tcW w:type="dxa" w:w="2436"/>
            <w:vAlign w:val="center"/>
          </w:tcPr>
          <w:p>
            <w:pPr>
              <w:spacing w:line="276" w:lineRule="auto" w:before="0" w:after="0"/>
            </w:pPr>
            <w:r/>
            <w:r>
              <w:rPr>
                <w:rFonts w:ascii="Figtree" w:hAnsi="Figtree"/>
                <w:b w:val="0"/>
                <w:i w:val="0"/>
                <w:sz w:val="20"/>
              </w:rPr>
              <w:t>60%</w:t>
            </w:r>
          </w:p>
        </w:tc>
        <w:tc>
          <w:tcPr>
            <w:tcW w:type="dxa" w:w="2436"/>
            <w:vAlign w:val="center"/>
          </w:tcPr>
          <w:p>
            <w:pPr>
              <w:spacing w:line="276" w:lineRule="auto" w:before="0" w:after="0"/>
            </w:pPr>
            <w:r/>
            <w:r>
              <w:rPr>
                <w:rFonts w:ascii="Figtree" w:hAnsi="Figtree"/>
                <w:b w:val="0"/>
                <w:i w:val="0"/>
                <w:sz w:val="20"/>
              </w:rPr>
              <w:t>80%</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cost</w:t>
            </w:r>
          </w:p>
        </w:tc>
        <w:tc>
          <w:tcPr>
            <w:tcW w:type="dxa" w:w="2436"/>
            <w:vAlign w:val="center"/>
          </w:tcPr>
          <w:p>
            <w:pPr>
              <w:spacing w:line="276" w:lineRule="auto" w:before="0" w:after="0"/>
            </w:pPr>
            <w:r/>
            <w:r>
              <w:rPr>
                <w:rFonts w:ascii="Figtree" w:hAnsi="Figtree"/>
                <w:b w:val="0"/>
                <w:i w:val="0"/>
                <w:sz w:val="20"/>
              </w:rPr>
              <w:t>35% reduction</w:t>
            </w:r>
          </w:p>
        </w:tc>
        <w:tc>
          <w:tcPr>
            <w:tcW w:type="dxa" w:w="2436"/>
            <w:vAlign w:val="center"/>
          </w:tcPr>
          <w:p>
            <w:pPr>
              <w:spacing w:line="276" w:lineRule="auto" w:before="0" w:after="0"/>
            </w:pPr>
            <w:r/>
            <w:r>
              <w:rPr>
                <w:rFonts w:ascii="Figtree" w:hAnsi="Figtree"/>
                <w:b w:val="0"/>
                <w:i w:val="0"/>
                <w:sz w:val="20"/>
              </w:rPr>
              <w:t>55% reduction</w:t>
            </w:r>
          </w:p>
        </w:tc>
        <w:tc>
          <w:tcPr>
            <w:tcW w:type="dxa" w:w="2436"/>
            <w:vAlign w:val="center"/>
          </w:tcPr>
          <w:p>
            <w:pPr>
              <w:spacing w:line="276" w:lineRule="auto" w:before="0" w:after="0"/>
            </w:pPr>
            <w:r/>
            <w:r>
              <w:rPr>
                <w:rFonts w:ascii="Figtree" w:hAnsi="Figtree"/>
                <w:b w:val="0"/>
                <w:i w:val="0"/>
                <w:sz w:val="20"/>
              </w:rPr>
              <w:t>70% reduction</w:t>
            </w:r>
          </w:p>
        </w:tc>
      </w:tr>
    </w:tbl>
    <w:p>
      <w:pPr>
        <w:spacing w:before="0" w:after="0" w:line="120" w:lineRule="exact"/>
      </w:pPr>
    </w:p>
    <w:p>
      <w:r>
        <w:rPr>
          <w:rFonts w:ascii="Figtree" w:hAnsi="Figtree"/>
          <w:b w:val="0"/>
          <w:i w:val="0"/>
          <w:sz w:val="22"/>
        </w:rPr>
        <w:t>All estimates require validation against ASX's actual operational data during discovery.</w:t>
      </w:r>
    </w:p>
    <w:p>
      <w:pPr>
        <w:pStyle w:val="H2"/>
        <w:numPr>
          <w:ilvl w:val="1"/>
          <w:numId w:val="1"/>
        </w:numPr>
      </w:pPr>
      <w:r>
        <w:t>3. Licensing Model</w:t>
      </w:r>
    </w:p>
    <w:p>
      <w:pPr>
        <w:pStyle w:val="H3"/>
        <w:numPr>
          <w:ilvl w:val="2"/>
          <w:numId w:val="1"/>
        </w:numPr>
      </w:pPr>
      <w:r>
        <w:t>3.1 Sovereign Tier for Market Infrastructure</w:t>
      </w:r>
    </w:p>
    <w:p>
      <w:r>
        <w:rPr>
          <w:rFonts w:ascii="Figtree" w:hAnsi="Figtree"/>
          <w:b w:val="0"/>
          <w:i w:val="0"/>
          <w:sz w:val="22"/>
        </w:rPr>
        <w:t>ASX is market infrastructure for the Australian economy. The Sovereign License Tier is designed for entities of this nature: unlimited environments, dedicated account management, priority engineering access, and commercial terms that reflect the long-term nature of the relationship. The Sovereign Tier is not simply a larger version of the Enterprise Tier; it includes structural commitments about SettleMint's support for ASX's regulatory obligations, including CPS 230 material service provider compliance documentation and ASIC inspection access facilitation.</w:t>
      </w:r>
    </w:p>
    <w:p>
      <w:pPr>
        <w:pStyle w:val="H3"/>
        <w:numPr>
          <w:ilvl w:val="2"/>
          <w:numId w:val="1"/>
        </w:numPr>
      </w:pPr>
      <w:r>
        <w:t>3.2 What's Included</w:t>
      </w:r>
    </w:p>
    <w:p>
      <w:r>
        <w:rPr>
          <w:rFonts w:ascii="Figtree" w:hAnsi="Figtree"/>
          <w:b w:val="0"/>
          <w:i w:val="0"/>
          <w:sz w:val="22"/>
        </w:rPr>
        <w:t>All DALP platform capabilities plus: dedicated customer success engineering, annual security review with SettleMint's security team, CPS 230 service provider documentation package, ASIC inspection facilitation support, and priority access to the DALP product roadmap for market infrastructure requirements.</w:t>
      </w:r>
    </w:p>
    <w:p>
      <w:pPr>
        <w:pStyle w:val="H3"/>
        <w:numPr>
          <w:ilvl w:val="2"/>
          <w:numId w:val="1"/>
        </w:numPr>
      </w:pPr>
      <w:r>
        <w:t>3.3 What Varies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13"/>
        <w:gridCol w:w="60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ASX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Australian private cloud</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AWS CloudHSM or physical FIPS HSM at colocation</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 with market-hours SLAs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48-week programme</w:t>
            </w:r>
          </w:p>
        </w:tc>
      </w:tr>
      <w:tr>
        <w:trPr>
          <w:trHeight w:val="425" w:hRule="atLeast"/>
        </w:trPr>
        <w:tc>
          <w:tcPr>
            <w:tcW w:type="dxa" w:w="4873"/>
            <w:vAlign w:val="center"/>
          </w:tcPr>
          <w:p>
            <w:pPr>
              <w:spacing w:line="276" w:lineRule="auto" w:before="0" w:after="0"/>
            </w:pPr>
            <w:r/>
            <w:r>
              <w:rPr>
                <w:rFonts w:ascii="Figtree" w:hAnsi="Figtree"/>
                <w:b w:val="0"/>
                <w:i w:val="0"/>
                <w:sz w:val="20"/>
              </w:rPr>
              <w:t>Participant capacity</w:t>
            </w:r>
          </w:p>
        </w:tc>
        <w:tc>
          <w:tcPr>
            <w:tcW w:type="dxa" w:w="4873"/>
            <w:vAlign w:val="center"/>
          </w:tcPr>
          <w:p>
            <w:pPr>
              <w:spacing w:line="276" w:lineRule="auto" w:before="0" w:after="0"/>
            </w:pPr>
            <w:r/>
            <w:r>
              <w:rPr>
                <w:rFonts w:ascii="Figtree" w:hAnsi="Figtree"/>
                <w:b w:val="0"/>
                <w:i w:val="0"/>
                <w:sz w:val="20"/>
              </w:rPr>
              <w:t>Scalable; no participant count limit</w:t>
            </w:r>
          </w:p>
        </w:tc>
      </w:tr>
    </w:tbl>
    <w:p>
      <w:pPr>
        <w:spacing w:before="0" w:after="0" w:line="120" w:lineRule="exact"/>
      </w:pPr>
    </w:p>
    <w:p>
      <w:pPr>
        <w:pStyle w:val="H2"/>
        <w:numPr>
          <w:ilvl w:val="1"/>
          <w:numId w:val="1"/>
        </w:numPr>
      </w:pPr>
      <w:r>
        <w:t>4. Deployment Options and Pricing</w:t>
      </w:r>
    </w:p>
    <w:p>
      <w:pPr>
        <w:pStyle w:val="H3"/>
        <w:numPr>
          <w:ilvl w:val="2"/>
          <w:numId w:val="1"/>
        </w:numPr>
      </w:pPr>
      <w:r>
        <w:t>4.1 Recommended: Australian Private Cloud</w:t>
      </w:r>
    </w:p>
    <w:p>
      <w:r>
        <w:rPr>
          <w:rFonts w:ascii="Figtree" w:hAnsi="Figtree"/>
          <w:b w:val="0"/>
          <w:i w:val="0"/>
          <w:sz w:val="22"/>
        </w:rPr>
        <w:t>AWS Sydney or Azure Australia East. Full APRA data sovereignty compliance. CPS 234 information security capability through AWS/Azure security certifications plus DALP's application-layer controls.</w:t>
      </w:r>
    </w:p>
    <w:p>
      <w:pPr>
        <w:pStyle w:val="H3"/>
        <w:numPr>
          <w:ilvl w:val="2"/>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05"/>
        <w:gridCol w:w="1649"/>
        <w:gridCol w:w="39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Sovereign platform license</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AUD [VARIABLE]</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 (AWS/Azure)</w:t>
            </w:r>
          </w:p>
        </w:tc>
        <w:tc>
          <w:tcPr>
            <w:tcW w:type="dxa" w:w="3249"/>
            <w:vAlign w:val="center"/>
          </w:tcPr>
          <w:p>
            <w:pPr>
              <w:spacing w:line="276" w:lineRule="auto" w:before="0" w:after="0"/>
            </w:pPr>
            <w:r/>
            <w:r>
              <w:rPr>
                <w:rFonts w:ascii="Figtree" w:hAnsi="Figtree"/>
                <w:b w:val="0"/>
                <w:i w:val="0"/>
                <w:sz w:val="20"/>
              </w:rPr>
              <w:t>Recurring</w:t>
            </w:r>
          </w:p>
        </w:tc>
        <w:tc>
          <w:tcPr>
            <w:tcW w:type="dxa" w:w="3249"/>
            <w:vAlign w:val="center"/>
          </w:tcPr>
          <w:p>
            <w:pPr>
              <w:spacing w:line="276" w:lineRule="auto" w:before="0" w:after="0"/>
            </w:pPr>
            <w:r/>
            <w:r>
              <w:rPr>
                <w:rFonts w:ascii="Figtree" w:hAnsi="Figtree"/>
                <w:b w:val="0"/>
                <w:i w:val="0"/>
                <w:sz w:val="20"/>
              </w:rPr>
              <w:t>AUD [VARIABLE] estimated; pass-through</w:t>
            </w:r>
          </w:p>
        </w:tc>
      </w:tr>
      <w:tr>
        <w:trPr>
          <w:trHeight w:val="425" w:hRule="atLeast"/>
        </w:trPr>
        <w:tc>
          <w:tcPr>
            <w:tcW w:type="dxa" w:w="3249"/>
            <w:vAlign w:val="center"/>
          </w:tcPr>
          <w:p>
            <w:pPr>
              <w:spacing w:line="276" w:lineRule="auto" w:before="0" w:after="0"/>
            </w:pPr>
            <w:r/>
            <w:r>
              <w:rPr>
                <w:rFonts w:ascii="Figtree" w:hAnsi="Figtree"/>
                <w:b w:val="0"/>
                <w:i w:val="0"/>
                <w:sz w:val="20"/>
              </w:rPr>
              <w:t>Cloud HSM (CloudHSM or equivalent)</w:t>
            </w:r>
          </w:p>
        </w:tc>
        <w:tc>
          <w:tcPr>
            <w:tcW w:type="dxa" w:w="3249"/>
            <w:vAlign w:val="center"/>
          </w:tcPr>
          <w:p>
            <w:pPr>
              <w:spacing w:line="276" w:lineRule="auto" w:before="0" w:after="0"/>
            </w:pPr>
            <w:r/>
            <w:r>
              <w:rPr>
                <w:rFonts w:ascii="Figtree" w:hAnsi="Figtree"/>
                <w:b w:val="0"/>
                <w:i w:val="0"/>
                <w:sz w:val="20"/>
              </w:rPr>
              <w:t>Recurring</w:t>
            </w:r>
          </w:p>
        </w:tc>
        <w:tc>
          <w:tcPr>
            <w:tcW w:type="dxa" w:w="3249"/>
            <w:vAlign w:val="center"/>
          </w:tcPr>
          <w:p>
            <w:pPr>
              <w:spacing w:line="276" w:lineRule="auto" w:before="0" w:after="0"/>
            </w:pPr>
            <w:r/>
            <w:r>
              <w:rPr>
                <w:rFonts w:ascii="Figtree" w:hAnsi="Figtree"/>
                <w:b w:val="0"/>
                <w:i w:val="0"/>
                <w:sz w:val="20"/>
              </w:rPr>
              <w:t>AUD [VARIABLE]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One-time</w:t>
            </w:r>
          </w:p>
        </w:tc>
        <w:tc>
          <w:tcPr>
            <w:tcW w:type="dxa" w:w="3249"/>
            <w:vAlign w:val="center"/>
          </w:tcPr>
          <w:p>
            <w:pPr>
              <w:spacing w:line="276" w:lineRule="auto" w:before="0" w:after="0"/>
            </w:pPr>
            <w:r/>
            <w:r>
              <w:rPr>
                <w:rFonts w:ascii="Figtree" w:hAnsi="Figtree"/>
                <w:b w:val="0"/>
                <w:i w:val="0"/>
                <w:sz w:val="20"/>
              </w:rPr>
              <w:t>AUD [VARIABLE: scoped at discovery]</w:t>
            </w:r>
          </w:p>
        </w:tc>
      </w:tr>
      <w:tr>
        <w:trPr>
          <w:trHeight w:val="425" w:hRule="atLeast"/>
        </w:trPr>
        <w:tc>
          <w:tcPr>
            <w:tcW w:type="dxa" w:w="3249"/>
            <w:vAlign w:val="center"/>
          </w:tcPr>
          <w:p>
            <w:pPr>
              <w:spacing w:line="276" w:lineRule="auto" w:before="0" w:after="0"/>
            </w:pPr>
            <w:r/>
            <w:r>
              <w:rPr>
                <w:rFonts w:ascii="Figtree" w:hAnsi="Figtree"/>
                <w:b w:val="0"/>
                <w:i w:val="0"/>
                <w:sz w:val="20"/>
              </w:rPr>
              <w:t>Sovereign support</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AUD [VARIABLE]</w:t>
            </w:r>
          </w:p>
        </w:tc>
      </w:tr>
    </w:tbl>
    <w:p>
      <w:pPr>
        <w:spacing w:before="0" w:after="0" w:line="120" w:lineRule="exact"/>
      </w:pPr>
    </w:p>
    <w:p>
      <w:pPr>
        <w:pStyle w:val="H3"/>
        <w:numPr>
          <w:ilvl w:val="2"/>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5"/>
        <w:gridCol w:w="572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Pilot phase before full production</w:t>
            </w:r>
          </w:p>
        </w:tc>
        <w:tc>
          <w:tcPr>
            <w:tcW w:type="dxa" w:w="4873"/>
            <w:vAlign w:val="center"/>
          </w:tcPr>
          <w:p>
            <w:pPr>
              <w:spacing w:line="276" w:lineRule="auto" w:before="0" w:after="0"/>
            </w:pPr>
            <w:r/>
            <w:r>
              <w:rPr>
                <w:rFonts w:ascii="Figtree" w:hAnsi="Figtree"/>
                <w:b w:val="0"/>
                <w:i w:val="0"/>
                <w:sz w:val="20"/>
              </w:rPr>
              <w:t>Adds 4-week pilot phase to programme</w:t>
            </w:r>
          </w:p>
        </w:tc>
      </w:tr>
      <w:tr>
        <w:trPr>
          <w:trHeight w:val="425" w:hRule="atLeast"/>
        </w:trPr>
        <w:tc>
          <w:tcPr>
            <w:tcW w:type="dxa" w:w="4873"/>
            <w:vAlign w:val="center"/>
          </w:tcPr>
          <w:p>
            <w:pPr>
              <w:spacing w:line="276" w:lineRule="auto" w:before="0" w:after="0"/>
            </w:pPr>
            <w:r/>
            <w:r>
              <w:rPr>
                <w:rFonts w:ascii="Figtree" w:hAnsi="Figtree"/>
                <w:b w:val="0"/>
                <w:i w:val="0"/>
                <w:sz w:val="20"/>
              </w:rPr>
              <w:t>Broad participant onboarding scope</w:t>
            </w:r>
          </w:p>
        </w:tc>
        <w:tc>
          <w:tcPr>
            <w:tcW w:type="dxa" w:w="4873"/>
            <w:vAlign w:val="center"/>
          </w:tcPr>
          <w:p>
            <w:pPr>
              <w:spacing w:line="276" w:lineRule="auto" w:before="0" w:after="0"/>
            </w:pPr>
            <w:r/>
            <w:r>
              <w:rPr>
                <w:rFonts w:ascii="Figtree" w:hAnsi="Figtree"/>
                <w:b w:val="0"/>
                <w:i w:val="0"/>
                <w:sz w:val="20"/>
              </w:rPr>
              <w:t>Integration with participant management adds complexity</w:t>
            </w:r>
          </w:p>
        </w:tc>
      </w:tr>
      <w:tr>
        <w:trPr>
          <w:trHeight w:val="425" w:hRule="atLeast"/>
        </w:trPr>
        <w:tc>
          <w:tcPr>
            <w:tcW w:type="dxa" w:w="4873"/>
            <w:vAlign w:val="center"/>
          </w:tcPr>
          <w:p>
            <w:pPr>
              <w:spacing w:line="276" w:lineRule="auto" w:before="0" w:after="0"/>
            </w:pPr>
            <w:r/>
            <w:r>
              <w:rPr>
                <w:rFonts w:ascii="Figtree" w:hAnsi="Figtree"/>
                <w:b w:val="0"/>
                <w:i w:val="0"/>
                <w:sz w:val="20"/>
              </w:rPr>
              <w:t>Legal finality analysis</w:t>
            </w:r>
          </w:p>
        </w:tc>
        <w:tc>
          <w:tcPr>
            <w:tcW w:type="dxa" w:w="4873"/>
            <w:vAlign w:val="center"/>
          </w:tcPr>
          <w:p>
            <w:pPr>
              <w:spacing w:line="276" w:lineRule="auto" w:before="0" w:after="0"/>
            </w:pPr>
            <w:r/>
            <w:r>
              <w:rPr>
                <w:rFonts w:ascii="Figtree" w:hAnsi="Figtree"/>
                <w:b w:val="0"/>
                <w:i w:val="0"/>
                <w:sz w:val="20"/>
              </w:rPr>
              <w:t>External legal advice on settlement finality; client-borne cost</w:t>
            </w:r>
          </w:p>
        </w:tc>
      </w:tr>
      <w:tr>
        <w:trPr>
          <w:trHeight w:val="425" w:hRule="atLeast"/>
        </w:trPr>
        <w:tc>
          <w:tcPr>
            <w:tcW w:type="dxa" w:w="4873"/>
            <w:vAlign w:val="center"/>
          </w:tcPr>
          <w:p>
            <w:pPr>
              <w:spacing w:line="276" w:lineRule="auto" w:before="0" w:after="0"/>
            </w:pPr>
            <w:r/>
            <w:r>
              <w:rPr>
                <w:rFonts w:ascii="Figtree" w:hAnsi="Figtree"/>
                <w:b w:val="0"/>
                <w:i w:val="0"/>
                <w:sz w:val="20"/>
              </w:rPr>
              <w:t>Peak volume performance testing</w:t>
            </w:r>
          </w:p>
        </w:tc>
        <w:tc>
          <w:tcPr>
            <w:tcW w:type="dxa" w:w="4873"/>
            <w:vAlign w:val="center"/>
          </w:tcPr>
          <w:p>
            <w:pPr>
              <w:spacing w:line="276" w:lineRule="auto" w:before="0" w:after="0"/>
            </w:pPr>
            <w:r/>
            <w:r>
              <w:rPr>
                <w:rFonts w:ascii="Figtree" w:hAnsi="Figtree"/>
                <w:b w:val="0"/>
                <w:i w:val="0"/>
                <w:sz w:val="20"/>
              </w:rPr>
              <w:t>Infrastructure sizing for 5x normal volume</w:t>
            </w:r>
          </w:p>
        </w:tc>
      </w:tr>
    </w:tbl>
    <w:p>
      <w:pPr>
        <w:spacing w:before="0" w:after="0" w:line="120" w:lineRule="exact"/>
      </w:pPr>
    </w:p>
    <w:p>
      <w:pPr>
        <w:pStyle w:val="H2"/>
        <w:numPr>
          <w:ilvl w:val="1"/>
          <w:numId w:val="1"/>
        </w:numPr>
      </w:pPr>
      <w:r>
        <w:t>5. Support and SLA Framework</w:t>
      </w:r>
    </w:p>
    <w:p>
      <w:pPr>
        <w:pStyle w:val="H3"/>
        <w:numPr>
          <w:ilvl w:val="2"/>
          <w:numId w:val="1"/>
        </w:numPr>
      </w:pPr>
      <w:r>
        <w:t>5.1 Market Infrastructure Support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68"/>
        <w:gridCol w:w="60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 with market-hours priority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30 minutes (market hours); 1 hour (off hours)</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Market holiday windows only; 10 business days notice</w:t>
            </w:r>
          </w:p>
        </w:tc>
      </w:tr>
      <w:tr>
        <w:trPr>
          <w:trHeight w:val="425" w:hRule="atLeast"/>
        </w:trPr>
        <w:tc>
          <w:tcPr>
            <w:tcW w:type="dxa" w:w="4873"/>
            <w:vAlign w:val="center"/>
          </w:tcPr>
          <w:p>
            <w:pPr>
              <w:spacing w:line="276" w:lineRule="auto" w:before="0" w:after="0"/>
            </w:pPr>
            <w:r/>
            <w:r>
              <w:rPr>
                <w:rFonts w:ascii="Figtree" w:hAnsi="Figtree"/>
                <w:b w:val="0"/>
                <w:i w:val="0"/>
                <w:sz w:val="20"/>
              </w:rPr>
              <w:t>Annual security review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ASIC inspection support</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2"/>
        <w:numPr>
          <w:ilvl w:val="1"/>
          <w:numId w:val="1"/>
        </w:numPr>
      </w:pPr>
      <w:r>
        <w:t>6. Implementation Investment</w:t>
      </w:r>
    </w:p>
    <w:p>
      <w:pPr>
        <w:pStyle w:val="H3"/>
        <w:numPr>
          <w:ilvl w:val="2"/>
          <w:numId w:val="1"/>
        </w:numPr>
      </w:pPr>
      <w:r>
        <w:t>6.1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1"/>
        <w:gridCol w:w="876"/>
        <w:gridCol w:w="61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Legal finality analysis; architecture approval including ASIC team</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Settlement demonstrable in SIT with test participants</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10 weeks</w:t>
            </w:r>
          </w:p>
        </w:tc>
        <w:tc>
          <w:tcPr>
            <w:tcW w:type="dxa" w:w="3249"/>
            <w:vAlign w:val="center"/>
          </w:tcPr>
          <w:p>
            <w:pPr>
              <w:spacing w:line="276" w:lineRule="auto" w:before="0" w:after="0"/>
            </w:pPr>
            <w:r/>
            <w:r>
              <w:rPr>
                <w:rFonts w:ascii="Figtree" w:hAnsi="Figtree"/>
                <w:b w:val="0"/>
                <w:i w:val="0"/>
                <w:sz w:val="20"/>
              </w:rPr>
              <w:t>RBA and ASIC reporting integration validated</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10 weeks</w:t>
            </w:r>
          </w:p>
        </w:tc>
        <w:tc>
          <w:tcPr>
            <w:tcW w:type="dxa" w:w="3249"/>
            <w:vAlign w:val="center"/>
          </w:tcPr>
          <w:p>
            <w:pPr>
              <w:spacing w:line="276" w:lineRule="auto" w:before="0" w:after="0"/>
            </w:pPr>
            <w:r/>
            <w:r>
              <w:rPr>
                <w:rFonts w:ascii="Figtree" w:hAnsi="Figtree"/>
                <w:b w:val="0"/>
                <w:i w:val="0"/>
                <w:sz w:val="20"/>
              </w:rPr>
              <w:t>Peak volume performance; CPS 234 security review; UAT signed off</w:t>
            </w:r>
          </w:p>
        </w:tc>
      </w:tr>
      <w:tr>
        <w:trPr>
          <w:trHeight w:val="425" w:hRule="atLeast"/>
        </w:trPr>
        <w:tc>
          <w:tcPr>
            <w:tcW w:type="dxa" w:w="3249"/>
            <w:vAlign w:val="center"/>
          </w:tcPr>
          <w:p>
            <w:pPr>
              <w:spacing w:line="276" w:lineRule="auto" w:before="0" w:after="0"/>
            </w:pPr>
            <w:r/>
            <w:r>
              <w:rPr>
                <w:rFonts w:ascii="Figtree" w:hAnsi="Figtree"/>
                <w:b w:val="0"/>
                <w:i w:val="0"/>
                <w:sz w:val="20"/>
              </w:rPr>
              <w:t>5. Pilot Launch</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Controlled pilot; monitoring intensive; GO/NO-GO for scale</w:t>
            </w:r>
          </w:p>
        </w:tc>
      </w:tr>
      <w:tr>
        <w:trPr>
          <w:trHeight w:val="425" w:hRule="atLeast"/>
        </w:trPr>
        <w:tc>
          <w:tcPr>
            <w:tcW w:type="dxa" w:w="3249"/>
            <w:vAlign w:val="center"/>
          </w:tcPr>
          <w:p>
            <w:pPr>
              <w:spacing w:line="276" w:lineRule="auto" w:before="0" w:after="0"/>
            </w:pPr>
            <w:r/>
            <w:r>
              <w:rPr>
                <w:rFonts w:ascii="Figtree" w:hAnsi="Figtree"/>
                <w:b w:val="0"/>
                <w:i w:val="0"/>
                <w:sz w:val="20"/>
              </w:rPr>
              <w:t>6. Production Scale</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Phased participant onboarding; KPI targets met 20 days</w:t>
            </w:r>
          </w:p>
        </w:tc>
      </w:tr>
    </w:tbl>
    <w:p>
      <w:pPr>
        <w:spacing w:before="0" w:after="0" w:line="120" w:lineRule="exact"/>
      </w:pPr>
    </w:p>
    <w:p>
      <w:pPr>
        <w:pStyle w:val="H3"/>
        <w:numPr>
          <w:ilvl w:val="2"/>
          <w:numId w:val="1"/>
        </w:numPr>
      </w:pPr>
      <w:r>
        <w:t>6.2 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72"/>
        <w:gridCol w:w="55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Investment (AUD)</w:t>
            </w:r>
          </w:p>
        </w:tc>
      </w:tr>
      <w:tr>
        <w:trPr>
          <w:trHeight w:val="425" w:hRule="atLeast"/>
        </w:trPr>
        <w:tc>
          <w:tcPr>
            <w:tcW w:type="dxa" w:w="4873"/>
            <w:vAlign w:val="center"/>
          </w:tcPr>
          <w:p>
            <w:pPr>
              <w:spacing w:line="276" w:lineRule="auto" w:before="0" w:after="0"/>
            </w:pPr>
            <w:r/>
            <w:r>
              <w:rPr>
                <w:rFonts w:ascii="Figtree" w:hAnsi="Figtree"/>
                <w:b w:val="0"/>
                <w:i w:val="0"/>
                <w:sz w:val="20"/>
              </w:rPr>
              <w:t>Discovery</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Configuration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Integration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Testing</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Pilot Launch</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Production Scale</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[VARIABLE]</w:t>
            </w:r>
          </w:p>
        </w:tc>
      </w:tr>
    </w:tbl>
    <w:p>
      <w:pPr>
        <w:spacing w:before="0" w:after="0" w:line="120" w:lineRule="exact"/>
      </w:pPr>
    </w:p>
    <w:p>
      <w:pPr>
        <w:pStyle w:val="H3"/>
        <w:numPr>
          <w:ilvl w:val="2"/>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28"/>
        <w:gridCol w:w="78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Item</w:t>
            </w:r>
          </w:p>
        </w:tc>
      </w:tr>
      <w:tr>
        <w:trPr>
          <w:trHeight w:val="425" w:hRule="atLeast"/>
        </w:trPr>
        <w:tc>
          <w:tcPr>
            <w:tcW w:type="dxa" w:w="4873"/>
            <w:vAlign w:val="center"/>
          </w:tcPr>
          <w:p>
            <w:pPr>
              <w:spacing w:line="276" w:lineRule="auto" w:before="0" w:after="0"/>
            </w:pPr>
            <w:r/>
            <w:r>
              <w:rPr>
                <w:rFonts w:ascii="Figtree" w:hAnsi="Figtree"/>
                <w:b w:val="0"/>
                <w:i w:val="0"/>
                <w:sz w:val="20"/>
              </w:rPr>
              <w:t>Accelerator</w:t>
            </w:r>
          </w:p>
        </w:tc>
        <w:tc>
          <w:tcPr>
            <w:tcW w:type="dxa" w:w="4873"/>
            <w:vAlign w:val="center"/>
          </w:tcPr>
          <w:p>
            <w:pPr>
              <w:spacing w:line="276" w:lineRule="auto" w:before="0" w:after="0"/>
            </w:pPr>
            <w:r/>
            <w:r>
              <w:rPr>
                <w:rFonts w:ascii="Figtree" w:hAnsi="Figtree"/>
                <w:b w:val="0"/>
                <w:i w:val="0"/>
                <w:sz w:val="20"/>
              </w:rPr>
              <w:t>Pre-built market infrastructure compliance templates (Clearstream, Deutsche Boerse reference architecture)</w:t>
            </w:r>
          </w:p>
        </w:tc>
      </w:tr>
      <w:tr>
        <w:trPr>
          <w:trHeight w:val="425" w:hRule="atLeast"/>
        </w:trPr>
        <w:tc>
          <w:tcPr>
            <w:tcW w:type="dxa" w:w="4873"/>
            <w:vAlign w:val="center"/>
          </w:tcPr>
          <w:p>
            <w:pPr>
              <w:spacing w:line="276" w:lineRule="auto" w:before="0" w:after="0"/>
            </w:pPr>
            <w:r/>
            <w:r>
              <w:rPr>
                <w:rFonts w:ascii="Figtree" w:hAnsi="Figtree"/>
                <w:b w:val="0"/>
                <w:i w:val="0"/>
                <w:sz w:val="20"/>
              </w:rPr>
              <w:t>Accelerator</w:t>
            </w:r>
          </w:p>
        </w:tc>
        <w:tc>
          <w:tcPr>
            <w:tcW w:type="dxa" w:w="4873"/>
            <w:vAlign w:val="center"/>
          </w:tcPr>
          <w:p>
            <w:pPr>
              <w:spacing w:line="276" w:lineRule="auto" w:before="0" w:after="0"/>
            </w:pPr>
            <w:r/>
            <w:r>
              <w:rPr>
                <w:rFonts w:ascii="Figtree" w:hAnsi="Figtree"/>
                <w:b w:val="0"/>
                <w:i w:val="0"/>
                <w:sz w:val="20"/>
              </w:rPr>
              <w:t>Automated participant onboarding API templates</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Legal settlement finality analysis delay</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CHESS-era record migration complexity</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Peak volume infrastructure sizing uncertainty</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Regulatory approval process timing for pilot launch</w:t>
            </w:r>
          </w:p>
        </w:tc>
      </w:tr>
    </w:tbl>
    <w:p>
      <w:pPr>
        <w:spacing w:before="0" w:after="0" w:line="120" w:lineRule="exact"/>
      </w:pPr>
    </w:p>
    <w:p>
      <w:pPr>
        <w:pStyle w:val="H3"/>
        <w:numPr>
          <w:ilvl w:val="2"/>
          <w:numId w:val="1"/>
        </w:numPr>
      </w:pPr>
      <w:r>
        <w:t>6.4 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4"/>
        <w:gridCol w:w="853"/>
        <w:gridCol w:w="54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3 days</w:t>
            </w:r>
          </w:p>
        </w:tc>
        <w:tc>
          <w:tcPr>
            <w:tcW w:type="dxa" w:w="3249"/>
            <w:vAlign w:val="center"/>
          </w:tcPr>
          <w:p>
            <w:pPr>
              <w:spacing w:line="276" w:lineRule="auto" w:before="0" w:after="0"/>
            </w:pPr>
            <w:r/>
            <w:r>
              <w:rPr>
                <w:rFonts w:ascii="Figtree" w:hAnsi="Figtree"/>
                <w:b w:val="0"/>
                <w:i w:val="0"/>
                <w:sz w:val="20"/>
              </w:rPr>
              <w:t>On-site at ASX</w:t>
            </w:r>
          </w:p>
        </w:tc>
      </w:tr>
      <w:tr>
        <w:trPr>
          <w:trHeight w:val="425" w:hRule="atLeast"/>
        </w:trPr>
        <w:tc>
          <w:tcPr>
            <w:tcW w:type="dxa" w:w="3249"/>
            <w:vAlign w:val="center"/>
          </w:tcPr>
          <w:p>
            <w:pPr>
              <w:spacing w:line="276" w:lineRule="auto" w:before="0" w:after="0"/>
            </w:pPr>
            <w:r/>
            <w:r>
              <w:rPr>
                <w:rFonts w:ascii="Figtree" w:hAnsi="Figtree"/>
                <w:b w:val="0"/>
                <w:i w:val="0"/>
                <w:sz w:val="20"/>
              </w:rPr>
              <w:t>Settlement operations team</w:t>
            </w:r>
          </w:p>
        </w:tc>
        <w:tc>
          <w:tcPr>
            <w:tcW w:type="dxa" w:w="3249"/>
            <w:vAlign w:val="center"/>
          </w:tcPr>
          <w:p>
            <w:pPr>
              <w:spacing w:line="276" w:lineRule="auto" w:before="0" w:after="0"/>
            </w:pPr>
            <w:r/>
            <w:r>
              <w:rPr>
                <w:rFonts w:ascii="Figtree" w:hAnsi="Figtree"/>
                <w:b w:val="0"/>
                <w:i w:val="0"/>
                <w:sz w:val="20"/>
              </w:rPr>
              <w:t>2 days</w:t>
            </w:r>
          </w:p>
        </w:tc>
        <w:tc>
          <w:tcPr>
            <w:tcW w:type="dxa" w:w="3249"/>
            <w:vAlign w:val="center"/>
          </w:tcPr>
          <w:p>
            <w:pPr>
              <w:spacing w:line="276" w:lineRule="auto" w:before="0" w:after="0"/>
            </w:pPr>
            <w:r/>
            <w:r>
              <w:rPr>
                <w:rFonts w:ascii="Figtree" w:hAnsi="Figtree"/>
                <w:b w:val="0"/>
                <w:i w:val="0"/>
                <w:sz w:val="20"/>
              </w:rPr>
              <w:t>Role-based; settlement-specific scenarios</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w:t>
            </w:r>
          </w:p>
        </w:tc>
        <w:tc>
          <w:tcPr>
            <w:tcW w:type="dxa" w:w="3249"/>
            <w:vAlign w:val="center"/>
          </w:tcPr>
          <w:p>
            <w:pPr>
              <w:spacing w:line="276" w:lineRule="auto" w:before="0" w:after="0"/>
            </w:pPr>
            <w:r/>
            <w:r>
              <w:rPr>
                <w:rFonts w:ascii="Figtree" w:hAnsi="Figtree"/>
                <w:b w:val="0"/>
                <w:i w:val="0"/>
                <w:sz w:val="20"/>
              </w:rPr>
              <w:t>1 day</w:t>
            </w:r>
          </w:p>
        </w:tc>
        <w:tc>
          <w:tcPr>
            <w:tcW w:type="dxa" w:w="3249"/>
            <w:vAlign w:val="center"/>
          </w:tcPr>
          <w:p>
            <w:pPr>
              <w:spacing w:line="276" w:lineRule="auto" w:before="0" w:after="0"/>
            </w:pPr>
            <w:r/>
            <w:r>
              <w:rPr>
                <w:rFonts w:ascii="Figtree" w:hAnsi="Figtree"/>
                <w:b w:val="0"/>
                <w:i w:val="0"/>
                <w:sz w:val="20"/>
              </w:rPr>
              <w:t>Compliance module management and exception handling</w:t>
            </w:r>
          </w:p>
        </w:tc>
      </w:tr>
      <w:tr>
        <w:trPr>
          <w:trHeight w:val="425" w:hRule="atLeast"/>
        </w:trPr>
        <w:tc>
          <w:tcPr>
            <w:tcW w:type="dxa" w:w="3249"/>
            <w:vAlign w:val="center"/>
          </w:tcPr>
          <w:p>
            <w:pPr>
              <w:spacing w:line="276" w:lineRule="auto" w:before="0" w:after="0"/>
            </w:pPr>
            <w:r/>
            <w:r>
              <w:rPr>
                <w:rFonts w:ascii="Figtree" w:hAnsi="Figtree"/>
                <w:b w:val="0"/>
                <w:i w:val="0"/>
                <w:sz w:val="20"/>
              </w:rPr>
              <w:t>Participant support team</w:t>
            </w:r>
          </w:p>
        </w:tc>
        <w:tc>
          <w:tcPr>
            <w:tcW w:type="dxa" w:w="3249"/>
            <w:vAlign w:val="center"/>
          </w:tcPr>
          <w:p>
            <w:pPr>
              <w:spacing w:line="276" w:lineRule="auto" w:before="0" w:after="0"/>
            </w:pPr>
            <w:r/>
            <w:r>
              <w:rPr>
                <w:rFonts w:ascii="Figtree" w:hAnsi="Figtree"/>
                <w:b w:val="0"/>
                <w:i w:val="0"/>
                <w:sz w:val="20"/>
              </w:rPr>
              <w:t>1 day</w:t>
            </w:r>
          </w:p>
        </w:tc>
        <w:tc>
          <w:tcPr>
            <w:tcW w:type="dxa" w:w="3249"/>
            <w:vAlign w:val="center"/>
          </w:tcPr>
          <w:p>
            <w:pPr>
              <w:spacing w:line="276" w:lineRule="auto" w:before="0" w:after="0"/>
            </w:pPr>
            <w:r/>
            <w:r>
              <w:rPr>
                <w:rFonts w:ascii="Figtree" w:hAnsi="Figtree"/>
                <w:b w:val="0"/>
                <w:i w:val="0"/>
                <w:sz w:val="20"/>
              </w:rPr>
              <w:t>Participant onboarding and troubleshooting</w:t>
            </w:r>
          </w:p>
        </w:tc>
      </w:tr>
      <w:tr>
        <w:trPr>
          <w:trHeight w:val="425" w:hRule="atLeast"/>
        </w:trPr>
        <w:tc>
          <w:tcPr>
            <w:tcW w:type="dxa" w:w="3249"/>
            <w:vAlign w:val="center"/>
          </w:tcPr>
          <w:p>
            <w:pPr>
              <w:spacing w:line="276" w:lineRule="auto" w:before="0" w:after="0"/>
            </w:pPr>
            <w:r/>
            <w:r>
              <w:rPr>
                <w:rFonts w:ascii="Figtree" w:hAnsi="Figtree"/>
                <w:b w:val="0"/>
                <w:i w:val="0"/>
                <w:sz w:val="20"/>
              </w:rPr>
              <w:t>Internal audit</w:t>
            </w:r>
          </w:p>
        </w:tc>
        <w:tc>
          <w:tcPr>
            <w:tcW w:type="dxa" w:w="3249"/>
            <w:vAlign w:val="center"/>
          </w:tcPr>
          <w:p>
            <w:pPr>
              <w:spacing w:line="276" w:lineRule="auto" w:before="0" w:after="0"/>
            </w:pPr>
            <w:r/>
            <w:r>
              <w:rPr>
                <w:rFonts w:ascii="Figtree" w:hAnsi="Figtree"/>
                <w:b w:val="0"/>
                <w:i w:val="0"/>
                <w:sz w:val="20"/>
              </w:rPr>
              <w:t>0.5 days</w:t>
            </w:r>
          </w:p>
        </w:tc>
        <w:tc>
          <w:tcPr>
            <w:tcW w:type="dxa" w:w="3249"/>
            <w:vAlign w:val="center"/>
          </w:tcPr>
          <w:p>
            <w:pPr>
              <w:spacing w:line="276" w:lineRule="auto" w:before="0" w:after="0"/>
            </w:pPr>
            <w:r/>
            <w:r>
              <w:rPr>
                <w:rFonts w:ascii="Figtree" w:hAnsi="Figtree"/>
                <w:b w:val="0"/>
                <w:i w:val="0"/>
                <w:sz w:val="20"/>
              </w:rPr>
              <w:t>Audit trail navigation and evidence export</w:t>
            </w:r>
          </w:p>
        </w:tc>
      </w:tr>
    </w:tbl>
    <w:p>
      <w:pPr>
        <w:spacing w:before="0" w:after="0" w:line="120" w:lineRule="exact"/>
      </w:pPr>
    </w:p>
    <w:p>
      <w:pPr>
        <w:pStyle w:val="H2"/>
        <w:numPr>
          <w:ilvl w:val="1"/>
          <w:numId w:val="1"/>
        </w:numPr>
      </w:pPr>
      <w:r>
        <w:t>7. Commercial Terms</w:t>
      </w:r>
    </w:p>
    <w:p>
      <w:pPr>
        <w:pStyle w:val="H3"/>
        <w:numPr>
          <w:ilvl w:val="2"/>
          <w:numId w:val="1"/>
        </w:numPr>
      </w:pPr>
      <w:r>
        <w:t>7.1 CPS 230 Material Service Provider Compliance</w:t>
      </w:r>
    </w:p>
    <w:p>
      <w:r>
        <w:rPr>
          <w:rFonts w:ascii="Figtree" w:hAnsi="Figtree"/>
          <w:b w:val="0"/>
          <w:i w:val="0"/>
          <w:sz w:val="22"/>
        </w:rPr>
        <w:t>As a material technology service provider to ASX, SettleMint will provide:</w:t>
      </w:r>
    </w:p>
    <w:p>
      <w:pPr>
        <w:pStyle w:val="ListParagraph"/>
        <w:numPr>
          <w:ilvl w:val="0"/>
          <w:numId w:val="4"/>
        </w:numPr>
      </w:pPr>
      <w:r>
        <w:rPr>
          <w:rFonts w:ascii="Figtree" w:hAnsi="Figtree"/>
          <w:b w:val="0"/>
          <w:i w:val="0"/>
          <w:sz w:val="22"/>
        </w:rPr>
        <w:t>Annual assurance report (SOC 2 Type II) for inclusion in ASX's APRA reporting</w:t>
      </w:r>
    </w:p>
    <w:p>
      <w:pPr>
        <w:pStyle w:val="ListParagraph"/>
        <w:numPr>
          <w:ilvl w:val="0"/>
          <w:numId w:val="4"/>
        </w:numPr>
      </w:pPr>
      <w:r>
        <w:rPr>
          <w:rFonts w:ascii="Figtree" w:hAnsi="Figtree"/>
          <w:b w:val="0"/>
          <w:i w:val="0"/>
          <w:sz w:val="22"/>
        </w:rPr>
        <w:t>Contractual commitments on service continuity, notification, and transition support consistent with CPS 230 requirements</w:t>
      </w:r>
    </w:p>
    <w:p>
      <w:pPr>
        <w:pStyle w:val="ListParagraph"/>
        <w:numPr>
          <w:ilvl w:val="0"/>
          <w:numId w:val="4"/>
        </w:numPr>
      </w:pPr>
      <w:r>
        <w:rPr>
          <w:rFonts w:ascii="Figtree" w:hAnsi="Figtree"/>
          <w:b w:val="0"/>
          <w:i w:val="0"/>
          <w:sz w:val="22"/>
        </w:rPr>
        <w:t>Audit rights for ASX's internal audit function and APRA-delegated inspectors</w:t>
      </w:r>
    </w:p>
    <w:p>
      <w:pPr>
        <w:pStyle w:val="ListParagraph"/>
        <w:numPr>
          <w:ilvl w:val="0"/>
          <w:numId w:val="4"/>
        </w:numPr>
      </w:pPr>
      <w:r>
        <w:rPr>
          <w:rFonts w:ascii="Figtree" w:hAnsi="Figtree"/>
          <w:b w:val="0"/>
          <w:i w:val="0"/>
          <w:sz w:val="22"/>
        </w:rPr>
        <w:t>Sub-contractor transparency report covering all material fourth-party dependencies</w:t>
      </w:r>
    </w:p>
    <w:p>
      <w:pPr>
        <w:pStyle w:val="H3"/>
        <w:numPr>
          <w:ilvl w:val="2"/>
          <w:numId w:val="1"/>
        </w:numPr>
      </w:pPr>
      <w:r>
        <w:t>7.2 Contract Structure</w:t>
      </w:r>
    </w:p>
    <w:p>
      <w:r>
        <w:rPr>
          <w:rFonts w:ascii="Figtree" w:hAnsi="Figtree"/>
          <w:b w:val="0"/>
          <w:i w:val="0"/>
          <w:sz w:val="22"/>
        </w:rPr>
        <w:t>MSA with CPS 230 addendum, SoW (implementation), Support Agreement with market-hours SLA, DPA (Australian Privacy Act), CPS 230 Service Provider Agreement.</w:t>
      </w:r>
    </w:p>
    <w:p>
      <w:pPr>
        <w:pStyle w:val="H3"/>
        <w:numPr>
          <w:ilvl w:val="2"/>
          <w:numId w:val="1"/>
        </w:numPr>
      </w:pPr>
      <w:r>
        <w:t>7.3 Payment Schedule</w:t>
      </w:r>
    </w:p>
    <w:p>
      <w:r>
        <w:rPr>
          <w:rFonts w:ascii="Figtree" w:hAnsi="Figtree"/>
          <w:b w:val="0"/>
          <w:i w:val="0"/>
          <w:sz w:val="22"/>
        </w:rPr>
        <w:t>Implementation: milestone-based (20% at execution; 15% Discovery; 20% Configuration; 20% Integration; 15% Testing; 10% Production Scale completion). Annual license and support invoiced annually in advance.</w:t>
      </w:r>
    </w:p>
    <w:p>
      <w:pPr>
        <w:pStyle w:val="H3"/>
        <w:numPr>
          <w:ilvl w:val="2"/>
          <w:numId w:val="1"/>
        </w:numPr>
      </w:pPr>
      <w:r>
        <w:t>7.4 Duration</w:t>
      </w:r>
    </w:p>
    <w:p>
      <w:r>
        <w:rPr>
          <w:rFonts w:ascii="Figtree" w:hAnsi="Figtree"/>
          <w:b w:val="0"/>
          <w:i w:val="0"/>
          <w:sz w:val="22"/>
        </w:rPr>
        <w:t>3-year initial term recommended. License activation from controlled pilot go-live date. Review mechanism at 18 months to adjust scope if programme scale changes materially.</w:t>
      </w:r>
    </w:p>
    <w:p>
      <w:pPr>
        <w:pStyle w:val="H3"/>
        <w:numPr>
          <w:ilvl w:val="2"/>
          <w:numId w:val="1"/>
        </w:numPr>
      </w:pPr>
      <w:r>
        <w:t>7.5 Exit Provisions</w:t>
      </w:r>
    </w:p>
    <w:p>
      <w:r>
        <w:rPr>
          <w:rFonts w:ascii="Figtree" w:hAnsi="Figtree"/>
          <w:b w:val="0"/>
          <w:i w:val="0"/>
          <w:sz w:val="22"/>
        </w:rPr>
        <w:t>90-day notice for termination after initial term. Complete data export. 6-month transition support available at agreed rates. Source code escrow available for additional security assurance.</w:t>
      </w:r>
    </w:p>
    <w:p>
      <w:pPr>
        <w:pStyle w:val="H2"/>
        <w:numPr>
          <w:ilvl w:val="1"/>
          <w:numId w:val="1"/>
        </w:numPr>
      </w:pPr>
      <w:r>
        <w:t>8. Total Cost of Ownership</w:t>
      </w:r>
    </w:p>
    <w:p>
      <w:pPr>
        <w:pStyle w:val="H3"/>
        <w:numPr>
          <w:ilvl w:val="2"/>
          <w:numId w:val="1"/>
        </w:numPr>
      </w:pPr>
      <w:r>
        <w:t>8.1 TCO Framework</w:t>
      </w:r>
    </w:p>
    <w:p>
      <w:r>
        <w:rPr>
          <w:rFonts w:ascii="Figtree" w:hAnsi="Figtree"/>
          <w:b w:val="0"/>
          <w:i w:val="0"/>
          <w:sz w:val="22"/>
        </w:rPr>
        <w:t>For ASX, the relevant comparison is between DALP, in-house build, and the market infrastructure-specific alternative of procuring from legacy financial market infrastructure technology vendors (e.g., SIX Finma, Broadridge, DTCC technology). The comparison must account for the full cost of integration, governance, evidence generation, and regulatory compliance documentation across all options.</w:t>
      </w:r>
    </w:p>
    <w:p>
      <w:pPr>
        <w:pStyle w:val="H3"/>
        <w:numPr>
          <w:ilvl w:val="2"/>
          <w:numId w:val="1"/>
        </w:numPr>
      </w:pPr>
      <w:r>
        <w:t>8.2 3-Year TCO Model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80"/>
        <w:gridCol w:w="1067"/>
        <w:gridCol w:w="1067"/>
        <w:gridCol w:w="1067"/>
        <w:gridCol w:w="88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(Sovereign)</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Support (Sovereign)</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Cloud HSM</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bl>
    <w:p>
      <w:pPr>
        <w:spacing w:before="0" w:after="0" w:line="120" w:lineRule="exact"/>
      </w:pPr>
    </w:p>
    <w:p>
      <w:pPr>
        <w:pStyle w:val="H3"/>
        <w:numPr>
          <w:ilvl w:val="2"/>
          <w:numId w:val="1"/>
        </w:numPr>
      </w:pPr>
      <w:r>
        <w:t>8.3 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108"/>
        <w:gridCol w:w="3225"/>
        <w:gridCol w:w="17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In-House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Legacy Vendor</w:t>
            </w:r>
          </w:p>
        </w:tc>
      </w:tr>
      <w:tr>
        <w:trPr>
          <w:trHeight w:val="425" w:hRule="atLeast"/>
        </w:trPr>
        <w:tc>
          <w:tcPr>
            <w:tcW w:type="dxa" w:w="2436"/>
            <w:vAlign w:val="center"/>
          </w:tcPr>
          <w:p>
            <w:pPr>
              <w:spacing w:line="276" w:lineRule="auto" w:before="0" w:after="0"/>
            </w:pPr>
            <w:r/>
            <w:r>
              <w:rPr>
                <w:rFonts w:ascii="Figtree" w:hAnsi="Figtree"/>
                <w:b w:val="0"/>
                <w:i w:val="0"/>
                <w:sz w:val="20"/>
              </w:rPr>
              <w:t>Time to pilot</w:t>
            </w:r>
          </w:p>
        </w:tc>
        <w:tc>
          <w:tcPr>
            <w:tcW w:type="dxa" w:w="2436"/>
            <w:vAlign w:val="center"/>
          </w:tcPr>
          <w:p>
            <w:pPr>
              <w:spacing w:line="276" w:lineRule="auto" w:before="0" w:after="0"/>
            </w:pPr>
            <w:r/>
            <w:r>
              <w:rPr>
                <w:rFonts w:ascii="Figtree" w:hAnsi="Figtree"/>
                <w:b w:val="0"/>
                <w:i w:val="0"/>
                <w:sz w:val="20"/>
              </w:rPr>
              <w:t>12 months</w:t>
            </w:r>
          </w:p>
        </w:tc>
        <w:tc>
          <w:tcPr>
            <w:tcW w:type="dxa" w:w="2436"/>
            <w:vAlign w:val="center"/>
          </w:tcPr>
          <w:p>
            <w:pPr>
              <w:spacing w:line="276" w:lineRule="auto" w:before="0" w:after="0"/>
            </w:pPr>
            <w:r/>
            <w:r>
              <w:rPr>
                <w:rFonts w:ascii="Figtree" w:hAnsi="Figtree"/>
                <w:b w:val="0"/>
                <w:i w:val="0"/>
                <w:sz w:val="20"/>
              </w:rPr>
              <w:t>30+ months</w:t>
            </w:r>
          </w:p>
        </w:tc>
        <w:tc>
          <w:tcPr>
            <w:tcW w:type="dxa" w:w="2436"/>
            <w:vAlign w:val="center"/>
          </w:tcPr>
          <w:p>
            <w:pPr>
              <w:spacing w:line="276" w:lineRule="auto" w:before="0" w:after="0"/>
            </w:pPr>
            <w:r/>
            <w:r>
              <w:rPr>
                <w:rFonts w:ascii="Figtree" w:hAnsi="Figtree"/>
                <w:b w:val="0"/>
                <w:i w:val="0"/>
                <w:sz w:val="20"/>
              </w:rPr>
              <w:t>18-24 months</w:t>
            </w:r>
          </w:p>
        </w:tc>
      </w:tr>
      <w:tr>
        <w:trPr>
          <w:trHeight w:val="425" w:hRule="atLeast"/>
        </w:trPr>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Custom</w:t>
            </w:r>
          </w:p>
        </w:tc>
        <w:tc>
          <w:tcPr>
            <w:tcW w:type="dxa" w:w="2436"/>
            <w:vAlign w:val="center"/>
          </w:tcPr>
          <w:p>
            <w:pPr>
              <w:spacing w:line="276" w:lineRule="auto" w:before="0" w:after="0"/>
            </w:pPr>
            <w:r/>
            <w:r>
              <w:rPr>
                <w:rFonts w:ascii="Figtree" w:hAnsi="Figtree"/>
                <w:b w:val="0"/>
                <w:i w:val="0"/>
                <w:sz w:val="20"/>
              </w:rPr>
              <w:t>Depends on vendor</w:t>
            </w:r>
          </w:p>
        </w:tc>
      </w:tr>
      <w:tr>
        <w:trPr>
          <w:trHeight w:val="425" w:hRule="atLeast"/>
        </w:trPr>
        <w:tc>
          <w:tcPr>
            <w:tcW w:type="dxa" w:w="2436"/>
            <w:vAlign w:val="center"/>
          </w:tcPr>
          <w:p>
            <w:pPr>
              <w:spacing w:line="276" w:lineRule="auto" w:before="0" w:after="0"/>
            </w:pPr>
            <w:r/>
            <w:r>
              <w:rPr>
                <w:rFonts w:ascii="Figtree" w:hAnsi="Figtree"/>
                <w:b w:val="0"/>
                <w:i w:val="0"/>
                <w:sz w:val="20"/>
              </w:rPr>
              <w:t>CPS 230 documentation</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ASX must produce</w:t>
            </w:r>
          </w:p>
        </w:tc>
        <w:tc>
          <w:tcPr>
            <w:tcW w:type="dxa" w:w="2436"/>
            <w:vAlign w:val="center"/>
          </w:tcPr>
          <w:p>
            <w:pPr>
              <w:spacing w:line="276" w:lineRule="auto" w:before="0" w:after="0"/>
            </w:pPr>
            <w:r/>
            <w:r>
              <w:rPr>
                <w:rFonts w:ascii="Figtree" w:hAnsi="Figtree"/>
                <w:b w:val="0"/>
                <w:i w:val="0"/>
                <w:sz w:val="20"/>
              </w:rPr>
              <w:t>Varies</w:t>
            </w:r>
          </w:p>
        </w:tc>
      </w:tr>
      <w:tr>
        <w:trPr>
          <w:trHeight w:val="425" w:hRule="atLeast"/>
        </w:trPr>
        <w:tc>
          <w:tcPr>
            <w:tcW w:type="dxa" w:w="2436"/>
            <w:vAlign w:val="center"/>
          </w:tcPr>
          <w:p>
            <w:pPr>
              <w:spacing w:line="276" w:lineRule="auto" w:before="0" w:after="0"/>
            </w:pPr>
            <w:r/>
            <w:r>
              <w:rPr>
                <w:rFonts w:ascii="Figtree" w:hAnsi="Figtree"/>
                <w:b w:val="0"/>
                <w:i w:val="0"/>
                <w:sz w:val="20"/>
              </w:rPr>
              <w:t>Expansion to new asset classes</w:t>
            </w:r>
          </w:p>
        </w:tc>
        <w:tc>
          <w:tcPr>
            <w:tcW w:type="dxa" w:w="2436"/>
            <w:vAlign w:val="center"/>
          </w:tcPr>
          <w:p>
            <w:pPr>
              <w:spacing w:line="276" w:lineRule="auto" w:before="0" w:after="0"/>
            </w:pPr>
            <w:r/>
            <w:r>
              <w:rPr>
                <w:rFonts w:ascii="Figtree" w:hAnsi="Figtree"/>
                <w:b w:val="0"/>
                <w:i w:val="0"/>
                <w:sz w:val="20"/>
              </w:rPr>
              <w:t>Config only</w:t>
            </w:r>
          </w:p>
        </w:tc>
        <w:tc>
          <w:tcPr>
            <w:tcW w:type="dxa" w:w="2436"/>
            <w:vAlign w:val="center"/>
          </w:tcPr>
          <w:p>
            <w:pPr>
              <w:spacing w:line="276" w:lineRule="auto" w:before="0" w:after="0"/>
            </w:pPr>
            <w:r/>
            <w:r>
              <w:rPr>
                <w:rFonts w:ascii="Figtree" w:hAnsi="Figtree"/>
                <w:b w:val="0"/>
                <w:i w:val="0"/>
                <w:sz w:val="20"/>
              </w:rPr>
              <w:t>Engineering</w:t>
            </w:r>
          </w:p>
        </w:tc>
        <w:tc>
          <w:tcPr>
            <w:tcW w:type="dxa" w:w="2436"/>
            <w:vAlign w:val="center"/>
          </w:tcPr>
          <w:p>
            <w:pPr>
              <w:spacing w:line="276" w:lineRule="auto" w:before="0" w:after="0"/>
            </w:pPr>
            <w:r/>
            <w:r>
              <w:rPr>
                <w:rFonts w:ascii="Figtree" w:hAnsi="Figtree"/>
                <w:b w:val="0"/>
                <w:i w:val="0"/>
                <w:sz w:val="20"/>
              </w:rPr>
              <w:t>New procurement</w:t>
            </w:r>
          </w:p>
        </w:tc>
      </w:tr>
      <w:tr>
        <w:trPr>
          <w:trHeight w:val="425" w:hRule="atLeast"/>
        </w:trPr>
        <w:tc>
          <w:tcPr>
            <w:tcW w:type="dxa" w:w="2436"/>
            <w:vAlign w:val="center"/>
          </w:tcPr>
          <w:p>
            <w:pPr>
              <w:spacing w:line="276" w:lineRule="auto" w:before="0" w:after="0"/>
            </w:pPr>
            <w:r/>
            <w:r>
              <w:rPr>
                <w:rFonts w:ascii="Figtree" w:hAnsi="Figtree"/>
                <w:b w:val="0"/>
                <w:i w:val="0"/>
                <w:sz w:val="20"/>
              </w:rPr>
              <w:t>Vendor dependency risk</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None (but high engineering risk)</w:t>
            </w:r>
          </w:p>
        </w:tc>
        <w:tc>
          <w:tcPr>
            <w:tcW w:type="dxa" w:w="2436"/>
            <w:vAlign w:val="center"/>
          </w:tcPr>
          <w:p>
            <w:pPr>
              <w:spacing w:line="276" w:lineRule="auto" w:before="0" w:after="0"/>
            </w:pPr>
            <w:r/>
            <w:r>
              <w:rPr>
                <w:rFonts w:ascii="Figtree" w:hAnsi="Figtree"/>
                <w:b w:val="0"/>
                <w:i w:val="0"/>
                <w:sz w:val="20"/>
              </w:rPr>
              <w:t>High</w:t>
            </w:r>
          </w:p>
        </w:tc>
      </w:tr>
      <w:tr>
        <w:trPr>
          <w:trHeight w:val="425" w:hRule="atLeast"/>
        </w:trPr>
        <w:tc>
          <w:tcPr>
            <w:tcW w:type="dxa" w:w="2436"/>
            <w:vAlign w:val="center"/>
          </w:tcPr>
          <w:p>
            <w:pPr>
              <w:spacing w:line="276" w:lineRule="auto" w:before="0" w:after="0"/>
            </w:pPr>
            <w:r/>
            <w:r>
              <w:rPr>
                <w:rFonts w:ascii="Figtree" w:hAnsi="Figtree"/>
                <w:b w:val="0"/>
                <w:i w:val="0"/>
                <w:sz w:val="20"/>
              </w:rPr>
              <w:t>Year 3 recurring cost</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 (maintenance burden)</w:t>
            </w:r>
          </w:p>
        </w:tc>
        <w:tc>
          <w:tcPr>
            <w:tcW w:type="dxa" w:w="2436"/>
            <w:vAlign w:val="center"/>
          </w:tcPr>
          <w:p>
            <w:pPr>
              <w:spacing w:line="276" w:lineRule="auto" w:before="0" w:after="0"/>
            </w:pPr>
            <w:r/>
            <w:r>
              <w:rPr>
                <w:rFonts w:ascii="Figtree" w:hAnsi="Figtree"/>
                <w:b w:val="0"/>
                <w:i w:val="0"/>
                <w:sz w:val="20"/>
              </w:rPr>
              <w:t>Medium-high</w:t>
            </w:r>
          </w:p>
        </w:tc>
      </w:tr>
    </w:tbl>
    <w:p>
      <w:pPr>
        <w:spacing w:before="0" w:after="0" w:line="120" w:lineRule="exact"/>
      </w:pPr>
    </w:p>
    <w:p>
      <w:r>
        <w:rPr>
          <w:rFonts w:ascii="Figtree" w:hAnsi="Figtree"/>
          <w:b w:val="0"/>
          <w:i w:val="0"/>
          <w:sz w:val="22"/>
        </w:rPr>
        <w:t>The build-in-house option carries the highest risk given CHESS precedent. Legacy vendor options may offer comparable settlement capability but typically lack the compliance module configurability and observability quality that APRA/ASIC requirements demand.</w:t>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6"/>
        <w:gridCol w:w="715"/>
        <w:gridCol w:w="3882"/>
        <w:gridCol w:w="320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2436"/>
            <w:vAlign w:val="center"/>
          </w:tcPr>
          <w:p>
            <w:pPr>
              <w:spacing w:line="276" w:lineRule="auto" w:before="0" w:after="0"/>
            </w:pPr>
            <w:r/>
            <w:r>
              <w:rPr>
                <w:rFonts w:ascii="Figtree" w:hAnsi="Figtree"/>
                <w:b w:val="0"/>
                <w:i w:val="0"/>
                <w:sz w:val="20"/>
              </w:rPr>
              <w:t>Clearstream</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Tokenized collateral settlement</w:t>
            </w:r>
          </w:p>
        </w:tc>
        <w:tc>
          <w:tcPr>
            <w:tcW w:type="dxa" w:w="2436"/>
            <w:vAlign w:val="center"/>
          </w:tcPr>
          <w:p>
            <w:pPr>
              <w:spacing w:line="276" w:lineRule="auto" w:before="0" w:after="0"/>
            </w:pPr>
            <w:r/>
            <w:r>
              <w:rPr>
                <w:rFonts w:ascii="Figtree" w:hAnsi="Figtree"/>
                <w:b w:val="0"/>
                <w:i w:val="0"/>
                <w:sz w:val="20"/>
              </w:rPr>
              <w:t>BaFin compliant; production operations</w:t>
            </w:r>
          </w:p>
        </w:tc>
      </w:tr>
      <w:tr>
        <w:trPr>
          <w:trHeight w:val="425" w:hRule="atLeast"/>
        </w:trPr>
        <w:tc>
          <w:tcPr>
            <w:tcW w:type="dxa" w:w="2436"/>
            <w:vAlign w:val="center"/>
          </w:tcPr>
          <w:p>
            <w:pPr>
              <w:spacing w:line="276" w:lineRule="auto" w:before="0" w:after="0"/>
            </w:pPr>
            <w:r/>
            <w:r>
              <w:rPr>
                <w:rFonts w:ascii="Figtree" w:hAnsi="Figtree"/>
                <w:b w:val="0"/>
                <w:i w:val="0"/>
                <w:sz w:val="20"/>
              </w:rPr>
              <w:t>Deutsche Boerse</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Regulated digital asset trading and settlement</w:t>
            </w:r>
          </w:p>
        </w:tc>
        <w:tc>
          <w:tcPr>
            <w:tcW w:type="dxa" w:w="2436"/>
            <w:vAlign w:val="center"/>
          </w:tcPr>
          <w:p>
            <w:pPr>
              <w:spacing w:line="276" w:lineRule="auto" w:before="0" w:after="0"/>
            </w:pPr>
            <w:r/>
            <w:r>
              <w:rPr>
                <w:rFonts w:ascii="Figtree" w:hAnsi="Figtree"/>
                <w:b w:val="0"/>
                <w:i w:val="0"/>
                <w:sz w:val="20"/>
              </w:rPr>
              <w:t>MiFID II compliant</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securities settlement infrastructure</w:t>
            </w:r>
          </w:p>
        </w:tc>
        <w:tc>
          <w:tcPr>
            <w:tcW w:type="dxa" w:w="2436"/>
            <w:vAlign w:val="center"/>
          </w:tcPr>
          <w:p>
            <w:pPr>
              <w:spacing w:line="276" w:lineRule="auto" w:before="0" w:after="0"/>
            </w:pPr>
            <w:r/>
            <w:r>
              <w:rPr>
                <w:rFonts w:ascii="Figtree" w:hAnsi="Figtree"/>
                <w:b w:val="0"/>
                <w:i w:val="0"/>
                <w:sz w:val="20"/>
              </w:rPr>
              <w:t>ECB-adjacent; production</w:t>
            </w:r>
          </w:p>
        </w:tc>
      </w:tr>
      <w:tr>
        <w:trPr>
          <w:trHeight w:val="425" w:hRule="atLeast"/>
        </w:trPr>
        <w:tc>
          <w:tcPr>
            <w:tcW w:type="dxa" w:w="2436"/>
            <w:vAlign w:val="center"/>
          </w:tcPr>
          <w:p>
            <w:pPr>
              <w:spacing w:line="276" w:lineRule="auto" w:before="0" w:after="0"/>
            </w:pPr>
            <w:r/>
            <w:r>
              <w:rPr>
                <w:rFonts w:ascii="Figtree" w:hAnsi="Figtree"/>
                <w:b w:val="0"/>
                <w:i w:val="0"/>
                <w:sz w:val="20"/>
              </w:rPr>
              <w:t>Eurex</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Tokenized derivatives clearing</w:t>
            </w:r>
          </w:p>
        </w:tc>
        <w:tc>
          <w:tcPr>
            <w:tcW w:type="dxa" w:w="2436"/>
            <w:vAlign w:val="center"/>
          </w:tcPr>
          <w:p>
            <w:pPr>
              <w:spacing w:line="276" w:lineRule="auto" w:before="0" w:after="0"/>
            </w:pPr>
            <w:r/>
            <w:r>
              <w:rPr>
                <w:rFonts w:ascii="Figtree" w:hAnsi="Figtree"/>
                <w:b w:val="0"/>
                <w:i w:val="0"/>
                <w:sz w:val="20"/>
              </w:rPr>
              <w:t>EMIR compliant</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Wholesale CBDC settlement pilot</w:t>
            </w:r>
          </w:p>
        </w:tc>
        <w:tc>
          <w:tcPr>
            <w:tcW w:type="dxa" w:w="2436"/>
            <w:vAlign w:val="center"/>
          </w:tcPr>
          <w:p>
            <w:pPr>
              <w:spacing w:line="276" w:lineRule="auto" w:before="0" w:after="0"/>
            </w:pPr>
            <w:r/>
            <w:r>
              <w:rPr>
                <w:rFonts w:ascii="Figtree" w:hAnsi="Figtree"/>
                <w:b w:val="0"/>
                <w:i w:val="0"/>
                <w:sz w:val="20"/>
              </w:rPr>
              <w:t>Central bank production</w:t>
            </w:r>
          </w:p>
        </w:tc>
      </w:tr>
    </w:tbl>
    <w:p>
      <w:pPr>
        <w:spacing w:before="0" w:after="0" w:line="120" w:lineRule="exact"/>
      </w:pP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540"/>
        <w:gridCol w:w="19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3249"/>
            <w:vAlign w:val="center"/>
          </w:tcPr>
          <w:p>
            <w:pPr>
              <w:spacing w:line="276" w:lineRule="auto" w:before="0" w:after="0"/>
            </w:pPr>
            <w:r/>
            <w:r>
              <w:rPr>
                <w:rFonts w:ascii="Figtree" w:hAnsi="Figtree"/>
                <w:b w:val="0"/>
                <w:i w:val="0"/>
                <w:sz w:val="20"/>
              </w:rPr>
              <w:t>Proposal review</w:t>
            </w:r>
          </w:p>
        </w:tc>
        <w:tc>
          <w:tcPr>
            <w:tcW w:type="dxa" w:w="3249"/>
            <w:vAlign w:val="center"/>
          </w:tcPr>
          <w:p>
            <w:pPr>
              <w:spacing w:line="276" w:lineRule="auto" w:before="0" w:after="0"/>
            </w:pPr>
            <w:r/>
            <w:r>
              <w:rPr>
                <w:rFonts w:ascii="Figtree" w:hAnsi="Figtree"/>
                <w:b w:val="0"/>
                <w:i w:val="0"/>
                <w:sz w:val="20"/>
              </w:rPr>
              <w:t>ASX + SettleMint</w:t>
            </w:r>
          </w:p>
        </w:tc>
        <w:tc>
          <w:tcPr>
            <w:tcW w:type="dxa" w:w="3249"/>
            <w:vAlign w:val="center"/>
          </w:tcPr>
          <w:p>
            <w:pPr>
              <w:spacing w:line="276" w:lineRule="auto" w:before="0" w:after="0"/>
            </w:pPr>
            <w:r/>
            <w:r>
              <w:rPr>
                <w:rFonts w:ascii="Figtree" w:hAnsi="Figtree"/>
                <w:b w:val="0"/>
                <w:i w:val="0"/>
                <w:sz w:val="20"/>
              </w:rPr>
              <w:t>Week 1 post-submission</w:t>
            </w:r>
          </w:p>
        </w:tc>
      </w:tr>
      <w:tr>
        <w:trPr>
          <w:trHeight w:val="425" w:hRule="atLeast"/>
        </w:trPr>
        <w:tc>
          <w:tcPr>
            <w:tcW w:type="dxa" w:w="3249"/>
            <w:vAlign w:val="center"/>
          </w:tcPr>
          <w:p>
            <w:pPr>
              <w:spacing w:line="276" w:lineRule="auto" w:before="0" w:after="0"/>
            </w:pPr>
            <w:r/>
            <w:r>
              <w:rPr>
                <w:rFonts w:ascii="Figtree" w:hAnsi="Figtree"/>
                <w:b w:val="0"/>
                <w:i w:val="0"/>
                <w:sz w:val="20"/>
              </w:rPr>
              <w:t>CPS 230 service provider assessment briefing</w:t>
            </w:r>
          </w:p>
        </w:tc>
        <w:tc>
          <w:tcPr>
            <w:tcW w:type="dxa" w:w="3249"/>
            <w:vAlign w:val="center"/>
          </w:tcPr>
          <w:p>
            <w:pPr>
              <w:spacing w:line="276" w:lineRule="auto" w:before="0" w:after="0"/>
            </w:pPr>
            <w:r/>
            <w:r>
              <w:rPr>
                <w:rFonts w:ascii="Figtree" w:hAnsi="Figtree"/>
                <w:b w:val="0"/>
                <w:i w:val="0"/>
                <w:sz w:val="20"/>
              </w:rPr>
              <w:t>ASX risk + SettleMint</w:t>
            </w:r>
          </w:p>
        </w:tc>
        <w:tc>
          <w:tcPr>
            <w:tcW w:type="dxa" w:w="3249"/>
            <w:vAlign w:val="center"/>
          </w:tcPr>
          <w:p>
            <w:pPr>
              <w:spacing w:line="276" w:lineRule="auto" w:before="0" w:after="0"/>
            </w:pPr>
            <w:r/>
            <w:r>
              <w:rPr>
                <w:rFonts w:ascii="Figtree" w:hAnsi="Figtree"/>
                <w:b w:val="0"/>
                <w:i w:val="0"/>
                <w:sz w:val="20"/>
              </w:rPr>
              <w:t>Week 2</w:t>
            </w:r>
          </w:p>
        </w:tc>
      </w:tr>
      <w:tr>
        <w:trPr>
          <w:trHeight w:val="425" w:hRule="atLeast"/>
        </w:trPr>
        <w:tc>
          <w:tcPr>
            <w:tcW w:type="dxa" w:w="3249"/>
            <w:vAlign w:val="center"/>
          </w:tcPr>
          <w:p>
            <w:pPr>
              <w:spacing w:line="276" w:lineRule="auto" w:before="0" w:after="0"/>
            </w:pPr>
            <w:r/>
            <w:r>
              <w:rPr>
                <w:rFonts w:ascii="Figtree" w:hAnsi="Figtree"/>
                <w:b w:val="0"/>
                <w:i w:val="0"/>
                <w:sz w:val="20"/>
              </w:rPr>
              <w:t>Technical architecture and legal finality workshop</w:t>
            </w:r>
          </w:p>
        </w:tc>
        <w:tc>
          <w:tcPr>
            <w:tcW w:type="dxa" w:w="3249"/>
            <w:vAlign w:val="center"/>
          </w:tcPr>
          <w:p>
            <w:pPr>
              <w:spacing w:line="276" w:lineRule="auto" w:before="0" w:after="0"/>
            </w:pPr>
            <w:r/>
            <w:r>
              <w:rPr>
                <w:rFonts w:ascii="Figtree" w:hAnsi="Figtree"/>
                <w:b w:val="0"/>
                <w:i w:val="0"/>
                <w:sz w:val="20"/>
              </w:rPr>
              <w:t>Joint teams</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Commercial validation</w:t>
            </w:r>
          </w:p>
        </w:tc>
        <w:tc>
          <w:tcPr>
            <w:tcW w:type="dxa" w:w="3249"/>
            <w:vAlign w:val="center"/>
          </w:tcPr>
          <w:p>
            <w:pPr>
              <w:spacing w:line="276" w:lineRule="auto" w:before="0" w:after="0"/>
            </w:pPr>
            <w:r/>
            <w:r>
              <w:rPr>
                <w:rFonts w:ascii="Figtree" w:hAnsi="Figtree"/>
                <w:b w:val="0"/>
                <w:i w:val="0"/>
                <w:sz w:val="20"/>
              </w:rPr>
              <w:t>ASX procurement + SettleMint</w:t>
            </w:r>
          </w:p>
        </w:tc>
        <w:tc>
          <w:tcPr>
            <w:tcW w:type="dxa" w:w="3249"/>
            <w:vAlign w:val="center"/>
          </w:tcPr>
          <w:p>
            <w:pPr>
              <w:spacing w:line="276" w:lineRule="auto" w:before="0" w:after="0"/>
            </w:pPr>
            <w:r/>
            <w:r>
              <w:rPr>
                <w:rFonts w:ascii="Figtree" w:hAnsi="Figtree"/>
                <w:b w:val="0"/>
                <w:i w:val="0"/>
                <w:sz w:val="20"/>
              </w:rPr>
              <w:t>Week 4</w:t>
            </w:r>
          </w:p>
        </w:tc>
      </w:tr>
      <w:tr>
        <w:trPr>
          <w:trHeight w:val="425" w:hRule="atLeast"/>
        </w:trPr>
        <w:tc>
          <w:tcPr>
            <w:tcW w:type="dxa" w:w="3249"/>
            <w:vAlign w:val="center"/>
          </w:tcPr>
          <w:p>
            <w:pPr>
              <w:spacing w:line="276" w:lineRule="auto" w:before="0" w:after="0"/>
            </w:pPr>
            <w:r/>
            <w:r>
              <w:rPr>
                <w:rFonts w:ascii="Figtree" w:hAnsi="Figtree"/>
                <w:b w:val="0"/>
                <w:i w:val="0"/>
                <w:sz w:val="20"/>
              </w:rPr>
              <w:t>CPS 230 agreement draft</w:t>
            </w:r>
          </w:p>
        </w:tc>
        <w:tc>
          <w:tcPr>
            <w:tcW w:type="dxa" w:w="3249"/>
            <w:vAlign w:val="center"/>
          </w:tcPr>
          <w:p>
            <w:pPr>
              <w:spacing w:line="276" w:lineRule="auto" w:before="0" w:after="0"/>
            </w:pPr>
            <w:r/>
            <w:r>
              <w:rPr>
                <w:rFonts w:ascii="Figtree" w:hAnsi="Figtree"/>
                <w:b w:val="0"/>
                <w:i w:val="0"/>
                <w:sz w:val="20"/>
              </w:rPr>
              <w:t>Legal teams</w:t>
            </w:r>
          </w:p>
        </w:tc>
        <w:tc>
          <w:tcPr>
            <w:tcW w:type="dxa" w:w="3249"/>
            <w:vAlign w:val="center"/>
          </w:tcPr>
          <w:p>
            <w:pPr>
              <w:spacing w:line="276" w:lineRule="auto" w:before="0" w:after="0"/>
            </w:pPr>
            <w:r/>
            <w:r>
              <w:rPr>
                <w:rFonts w:ascii="Figtree" w:hAnsi="Figtree"/>
                <w:b w:val="0"/>
                <w:i w:val="0"/>
                <w:sz w:val="20"/>
              </w:rPr>
              <w:t>Week 5</w:t>
            </w:r>
          </w:p>
        </w:tc>
      </w:tr>
      <w:tr>
        <w:trPr>
          <w:trHeight w:val="425" w:hRule="atLeast"/>
        </w:trPr>
        <w:tc>
          <w:tcPr>
            <w:tcW w:type="dxa" w:w="3249"/>
            <w:vAlign w:val="center"/>
          </w:tcPr>
          <w:p>
            <w:pPr>
              <w:spacing w:line="276" w:lineRule="auto" w:before="0" w:after="0"/>
            </w:pPr>
            <w:r/>
            <w:r>
              <w:rPr>
                <w:rFonts w:ascii="Figtree" w:hAnsi="Figtree"/>
                <w:b w:val="0"/>
                <w:i w:val="0"/>
                <w:sz w:val="20"/>
              </w:rPr>
              <w:t>Best-and-final commercial submission</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6</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Both parties</w:t>
            </w:r>
          </w:p>
        </w:tc>
        <w:tc>
          <w:tcPr>
            <w:tcW w:type="dxa" w:w="3249"/>
            <w:vAlign w:val="center"/>
          </w:tcPr>
          <w:p>
            <w:pPr>
              <w:spacing w:line="276" w:lineRule="auto" w:before="0" w:after="0"/>
            </w:pPr>
            <w:r/>
            <w:r>
              <w:rPr>
                <w:rFonts w:ascii="Figtree" w:hAnsi="Figtree"/>
                <w:b w:val="0"/>
                <w:i w:val="0"/>
                <w:sz w:val="20"/>
              </w:rPr>
              <w:t>Week 8</w:t>
            </w:r>
          </w:p>
        </w:tc>
      </w:tr>
      <w:tr>
        <w:trPr>
          <w:trHeight w:val="425" w:hRule="atLeast"/>
        </w:trPr>
        <w:tc>
          <w:tcPr>
            <w:tcW w:type="dxa" w:w="3249"/>
            <w:vAlign w:val="center"/>
          </w:tcPr>
          <w:p>
            <w:pPr>
              <w:spacing w:line="276" w:lineRule="auto" w:before="0" w:after="0"/>
            </w:pPr>
            <w:r/>
            <w:r>
              <w:rPr>
                <w:rFonts w:ascii="Figtree" w:hAnsi="Figtree"/>
                <w:b w:val="0"/>
                <w:i w:val="0"/>
                <w:sz w:val="20"/>
              </w:rPr>
              <w:t>Programme mobilisation</w:t>
            </w:r>
          </w:p>
        </w:tc>
        <w:tc>
          <w:tcPr>
            <w:tcW w:type="dxa" w:w="3249"/>
            <w:vAlign w:val="center"/>
          </w:tcPr>
          <w:p>
            <w:pPr>
              <w:spacing w:line="276" w:lineRule="auto" w:before="0" w:after="0"/>
            </w:pPr>
            <w:r/>
            <w:r>
              <w:rPr>
                <w:rFonts w:ascii="Figtree" w:hAnsi="Figtree"/>
                <w:b w:val="0"/>
                <w:i w:val="0"/>
                <w:sz w:val="20"/>
              </w:rPr>
              <w:t>Joint team</w:t>
            </w:r>
          </w:p>
        </w:tc>
        <w:tc>
          <w:tcPr>
            <w:tcW w:type="dxa" w:w="3249"/>
            <w:vAlign w:val="center"/>
          </w:tcPr>
          <w:p>
            <w:pPr>
              <w:spacing w:line="276" w:lineRule="auto" w:before="0" w:after="0"/>
            </w:pPr>
            <w:r/>
            <w:r>
              <w:rPr>
                <w:rFonts w:ascii="Figtree" w:hAnsi="Figtree"/>
                <w:b w:val="0"/>
                <w:i w:val="0"/>
                <w:sz w:val="20"/>
              </w:rPr>
              <w:t>Week 9</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