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Executive Summary</w:t>
          </w:r>
          <w:r>
            <w:tab/>
          </w:r>
          <w:r>
            <w:t xml:space="preserve">4</w:t>
          </w:r>
        </w:p>
        <w:p>
          <w:pPr>
            <w:pStyle w:val="TOC2"/>
            <w:tabs>
              <w:tab w:val="right" w:leader="dot" w:pos="9072"/>
            </w:tabs>
          </w:pPr>
          <w:r>
            <w:t xml:space="preserve">2. Investment Rationale and Value Analysis</w:t>
          </w:r>
          <w:r>
            <w:tab/>
          </w:r>
          <w:r>
            <w:t xml:space="preserve">5</w:t>
          </w:r>
        </w:p>
        <w:p>
          <w:pPr>
            <w:pStyle w:val="TOC3"/>
            <w:tabs>
              <w:tab w:val="right" w:leader="dot" w:pos="9072"/>
            </w:tabs>
          </w:pPr>
          <w:r>
            <w:t xml:space="preserve">2.1 The Cost of the Status Quo</w:t>
          </w:r>
          <w:r>
            <w:tab/>
          </w:r>
          <w:r>
            <w:t xml:space="preserve">6</w:t>
          </w:r>
        </w:p>
        <w:p>
          <w:pPr>
            <w:pStyle w:val="TOC3"/>
            <w:tabs>
              <w:tab w:val="right" w:leader="dot" w:pos="9072"/>
            </w:tabs>
          </w:pPr>
          <w:r>
            <w:t xml:space="preserve">2.2 ROI Framework</w:t>
          </w:r>
          <w:r>
            <w:tab/>
          </w:r>
          <w:r>
            <w:t xml:space="preserve">7</w:t>
          </w:r>
        </w:p>
        <w:p>
          <w:pPr>
            <w:pStyle w:val="TOC3"/>
            <w:tabs>
              <w:tab w:val="right" w:leader="dot" w:pos="9072"/>
            </w:tabs>
          </w:pPr>
          <w:r>
            <w:t xml:space="preserve">2.3 Buy versus Build Analysis</w:t>
          </w:r>
          <w:r>
            <w:tab/>
          </w:r>
          <w:r>
            <w:t xml:space="preserve">8</w:t>
          </w:r>
        </w:p>
        <w:p>
          <w:pPr>
            <w:pStyle w:val="TOC3"/>
            <w:tabs>
              <w:tab w:val="right" w:leader="dot" w:pos="9072"/>
            </w:tabs>
          </w:pPr>
          <w:r>
            <w:t xml:space="preserve">2.4 Buy versus Assemble Analysis</w:t>
          </w:r>
          <w:r>
            <w:tab/>
          </w:r>
          <w:r>
            <w:t xml:space="preserve">9</w:t>
          </w:r>
        </w:p>
        <w:p>
          <w:pPr>
            <w:pStyle w:val="TOC2"/>
            <w:tabs>
              <w:tab w:val="right" w:leader="dot" w:pos="9072"/>
            </w:tabs>
          </w:pPr>
          <w:r>
            <w:t xml:space="preserve">3. Pricing and Licensing</w:t>
          </w:r>
          <w:r>
            <w:tab/>
          </w:r>
          <w:r>
            <w:t xml:space="preserve">10</w:t>
          </w:r>
        </w:p>
        <w:p>
          <w:pPr>
            <w:pStyle w:val="TOC3"/>
            <w:tabs>
              <w:tab w:val="right" w:leader="dot" w:pos="9072"/>
            </w:tabs>
          </w:pPr>
          <w:r>
            <w:t xml:space="preserve">3.1 Platform License Pricing</w:t>
          </w:r>
          <w:r>
            <w:tab/>
          </w:r>
          <w:r>
            <w:t xml:space="preserve">11</w:t>
          </w:r>
        </w:p>
        <w:p>
          <w:pPr>
            <w:pStyle w:val="TOC3"/>
            <w:tabs>
              <w:tab w:val="right" w:leader="dot" w:pos="9072"/>
            </w:tabs>
          </w:pPr>
          <w:r>
            <w:t xml:space="preserve">3.2 License Scope</w:t>
          </w:r>
          <w:r>
            <w:tab/>
          </w:r>
          <w:r>
            <w:t xml:space="preserve">12</w:t>
          </w:r>
        </w:p>
        <w:p>
          <w:pPr>
            <w:pStyle w:val="TOC3"/>
            <w:tabs>
              <w:tab w:val="right" w:leader="dot" w:pos="9072"/>
            </w:tabs>
          </w:pPr>
          <w:r>
            <w:t xml:space="preserve">3.3 Environment Scope</w:t>
          </w:r>
          <w:r>
            <w:tab/>
          </w:r>
          <w:r>
            <w:t xml:space="preserve">13</w:t>
          </w:r>
        </w:p>
        <w:p>
          <w:pPr>
            <w:pStyle w:val="TOC2"/>
            <w:tabs>
              <w:tab w:val="right" w:leader="dot" w:pos="9072"/>
            </w:tabs>
          </w:pPr>
          <w:r>
            <w:t xml:space="preserve">4. Implementation Services</w:t>
          </w:r>
          <w:r>
            <w:tab/>
          </w:r>
          <w:r>
            <w:t xml:space="preserve">14</w:t>
          </w:r>
        </w:p>
        <w:p>
          <w:pPr>
            <w:pStyle w:val="TOC3"/>
            <w:tabs>
              <w:tab w:val="right" w:leader="dot" w:pos="9072"/>
            </w:tabs>
          </w:pPr>
          <w:r>
            <w:t xml:space="preserve">4.1 Indicative Implementation Budget Range</w:t>
          </w:r>
          <w:r>
            <w:tab/>
          </w:r>
          <w:r>
            <w:t xml:space="preserve">15</w:t>
          </w:r>
        </w:p>
        <w:p>
          <w:pPr>
            <w:pStyle w:val="TOC3"/>
            <w:tabs>
              <w:tab w:val="right" w:leader="dot" w:pos="9072"/>
            </w:tabs>
          </w:pPr>
          <w:r>
            <w:t xml:space="preserve">4.2 Standard Implementation Deliverables</w:t>
          </w:r>
          <w:r>
            <w:tab/>
          </w:r>
          <w:r>
            <w:t xml:space="preserve">16</w:t>
          </w:r>
        </w:p>
        <w:p>
          <w:pPr>
            <w:pStyle w:val="TOC3"/>
            <w:tabs>
              <w:tab w:val="right" w:leader="dot" w:pos="9072"/>
            </w:tabs>
          </w:pPr>
          <w:r>
            <w:t xml:space="preserve">4.3 SettleMint Implementation Team</w:t>
          </w:r>
          <w:r>
            <w:tab/>
          </w:r>
          <w:r>
            <w:t xml:space="preserve">17</w:t>
          </w:r>
        </w:p>
        <w:p>
          <w:pPr>
            <w:pStyle w:val="TOC2"/>
            <w:tabs>
              <w:tab w:val="right" w:leader="dot" w:pos="9072"/>
            </w:tabs>
          </w:pPr>
          <w:r>
            <w:t xml:space="preserve">5. Support and Service Levels</w:t>
          </w:r>
          <w:r>
            <w:tab/>
          </w:r>
          <w:r>
            <w:t xml:space="preserve">18</w:t>
          </w:r>
        </w:p>
        <w:p>
          <w:pPr>
            <w:pStyle w:val="TOC3"/>
            <w:tabs>
              <w:tab w:val="right" w:leader="dot" w:pos="9072"/>
            </w:tabs>
          </w:pPr>
          <w:r>
            <w:t xml:space="preserve">5.1 Standard Support (Included)</w:t>
          </w:r>
          <w:r>
            <w:tab/>
          </w:r>
          <w:r>
            <w:t xml:space="preserve">19</w:t>
          </w:r>
        </w:p>
        <w:p>
          <w:pPr>
            <w:pStyle w:val="TOC3"/>
            <w:tabs>
              <w:tab w:val="right" w:leader="dot" w:pos="9072"/>
            </w:tabs>
          </w:pPr>
          <w:r>
            <w:t xml:space="preserve">5.2 Enhanced Support (Optional — Priced Separately)</w:t>
          </w:r>
          <w:r>
            <w:tab/>
          </w:r>
          <w:r>
            <w:t xml:space="preserve">20</w:t>
          </w:r>
        </w:p>
        <w:p>
          <w:pPr>
            <w:pStyle w:val="TOC3"/>
            <w:tabs>
              <w:tab w:val="right" w:leader="dot" w:pos="9072"/>
            </w:tabs>
          </w:pPr>
          <w:r>
            <w:t xml:space="preserve">5.3 Knowledge Transfer and Training</w:t>
          </w:r>
          <w:r>
            <w:tab/>
          </w:r>
          <w:r>
            <w:t xml:space="preserve">21</w:t>
          </w:r>
        </w:p>
        <w:p>
          <w:pPr>
            <w:pStyle w:val="TOC2"/>
            <w:tabs>
              <w:tab w:val="right" w:leader="dot" w:pos="9072"/>
            </w:tabs>
          </w:pPr>
          <w:r>
            <w:t xml:space="preserve">6. Commercial Terms and Payment Structure</w:t>
          </w:r>
          <w:r>
            <w:tab/>
          </w:r>
          <w:r>
            <w:t xml:space="preserve">22</w:t>
          </w:r>
        </w:p>
        <w:p>
          <w:pPr>
            <w:pStyle w:val="TOC3"/>
            <w:tabs>
              <w:tab w:val="right" w:leader="dot" w:pos="9072"/>
            </w:tabs>
          </w:pPr>
          <w:r>
            <w:t xml:space="preserve">6.1 Payment Schedule</w:t>
          </w:r>
          <w:r>
            <w:tab/>
          </w:r>
          <w:r>
            <w:t xml:space="preserve">23</w:t>
          </w:r>
        </w:p>
        <w:p>
          <w:pPr>
            <w:pStyle w:val="TOC3"/>
            <w:tabs>
              <w:tab w:val="right" w:leader="dot" w:pos="9072"/>
            </w:tabs>
          </w:pPr>
          <w:r>
            <w:t xml:space="preserve">6.2 Contract Parameters</w:t>
          </w:r>
          <w:r>
            <w:tab/>
          </w:r>
          <w:r>
            <w:t xml:space="preserve">24</w:t>
          </w:r>
        </w:p>
        <w:p>
          <w:pPr>
            <w:pStyle w:val="TOC3"/>
            <w:tabs>
              <w:tab w:val="right" w:leader="dot" w:pos="9072"/>
            </w:tabs>
          </w:pPr>
          <w:r>
            <w:t xml:space="preserve">6.3 Intellectual Property</w:t>
          </w:r>
          <w:r>
            <w:tab/>
          </w:r>
          <w:r>
            <w:t xml:space="preserve">25</w:t>
          </w:r>
        </w:p>
        <w:p>
          <w:pPr>
            <w:pStyle w:val="TOC2"/>
            <w:tabs>
              <w:tab w:val="right" w:leader="dot" w:pos="9072"/>
            </w:tabs>
          </w:pPr>
          <w:r>
            <w:t xml:space="preserve">7. Total Cost of Ownership Analysis</w:t>
          </w:r>
          <w:r>
            <w:tab/>
          </w:r>
          <w:r>
            <w:t xml:space="preserve">26</w:t>
          </w:r>
        </w:p>
        <w:p>
          <w:pPr>
            <w:pStyle w:val="TOC3"/>
            <w:tabs>
              <w:tab w:val="right" w:leader="dot" w:pos="9072"/>
            </w:tabs>
          </w:pPr>
          <w:r>
            <w:t xml:space="preserve">7.1 Five-Year TCO Model</w:t>
          </w:r>
          <w:r>
            <w:tab/>
          </w:r>
          <w:r>
            <w:t xml:space="preserve">27</w:t>
          </w:r>
        </w:p>
        <w:p>
          <w:pPr>
            <w:pStyle w:val="TOC3"/>
            <w:tabs>
              <w:tab w:val="right" w:leader="dot" w:pos="9072"/>
            </w:tabs>
          </w:pPr>
          <w:r>
            <w:t xml:space="preserve">7.2 Comparative TCO Position</w:t>
          </w:r>
          <w:r>
            <w:tab/>
          </w:r>
          <w:r>
            <w:t xml:space="preserve">28</w:t>
          </w:r>
        </w:p>
        <w:p>
          <w:pPr>
            <w:pStyle w:val="TOC2"/>
            <w:tabs>
              <w:tab w:val="right" w:leader="dot" w:pos="9072"/>
            </w:tabs>
          </w:pPr>
          <w:r>
            <w:t xml:space="preserve">8. Expansion Economics</w:t>
          </w:r>
          <w:r>
            <w:tab/>
          </w:r>
          <w:r>
            <w:t xml:space="preserve">29</w:t>
          </w:r>
        </w:p>
        <w:p>
          <w:pPr>
            <w:pStyle w:val="TOC3"/>
            <w:tabs>
              <w:tab w:val="right" w:leader="dot" w:pos="9072"/>
            </w:tabs>
          </w:pPr>
          <w:r>
            <w:t xml:space="preserve">8.1 Within-License Expansion</w:t>
          </w:r>
          <w:r>
            <w:tab/>
          </w:r>
          <w:r>
            <w:t xml:space="preserve">30</w:t>
          </w:r>
        </w:p>
        <w:p>
          <w:pPr>
            <w:pStyle w:val="TOC3"/>
            <w:tabs>
              <w:tab w:val="right" w:leader="dot" w:pos="9072"/>
            </w:tabs>
          </w:pPr>
          <w:r>
            <w:t xml:space="preserve">8.2 Cross-Jurisdiction Expansion</w:t>
          </w:r>
          <w:r>
            <w:tab/>
          </w:r>
          <w:r>
            <w:t xml:space="preserve">31</w:t>
          </w:r>
        </w:p>
        <w:p>
          <w:pPr>
            <w:pStyle w:val="TOC3"/>
            <w:tabs>
              <w:tab w:val="right" w:leader="dot" w:pos="9072"/>
            </w:tabs>
          </w:pPr>
          <w:r>
            <w:t xml:space="preserve">8.3 Platform Capability Expansion</w:t>
          </w:r>
          <w:r>
            <w:tab/>
          </w:r>
          <w:r>
            <w:t xml:space="preserve">32</w:t>
          </w:r>
        </w:p>
        <w:p>
          <w:pPr>
            <w:pStyle w:val="TOC2"/>
            <w:tabs>
              <w:tab w:val="right" w:leader="dot" w:pos="9072"/>
            </w:tabs>
          </w:pPr>
          <w:r>
            <w:t xml:space="preserve">9. Exit Readiness and Transition Provisions</w:t>
          </w:r>
          <w:r>
            <w:tab/>
          </w:r>
          <w:r>
            <w:t xml:space="preserve">33</w:t>
          </w:r>
        </w:p>
        <w:p>
          <w:pPr>
            <w:pStyle w:val="TOC2"/>
            <w:tabs>
              <w:tab w:val="right" w:leader="dot" w:pos="9072"/>
            </w:tabs>
          </w:pPr>
          <w:r>
            <w:t xml:space="preserve">10. Assumptions Register</w:t>
          </w:r>
          <w:r>
            <w:tab/>
          </w:r>
          <w:r>
            <w:t xml:space="preserve">34</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Document Title:</w:t>
      </w:r>
      <w:r>
        <w:rPr>
          <w:rFonts w:ascii="Figtree" w:hAnsi="Figtree"/>
          <w:b w:val="0"/>
          <w:i w:val="0"/>
          <w:sz w:val="22"/>
        </w:rPr>
        <w:t xml:space="preserve"> Commercial Proposal — Cross-Border Tokenized Settlement  </w:t>
      </w:r>
    </w:p>
    <w:p>
      <w:r>
        <w:rPr>
          <w:rFonts w:ascii="Figtree" w:hAnsi="Figtree"/>
          <w:b/>
          <w:i w:val="0"/>
          <w:sz w:val="22"/>
        </w:rPr>
        <w:t>Client:</w:t>
      </w:r>
      <w:r>
        <w:rPr>
          <w:rFonts w:ascii="Figtree" w:hAnsi="Figtree"/>
          <w:b w:val="0"/>
          <w:i w:val="0"/>
          <w:sz w:val="22"/>
        </w:rPr>
        <w:t xml:space="preserve"> Airwallex  </w:t>
      </w:r>
    </w:p>
    <w:p>
      <w:r>
        <w:rPr>
          <w:rFonts w:ascii="Figtree" w:hAnsi="Figtree"/>
          <w:b/>
          <w:i w:val="0"/>
          <w:sz w:val="22"/>
        </w:rPr>
        <w:t>Date:</w:t>
      </w:r>
      <w:r>
        <w:rPr>
          <w:rFonts w:ascii="Figtree" w:hAnsi="Figtree"/>
          <w:b w:val="0"/>
          <w:i w:val="0"/>
          <w:sz w:val="22"/>
        </w:rPr>
        <w:t xml:space="preserve"> 20 March 2026  </w:t>
      </w:r>
    </w:p>
    <w:p>
      <w:r>
        <w:rPr>
          <w:rFonts w:ascii="Figtree" w:hAnsi="Figtree"/>
          <w:b/>
          <w:i w:val="0"/>
          <w:sz w:val="22"/>
        </w:rPr>
        <w:t>Version:</w:t>
      </w:r>
      <w:r>
        <w:rPr>
          <w:rFonts w:ascii="Figtree" w:hAnsi="Figtree"/>
          <w:b w:val="0"/>
          <w:i w:val="0"/>
          <w:sz w:val="22"/>
        </w:rPr>
        <w:t xml:space="preserve"> 1.0 (Draft)  </w:t>
      </w:r>
    </w:p>
    <w:p>
      <w:r>
        <w:rPr>
          <w:rFonts w:ascii="Figtree" w:hAnsi="Figtree"/>
          <w:b/>
          <w:i w:val="0"/>
          <w:sz w:val="22"/>
        </w:rPr>
        <w:t>Prepared by:</w:t>
      </w:r>
      <w:r>
        <w:rPr>
          <w:rFonts w:ascii="Figtree" w:hAnsi="Figtree"/>
          <w:b w:val="0"/>
          <w:i w:val="0"/>
          <w:sz w:val="22"/>
        </w:rPr>
        <w:t xml:space="preserve"> SettleMint  </w:t>
      </w:r>
    </w:p>
    <w:p>
      <w:r>
        <w:rPr>
          <w:rFonts w:ascii="Figtree" w:hAnsi="Figtree"/>
          <w:b/>
          <w:i w:val="0"/>
          <w:sz w:val="22"/>
        </w:rPr>
        <w:t>Classification:</w:t>
      </w:r>
      <w:r>
        <w:rPr>
          <w:rFonts w:ascii="Figtree" w:hAnsi="Figtree"/>
          <w:b w:val="0"/>
          <w:i w:val="0"/>
          <w:sz w:val="22"/>
        </w:rPr>
        <w:t xml:space="preserve"> Confidential — Airwallex Evaluation Only  </w:t>
      </w:r>
    </w:p>
    <w:p>
      <w:r>
        <w:rPr>
          <w:rFonts w:ascii="Figtree" w:hAnsi="Figtree"/>
          <w:b/>
          <w:i w:val="0"/>
          <w:sz w:val="22"/>
        </w:rPr>
        <w:t>Reference:</w:t>
      </w:r>
      <w:r>
        <w:rPr>
          <w:rFonts w:ascii="Figtree" w:hAnsi="Figtree"/>
          <w:b w:val="0"/>
          <w:i w:val="0"/>
          <w:sz w:val="22"/>
        </w:rPr>
        <w:t xml:space="preserve"> AIRWALLEX-RFP-202603  </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Investment Rationale and Value Analysis</w:t>
      </w:r>
    </w:p>
    <w:p>
      <w:pPr>
        <w:pStyle w:val="ListParagraph"/>
        <w:numPr>
          <w:ilvl w:val="0"/>
          <w:numId w:val="6"/>
        </w:numPr>
      </w:pPr>
      <w:r>
        <w:rPr>
          <w:rFonts w:ascii="Figtree" w:hAnsi="Figtree"/>
          <w:b w:val="0"/>
          <w:i w:val="0"/>
          <w:sz w:val="22"/>
        </w:rPr>
        <w:t>Pricing and Licensing</w:t>
      </w:r>
    </w:p>
    <w:p>
      <w:pPr>
        <w:pStyle w:val="ListParagraph"/>
        <w:numPr>
          <w:ilvl w:val="0"/>
          <w:numId w:val="6"/>
        </w:numPr>
      </w:pPr>
      <w:r>
        <w:rPr>
          <w:rFonts w:ascii="Figtree" w:hAnsi="Figtree"/>
          <w:b w:val="0"/>
          <w:i w:val="0"/>
          <w:sz w:val="22"/>
        </w:rPr>
        <w:t>Implementation Services</w:t>
      </w:r>
    </w:p>
    <w:p>
      <w:pPr>
        <w:pStyle w:val="ListParagraph"/>
        <w:numPr>
          <w:ilvl w:val="0"/>
          <w:numId w:val="6"/>
        </w:numPr>
      </w:pPr>
      <w:r>
        <w:rPr>
          <w:rFonts w:ascii="Figtree" w:hAnsi="Figtree"/>
          <w:b w:val="0"/>
          <w:i w:val="0"/>
          <w:sz w:val="22"/>
        </w:rPr>
        <w:t>Support and Service Levels</w:t>
      </w:r>
    </w:p>
    <w:p>
      <w:pPr>
        <w:pStyle w:val="ListParagraph"/>
        <w:numPr>
          <w:ilvl w:val="0"/>
          <w:numId w:val="6"/>
        </w:numPr>
      </w:pPr>
      <w:r>
        <w:rPr>
          <w:rFonts w:ascii="Figtree" w:hAnsi="Figtree"/>
          <w:b w:val="0"/>
          <w:i w:val="0"/>
          <w:sz w:val="22"/>
        </w:rPr>
        <w:t>Commercial Terms and Payment Structure</w:t>
      </w:r>
    </w:p>
    <w:p>
      <w:pPr>
        <w:pStyle w:val="ListParagraph"/>
        <w:numPr>
          <w:ilvl w:val="0"/>
          <w:numId w:val="6"/>
        </w:numPr>
      </w:pPr>
      <w:r>
        <w:rPr>
          <w:rFonts w:ascii="Figtree" w:hAnsi="Figtree"/>
          <w:b w:val="0"/>
          <w:i w:val="0"/>
          <w:sz w:val="22"/>
        </w:rPr>
        <w:t>Total Cost of Ownership Analysis</w:t>
      </w:r>
    </w:p>
    <w:p>
      <w:pPr>
        <w:pStyle w:val="ListParagraph"/>
        <w:numPr>
          <w:ilvl w:val="0"/>
          <w:numId w:val="6"/>
        </w:numPr>
      </w:pPr>
      <w:r>
        <w:rPr>
          <w:rFonts w:ascii="Figtree" w:hAnsi="Figtree"/>
          <w:b w:val="0"/>
          <w:i w:val="0"/>
          <w:sz w:val="22"/>
        </w:rPr>
        <w:t>Expansion Economics</w:t>
      </w:r>
    </w:p>
    <w:p>
      <w:pPr>
        <w:pStyle w:val="ListParagraph"/>
        <w:numPr>
          <w:ilvl w:val="0"/>
          <w:numId w:val="6"/>
        </w:numPr>
      </w:pPr>
      <w:r>
        <w:rPr>
          <w:rFonts w:ascii="Figtree" w:hAnsi="Figtree"/>
          <w:b w:val="0"/>
          <w:i w:val="0"/>
          <w:sz w:val="22"/>
        </w:rPr>
        <w:t>Exit Readiness and Transition Provisions</w:t>
      </w:r>
    </w:p>
    <w:p>
      <w:pPr>
        <w:pStyle w:val="ListParagraph"/>
        <w:numPr>
          <w:ilvl w:val="0"/>
          <w:numId w:val="6"/>
        </w:numPr>
      </w:pPr>
      <w:r>
        <w:rPr>
          <w:rFonts w:ascii="Figtree" w:hAnsi="Figtree"/>
          <w:b w:val="0"/>
          <w:i w:val="0"/>
          <w:sz w:val="22"/>
        </w:rPr>
        <w:t>Assumptions Register</w:t>
      </w:r>
    </w:p>
    <w:p>
      <w:r>
        <w:br w:type="page"/>
      </w:r>
    </w:p>
    <w:p>
      <w:pPr>
        <w:pStyle w:val="H2"/>
        <w:numPr>
          <w:ilvl w:val="1"/>
          <w:numId w:val="1"/>
        </w:numPr>
      </w:pPr>
      <w:r>
        <w:t>1. Executive Summary</w:t>
      </w:r>
    </w:p>
    <w:p>
      <w:r>
        <w:rPr>
          <w:rFonts w:ascii="Figtree" w:hAnsi="Figtree"/>
          <w:b w:val="0"/>
          <w:i w:val="0"/>
          <w:sz w:val="22"/>
        </w:rPr>
        <w:t>Airwallex has built its payment infrastructure on the principle that financial operations should be programmable, transparent, and globally operable without intermediary friction. The shift toward tokenized cross-border settlement is the next logical expression of that principle — and the commercial question is not whether to invest, but which platform delivers the most defensible economics over the medium term.</w:t>
      </w:r>
    </w:p>
    <w:p>
      <w:r>
        <w:rPr>
          <w:rFonts w:ascii="Figtree" w:hAnsi="Figtree"/>
          <w:b w:val="0"/>
          <w:i w:val="0"/>
          <w:sz w:val="22"/>
        </w:rPr>
        <w:t>SettleMint proposes a structured commercial engagement that provides Airwallex with the DALP platform for cross-border tokenized settlement in Singapore, with clear licensing economics, transparent implementation scoping, and expansion provisions that allow the operating model to grow across additional corridors, legal entities, and products without re-procurement.</w:t>
      </w:r>
    </w:p>
    <w:p>
      <w:r>
        <w:rPr>
          <w:rFonts w:ascii="Figtree" w:hAnsi="Figtree"/>
          <w:b w:val="0"/>
          <w:i w:val="0"/>
          <w:sz w:val="22"/>
        </w:rPr>
        <w:t>The commercial structure covers two licensed environments — production and development — at EUR 420,000 per year in platform licensing, payable annually in advance. Implementation services are scoped following the Phase 1 discovery engagement and priced separately per the implementation methodology detailed in the technical proposal. Support is included within the standard license terms, with enhanced SLA options available for Airwallex's operational requirements.</w:t>
      </w:r>
    </w:p>
    <w:p>
      <w:r>
        <w:rPr>
          <w:rFonts w:ascii="Figtree" w:hAnsi="Figtree"/>
          <w:b w:val="0"/>
          <w:i w:val="0"/>
          <w:sz w:val="22"/>
        </w:rPr>
        <w:t>This proposal presents a buy versus build and buy versus assemble analysis that demonstrates DALP's economic advantage across three dimensions: time to controlled production deployment, total operational cost of the run state, and risk-adjusted cost of the compliance and audit evidence model. The conclusion is consistent across all three: DALP's platform economics compare favorably against the alternative of assembling a comparable capability from point solutions, custom smart contract development, and manual compliance processes.</w:t>
      </w:r>
    </w:p>
    <w:p>
      <w:r>
        <w:rPr>
          <w:rFonts w:ascii="Figtree" w:hAnsi="Figtree"/>
          <w:b w:val="0"/>
          <w:i w:val="0"/>
          <w:sz w:val="22"/>
        </w:rPr>
        <w:t>SettleMint is prepared to engage in a discovery-phase scoping workshop within four weeks of commercial agreement, with production deployment achievable within 19 weeks of project kickoff under the standard implementation methodology.</w:t>
      </w:r>
    </w:p>
    <w:p>
      <w:r>
        <w:br w:type="page"/>
      </w:r>
    </w:p>
    <w:p>
      <w:pPr>
        <w:pStyle w:val="H2"/>
        <w:numPr>
          <w:ilvl w:val="1"/>
          <w:numId w:val="1"/>
        </w:numPr>
      </w:pPr>
      <w:r>
        <w:t>2. Investment Rationale and Value Analysis</w:t>
      </w:r>
    </w:p>
    <w:p>
      <w:pPr>
        <w:pStyle w:val="H3"/>
        <w:numPr>
          <w:ilvl w:val="2"/>
          <w:numId w:val="1"/>
        </w:numPr>
      </w:pPr>
      <w:r>
        <w:t>2.1 The Cost of the Status Quo</w:t>
      </w:r>
    </w:p>
    <w:p>
      <w:r>
        <w:rPr>
          <w:rFonts w:ascii="Figtree" w:hAnsi="Figtree"/>
          <w:b w:val="0"/>
          <w:i w:val="0"/>
          <w:sz w:val="22"/>
        </w:rPr>
        <w:t>Cross-border settlement operations at Airwallex's scale involve significant operational overhead in the absence of programmable settlement infrastructure. The cost drivers in the current state include: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41"/>
        <w:gridCol w:w="4032"/>
        <w:gridCol w:w="429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Cost Driver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Current State Characteristics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DALP-Enabled Improvement</w:t>
            </w:r>
          </w:p>
        </w:tc>
      </w:tr>
      <w:tr>
        <w:trPr>
          <w:trHeight w:val="425" w:hRule="atLeast"/>
        </w:trPr>
        <w:tc>
          <w:tcPr>
            <w:tcW w:type="dxa" w:w="3249"/>
            <w:vAlign w:val="center"/>
          </w:tcPr>
          <w:p>
            <w:pPr>
              <w:spacing w:line="276" w:lineRule="auto" w:before="0" w:after="0"/>
            </w:pPr>
            <w:r/>
            <w:r>
              <w:rPr>
                <w:rFonts w:ascii="Figtree" w:hAnsi="Figtree"/>
                <w:b w:val="0"/>
                <w:i w:val="0"/>
                <w:sz w:val="20"/>
              </w:rPr>
              <w:t>Settlement cycle time</w:t>
            </w:r>
          </w:p>
        </w:tc>
        <w:tc>
          <w:tcPr>
            <w:tcW w:type="dxa" w:w="3249"/>
            <w:vAlign w:val="center"/>
          </w:tcPr>
          <w:p>
            <w:pPr>
              <w:spacing w:line="276" w:lineRule="auto" w:before="0" w:after="0"/>
            </w:pPr>
            <w:r/>
            <w:r>
              <w:rPr>
                <w:rFonts w:ascii="Figtree" w:hAnsi="Figtree"/>
                <w:b w:val="0"/>
                <w:i w:val="0"/>
                <w:sz w:val="20"/>
              </w:rPr>
              <w:t>Correspondent banking settlement: T+1 to T+3 depending on corridor</w:t>
            </w:r>
          </w:p>
        </w:tc>
        <w:tc>
          <w:tcPr>
            <w:tcW w:type="dxa" w:w="3249"/>
            <w:vAlign w:val="center"/>
          </w:tcPr>
          <w:p>
            <w:pPr>
              <w:spacing w:line="276" w:lineRule="auto" w:before="0" w:after="0"/>
            </w:pPr>
            <w:r/>
            <w:r>
              <w:rPr>
                <w:rFonts w:ascii="Figtree" w:hAnsi="Figtree"/>
                <w:b w:val="0"/>
                <w:i w:val="0"/>
                <w:sz w:val="20"/>
              </w:rPr>
              <w:t>Tokenized settlement: T+0 atomic finality under 3 seconds</w:t>
            </w:r>
          </w:p>
        </w:tc>
      </w:tr>
      <w:tr>
        <w:trPr>
          <w:trHeight w:val="425" w:hRule="atLeast"/>
        </w:trPr>
        <w:tc>
          <w:tcPr>
            <w:tcW w:type="dxa" w:w="3249"/>
            <w:vAlign w:val="center"/>
          </w:tcPr>
          <w:p>
            <w:pPr>
              <w:spacing w:line="276" w:lineRule="auto" w:before="0" w:after="0"/>
            </w:pPr>
            <w:r/>
            <w:r>
              <w:rPr>
                <w:rFonts w:ascii="Figtree" w:hAnsi="Figtree"/>
                <w:b w:val="0"/>
                <w:i w:val="0"/>
                <w:sz w:val="20"/>
              </w:rPr>
              <w:t>Manual reconciliation</w:t>
            </w:r>
          </w:p>
        </w:tc>
        <w:tc>
          <w:tcPr>
            <w:tcW w:type="dxa" w:w="3249"/>
            <w:vAlign w:val="center"/>
          </w:tcPr>
          <w:p>
            <w:pPr>
              <w:spacing w:line="276" w:lineRule="auto" w:before="0" w:after="0"/>
            </w:pPr>
            <w:r/>
            <w:r>
              <w:rPr>
                <w:rFonts w:ascii="Figtree" w:hAnsi="Figtree"/>
                <w:b w:val="0"/>
                <w:i w:val="0"/>
                <w:sz w:val="20"/>
              </w:rPr>
              <w:t>Daily reconciliation of settlement confirmations against GL entries requires operations staff time and generates break resolution queues</w:t>
            </w:r>
          </w:p>
        </w:tc>
        <w:tc>
          <w:tcPr>
            <w:tcW w:type="dxa" w:w="3249"/>
            <w:vAlign w:val="center"/>
          </w:tcPr>
          <w:p>
            <w:pPr>
              <w:spacing w:line="276" w:lineRule="auto" w:before="0" w:after="0"/>
            </w:pPr>
            <w:r/>
            <w:r>
              <w:rPr>
                <w:rFonts w:ascii="Figtree" w:hAnsi="Figtree"/>
                <w:b w:val="0"/>
                <w:i w:val="0"/>
                <w:sz w:val="20"/>
              </w:rPr>
              <w:t>Deterministic event log provides automated reconciliation baseline; breaks surface as exceptions rather than requiring full reconciliation effort</w:t>
            </w:r>
          </w:p>
        </w:tc>
      </w:tr>
      <w:tr>
        <w:trPr>
          <w:trHeight w:val="425" w:hRule="atLeast"/>
        </w:trPr>
        <w:tc>
          <w:tcPr>
            <w:tcW w:type="dxa" w:w="3249"/>
            <w:vAlign w:val="center"/>
          </w:tcPr>
          <w:p>
            <w:pPr>
              <w:spacing w:line="276" w:lineRule="auto" w:before="0" w:after="0"/>
            </w:pPr>
            <w:r/>
            <w:r>
              <w:rPr>
                <w:rFonts w:ascii="Figtree" w:hAnsi="Figtree"/>
                <w:b w:val="0"/>
                <w:i w:val="0"/>
                <w:sz w:val="20"/>
              </w:rPr>
              <w:t>Compliance enforcement</w:t>
            </w:r>
          </w:p>
        </w:tc>
        <w:tc>
          <w:tcPr>
            <w:tcW w:type="dxa" w:w="3249"/>
            <w:vAlign w:val="center"/>
          </w:tcPr>
          <w:p>
            <w:pPr>
              <w:spacing w:line="276" w:lineRule="auto" w:before="0" w:after="0"/>
            </w:pPr>
            <w:r/>
            <w:r>
              <w:rPr>
                <w:rFonts w:ascii="Figtree" w:hAnsi="Figtree"/>
                <w:b w:val="0"/>
                <w:i w:val="0"/>
                <w:sz w:val="20"/>
              </w:rPr>
              <w:t>Transfer eligibility enforced in application logic, subject to drift and requiring synchronization with compliance rule updates</w:t>
            </w:r>
          </w:p>
        </w:tc>
        <w:tc>
          <w:tcPr>
            <w:tcW w:type="dxa" w:w="3249"/>
            <w:vAlign w:val="center"/>
          </w:tcPr>
          <w:p>
            <w:pPr>
              <w:spacing w:line="276" w:lineRule="auto" w:before="0" w:after="0"/>
            </w:pPr>
            <w:r/>
            <w:r>
              <w:rPr>
                <w:rFonts w:ascii="Figtree" w:hAnsi="Figtree"/>
                <w:b w:val="0"/>
                <w:i w:val="0"/>
                <w:sz w:val="20"/>
              </w:rPr>
              <w:t>Transfer rules enforced at smart contract level: rules cannot be bypassed by application layer; updates propagate without re-engineering</w:t>
            </w:r>
          </w:p>
        </w:tc>
      </w:tr>
      <w:tr>
        <w:trPr>
          <w:trHeight w:val="425" w:hRule="atLeast"/>
        </w:trPr>
        <w:tc>
          <w:tcPr>
            <w:tcW w:type="dxa" w:w="3249"/>
            <w:vAlign w:val="center"/>
          </w:tcPr>
          <w:p>
            <w:pPr>
              <w:spacing w:line="276" w:lineRule="auto" w:before="0" w:after="0"/>
            </w:pPr>
            <w:r/>
            <w:r>
              <w:rPr>
                <w:rFonts w:ascii="Figtree" w:hAnsi="Figtree"/>
                <w:b w:val="0"/>
                <w:i w:val="0"/>
                <w:sz w:val="20"/>
              </w:rPr>
              <w:t>Audit evidence production</w:t>
            </w:r>
          </w:p>
        </w:tc>
        <w:tc>
          <w:tcPr>
            <w:tcW w:type="dxa" w:w="3249"/>
            <w:vAlign w:val="center"/>
          </w:tcPr>
          <w:p>
            <w:pPr>
              <w:spacing w:line="276" w:lineRule="auto" w:before="0" w:after="0"/>
            </w:pPr>
            <w:r/>
            <w:r>
              <w:rPr>
                <w:rFonts w:ascii="Figtree" w:hAnsi="Figtree"/>
                <w:b w:val="0"/>
                <w:i w:val="0"/>
                <w:sz w:val="20"/>
              </w:rPr>
              <w:t>Evidence for MAS examination and internal audit requires manual extraction and assembly from multiple system records</w:t>
            </w:r>
          </w:p>
        </w:tc>
        <w:tc>
          <w:tcPr>
            <w:tcW w:type="dxa" w:w="3249"/>
            <w:vAlign w:val="center"/>
          </w:tcPr>
          <w:p>
            <w:pPr>
              <w:spacing w:line="276" w:lineRule="auto" w:before="0" w:after="0"/>
            </w:pPr>
            <w:r/>
            <w:r>
              <w:rPr>
                <w:rFonts w:ascii="Figtree" w:hAnsi="Figtree"/>
                <w:b w:val="0"/>
                <w:i w:val="0"/>
                <w:sz w:val="20"/>
              </w:rPr>
              <w:t>Structured audit export covers the complete event lifecycle with approval chains, compliance evaluation results, and configuration history</w:t>
            </w:r>
          </w:p>
        </w:tc>
      </w:tr>
      <w:tr>
        <w:trPr>
          <w:trHeight w:val="425" w:hRule="atLeast"/>
        </w:trPr>
        <w:tc>
          <w:tcPr>
            <w:tcW w:type="dxa" w:w="3249"/>
            <w:vAlign w:val="center"/>
          </w:tcPr>
          <w:p>
            <w:pPr>
              <w:spacing w:line="276" w:lineRule="auto" w:before="0" w:after="0"/>
            </w:pPr>
            <w:r/>
            <w:r>
              <w:rPr>
                <w:rFonts w:ascii="Figtree" w:hAnsi="Figtree"/>
                <w:b w:val="0"/>
                <w:i w:val="0"/>
                <w:sz w:val="20"/>
              </w:rPr>
              <w:t>New corridor activation</w:t>
            </w:r>
          </w:p>
        </w:tc>
        <w:tc>
          <w:tcPr>
            <w:tcW w:type="dxa" w:w="3249"/>
            <w:vAlign w:val="center"/>
          </w:tcPr>
          <w:p>
            <w:pPr>
              <w:spacing w:line="276" w:lineRule="auto" w:before="0" w:after="0"/>
            </w:pPr>
            <w:r/>
            <w:r>
              <w:rPr>
                <w:rFonts w:ascii="Figtree" w:hAnsi="Figtree"/>
                <w:b w:val="0"/>
                <w:i w:val="0"/>
                <w:sz w:val="20"/>
              </w:rPr>
              <w:t>Adding a new settlement corridor requires development effort to implement routing, compliance rules, and reconciliation logic</w:t>
            </w:r>
          </w:p>
        </w:tc>
        <w:tc>
          <w:tcPr>
            <w:tcW w:type="dxa" w:w="3249"/>
            <w:vAlign w:val="center"/>
          </w:tcPr>
          <w:p>
            <w:pPr>
              <w:spacing w:line="276" w:lineRule="auto" w:before="0" w:after="0"/>
            </w:pPr>
            <w:r/>
            <w:r>
              <w:rPr>
                <w:rFonts w:ascii="Figtree" w:hAnsi="Figtree"/>
                <w:b w:val="0"/>
                <w:i w:val="0"/>
                <w:sz w:val="20"/>
              </w:rPr>
              <w:t>Adding a new currency corridor requires configuration only: new DALPAsset token with appropriate compliance module binding</w:t>
            </w:r>
          </w:p>
        </w:tc>
      </w:tr>
    </w:tbl>
    <w:p>
      <w:pPr>
        <w:spacing w:before="0" w:after="0" w:line="120" w:lineRule="exact"/>
      </w:pPr>
    </w:p>
    <w:p>
      <w:pPr>
        <w:pStyle w:val="H3"/>
        <w:numPr>
          <w:ilvl w:val="2"/>
          <w:numId w:val="1"/>
        </w:numPr>
      </w:pPr>
      <w:r>
        <w:t>2.2 ROI Framework</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28"/>
        <w:gridCol w:w="3562"/>
        <w:gridCol w:w="448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Value Driver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Mechanism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Quantification Basis</w:t>
            </w:r>
          </w:p>
        </w:tc>
      </w:tr>
      <w:tr>
        <w:trPr>
          <w:trHeight w:val="425" w:hRule="atLeast"/>
        </w:trPr>
        <w:tc>
          <w:tcPr>
            <w:tcW w:type="dxa" w:w="3249"/>
            <w:vAlign w:val="center"/>
          </w:tcPr>
          <w:p>
            <w:pPr>
              <w:spacing w:line="276" w:lineRule="auto" w:before="0" w:after="0"/>
            </w:pPr>
            <w:r/>
            <w:r>
              <w:rPr>
                <w:rFonts w:ascii="Figtree" w:hAnsi="Figtree"/>
                <w:b w:val="0"/>
                <w:i w:val="0"/>
                <w:sz w:val="20"/>
              </w:rPr>
              <w:t>Settlement efficiency</w:t>
            </w:r>
          </w:p>
        </w:tc>
        <w:tc>
          <w:tcPr>
            <w:tcW w:type="dxa" w:w="3249"/>
            <w:vAlign w:val="center"/>
          </w:tcPr>
          <w:p>
            <w:pPr>
              <w:spacing w:line="276" w:lineRule="auto" w:before="0" w:after="0"/>
            </w:pPr>
            <w:r/>
            <w:r>
              <w:rPr>
                <w:rFonts w:ascii="Figtree" w:hAnsi="Figtree"/>
                <w:b w:val="0"/>
                <w:i w:val="0"/>
                <w:sz w:val="20"/>
              </w:rPr>
              <w:t>T+0 finality reduces overnight float cost and correspondent banking fees</w:t>
            </w:r>
          </w:p>
        </w:tc>
        <w:tc>
          <w:tcPr>
            <w:tcW w:type="dxa" w:w="3249"/>
            <w:vAlign w:val="center"/>
          </w:tcPr>
          <w:p>
            <w:pPr>
              <w:spacing w:line="276" w:lineRule="auto" w:before="0" w:after="0"/>
            </w:pPr>
            <w:r/>
            <w:r>
              <w:rPr>
                <w:rFonts w:ascii="Figtree" w:hAnsi="Figtree"/>
                <w:b w:val="0"/>
                <w:i w:val="0"/>
                <w:sz w:val="20"/>
              </w:rPr>
              <w:t>Quantified against Airwallex's current corridor settlement costs — [CLIENT-SPECIFIC after workshop]</w:t>
            </w:r>
          </w:p>
        </w:tc>
      </w:tr>
      <w:tr>
        <w:trPr>
          <w:trHeight w:val="425" w:hRule="atLeast"/>
        </w:trPr>
        <w:tc>
          <w:tcPr>
            <w:tcW w:type="dxa" w:w="3249"/>
            <w:vAlign w:val="center"/>
          </w:tcPr>
          <w:p>
            <w:pPr>
              <w:spacing w:line="276" w:lineRule="auto" w:before="0" w:after="0"/>
            </w:pPr>
            <w:r/>
            <w:r>
              <w:rPr>
                <w:rFonts w:ascii="Figtree" w:hAnsi="Figtree"/>
                <w:b w:val="0"/>
                <w:i w:val="0"/>
                <w:sz w:val="20"/>
              </w:rPr>
              <w:t>Operations staffing</w:t>
            </w:r>
          </w:p>
        </w:tc>
        <w:tc>
          <w:tcPr>
            <w:tcW w:type="dxa" w:w="3249"/>
            <w:vAlign w:val="center"/>
          </w:tcPr>
          <w:p>
            <w:pPr>
              <w:spacing w:line="276" w:lineRule="auto" w:before="0" w:after="0"/>
            </w:pPr>
            <w:r/>
            <w:r>
              <w:rPr>
                <w:rFonts w:ascii="Figtree" w:hAnsi="Figtree"/>
                <w:b w:val="0"/>
                <w:i w:val="0"/>
                <w:sz w:val="20"/>
              </w:rPr>
              <w:t>Automated reconciliation reduces manual reconciliation and break resolution effort</w:t>
            </w:r>
          </w:p>
        </w:tc>
        <w:tc>
          <w:tcPr>
            <w:tcW w:type="dxa" w:w="3249"/>
            <w:vAlign w:val="center"/>
          </w:tcPr>
          <w:p>
            <w:pPr>
              <w:spacing w:line="276" w:lineRule="auto" w:before="0" w:after="0"/>
            </w:pPr>
            <w:r/>
            <w:r>
              <w:rPr>
                <w:rFonts w:ascii="Figtree" w:hAnsi="Figtree"/>
                <w:b w:val="0"/>
                <w:i w:val="0"/>
                <w:sz w:val="20"/>
              </w:rPr>
              <w:t>Estimated 40-60% reduction in manual reconciliation time for covered settlement volume — [CLIENT-SPECIFIC after workshop]</w:t>
            </w:r>
          </w:p>
        </w:tc>
      </w:tr>
      <w:tr>
        <w:trPr>
          <w:trHeight w:val="425" w:hRule="atLeast"/>
        </w:trPr>
        <w:tc>
          <w:tcPr>
            <w:tcW w:type="dxa" w:w="3249"/>
            <w:vAlign w:val="center"/>
          </w:tcPr>
          <w:p>
            <w:pPr>
              <w:spacing w:line="276" w:lineRule="auto" w:before="0" w:after="0"/>
            </w:pPr>
            <w:r/>
            <w:r>
              <w:rPr>
                <w:rFonts w:ascii="Figtree" w:hAnsi="Figtree"/>
                <w:b w:val="0"/>
                <w:i w:val="0"/>
                <w:sz w:val="20"/>
              </w:rPr>
              <w:t>Compliance audit preparation</w:t>
            </w:r>
          </w:p>
        </w:tc>
        <w:tc>
          <w:tcPr>
            <w:tcW w:type="dxa" w:w="3249"/>
            <w:vAlign w:val="center"/>
          </w:tcPr>
          <w:p>
            <w:pPr>
              <w:spacing w:line="276" w:lineRule="auto" w:before="0" w:after="0"/>
            </w:pPr>
            <w:r/>
            <w:r>
              <w:rPr>
                <w:rFonts w:ascii="Figtree" w:hAnsi="Figtree"/>
                <w:b w:val="0"/>
                <w:i w:val="0"/>
                <w:sz w:val="20"/>
              </w:rPr>
              <w:t>Automated evidence generation eliminates ad-hoc evidence assembly for MAS and internal audit</w:t>
            </w:r>
          </w:p>
        </w:tc>
        <w:tc>
          <w:tcPr>
            <w:tcW w:type="dxa" w:w="3249"/>
            <w:vAlign w:val="center"/>
          </w:tcPr>
          <w:p>
            <w:pPr>
              <w:spacing w:line="276" w:lineRule="auto" w:before="0" w:after="0"/>
            </w:pPr>
            <w:r/>
            <w:r>
              <w:rPr>
                <w:rFonts w:ascii="Figtree" w:hAnsi="Figtree"/>
                <w:b w:val="0"/>
                <w:i w:val="0"/>
                <w:sz w:val="20"/>
              </w:rPr>
              <w:t>Estimated 30-50% reduction in compliance team hours for audit preparation cycles — [CLIENT-SPECIFIC after workshop]</w:t>
            </w:r>
          </w:p>
        </w:tc>
      </w:tr>
      <w:tr>
        <w:trPr>
          <w:trHeight w:val="425" w:hRule="atLeast"/>
        </w:trPr>
        <w:tc>
          <w:tcPr>
            <w:tcW w:type="dxa" w:w="3249"/>
            <w:vAlign w:val="center"/>
          </w:tcPr>
          <w:p>
            <w:pPr>
              <w:spacing w:line="276" w:lineRule="auto" w:before="0" w:after="0"/>
            </w:pPr>
            <w:r/>
            <w:r>
              <w:rPr>
                <w:rFonts w:ascii="Figtree" w:hAnsi="Figtree"/>
                <w:b w:val="0"/>
                <w:i w:val="0"/>
                <w:sz w:val="20"/>
              </w:rPr>
              <w:t>Corridor expansion</w:t>
            </w:r>
          </w:p>
        </w:tc>
        <w:tc>
          <w:tcPr>
            <w:tcW w:type="dxa" w:w="3249"/>
            <w:vAlign w:val="center"/>
          </w:tcPr>
          <w:p>
            <w:pPr>
              <w:spacing w:line="276" w:lineRule="auto" w:before="0" w:after="0"/>
            </w:pPr>
            <w:r/>
            <w:r>
              <w:rPr>
                <w:rFonts w:ascii="Figtree" w:hAnsi="Figtree"/>
                <w:b w:val="0"/>
                <w:i w:val="0"/>
                <w:sz w:val="20"/>
              </w:rPr>
              <w:t>New corridor activation from months to weeks through configuration</w:t>
            </w:r>
          </w:p>
        </w:tc>
        <w:tc>
          <w:tcPr>
            <w:tcW w:type="dxa" w:w="3249"/>
            <w:vAlign w:val="center"/>
          </w:tcPr>
          <w:p>
            <w:pPr>
              <w:spacing w:line="276" w:lineRule="auto" w:before="0" w:after="0"/>
            </w:pPr>
            <w:r/>
            <w:r>
              <w:rPr>
                <w:rFonts w:ascii="Figtree" w:hAnsi="Figtree"/>
                <w:b w:val="0"/>
                <w:i w:val="0"/>
                <w:sz w:val="20"/>
              </w:rPr>
              <w:t>Accelerated revenue from new markets; reduced engineering headcount for corridor expansion</w:t>
            </w:r>
          </w:p>
        </w:tc>
      </w:tr>
      <w:tr>
        <w:trPr>
          <w:trHeight w:val="425" w:hRule="atLeast"/>
        </w:trPr>
        <w:tc>
          <w:tcPr>
            <w:tcW w:type="dxa" w:w="3249"/>
            <w:vAlign w:val="center"/>
          </w:tcPr>
          <w:p>
            <w:pPr>
              <w:spacing w:line="276" w:lineRule="auto" w:before="0" w:after="0"/>
            </w:pPr>
            <w:r/>
            <w:r>
              <w:rPr>
                <w:rFonts w:ascii="Figtree" w:hAnsi="Figtree"/>
                <w:b w:val="0"/>
                <w:i w:val="0"/>
                <w:sz w:val="20"/>
              </w:rPr>
              <w:t>Risk reduction</w:t>
            </w:r>
          </w:p>
        </w:tc>
        <w:tc>
          <w:tcPr>
            <w:tcW w:type="dxa" w:w="3249"/>
            <w:vAlign w:val="center"/>
          </w:tcPr>
          <w:p>
            <w:pPr>
              <w:spacing w:line="276" w:lineRule="auto" w:before="0" w:after="0"/>
            </w:pPr>
            <w:r/>
            <w:r>
              <w:rPr>
                <w:rFonts w:ascii="Figtree" w:hAnsi="Figtree"/>
                <w:b w:val="0"/>
                <w:i w:val="0"/>
                <w:sz w:val="20"/>
              </w:rPr>
              <w:t>Programmatic compliance enforcement at smart contract level eliminates manual control bypass risk</w:t>
            </w:r>
          </w:p>
        </w:tc>
        <w:tc>
          <w:tcPr>
            <w:tcW w:type="dxa" w:w="3249"/>
            <w:vAlign w:val="center"/>
          </w:tcPr>
          <w:p>
            <w:pPr>
              <w:spacing w:line="276" w:lineRule="auto" w:before="0" w:after="0"/>
            </w:pPr>
            <w:r/>
            <w:r>
              <w:rPr>
                <w:rFonts w:ascii="Figtree" w:hAnsi="Figtree"/>
                <w:b w:val="0"/>
                <w:i w:val="0"/>
                <w:sz w:val="20"/>
              </w:rPr>
              <w:t>Reduction in compliance incident probability; quantified as risk-adjusted expected cost — [CLIENT-SPECIFIC after workshop]</w:t>
            </w:r>
          </w:p>
        </w:tc>
      </w:tr>
    </w:tbl>
    <w:p>
      <w:pPr>
        <w:spacing w:before="0" w:after="0" w:line="120" w:lineRule="exact"/>
      </w:pPr>
    </w:p>
    <w:p>
      <w:r>
        <w:rPr>
          <w:rFonts w:ascii="Figtree" w:hAnsi="Figtree"/>
          <w:b w:val="0"/>
          <w:i w:val="0"/>
          <w:sz w:val="22"/>
        </w:rPr>
        <w:t>The specific quantification of these value drivers against Airwallex's current operating costs will be completed during the Phase 1 discovery workshop, using Airwallex's actual cost data for the most relevant settlement corridors and compliance processes.</w:t>
      </w:r>
    </w:p>
    <w:p>
      <w:pPr>
        <w:pStyle w:val="H3"/>
        <w:numPr>
          <w:ilvl w:val="2"/>
          <w:numId w:val="1"/>
        </w:numPr>
      </w:pPr>
      <w:r>
        <w:t>2.3 Buy versus Build Analysis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124"/>
        <w:gridCol w:w="3644"/>
        <w:gridCol w:w="4303"/>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Dimension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Build Approach</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Platform</w:t>
            </w:r>
          </w:p>
        </w:tc>
      </w:tr>
      <w:tr>
        <w:trPr>
          <w:trHeight w:val="425" w:hRule="atLeast"/>
        </w:trPr>
        <w:tc>
          <w:tcPr>
            <w:tcW w:type="dxa" w:w="3249"/>
            <w:vAlign w:val="center"/>
          </w:tcPr>
          <w:p>
            <w:pPr>
              <w:spacing w:line="276" w:lineRule="auto" w:before="0" w:after="0"/>
            </w:pPr>
            <w:r/>
            <w:r>
              <w:rPr>
                <w:rFonts w:ascii="Figtree" w:hAnsi="Figtree"/>
                <w:b w:val="0"/>
                <w:i w:val="0"/>
                <w:sz w:val="20"/>
              </w:rPr>
              <w:t>Time to controlled production</w:t>
            </w:r>
          </w:p>
        </w:tc>
        <w:tc>
          <w:tcPr>
            <w:tcW w:type="dxa" w:w="3249"/>
            <w:vAlign w:val="center"/>
          </w:tcPr>
          <w:p>
            <w:pPr>
              <w:spacing w:line="276" w:lineRule="auto" w:before="0" w:after="0"/>
            </w:pPr>
            <w:r/>
            <w:r>
              <w:rPr>
                <w:rFonts w:ascii="Figtree" w:hAnsi="Figtree"/>
                <w:b w:val="0"/>
                <w:i w:val="0"/>
                <w:sz w:val="20"/>
              </w:rPr>
              <w:t>18-36 months for regulated-grade smart contract platform with institutional controls</w:t>
            </w:r>
          </w:p>
        </w:tc>
        <w:tc>
          <w:tcPr>
            <w:tcW w:type="dxa" w:w="3249"/>
            <w:vAlign w:val="center"/>
          </w:tcPr>
          <w:p>
            <w:pPr>
              <w:spacing w:line="276" w:lineRule="auto" w:before="0" w:after="0"/>
            </w:pPr>
            <w:r/>
            <w:r>
              <w:rPr>
                <w:rFonts w:ascii="Figtree" w:hAnsi="Figtree"/>
                <w:b w:val="0"/>
                <w:i w:val="0"/>
                <w:sz w:val="20"/>
              </w:rPr>
              <w:t>19 weeks to production under standard implementation methodology</w:t>
            </w:r>
          </w:p>
        </w:tc>
      </w:tr>
      <w:tr>
        <w:trPr>
          <w:trHeight w:val="425" w:hRule="atLeast"/>
        </w:trPr>
        <w:tc>
          <w:tcPr>
            <w:tcW w:type="dxa" w:w="3249"/>
            <w:vAlign w:val="center"/>
          </w:tcPr>
          <w:p>
            <w:pPr>
              <w:spacing w:line="276" w:lineRule="auto" w:before="0" w:after="0"/>
            </w:pPr>
            <w:r/>
            <w:r>
              <w:rPr>
                <w:rFonts w:ascii="Figtree" w:hAnsi="Figtree"/>
                <w:b w:val="0"/>
                <w:i w:val="0"/>
                <w:sz w:val="20"/>
              </w:rPr>
              <w:t>Smart contract audit costs</w:t>
            </w:r>
          </w:p>
        </w:tc>
        <w:tc>
          <w:tcPr>
            <w:tcW w:type="dxa" w:w="3249"/>
            <w:vAlign w:val="center"/>
          </w:tcPr>
          <w:p>
            <w:pPr>
              <w:spacing w:line="276" w:lineRule="auto" w:before="0" w:after="0"/>
            </w:pPr>
            <w:r/>
            <w:r>
              <w:rPr>
                <w:rFonts w:ascii="Figtree" w:hAnsi="Figtree"/>
                <w:b w:val="0"/>
                <w:i w:val="0"/>
                <w:sz w:val="20"/>
              </w:rPr>
              <w:t>USD 200,000-500,000 per contract suite; annual re-audit on changes</w:t>
            </w:r>
          </w:p>
        </w:tc>
        <w:tc>
          <w:tcPr>
            <w:tcW w:type="dxa" w:w="3249"/>
            <w:vAlign w:val="center"/>
          </w:tcPr>
          <w:p>
            <w:pPr>
              <w:spacing w:line="276" w:lineRule="auto" w:before="0" w:after="0"/>
            </w:pPr>
            <w:r/>
            <w:r>
              <w:rPr>
                <w:rFonts w:ascii="Figtree" w:hAnsi="Figtree"/>
                <w:b w:val="0"/>
                <w:i w:val="0"/>
                <w:sz w:val="20"/>
              </w:rPr>
              <w:t>Included in SettleMint's platform; audited before production deployment</w:t>
            </w:r>
          </w:p>
        </w:tc>
      </w:tr>
      <w:tr>
        <w:trPr>
          <w:trHeight w:val="425" w:hRule="atLeast"/>
        </w:trPr>
        <w:tc>
          <w:tcPr>
            <w:tcW w:type="dxa" w:w="3249"/>
            <w:vAlign w:val="center"/>
          </w:tcPr>
          <w:p>
            <w:pPr>
              <w:spacing w:line="276" w:lineRule="auto" w:before="0" w:after="0"/>
            </w:pPr>
            <w:r/>
            <w:r>
              <w:rPr>
                <w:rFonts w:ascii="Figtree" w:hAnsi="Figtree"/>
                <w:b w:val="0"/>
                <w:i w:val="0"/>
                <w:sz w:val="20"/>
              </w:rPr>
              <w:t>Security certifications</w:t>
            </w:r>
          </w:p>
        </w:tc>
        <w:tc>
          <w:tcPr>
            <w:tcW w:type="dxa" w:w="3249"/>
            <w:vAlign w:val="center"/>
          </w:tcPr>
          <w:p>
            <w:pPr>
              <w:spacing w:line="276" w:lineRule="auto" w:before="0" w:after="0"/>
            </w:pPr>
            <w:r/>
            <w:r>
              <w:rPr>
                <w:rFonts w:ascii="Figtree" w:hAnsi="Figtree"/>
                <w:b w:val="0"/>
                <w:i w:val="0"/>
                <w:sz w:val="20"/>
              </w:rPr>
              <w:t>ISO 27001 and SOC 2 Type II: 12-18 months and USD 150,000-300,000</w:t>
            </w:r>
          </w:p>
        </w:tc>
        <w:tc>
          <w:tcPr>
            <w:tcW w:type="dxa" w:w="3249"/>
            <w:vAlign w:val="center"/>
          </w:tcPr>
          <w:p>
            <w:pPr>
              <w:spacing w:line="276" w:lineRule="auto" w:before="0" w:after="0"/>
            </w:pPr>
            <w:r/>
            <w:r>
              <w:rPr>
                <w:rFonts w:ascii="Figtree" w:hAnsi="Figtree"/>
                <w:b w:val="0"/>
                <w:i w:val="0"/>
                <w:sz w:val="20"/>
              </w:rPr>
              <w:t>Included: SettleMint holds both certifications</w:t>
            </w:r>
          </w:p>
        </w:tc>
      </w:tr>
      <w:tr>
        <w:trPr>
          <w:trHeight w:val="425" w:hRule="atLeast"/>
        </w:trPr>
        <w:tc>
          <w:tcPr>
            <w:tcW w:type="dxa" w:w="3249"/>
            <w:vAlign w:val="center"/>
          </w:tcPr>
          <w:p>
            <w:pPr>
              <w:spacing w:line="276" w:lineRule="auto" w:before="0" w:after="0"/>
            </w:pPr>
            <w:r/>
            <w:r>
              <w:rPr>
                <w:rFonts w:ascii="Figtree" w:hAnsi="Figtree"/>
                <w:b w:val="0"/>
                <w:i w:val="0"/>
                <w:sz w:val="20"/>
              </w:rPr>
              <w:t>Compliance module development</w:t>
            </w:r>
          </w:p>
        </w:tc>
        <w:tc>
          <w:tcPr>
            <w:tcW w:type="dxa" w:w="3249"/>
            <w:vAlign w:val="center"/>
          </w:tcPr>
          <w:p>
            <w:pPr>
              <w:spacing w:line="276" w:lineRule="auto" w:before="0" w:after="0"/>
            </w:pPr>
            <w:r/>
            <w:r>
              <w:rPr>
                <w:rFonts w:ascii="Figtree" w:hAnsi="Figtree"/>
                <w:b w:val="0"/>
                <w:i w:val="0"/>
                <w:sz w:val="20"/>
              </w:rPr>
              <w:t>Custom development for each regulatory jurisdiction; ongoing maintenance as rules change</w:t>
            </w:r>
          </w:p>
        </w:tc>
        <w:tc>
          <w:tcPr>
            <w:tcW w:type="dxa" w:w="3249"/>
            <w:vAlign w:val="center"/>
          </w:tcPr>
          <w:p>
            <w:pPr>
              <w:spacing w:line="276" w:lineRule="auto" w:before="0" w:after="0"/>
            </w:pPr>
            <w:r/>
            <w:r>
              <w:rPr>
                <w:rFonts w:ascii="Figtree" w:hAnsi="Figtree"/>
                <w:b w:val="0"/>
                <w:i w:val="0"/>
                <w:sz w:val="20"/>
              </w:rPr>
              <w:t>Pre-built module library covering MAS, MiCA, FCA, JFSA, and other frameworks; configurable without code changes</w:t>
            </w:r>
          </w:p>
        </w:tc>
      </w:tr>
      <w:tr>
        <w:trPr>
          <w:trHeight w:val="425" w:hRule="atLeast"/>
        </w:trPr>
        <w:tc>
          <w:tcPr>
            <w:tcW w:type="dxa" w:w="3249"/>
            <w:vAlign w:val="center"/>
          </w:tcPr>
          <w:p>
            <w:pPr>
              <w:spacing w:line="276" w:lineRule="auto" w:before="0" w:after="0"/>
            </w:pPr>
            <w:r/>
            <w:r>
              <w:rPr>
                <w:rFonts w:ascii="Figtree" w:hAnsi="Figtree"/>
                <w:b w:val="0"/>
                <w:i w:val="0"/>
                <w:sz w:val="20"/>
              </w:rPr>
              <w:t>Operational tooling</w:t>
            </w:r>
          </w:p>
        </w:tc>
        <w:tc>
          <w:tcPr>
            <w:tcW w:type="dxa" w:w="3249"/>
            <w:vAlign w:val="center"/>
          </w:tcPr>
          <w:p>
            <w:pPr>
              <w:spacing w:line="276" w:lineRule="auto" w:before="0" w:after="0"/>
            </w:pPr>
            <w:r/>
            <w:r>
              <w:rPr>
                <w:rFonts w:ascii="Figtree" w:hAnsi="Figtree"/>
                <w:b w:val="0"/>
                <w:i w:val="0"/>
                <w:sz w:val="20"/>
              </w:rPr>
              <w:t>Custom observability, case management, and audit export development</w:t>
            </w:r>
          </w:p>
        </w:tc>
        <w:tc>
          <w:tcPr>
            <w:tcW w:type="dxa" w:w="3249"/>
            <w:vAlign w:val="center"/>
          </w:tcPr>
          <w:p>
            <w:pPr>
              <w:spacing w:line="276" w:lineRule="auto" w:before="0" w:after="0"/>
            </w:pPr>
            <w:r/>
            <w:r>
              <w:rPr>
                <w:rFonts w:ascii="Figtree" w:hAnsi="Figtree"/>
                <w:b w:val="0"/>
                <w:i w:val="0"/>
                <w:sz w:val="20"/>
              </w:rPr>
              <w:t>Included: Grafana stack, Asset Console, structured audit export</w:t>
            </w:r>
          </w:p>
        </w:tc>
      </w:tr>
      <w:tr>
        <w:trPr>
          <w:trHeight w:val="425" w:hRule="atLeast"/>
        </w:trPr>
        <w:tc>
          <w:tcPr>
            <w:tcW w:type="dxa" w:w="3249"/>
            <w:vAlign w:val="center"/>
          </w:tcPr>
          <w:p>
            <w:pPr>
              <w:spacing w:line="276" w:lineRule="auto" w:before="0" w:after="0"/>
            </w:pPr>
            <w:r/>
            <w:r>
              <w:rPr>
                <w:rFonts w:ascii="Figtree" w:hAnsi="Figtree"/>
                <w:b w:val="0"/>
                <w:i w:val="0"/>
                <w:sz w:val="20"/>
              </w:rPr>
              <w:t>Ongoing maintenance</w:t>
            </w:r>
          </w:p>
        </w:tc>
        <w:tc>
          <w:tcPr>
            <w:tcW w:type="dxa" w:w="3249"/>
            <w:vAlign w:val="center"/>
          </w:tcPr>
          <w:p>
            <w:pPr>
              <w:spacing w:line="276" w:lineRule="auto" w:before="0" w:after="0"/>
            </w:pPr>
            <w:r/>
            <w:r>
              <w:rPr>
                <w:rFonts w:ascii="Figtree" w:hAnsi="Figtree"/>
                <w:b w:val="0"/>
                <w:i w:val="0"/>
                <w:sz w:val="20"/>
              </w:rPr>
              <w:t>Dedicated engineering team for platform maintenance, security patching, and regulatory updates</w:t>
            </w:r>
          </w:p>
        </w:tc>
        <w:tc>
          <w:tcPr>
            <w:tcW w:type="dxa" w:w="3249"/>
            <w:vAlign w:val="center"/>
          </w:tcPr>
          <w:p>
            <w:pPr>
              <w:spacing w:line="276" w:lineRule="auto" w:before="0" w:after="0"/>
            </w:pPr>
            <w:r/>
            <w:r>
              <w:rPr>
                <w:rFonts w:ascii="Figtree" w:hAnsi="Figtree"/>
                <w:b w:val="0"/>
                <w:i w:val="0"/>
                <w:sz w:val="20"/>
              </w:rPr>
              <w:t>Covered by SettleMint under license; Airwallex engineering team not required for platform maintenance</w:t>
            </w:r>
          </w:p>
        </w:tc>
      </w:tr>
    </w:tbl>
    <w:p>
      <w:pPr>
        <w:spacing w:before="0" w:after="0" w:line="120" w:lineRule="exact"/>
      </w:pPr>
    </w:p>
    <w:p>
      <w:r>
        <w:rPr>
          <w:rFonts w:ascii="Figtree" w:hAnsi="Figtree"/>
          <w:b w:val="0"/>
          <w:i w:val="0"/>
          <w:sz w:val="22"/>
        </w:rPr>
        <w:t>The total cost of building and operating a comparable regulated digital asset settlement platform from scratch over a five-year horizon is estimated at EUR 4-8 million, excluding regulatory risk from build quality and timeline uncertainty. DALP's five-year total cost of ownership, including licensing, implementation, and support, is substantially lower and eliminates the execution risk of a custom build programme.</w:t>
      </w:r>
    </w:p>
    <w:p>
      <w:pPr>
        <w:pStyle w:val="H3"/>
        <w:numPr>
          <w:ilvl w:val="2"/>
          <w:numId w:val="1"/>
        </w:numPr>
      </w:pPr>
      <w:r>
        <w:t>2.4 Buy versus Assemble Analysis</w:t>
      </w:r>
    </w:p>
    <w:p>
      <w:r>
        <w:rPr>
          <w:rFonts w:ascii="Figtree" w:hAnsi="Figtree"/>
          <w:b w:val="0"/>
          <w:i w:val="0"/>
          <w:sz w:val="22"/>
        </w:rPr>
        <w:t>An alternative to DALP is assembling a settlement capability from point solutions: a custody provider for key management, a smart contract development firm for token contracts, a compliance engine vendor for transfer rules, and custom integration work to bind them together. This approach has the following cost and risk profile: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92"/>
        <w:gridCol w:w="2016"/>
        <w:gridCol w:w="446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Typical Cost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Risk Profile</w:t>
            </w:r>
          </w:p>
        </w:tc>
      </w:tr>
      <w:tr>
        <w:trPr>
          <w:trHeight w:val="425" w:hRule="atLeast"/>
        </w:trPr>
        <w:tc>
          <w:tcPr>
            <w:tcW w:type="dxa" w:w="3249"/>
            <w:vAlign w:val="center"/>
          </w:tcPr>
          <w:p>
            <w:pPr>
              <w:spacing w:line="276" w:lineRule="auto" w:before="0" w:after="0"/>
            </w:pPr>
            <w:r/>
            <w:r>
              <w:rPr>
                <w:rFonts w:ascii="Figtree" w:hAnsi="Figtree"/>
                <w:b w:val="0"/>
                <w:i w:val="0"/>
                <w:sz w:val="20"/>
              </w:rPr>
              <w:t>Smart contract development and audit</w:t>
            </w:r>
          </w:p>
        </w:tc>
        <w:tc>
          <w:tcPr>
            <w:tcW w:type="dxa" w:w="3249"/>
            <w:vAlign w:val="center"/>
          </w:tcPr>
          <w:p>
            <w:pPr>
              <w:spacing w:line="276" w:lineRule="auto" w:before="0" w:after="0"/>
            </w:pPr>
            <w:r/>
            <w:r>
              <w:rPr>
                <w:rFonts w:ascii="Figtree" w:hAnsi="Figtree"/>
                <w:b w:val="0"/>
                <w:i w:val="0"/>
                <w:sz w:val="20"/>
              </w:rPr>
              <w:t>EUR 300,000-600,000</w:t>
            </w:r>
          </w:p>
        </w:tc>
        <w:tc>
          <w:tcPr>
            <w:tcW w:type="dxa" w:w="3249"/>
            <w:vAlign w:val="center"/>
          </w:tcPr>
          <w:p>
            <w:pPr>
              <w:spacing w:line="276" w:lineRule="auto" w:before="0" w:after="0"/>
            </w:pPr>
            <w:r/>
            <w:r>
              <w:rPr>
                <w:rFonts w:ascii="Figtree" w:hAnsi="Figtree"/>
                <w:b w:val="0"/>
                <w:i w:val="0"/>
                <w:sz w:val="20"/>
              </w:rPr>
              <w:t>High: custom code, custom audit, no reusability</w:t>
            </w:r>
          </w:p>
        </w:tc>
      </w:tr>
      <w:tr>
        <w:trPr>
          <w:trHeight w:val="425" w:hRule="atLeast"/>
        </w:trPr>
        <w:tc>
          <w:tcPr>
            <w:tcW w:type="dxa" w:w="3249"/>
            <w:vAlign w:val="center"/>
          </w:tcPr>
          <w:p>
            <w:pPr>
              <w:spacing w:line="276" w:lineRule="auto" w:before="0" w:after="0"/>
            </w:pPr>
            <w:r/>
            <w:r>
              <w:rPr>
                <w:rFonts w:ascii="Figtree" w:hAnsi="Figtree"/>
                <w:b w:val="0"/>
                <w:i w:val="0"/>
                <w:sz w:val="20"/>
              </w:rPr>
              <w:t>Custody integration</w:t>
            </w:r>
          </w:p>
        </w:tc>
        <w:tc>
          <w:tcPr>
            <w:tcW w:type="dxa" w:w="3249"/>
            <w:vAlign w:val="center"/>
          </w:tcPr>
          <w:p>
            <w:pPr>
              <w:spacing w:line="276" w:lineRule="auto" w:before="0" w:after="0"/>
            </w:pPr>
            <w:r/>
            <w:r>
              <w:rPr>
                <w:rFonts w:ascii="Figtree" w:hAnsi="Figtree"/>
                <w:b w:val="0"/>
                <w:i w:val="0"/>
                <w:sz w:val="20"/>
              </w:rPr>
              <w:t>EUR 50,000-150,000</w:t>
            </w:r>
          </w:p>
        </w:tc>
        <w:tc>
          <w:tcPr>
            <w:tcW w:type="dxa" w:w="3249"/>
            <w:vAlign w:val="center"/>
          </w:tcPr>
          <w:p>
            <w:pPr>
              <w:spacing w:line="276" w:lineRule="auto" w:before="0" w:after="0"/>
            </w:pPr>
            <w:r/>
            <w:r>
              <w:rPr>
                <w:rFonts w:ascii="Figtree" w:hAnsi="Figtree"/>
                <w:b w:val="0"/>
                <w:i w:val="0"/>
                <w:sz w:val="20"/>
              </w:rPr>
              <w:t>Medium: established vendors, integration complexity</w:t>
            </w:r>
          </w:p>
        </w:tc>
      </w:tr>
      <w:tr>
        <w:trPr>
          <w:trHeight w:val="425" w:hRule="atLeast"/>
        </w:trPr>
        <w:tc>
          <w:tcPr>
            <w:tcW w:type="dxa" w:w="3249"/>
            <w:vAlign w:val="center"/>
          </w:tcPr>
          <w:p>
            <w:pPr>
              <w:spacing w:line="276" w:lineRule="auto" w:before="0" w:after="0"/>
            </w:pPr>
            <w:r/>
            <w:r>
              <w:rPr>
                <w:rFonts w:ascii="Figtree" w:hAnsi="Figtree"/>
                <w:b w:val="0"/>
                <w:i w:val="0"/>
                <w:sz w:val="20"/>
              </w:rPr>
              <w:t>Compliance engine licensing</w:t>
            </w:r>
          </w:p>
        </w:tc>
        <w:tc>
          <w:tcPr>
            <w:tcW w:type="dxa" w:w="3249"/>
            <w:vAlign w:val="center"/>
          </w:tcPr>
          <w:p>
            <w:pPr>
              <w:spacing w:line="276" w:lineRule="auto" w:before="0" w:after="0"/>
            </w:pPr>
            <w:r/>
            <w:r>
              <w:rPr>
                <w:rFonts w:ascii="Figtree" w:hAnsi="Figtree"/>
                <w:b w:val="0"/>
                <w:i w:val="0"/>
                <w:sz w:val="20"/>
              </w:rPr>
              <w:t>EUR 100,000-300,000 per year</w:t>
            </w:r>
          </w:p>
        </w:tc>
        <w:tc>
          <w:tcPr>
            <w:tcW w:type="dxa" w:w="3249"/>
            <w:vAlign w:val="center"/>
          </w:tcPr>
          <w:p>
            <w:pPr>
              <w:spacing w:line="276" w:lineRule="auto" w:before="0" w:after="0"/>
            </w:pPr>
            <w:r/>
            <w:r>
              <w:rPr>
                <w:rFonts w:ascii="Figtree" w:hAnsi="Figtree"/>
                <w:b w:val="0"/>
                <w:i w:val="0"/>
                <w:sz w:val="20"/>
              </w:rPr>
              <w:t>Medium: ongoing licensing, integration maintenance</w:t>
            </w:r>
          </w:p>
        </w:tc>
      </w:tr>
      <w:tr>
        <w:trPr>
          <w:trHeight w:val="425" w:hRule="atLeast"/>
        </w:trPr>
        <w:tc>
          <w:tcPr>
            <w:tcW w:type="dxa" w:w="3249"/>
            <w:vAlign w:val="center"/>
          </w:tcPr>
          <w:p>
            <w:pPr>
              <w:spacing w:line="276" w:lineRule="auto" w:before="0" w:after="0"/>
            </w:pPr>
            <w:r/>
            <w:r>
              <w:rPr>
                <w:rFonts w:ascii="Figtree" w:hAnsi="Figtree"/>
                <w:b w:val="0"/>
                <w:i w:val="0"/>
                <w:sz w:val="20"/>
              </w:rPr>
              <w:t>Custom integration development</w:t>
            </w:r>
          </w:p>
        </w:tc>
        <w:tc>
          <w:tcPr>
            <w:tcW w:type="dxa" w:w="3249"/>
            <w:vAlign w:val="center"/>
          </w:tcPr>
          <w:p>
            <w:pPr>
              <w:spacing w:line="276" w:lineRule="auto" w:before="0" w:after="0"/>
            </w:pPr>
            <w:r/>
            <w:r>
              <w:rPr>
                <w:rFonts w:ascii="Figtree" w:hAnsi="Figtree"/>
                <w:b w:val="0"/>
                <w:i w:val="0"/>
                <w:sz w:val="20"/>
              </w:rPr>
              <w:t>EUR 200,000-500,000</w:t>
            </w:r>
          </w:p>
        </w:tc>
        <w:tc>
          <w:tcPr>
            <w:tcW w:type="dxa" w:w="3249"/>
            <w:vAlign w:val="center"/>
          </w:tcPr>
          <w:p>
            <w:pPr>
              <w:spacing w:line="276" w:lineRule="auto" w:before="0" w:after="0"/>
            </w:pPr>
            <w:r/>
            <w:r>
              <w:rPr>
                <w:rFonts w:ascii="Figtree" w:hAnsi="Figtree"/>
                <w:b w:val="0"/>
                <w:i w:val="0"/>
                <w:sz w:val="20"/>
              </w:rPr>
              <w:t>High: bespoke, no vendor support</w:t>
            </w:r>
          </w:p>
        </w:tc>
      </w:tr>
      <w:tr>
        <w:trPr>
          <w:trHeight w:val="425" w:hRule="atLeast"/>
        </w:trPr>
        <w:tc>
          <w:tcPr>
            <w:tcW w:type="dxa" w:w="3249"/>
            <w:vAlign w:val="center"/>
          </w:tcPr>
          <w:p>
            <w:pPr>
              <w:spacing w:line="276" w:lineRule="auto" w:before="0" w:after="0"/>
            </w:pPr>
            <w:r/>
            <w:r>
              <w:rPr>
                <w:rFonts w:ascii="Figtree" w:hAnsi="Figtree"/>
                <w:b w:val="0"/>
                <w:i w:val="0"/>
                <w:sz w:val="20"/>
              </w:rPr>
              <w:t>Reconciliation and reporting tooling</w:t>
            </w:r>
          </w:p>
        </w:tc>
        <w:tc>
          <w:tcPr>
            <w:tcW w:type="dxa" w:w="3249"/>
            <w:vAlign w:val="center"/>
          </w:tcPr>
          <w:p>
            <w:pPr>
              <w:spacing w:line="276" w:lineRule="auto" w:before="0" w:after="0"/>
            </w:pPr>
            <w:r/>
            <w:r>
              <w:rPr>
                <w:rFonts w:ascii="Figtree" w:hAnsi="Figtree"/>
                <w:b w:val="0"/>
                <w:i w:val="0"/>
                <w:sz w:val="20"/>
              </w:rPr>
              <w:t>EUR 100,000-300,000</w:t>
            </w:r>
          </w:p>
        </w:tc>
        <w:tc>
          <w:tcPr>
            <w:tcW w:type="dxa" w:w="3249"/>
            <w:vAlign w:val="center"/>
          </w:tcPr>
          <w:p>
            <w:pPr>
              <w:spacing w:line="276" w:lineRule="auto" w:before="0" w:after="0"/>
            </w:pPr>
            <w:r/>
            <w:r>
              <w:rPr>
                <w:rFonts w:ascii="Figtree" w:hAnsi="Figtree"/>
                <w:b w:val="0"/>
                <w:i w:val="0"/>
                <w:sz w:val="20"/>
              </w:rPr>
              <w:t>Medium: custom development or BI platform licensing</w:t>
            </w:r>
          </w:p>
        </w:tc>
      </w:tr>
      <w:tr>
        <w:trPr>
          <w:trHeight w:val="425" w:hRule="atLeast"/>
        </w:trPr>
        <w:tc>
          <w:tcPr>
            <w:tcW w:type="dxa" w:w="3249"/>
            <w:vAlign w:val="center"/>
          </w:tcPr>
          <w:p>
            <w:pPr>
              <w:spacing w:line="276" w:lineRule="auto" w:before="0" w:after="0"/>
            </w:pPr>
            <w:r/>
            <w:r>
              <w:rPr>
                <w:rFonts w:ascii="Figtree" w:hAnsi="Figtree"/>
                <w:b w:val="0"/>
                <w:i w:val="0"/>
                <w:sz w:val="20"/>
              </w:rPr>
              <w:t>Ongoing maintenance</w:t>
            </w:r>
          </w:p>
        </w:tc>
        <w:tc>
          <w:tcPr>
            <w:tcW w:type="dxa" w:w="3249"/>
            <w:vAlign w:val="center"/>
          </w:tcPr>
          <w:p>
            <w:pPr>
              <w:spacing w:line="276" w:lineRule="auto" w:before="0" w:after="0"/>
            </w:pPr>
            <w:r/>
            <w:r>
              <w:rPr>
                <w:rFonts w:ascii="Figtree" w:hAnsi="Figtree"/>
                <w:b w:val="0"/>
                <w:i w:val="0"/>
                <w:sz w:val="20"/>
              </w:rPr>
              <w:t>EUR 300,000-800,000 per year</w:t>
            </w:r>
          </w:p>
        </w:tc>
        <w:tc>
          <w:tcPr>
            <w:tcW w:type="dxa" w:w="3249"/>
            <w:vAlign w:val="center"/>
          </w:tcPr>
          <w:p>
            <w:pPr>
              <w:spacing w:line="276" w:lineRule="auto" w:before="0" w:after="0"/>
            </w:pPr>
            <w:r/>
            <w:r>
              <w:rPr>
                <w:rFonts w:ascii="Figtree" w:hAnsi="Figtree"/>
                <w:b w:val="0"/>
                <w:i w:val="0"/>
                <w:sz w:val="20"/>
              </w:rPr>
              <w:t>High: multiple vendor relationships, no single throat to choke</w:t>
            </w:r>
          </w:p>
        </w:tc>
      </w:tr>
    </w:tbl>
    <w:p>
      <w:pPr>
        <w:spacing w:before="0" w:after="0" w:line="120" w:lineRule="exact"/>
      </w:pPr>
    </w:p>
    <w:p>
      <w:r>
        <w:rPr>
          <w:rFonts w:ascii="Figtree" w:hAnsi="Figtree"/>
          <w:b w:val="0"/>
          <w:i w:val="0"/>
          <w:sz w:val="22"/>
        </w:rPr>
        <w:t>Total assembled approach: EUR 1-2 million in year one, EUR 500,000-1 million in ongoing costs. Against this profile, DALP's EUR 420,000 per year in licensing with transparent implementation costs represents a more defensible economic model, and eliminates the integration coordination burden of managing five or more vendor relationships.</w:t>
      </w:r>
    </w:p>
    <w:p>
      <w:r>
        <w:br w:type="page"/>
      </w:r>
    </w:p>
    <w:p>
      <w:pPr>
        <w:pStyle w:val="H2"/>
        <w:numPr>
          <w:ilvl w:val="1"/>
          <w:numId w:val="1"/>
        </w:numPr>
      </w:pPr>
      <w:r>
        <w:t>3. Pricing and Licensing</w:t>
      </w:r>
    </w:p>
    <w:p>
      <w:pPr>
        <w:pStyle w:val="H3"/>
        <w:numPr>
          <w:ilvl w:val="2"/>
          <w:numId w:val="1"/>
        </w:numPr>
      </w:pPr>
      <w:r>
        <w:t>3.1 Platform License Pricing</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478"/>
        <w:gridCol w:w="2296"/>
        <w:gridCol w:w="229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Environment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Monthly Equivalent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Annual Fee (Upfront)</w:t>
            </w:r>
          </w:p>
        </w:tc>
      </w:tr>
      <w:tr>
        <w:trPr>
          <w:trHeight w:val="425" w:hRule="atLeast"/>
        </w:trPr>
        <w:tc>
          <w:tcPr>
            <w:tcW w:type="dxa" w:w="3249"/>
            <w:vAlign w:val="center"/>
          </w:tcPr>
          <w:p>
            <w:pPr>
              <w:spacing w:line="276" w:lineRule="auto" w:before="0" w:after="0"/>
            </w:pPr>
            <w:r/>
            <w:r>
              <w:rPr>
                <w:rFonts w:ascii="Figtree" w:hAnsi="Figtree"/>
                <w:b w:val="0"/>
                <w:i w:val="0"/>
                <w:sz w:val="20"/>
              </w:rPr>
              <w:t>Production License</w:t>
            </w:r>
          </w:p>
        </w:tc>
        <w:tc>
          <w:tcPr>
            <w:tcW w:type="dxa" w:w="3249"/>
            <w:vAlign w:val="center"/>
          </w:tcPr>
          <w:p>
            <w:pPr>
              <w:spacing w:line="276" w:lineRule="auto" w:before="0" w:after="0"/>
            </w:pPr>
            <w:r/>
            <w:r>
              <w:rPr>
                <w:rFonts w:ascii="Figtree" w:hAnsi="Figtree"/>
                <w:b w:val="0"/>
                <w:i w:val="0"/>
                <w:sz w:val="20"/>
              </w:rPr>
              <w:t>EUR 25,000/month</w:t>
            </w:r>
          </w:p>
        </w:tc>
        <w:tc>
          <w:tcPr>
            <w:tcW w:type="dxa" w:w="3249"/>
            <w:vAlign w:val="center"/>
          </w:tcPr>
          <w:p>
            <w:pPr>
              <w:spacing w:line="276" w:lineRule="auto" w:before="0" w:after="0"/>
            </w:pPr>
            <w:r/>
            <w:r>
              <w:rPr>
                <w:rFonts w:ascii="Figtree" w:hAnsi="Figtree"/>
                <w:b w:val="0"/>
                <w:i w:val="0"/>
                <w:sz w:val="20"/>
              </w:rPr>
              <w:t>EUR 300,000/year</w:t>
            </w:r>
          </w:p>
        </w:tc>
      </w:tr>
      <w:tr>
        <w:trPr>
          <w:trHeight w:val="425" w:hRule="atLeast"/>
        </w:trPr>
        <w:tc>
          <w:tcPr>
            <w:tcW w:type="dxa" w:w="3249"/>
            <w:vAlign w:val="center"/>
          </w:tcPr>
          <w:p>
            <w:pPr>
              <w:spacing w:line="276" w:lineRule="auto" w:before="0" w:after="0"/>
            </w:pPr>
            <w:r/>
            <w:r>
              <w:rPr>
                <w:rFonts w:ascii="Figtree" w:hAnsi="Figtree"/>
                <w:b w:val="0"/>
                <w:i w:val="0"/>
                <w:sz w:val="20"/>
              </w:rPr>
              <w:t>Development License</w:t>
            </w:r>
          </w:p>
        </w:tc>
        <w:tc>
          <w:tcPr>
            <w:tcW w:type="dxa" w:w="3249"/>
            <w:vAlign w:val="center"/>
          </w:tcPr>
          <w:p>
            <w:pPr>
              <w:spacing w:line="276" w:lineRule="auto" w:before="0" w:after="0"/>
            </w:pPr>
            <w:r/>
            <w:r>
              <w:rPr>
                <w:rFonts w:ascii="Figtree" w:hAnsi="Figtree"/>
                <w:b w:val="0"/>
                <w:i w:val="0"/>
                <w:sz w:val="20"/>
              </w:rPr>
              <w:t>EUR 10,000/month</w:t>
            </w:r>
          </w:p>
        </w:tc>
        <w:tc>
          <w:tcPr>
            <w:tcW w:type="dxa" w:w="3249"/>
            <w:vAlign w:val="center"/>
          </w:tcPr>
          <w:p>
            <w:pPr>
              <w:spacing w:line="276" w:lineRule="auto" w:before="0" w:after="0"/>
            </w:pPr>
            <w:r/>
            <w:r>
              <w:rPr>
                <w:rFonts w:ascii="Figtree" w:hAnsi="Figtree"/>
                <w:b w:val="0"/>
                <w:i w:val="0"/>
                <w:sz w:val="20"/>
              </w:rPr>
              <w:t>EUR 120,000/year</w:t>
            </w:r>
          </w:p>
        </w:tc>
      </w:tr>
      <w:tr>
        <w:trPr>
          <w:trHeight w:val="425" w:hRule="atLeast"/>
        </w:trPr>
        <w:tc>
          <w:tcPr>
            <w:tcW w:type="dxa" w:w="3249"/>
            <w:vAlign w:val="center"/>
          </w:tcPr>
          <w:p>
            <w:pPr>
              <w:spacing w:line="276" w:lineRule="auto" w:before="0" w:after="0"/>
            </w:pPr>
            <w:r/>
            <w:r>
              <w:rPr>
                <w:rFonts w:ascii="Figtree" w:hAnsi="Figtree"/>
                <w:b/>
                <w:i w:val="0"/>
                <w:sz w:val="20"/>
              </w:rPr>
              <w:t>Combined (Production + Development)</w:t>
            </w:r>
          </w:p>
        </w:tc>
        <w:tc>
          <w:tcPr>
            <w:tcW w:type="dxa" w:w="3249"/>
            <w:vAlign w:val="center"/>
          </w:tcPr>
          <w:p>
            <w:pPr>
              <w:spacing w:line="276" w:lineRule="auto" w:before="0" w:after="0"/>
            </w:pPr>
            <w:r/>
            <w:r>
              <w:rPr>
                <w:rFonts w:ascii="Figtree" w:hAnsi="Figtree"/>
                <w:b/>
                <w:i w:val="0"/>
                <w:sz w:val="20"/>
              </w:rPr>
              <w:t>EUR 35,000/month</w:t>
            </w:r>
          </w:p>
        </w:tc>
        <w:tc>
          <w:tcPr>
            <w:tcW w:type="dxa" w:w="3249"/>
            <w:vAlign w:val="center"/>
          </w:tcPr>
          <w:p>
            <w:pPr>
              <w:spacing w:line="276" w:lineRule="auto" w:before="0" w:after="0"/>
            </w:pPr>
            <w:r/>
            <w:r>
              <w:rPr>
                <w:rFonts w:ascii="Figtree" w:hAnsi="Figtree"/>
                <w:b/>
                <w:i w:val="0"/>
                <w:sz w:val="20"/>
              </w:rPr>
              <w:t>EUR 420,000/year</w:t>
            </w:r>
          </w:p>
        </w:tc>
      </w:tr>
    </w:tbl>
    <w:p>
      <w:pPr>
        <w:spacing w:before="0" w:after="0" w:line="120" w:lineRule="exact"/>
      </w:pPr>
    </w:p>
    <w:p>
      <w:r>
        <w:rPr>
          <w:rFonts w:ascii="Figtree" w:hAnsi="Figtree"/>
          <w:b w:val="0"/>
          <w:i w:val="0"/>
          <w:sz w:val="22"/>
        </w:rPr>
        <w:t>All prices exclude applicable taxes and VAT. Taxes are added separately based on Airwallex's jurisdiction and applicable tax treaties.</w:t>
      </w:r>
    </w:p>
    <w:p>
      <w:r>
        <w:rPr>
          <w:rFonts w:ascii="Figtree" w:hAnsi="Figtree"/>
          <w:b w:val="0"/>
          <w:i w:val="0"/>
          <w:sz w:val="22"/>
        </w:rPr>
        <w:t>Payment terms: Annual, upfront.</w:t>
      </w:r>
    </w:p>
    <w:p>
      <w:pPr>
        <w:pStyle w:val="H3"/>
        <w:numPr>
          <w:ilvl w:val="2"/>
          <w:numId w:val="1"/>
        </w:numPr>
      </w:pPr>
      <w:r>
        <w:t>3.2 License Scope</w:t>
      </w:r>
    </w:p>
    <w:p>
      <w:r>
        <w:rPr>
          <w:rFonts w:ascii="Figtree" w:hAnsi="Figtree"/>
          <w:b w:val="0"/>
          <w:i w:val="0"/>
          <w:sz w:val="22"/>
        </w:rPr>
        <w:t>The production and development licenses cover:</w:t>
      </w:r>
    </w:p>
    <w:p>
      <w:pPr>
        <w:pStyle w:val="ListParagraph"/>
        <w:numPr>
          <w:ilvl w:val="0"/>
          <w:numId w:val="4"/>
        </w:numPr>
      </w:pPr>
      <w:r>
        <w:rPr>
          <w:rFonts w:ascii="Figtree" w:hAnsi="Figtree"/>
          <w:b w:val="0"/>
          <w:i w:val="0"/>
          <w:sz w:val="22"/>
        </w:rPr>
        <w:t>Full DALP platform access for the licensed environment, including all core modules (asset lifecycle, compliance engine, identity registry, workflow orchestration, key management integration, chain indexer, observability stack)</w:t>
      </w:r>
    </w:p>
    <w:p>
      <w:pPr>
        <w:pStyle w:val="ListParagraph"/>
        <w:numPr>
          <w:ilvl w:val="0"/>
          <w:numId w:val="4"/>
        </w:numPr>
      </w:pPr>
      <w:r>
        <w:rPr>
          <w:rFonts w:ascii="Figtree" w:hAnsi="Figtree"/>
          <w:b w:val="0"/>
          <w:i w:val="0"/>
          <w:sz w:val="22"/>
        </w:rPr>
        <w:t>All currently released asset types (Bond, Equity, Fund, Deposit, StableCoin, Real Estate, Precious Metal, DALPAsset configurable)</w:t>
      </w:r>
    </w:p>
    <w:p>
      <w:pPr>
        <w:pStyle w:val="ListParagraph"/>
        <w:numPr>
          <w:ilvl w:val="0"/>
          <w:numId w:val="4"/>
        </w:numPr>
      </w:pPr>
      <w:r>
        <w:rPr>
          <w:rFonts w:ascii="Figtree" w:hAnsi="Figtree"/>
          <w:b w:val="0"/>
          <w:i w:val="0"/>
          <w:sz w:val="22"/>
        </w:rPr>
        <w:t>All currently released compliance modules (identity verification, country restrictions, address block list, investor limits, time lock, transfer approval, collateral requirement)</w:t>
      </w:r>
    </w:p>
    <w:p>
      <w:pPr>
        <w:pStyle w:val="ListParagraph"/>
        <w:numPr>
          <w:ilvl w:val="0"/>
          <w:numId w:val="4"/>
        </w:numPr>
      </w:pPr>
      <w:r>
        <w:rPr>
          <w:rFonts w:ascii="Figtree" w:hAnsi="Figtree"/>
          <w:b w:val="0"/>
          <w:i w:val="0"/>
          <w:sz w:val="22"/>
        </w:rPr>
        <w:t>All currently released addons (XvP Settlement, Vault, Token Sale, Fixed Yield, Airdrop)</w:t>
      </w:r>
    </w:p>
    <w:p>
      <w:pPr>
        <w:pStyle w:val="ListParagraph"/>
        <w:numPr>
          <w:ilvl w:val="0"/>
          <w:numId w:val="4"/>
        </w:numPr>
      </w:pPr>
      <w:r>
        <w:rPr>
          <w:rFonts w:ascii="Figtree" w:hAnsi="Figtree"/>
          <w:b w:val="0"/>
          <w:i w:val="0"/>
          <w:sz w:val="22"/>
        </w:rPr>
        <w:t>Platform updates and security patches during the license period</w:t>
      </w:r>
    </w:p>
    <w:p>
      <w:pPr>
        <w:pStyle w:val="ListParagraph"/>
        <w:numPr>
          <w:ilvl w:val="0"/>
          <w:numId w:val="4"/>
        </w:numPr>
      </w:pPr>
      <w:r>
        <w:rPr>
          <w:rFonts w:ascii="Figtree" w:hAnsi="Figtree"/>
          <w:b w:val="0"/>
          <w:i w:val="0"/>
          <w:sz w:val="22"/>
        </w:rPr>
        <w:t>Access to OpenAPI documentation, TypeScript SDK, and CLI tooling</w:t>
      </w:r>
    </w:p>
    <w:p>
      <w:pPr>
        <w:pStyle w:val="ListParagraph"/>
        <w:numPr>
          <w:ilvl w:val="0"/>
          <w:numId w:val="4"/>
        </w:numPr>
      </w:pPr>
      <w:r>
        <w:rPr>
          <w:rFonts w:ascii="Figtree" w:hAnsi="Figtree"/>
          <w:b w:val="0"/>
          <w:i w:val="0"/>
          <w:sz w:val="22"/>
        </w:rPr>
        <w:t>Standard support tier (see Section 5)</w:t>
      </w:r>
    </w:p>
    <w:p>
      <w:r>
        <w:rPr>
          <w:rFonts w:ascii="Figtree" w:hAnsi="Figtree"/>
          <w:b w:val="0"/>
          <w:i w:val="0"/>
          <w:sz w:val="22"/>
        </w:rPr>
        <w:t>The license does not cover: third-party custody provider fees (DFNS or Fireblocks), cloud infrastructure costs (Airwallex-managed), AML/CFT screening engine fees (Airwallex-managed), and blockchain network infrastructure costs if using a public network.</w:t>
      </w:r>
    </w:p>
    <w:p>
      <w:pPr>
        <w:pStyle w:val="H3"/>
        <w:numPr>
          <w:ilvl w:val="2"/>
          <w:numId w:val="1"/>
        </w:numPr>
      </w:pPr>
      <w:r>
        <w:t>3.3 Environment Scope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715"/>
        <w:gridCol w:w="3885"/>
        <w:gridCol w:w="2661"/>
        <w:gridCol w:w="1809"/>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License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Purpose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Users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Transaction Volume</w:t>
            </w:r>
          </w:p>
        </w:tc>
      </w:tr>
      <w:tr>
        <w:trPr>
          <w:trHeight w:val="425" w:hRule="atLeast"/>
        </w:trPr>
        <w:tc>
          <w:tcPr>
            <w:tcW w:type="dxa" w:w="2436"/>
            <w:vAlign w:val="center"/>
          </w:tcPr>
          <w:p>
            <w:pPr>
              <w:spacing w:line="276" w:lineRule="auto" w:before="0" w:after="0"/>
            </w:pPr>
            <w:r/>
            <w:r>
              <w:rPr>
                <w:rFonts w:ascii="Figtree" w:hAnsi="Figtree"/>
                <w:b w:val="0"/>
                <w:i w:val="0"/>
                <w:sz w:val="20"/>
              </w:rPr>
              <w:t>Production</w:t>
            </w:r>
          </w:p>
        </w:tc>
        <w:tc>
          <w:tcPr>
            <w:tcW w:type="dxa" w:w="2436"/>
            <w:vAlign w:val="center"/>
          </w:tcPr>
          <w:p>
            <w:pPr>
              <w:spacing w:line="276" w:lineRule="auto" w:before="0" w:after="0"/>
            </w:pPr>
            <w:r/>
            <w:r>
              <w:rPr>
                <w:rFonts w:ascii="Figtree" w:hAnsi="Figtree"/>
                <w:b w:val="0"/>
                <w:i w:val="0"/>
                <w:sz w:val="20"/>
              </w:rPr>
              <w:t>Live settlement operations for Airwallex Singapore cross-border programme</w:t>
            </w:r>
          </w:p>
        </w:tc>
        <w:tc>
          <w:tcPr>
            <w:tcW w:type="dxa" w:w="2436"/>
            <w:vAlign w:val="center"/>
          </w:tcPr>
          <w:p>
            <w:pPr>
              <w:spacing w:line="276" w:lineRule="auto" w:before="0" w:after="0"/>
            </w:pPr>
            <w:r/>
            <w:r>
              <w:rPr>
                <w:rFonts w:ascii="Figtree" w:hAnsi="Figtree"/>
                <w:b w:val="0"/>
                <w:i w:val="0"/>
                <w:sz w:val="20"/>
              </w:rPr>
              <w:t>Unlimited named users within licensed organization</w:t>
            </w:r>
          </w:p>
        </w:tc>
        <w:tc>
          <w:tcPr>
            <w:tcW w:type="dxa" w:w="2436"/>
            <w:vAlign w:val="center"/>
          </w:tcPr>
          <w:p>
            <w:pPr>
              <w:spacing w:line="276" w:lineRule="auto" w:before="0" w:after="0"/>
            </w:pPr>
            <w:r/>
            <w:r>
              <w:rPr>
                <w:rFonts w:ascii="Figtree" w:hAnsi="Figtree"/>
                <w:b w:val="0"/>
                <w:i w:val="0"/>
                <w:sz w:val="20"/>
              </w:rPr>
              <w:t>Unlimited within platform capacity</w:t>
            </w:r>
          </w:p>
        </w:tc>
      </w:tr>
      <w:tr>
        <w:trPr>
          <w:trHeight w:val="425" w:hRule="atLeast"/>
        </w:trPr>
        <w:tc>
          <w:tcPr>
            <w:tcW w:type="dxa" w:w="2436"/>
            <w:vAlign w:val="center"/>
          </w:tcPr>
          <w:p>
            <w:pPr>
              <w:spacing w:line="276" w:lineRule="auto" w:before="0" w:after="0"/>
            </w:pPr>
            <w:r/>
            <w:r>
              <w:rPr>
                <w:rFonts w:ascii="Figtree" w:hAnsi="Figtree"/>
                <w:b w:val="0"/>
                <w:i w:val="0"/>
                <w:sz w:val="20"/>
              </w:rPr>
              <w:t>Development</w:t>
            </w:r>
          </w:p>
        </w:tc>
        <w:tc>
          <w:tcPr>
            <w:tcW w:type="dxa" w:w="2436"/>
            <w:vAlign w:val="center"/>
          </w:tcPr>
          <w:p>
            <w:pPr>
              <w:spacing w:line="276" w:lineRule="auto" w:before="0" w:after="0"/>
            </w:pPr>
            <w:r/>
            <w:r>
              <w:rPr>
                <w:rFonts w:ascii="Figtree" w:hAnsi="Figtree"/>
                <w:b w:val="0"/>
                <w:i w:val="0"/>
                <w:sz w:val="20"/>
              </w:rPr>
              <w:t>Integration development, testing, UAT, and staging</w:t>
            </w:r>
          </w:p>
        </w:tc>
        <w:tc>
          <w:tcPr>
            <w:tcW w:type="dxa" w:w="2436"/>
            <w:vAlign w:val="center"/>
          </w:tcPr>
          <w:p>
            <w:pPr>
              <w:spacing w:line="276" w:lineRule="auto" w:before="0" w:after="0"/>
            </w:pPr>
            <w:r/>
            <w:r>
              <w:rPr>
                <w:rFonts w:ascii="Figtree" w:hAnsi="Figtree"/>
                <w:b w:val="0"/>
                <w:i w:val="0"/>
                <w:sz w:val="20"/>
              </w:rPr>
              <w:t>Unlimited named users within licensed organization</w:t>
            </w:r>
          </w:p>
        </w:tc>
        <w:tc>
          <w:tcPr>
            <w:tcW w:type="dxa" w:w="2436"/>
            <w:vAlign w:val="center"/>
          </w:tcPr>
          <w:p>
            <w:pPr>
              <w:spacing w:line="276" w:lineRule="auto" w:before="0" w:after="0"/>
            </w:pPr>
            <w:r/>
            <w:r>
              <w:rPr>
                <w:rFonts w:ascii="Figtree" w:hAnsi="Figtree"/>
                <w:b w:val="0"/>
                <w:i w:val="0"/>
                <w:sz w:val="20"/>
              </w:rPr>
              <w:t>Unlimited (test network)</w:t>
            </w:r>
          </w:p>
        </w:tc>
      </w:tr>
    </w:tbl>
    <w:p>
      <w:pPr>
        <w:spacing w:before="0" w:after="0" w:line="120" w:lineRule="exact"/>
      </w:pPr>
    </w:p>
    <w:p>
      <w:r>
        <w:rPr>
          <w:rFonts w:ascii="Figtree" w:hAnsi="Figtree"/>
          <w:b w:val="0"/>
          <w:i w:val="0"/>
          <w:sz w:val="22"/>
        </w:rPr>
        <w:t>Additional environments (for example, a second production region or a separate UAT environment) are priced per the applicable license type.</w:t>
      </w:r>
    </w:p>
    <w:p>
      <w:r>
        <w:br w:type="page"/>
      </w:r>
    </w:p>
    <w:p>
      <w:pPr>
        <w:pStyle w:val="H2"/>
        <w:numPr>
          <w:ilvl w:val="1"/>
          <w:numId w:val="1"/>
        </w:numPr>
      </w:pPr>
      <w:r>
        <w:t>4. Implementation Services</w:t>
      </w:r>
    </w:p>
    <w:p>
      <w:r>
        <w:rPr>
          <w:rFonts w:ascii="Figtree" w:hAnsi="Figtree"/>
          <w:b w:val="0"/>
          <w:i w:val="0"/>
          <w:sz w:val="22"/>
        </w:rPr>
        <w:t>Implementation services for the 19-week programme are scoped and priced following the Phase 1 discovery engagement. Standard programme structure and indicative commercial parameters are set out below.</w:t>
      </w:r>
    </w:p>
    <w:p>
      <w:pPr>
        <w:pStyle w:val="H3"/>
        <w:numPr>
          <w:ilvl w:val="2"/>
          <w:numId w:val="1"/>
        </w:numPr>
      </w:pPr>
      <w:r>
        <w:t>4.1 Indicative Implementation Budget Range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5329"/>
        <w:gridCol w:w="1077"/>
        <w:gridCol w:w="266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Programme Scope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Indicative Range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Standard implementation (2 settlement instruments, 1 legal entity, 3 enterprise integrations)</w:t>
            </w:r>
          </w:p>
        </w:tc>
        <w:tc>
          <w:tcPr>
            <w:tcW w:type="dxa" w:w="3249"/>
            <w:vAlign w:val="center"/>
          </w:tcPr>
          <w:p>
            <w:pPr>
              <w:spacing w:line="276" w:lineRule="auto" w:before="0" w:after="0"/>
            </w:pPr>
            <w:r/>
            <w:r>
              <w:rPr>
                <w:rFonts w:ascii="Figtree" w:hAnsi="Figtree"/>
                <w:b w:val="0"/>
                <w:i w:val="0"/>
                <w:sz w:val="20"/>
              </w:rPr>
              <w:t>EUR 280,000-420,000</w:t>
            </w:r>
          </w:p>
        </w:tc>
        <w:tc>
          <w:tcPr>
            <w:tcW w:type="dxa" w:w="3249"/>
            <w:vAlign w:val="center"/>
          </w:tcPr>
          <w:p>
            <w:pPr>
              <w:spacing w:line="276" w:lineRule="auto" w:before="0" w:after="0"/>
            </w:pPr>
            <w:r/>
            <w:r>
              <w:rPr>
                <w:rFonts w:ascii="Figtree" w:hAnsi="Figtree"/>
                <w:b w:val="0"/>
                <w:i w:val="0"/>
                <w:sz w:val="20"/>
              </w:rPr>
              <w:t>[CLIENT-SPECIFIC — scoped in Phase 1 discovery]</w:t>
            </w:r>
          </w:p>
        </w:tc>
      </w:tr>
      <w:tr>
        <w:trPr>
          <w:trHeight w:val="425" w:hRule="atLeast"/>
        </w:trPr>
        <w:tc>
          <w:tcPr>
            <w:tcW w:type="dxa" w:w="3249"/>
            <w:vAlign w:val="center"/>
          </w:tcPr>
          <w:p>
            <w:pPr>
              <w:spacing w:line="276" w:lineRule="auto" w:before="0" w:after="0"/>
            </w:pPr>
            <w:r/>
            <w:r>
              <w:rPr>
                <w:rFonts w:ascii="Figtree" w:hAnsi="Figtree"/>
                <w:b w:val="0"/>
                <w:i w:val="0"/>
                <w:sz w:val="20"/>
              </w:rPr>
              <w:t>Extended implementation (4+ instruments, 2+ legal entities, 5+ integrations, custom reporting)</w:t>
            </w:r>
          </w:p>
        </w:tc>
        <w:tc>
          <w:tcPr>
            <w:tcW w:type="dxa" w:w="3249"/>
            <w:vAlign w:val="center"/>
          </w:tcPr>
          <w:p>
            <w:pPr>
              <w:spacing w:line="276" w:lineRule="auto" w:before="0" w:after="0"/>
            </w:pPr>
            <w:r/>
            <w:r>
              <w:rPr>
                <w:rFonts w:ascii="Figtree" w:hAnsi="Figtree"/>
                <w:b w:val="0"/>
                <w:i w:val="0"/>
                <w:sz w:val="20"/>
              </w:rPr>
              <w:t>EUR 450,000-650,000</w:t>
            </w:r>
          </w:p>
        </w:tc>
        <w:tc>
          <w:tcPr>
            <w:tcW w:type="dxa" w:w="3249"/>
            <w:vAlign w:val="center"/>
          </w:tcPr>
          <w:p>
            <w:pPr>
              <w:spacing w:line="276" w:lineRule="auto" w:before="0" w:after="0"/>
            </w:pPr>
            <w:r/>
            <w:r>
              <w:rPr>
                <w:rFonts w:ascii="Figtree" w:hAnsi="Figtree"/>
                <w:b w:val="0"/>
                <w:i w:val="0"/>
                <w:sz w:val="20"/>
              </w:rPr>
              <w:t>[CLIENT-SPECIFIC — scoped in Phase 1 discovery]</w:t>
            </w:r>
          </w:p>
        </w:tc>
      </w:tr>
    </w:tbl>
    <w:p>
      <w:pPr>
        <w:spacing w:before="0" w:after="0" w:line="120" w:lineRule="exact"/>
      </w:pPr>
    </w:p>
    <w:p>
      <w:r>
        <w:rPr>
          <w:rFonts w:ascii="Figtree" w:hAnsi="Figtree"/>
          <w:b w:val="0"/>
          <w:i w:val="0"/>
          <w:sz w:val="22"/>
        </w:rPr>
        <w:t>Implementation is invoiced in three tranches: 40% at project kickoff, 30% at Phase 3 completion (configuration and compliance), and 30% at go-live sign-off.</w:t>
      </w:r>
    </w:p>
    <w:p>
      <w:pPr>
        <w:pStyle w:val="H3"/>
        <w:numPr>
          <w:ilvl w:val="2"/>
          <w:numId w:val="1"/>
        </w:numPr>
      </w:pPr>
      <w:r>
        <w:t>4.2 Standard Implementation Deliverables</w:t>
      </w:r>
    </w:p>
    <w:p>
      <w:r>
        <w:rPr>
          <w:rFonts w:ascii="Figtree" w:hAnsi="Figtree"/>
          <w:b w:val="0"/>
          <w:i w:val="0"/>
          <w:sz w:val="22"/>
        </w:rPr>
        <w:t>All deliverables listed as standard are included in the implementation services scope: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692"/>
        <w:gridCol w:w="1189"/>
        <w:gridCol w:w="118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Deliverable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Optional</w:t>
            </w:r>
          </w:p>
        </w:tc>
      </w:tr>
      <w:tr>
        <w:trPr>
          <w:trHeight w:val="425" w:hRule="atLeast"/>
        </w:trPr>
        <w:tc>
          <w:tcPr>
            <w:tcW w:type="dxa" w:w="3249"/>
            <w:vAlign w:val="center"/>
          </w:tcPr>
          <w:p>
            <w:pPr>
              <w:spacing w:line="276" w:lineRule="auto" w:before="0" w:after="0"/>
            </w:pPr>
            <w:r/>
            <w:r>
              <w:rPr>
                <w:rFonts w:ascii="Figtree" w:hAnsi="Figtree"/>
                <w:b w:val="0"/>
                <w:i w:val="0"/>
                <w:sz w:val="20"/>
              </w:rPr>
              <w:t>Target-state architecture document</w:t>
            </w:r>
          </w:p>
        </w:tc>
        <w:tc>
          <w:tcPr>
            <w:tcW w:type="dxa" w:w="3249"/>
            <w:vAlign w:val="center"/>
          </w:tcPr>
          <w:p>
            <w:pPr>
              <w:spacing w:line="276" w:lineRule="auto" w:before="0" w:after="0"/>
            </w:pPr>
            <w:r/>
            <w:r>
              <w:rPr>
                <w:rFonts w:ascii="Figtree" w:hAnsi="Figtree"/>
                <w:b w:val="0"/>
                <w:i w:val="0"/>
                <w:sz w:val="20"/>
              </w:rPr>
              <w:t>✅</w:t>
            </w:r>
          </w:p>
        </w:tc>
        <w:tc>
          <w:tcPr>
            <w:tcW w:type="dxa" w:w="3249"/>
            <w:vAlign w:val="center"/>
          </w:tcPr>
          <w:p>
            <w:pPr>
              <w:spacing w:line="276" w:lineRule="auto" w:before="0" w:after="0"/>
            </w:pPr>
            <w:r/>
            <w:r>
              <w:rPr>
                <w:rFonts w:ascii="Figtree" w:hAnsi="Figtree"/>
                <w:b w:val="0"/>
                <w:i w:val="0"/>
                <w:sz w:val="20"/>
              </w:rPr>
              <w:t>—</w:t>
            </w:r>
          </w:p>
        </w:tc>
      </w:tr>
      <w:tr>
        <w:trPr>
          <w:trHeight w:val="425" w:hRule="atLeast"/>
        </w:trPr>
        <w:tc>
          <w:tcPr>
            <w:tcW w:type="dxa" w:w="3249"/>
            <w:vAlign w:val="center"/>
          </w:tcPr>
          <w:p>
            <w:pPr>
              <w:spacing w:line="276" w:lineRule="auto" w:before="0" w:after="0"/>
            </w:pPr>
            <w:r/>
            <w:r>
              <w:rPr>
                <w:rFonts w:ascii="Figtree" w:hAnsi="Figtree"/>
                <w:b w:val="0"/>
                <w:i w:val="0"/>
                <w:sz w:val="20"/>
              </w:rPr>
              <w:t>Integration design specifications</w:t>
            </w:r>
          </w:p>
        </w:tc>
        <w:tc>
          <w:tcPr>
            <w:tcW w:type="dxa" w:w="3249"/>
            <w:vAlign w:val="center"/>
          </w:tcPr>
          <w:p>
            <w:pPr>
              <w:spacing w:line="276" w:lineRule="auto" w:before="0" w:after="0"/>
            </w:pPr>
            <w:r/>
            <w:r>
              <w:rPr>
                <w:rFonts w:ascii="Figtree" w:hAnsi="Figtree"/>
                <w:b w:val="0"/>
                <w:i w:val="0"/>
                <w:sz w:val="20"/>
              </w:rPr>
              <w:t>✅</w:t>
            </w:r>
          </w:p>
        </w:tc>
        <w:tc>
          <w:tcPr>
            <w:tcW w:type="dxa" w:w="3249"/>
            <w:vAlign w:val="center"/>
          </w:tcPr>
          <w:p>
            <w:pPr>
              <w:spacing w:line="276" w:lineRule="auto" w:before="0" w:after="0"/>
            </w:pPr>
            <w:r/>
            <w:r>
              <w:rPr>
                <w:rFonts w:ascii="Figtree" w:hAnsi="Figtree"/>
                <w:b w:val="0"/>
                <w:i w:val="0"/>
                <w:sz w:val="20"/>
              </w:rPr>
              <w:t>—</w:t>
            </w:r>
          </w:p>
        </w:tc>
      </w:tr>
      <w:tr>
        <w:trPr>
          <w:trHeight w:val="425" w:hRule="atLeast"/>
        </w:trPr>
        <w:tc>
          <w:tcPr>
            <w:tcW w:type="dxa" w:w="3249"/>
            <w:vAlign w:val="center"/>
          </w:tcPr>
          <w:p>
            <w:pPr>
              <w:spacing w:line="276" w:lineRule="auto" w:before="0" w:after="0"/>
            </w:pPr>
            <w:r/>
            <w:r>
              <w:rPr>
                <w:rFonts w:ascii="Figtree" w:hAnsi="Figtree"/>
                <w:b w:val="0"/>
                <w:i w:val="0"/>
                <w:sz w:val="20"/>
              </w:rPr>
              <w:t>Security design document</w:t>
            </w:r>
          </w:p>
        </w:tc>
        <w:tc>
          <w:tcPr>
            <w:tcW w:type="dxa" w:w="3249"/>
            <w:vAlign w:val="center"/>
          </w:tcPr>
          <w:p>
            <w:pPr>
              <w:spacing w:line="276" w:lineRule="auto" w:before="0" w:after="0"/>
            </w:pPr>
            <w:r/>
            <w:r>
              <w:rPr>
                <w:rFonts w:ascii="Figtree" w:hAnsi="Figtree"/>
                <w:b w:val="0"/>
                <w:i w:val="0"/>
                <w:sz w:val="20"/>
              </w:rPr>
              <w:t>✅</w:t>
            </w:r>
          </w:p>
        </w:tc>
        <w:tc>
          <w:tcPr>
            <w:tcW w:type="dxa" w:w="3249"/>
            <w:vAlign w:val="center"/>
          </w:tcPr>
          <w:p>
            <w:pPr>
              <w:spacing w:line="276" w:lineRule="auto" w:before="0" w:after="0"/>
            </w:pPr>
            <w:r/>
            <w:r>
              <w:rPr>
                <w:rFonts w:ascii="Figtree" w:hAnsi="Figtree"/>
                <w:b w:val="0"/>
                <w:i w:val="0"/>
                <w:sz w:val="20"/>
              </w:rPr>
              <w:t>—</w:t>
            </w:r>
          </w:p>
        </w:tc>
      </w:tr>
      <w:tr>
        <w:trPr>
          <w:trHeight w:val="425" w:hRule="atLeast"/>
        </w:trPr>
        <w:tc>
          <w:tcPr>
            <w:tcW w:type="dxa" w:w="3249"/>
            <w:vAlign w:val="center"/>
          </w:tcPr>
          <w:p>
            <w:pPr>
              <w:spacing w:line="276" w:lineRule="auto" w:before="0" w:after="0"/>
            </w:pPr>
            <w:r/>
            <w:r>
              <w:rPr>
                <w:rFonts w:ascii="Figtree" w:hAnsi="Figtree"/>
                <w:b w:val="0"/>
                <w:i w:val="0"/>
                <w:sz w:val="20"/>
              </w:rPr>
              <w:t>Role and permission matrix</w:t>
            </w:r>
          </w:p>
        </w:tc>
        <w:tc>
          <w:tcPr>
            <w:tcW w:type="dxa" w:w="3249"/>
            <w:vAlign w:val="center"/>
          </w:tcPr>
          <w:p>
            <w:pPr>
              <w:spacing w:line="276" w:lineRule="auto" w:before="0" w:after="0"/>
            </w:pPr>
            <w:r/>
            <w:r>
              <w:rPr>
                <w:rFonts w:ascii="Figtree" w:hAnsi="Figtree"/>
                <w:b w:val="0"/>
                <w:i w:val="0"/>
                <w:sz w:val="20"/>
              </w:rPr>
              <w:t>✅</w:t>
            </w:r>
          </w:p>
        </w:tc>
        <w:tc>
          <w:tcPr>
            <w:tcW w:type="dxa" w:w="3249"/>
            <w:vAlign w:val="center"/>
          </w:tcPr>
          <w:p>
            <w:pPr>
              <w:spacing w:line="276" w:lineRule="auto" w:before="0" w:after="0"/>
            </w:pPr>
            <w:r/>
            <w:r>
              <w:rPr>
                <w:rFonts w:ascii="Figtree" w:hAnsi="Figtree"/>
                <w:b w:val="0"/>
                <w:i w:val="0"/>
                <w:sz w:val="20"/>
              </w:rPr>
              <w:t>—</w:t>
            </w:r>
          </w:p>
        </w:tc>
      </w:tr>
      <w:tr>
        <w:trPr>
          <w:trHeight w:val="425" w:hRule="atLeast"/>
        </w:trPr>
        <w:tc>
          <w:tcPr>
            <w:tcW w:type="dxa" w:w="3249"/>
            <w:vAlign w:val="center"/>
          </w:tcPr>
          <w:p>
            <w:pPr>
              <w:spacing w:line="276" w:lineRule="auto" w:before="0" w:after="0"/>
            </w:pPr>
            <w:r/>
            <w:r>
              <w:rPr>
                <w:rFonts w:ascii="Figtree" w:hAnsi="Figtree"/>
                <w:b w:val="0"/>
                <w:i w:val="0"/>
                <w:sz w:val="20"/>
              </w:rPr>
              <w:t>Compliance configuration register</w:t>
            </w:r>
          </w:p>
        </w:tc>
        <w:tc>
          <w:tcPr>
            <w:tcW w:type="dxa" w:w="3249"/>
            <w:vAlign w:val="center"/>
          </w:tcPr>
          <w:p>
            <w:pPr>
              <w:spacing w:line="276" w:lineRule="auto" w:before="0" w:after="0"/>
            </w:pPr>
            <w:r/>
            <w:r>
              <w:rPr>
                <w:rFonts w:ascii="Figtree" w:hAnsi="Figtree"/>
                <w:b w:val="0"/>
                <w:i w:val="0"/>
                <w:sz w:val="20"/>
              </w:rPr>
              <w:t>✅</w:t>
            </w:r>
          </w:p>
        </w:tc>
        <w:tc>
          <w:tcPr>
            <w:tcW w:type="dxa" w:w="3249"/>
            <w:vAlign w:val="center"/>
          </w:tcPr>
          <w:p>
            <w:pPr>
              <w:spacing w:line="276" w:lineRule="auto" w:before="0" w:after="0"/>
            </w:pPr>
            <w:r/>
            <w:r>
              <w:rPr>
                <w:rFonts w:ascii="Figtree" w:hAnsi="Figtree"/>
                <w:b w:val="0"/>
                <w:i w:val="0"/>
                <w:sz w:val="20"/>
              </w:rPr>
              <w:t>—</w:t>
            </w:r>
          </w:p>
        </w:tc>
      </w:tr>
      <w:tr>
        <w:trPr>
          <w:trHeight w:val="425" w:hRule="atLeast"/>
        </w:trPr>
        <w:tc>
          <w:tcPr>
            <w:tcW w:type="dxa" w:w="3249"/>
            <w:vAlign w:val="center"/>
          </w:tcPr>
          <w:p>
            <w:pPr>
              <w:spacing w:line="276" w:lineRule="auto" w:before="0" w:after="0"/>
            </w:pPr>
            <w:r/>
            <w:r>
              <w:rPr>
                <w:rFonts w:ascii="Figtree" w:hAnsi="Figtree"/>
                <w:b w:val="0"/>
                <w:i w:val="0"/>
                <w:sz w:val="20"/>
              </w:rPr>
              <w:t>Control mapping document (MAS TRM, PSA)</w:t>
            </w:r>
          </w:p>
        </w:tc>
        <w:tc>
          <w:tcPr>
            <w:tcW w:type="dxa" w:w="3249"/>
            <w:vAlign w:val="center"/>
          </w:tcPr>
          <w:p>
            <w:pPr>
              <w:spacing w:line="276" w:lineRule="auto" w:before="0" w:after="0"/>
            </w:pPr>
            <w:r/>
            <w:r>
              <w:rPr>
                <w:rFonts w:ascii="Figtree" w:hAnsi="Figtree"/>
                <w:b w:val="0"/>
                <w:i w:val="0"/>
                <w:sz w:val="20"/>
              </w:rPr>
              <w:t>✅</w:t>
            </w:r>
          </w:p>
        </w:tc>
        <w:tc>
          <w:tcPr>
            <w:tcW w:type="dxa" w:w="3249"/>
            <w:vAlign w:val="center"/>
          </w:tcPr>
          <w:p>
            <w:pPr>
              <w:spacing w:line="276" w:lineRule="auto" w:before="0" w:after="0"/>
            </w:pPr>
            <w:r/>
            <w:r>
              <w:rPr>
                <w:rFonts w:ascii="Figtree" w:hAnsi="Figtree"/>
                <w:b w:val="0"/>
                <w:i w:val="0"/>
                <w:sz w:val="20"/>
              </w:rPr>
              <w:t>—</w:t>
            </w:r>
          </w:p>
        </w:tc>
      </w:tr>
      <w:tr>
        <w:trPr>
          <w:trHeight w:val="425" w:hRule="atLeast"/>
        </w:trPr>
        <w:tc>
          <w:tcPr>
            <w:tcW w:type="dxa" w:w="3249"/>
            <w:vAlign w:val="center"/>
          </w:tcPr>
          <w:p>
            <w:pPr>
              <w:spacing w:line="276" w:lineRule="auto" w:before="0" w:after="0"/>
            </w:pPr>
            <w:r/>
            <w:r>
              <w:rPr>
                <w:rFonts w:ascii="Figtree" w:hAnsi="Figtree"/>
                <w:b w:val="0"/>
                <w:i w:val="0"/>
                <w:sz w:val="20"/>
              </w:rPr>
              <w:t>SIT test evidence pack</w:t>
            </w:r>
          </w:p>
        </w:tc>
        <w:tc>
          <w:tcPr>
            <w:tcW w:type="dxa" w:w="3249"/>
            <w:vAlign w:val="center"/>
          </w:tcPr>
          <w:p>
            <w:pPr>
              <w:spacing w:line="276" w:lineRule="auto" w:before="0" w:after="0"/>
            </w:pPr>
            <w:r/>
            <w:r>
              <w:rPr>
                <w:rFonts w:ascii="Figtree" w:hAnsi="Figtree"/>
                <w:b w:val="0"/>
                <w:i w:val="0"/>
                <w:sz w:val="20"/>
              </w:rPr>
              <w:t>✅</w:t>
            </w:r>
          </w:p>
        </w:tc>
        <w:tc>
          <w:tcPr>
            <w:tcW w:type="dxa" w:w="3249"/>
            <w:vAlign w:val="center"/>
          </w:tcPr>
          <w:p>
            <w:pPr>
              <w:spacing w:line="276" w:lineRule="auto" w:before="0" w:after="0"/>
            </w:pPr>
            <w:r/>
            <w:r>
              <w:rPr>
                <w:rFonts w:ascii="Figtree" w:hAnsi="Figtree"/>
                <w:b w:val="0"/>
                <w:i w:val="0"/>
                <w:sz w:val="20"/>
              </w:rPr>
              <w:t>—</w:t>
            </w:r>
          </w:p>
        </w:tc>
      </w:tr>
      <w:tr>
        <w:trPr>
          <w:trHeight w:val="425" w:hRule="atLeast"/>
        </w:trPr>
        <w:tc>
          <w:tcPr>
            <w:tcW w:type="dxa" w:w="3249"/>
            <w:vAlign w:val="center"/>
          </w:tcPr>
          <w:p>
            <w:pPr>
              <w:spacing w:line="276" w:lineRule="auto" w:before="0" w:after="0"/>
            </w:pPr>
            <w:r/>
            <w:r>
              <w:rPr>
                <w:rFonts w:ascii="Figtree" w:hAnsi="Figtree"/>
                <w:b w:val="0"/>
                <w:i w:val="0"/>
                <w:sz w:val="20"/>
              </w:rPr>
              <w:t>Performance test report</w:t>
            </w:r>
          </w:p>
        </w:tc>
        <w:tc>
          <w:tcPr>
            <w:tcW w:type="dxa" w:w="3249"/>
            <w:vAlign w:val="center"/>
          </w:tcPr>
          <w:p>
            <w:pPr>
              <w:spacing w:line="276" w:lineRule="auto" w:before="0" w:after="0"/>
            </w:pPr>
            <w:r/>
            <w:r>
              <w:rPr>
                <w:rFonts w:ascii="Figtree" w:hAnsi="Figtree"/>
                <w:b w:val="0"/>
                <w:i w:val="0"/>
                <w:sz w:val="20"/>
              </w:rPr>
              <w:t>✅</w:t>
            </w:r>
          </w:p>
        </w:tc>
        <w:tc>
          <w:tcPr>
            <w:tcW w:type="dxa" w:w="3249"/>
            <w:vAlign w:val="center"/>
          </w:tcPr>
          <w:p>
            <w:pPr>
              <w:spacing w:line="276" w:lineRule="auto" w:before="0" w:after="0"/>
            </w:pPr>
            <w:r/>
            <w:r>
              <w:rPr>
                <w:rFonts w:ascii="Figtree" w:hAnsi="Figtree"/>
                <w:b w:val="0"/>
                <w:i w:val="0"/>
                <w:sz w:val="20"/>
              </w:rPr>
              <w:t>—</w:t>
            </w:r>
          </w:p>
        </w:tc>
      </w:tr>
      <w:tr>
        <w:trPr>
          <w:trHeight w:val="425" w:hRule="atLeast"/>
        </w:trPr>
        <w:tc>
          <w:tcPr>
            <w:tcW w:type="dxa" w:w="3249"/>
            <w:vAlign w:val="center"/>
          </w:tcPr>
          <w:p>
            <w:pPr>
              <w:spacing w:line="276" w:lineRule="auto" w:before="0" w:after="0"/>
            </w:pPr>
            <w:r/>
            <w:r>
              <w:rPr>
                <w:rFonts w:ascii="Figtree" w:hAnsi="Figtree"/>
                <w:b w:val="0"/>
                <w:i w:val="0"/>
                <w:sz w:val="20"/>
              </w:rPr>
              <w:t>UAT sign-off documentation</w:t>
            </w:r>
          </w:p>
        </w:tc>
        <w:tc>
          <w:tcPr>
            <w:tcW w:type="dxa" w:w="3249"/>
            <w:vAlign w:val="center"/>
          </w:tcPr>
          <w:p>
            <w:pPr>
              <w:spacing w:line="276" w:lineRule="auto" w:before="0" w:after="0"/>
            </w:pPr>
            <w:r/>
            <w:r>
              <w:rPr>
                <w:rFonts w:ascii="Figtree" w:hAnsi="Figtree"/>
                <w:b w:val="0"/>
                <w:i w:val="0"/>
                <w:sz w:val="20"/>
              </w:rPr>
              <w:t>✅</w:t>
            </w:r>
          </w:p>
        </w:tc>
        <w:tc>
          <w:tcPr>
            <w:tcW w:type="dxa" w:w="3249"/>
            <w:vAlign w:val="center"/>
          </w:tcPr>
          <w:p>
            <w:pPr>
              <w:spacing w:line="276" w:lineRule="auto" w:before="0" w:after="0"/>
            </w:pPr>
            <w:r/>
            <w:r>
              <w:rPr>
                <w:rFonts w:ascii="Figtree" w:hAnsi="Figtree"/>
                <w:b w:val="0"/>
                <w:i w:val="0"/>
                <w:sz w:val="20"/>
              </w:rPr>
              <w:t>—</w:t>
            </w:r>
          </w:p>
        </w:tc>
      </w:tr>
      <w:tr>
        <w:trPr>
          <w:trHeight w:val="425" w:hRule="atLeast"/>
        </w:trPr>
        <w:tc>
          <w:tcPr>
            <w:tcW w:type="dxa" w:w="3249"/>
            <w:vAlign w:val="center"/>
          </w:tcPr>
          <w:p>
            <w:pPr>
              <w:spacing w:line="276" w:lineRule="auto" w:before="0" w:after="0"/>
            </w:pPr>
            <w:r/>
            <w:r>
              <w:rPr>
                <w:rFonts w:ascii="Figtree" w:hAnsi="Figtree"/>
                <w:b w:val="0"/>
                <w:i w:val="0"/>
                <w:sz w:val="20"/>
              </w:rPr>
              <w:t>Cutover runbook and rehearsal evidence</w:t>
            </w:r>
          </w:p>
        </w:tc>
        <w:tc>
          <w:tcPr>
            <w:tcW w:type="dxa" w:w="3249"/>
            <w:vAlign w:val="center"/>
          </w:tcPr>
          <w:p>
            <w:pPr>
              <w:spacing w:line="276" w:lineRule="auto" w:before="0" w:after="0"/>
            </w:pPr>
            <w:r/>
            <w:r>
              <w:rPr>
                <w:rFonts w:ascii="Figtree" w:hAnsi="Figtree"/>
                <w:b w:val="0"/>
                <w:i w:val="0"/>
                <w:sz w:val="20"/>
              </w:rPr>
              <w:t>✅</w:t>
            </w:r>
          </w:p>
        </w:tc>
        <w:tc>
          <w:tcPr>
            <w:tcW w:type="dxa" w:w="3249"/>
            <w:vAlign w:val="center"/>
          </w:tcPr>
          <w:p>
            <w:pPr>
              <w:spacing w:line="276" w:lineRule="auto" w:before="0" w:after="0"/>
            </w:pPr>
            <w:r/>
            <w:r>
              <w:rPr>
                <w:rFonts w:ascii="Figtree" w:hAnsi="Figtree"/>
                <w:b w:val="0"/>
                <w:i w:val="0"/>
                <w:sz w:val="20"/>
              </w:rPr>
              <w:t>—</w:t>
            </w:r>
          </w:p>
        </w:tc>
      </w:tr>
      <w:tr>
        <w:trPr>
          <w:trHeight w:val="425" w:hRule="atLeast"/>
        </w:trPr>
        <w:tc>
          <w:tcPr>
            <w:tcW w:type="dxa" w:w="3249"/>
            <w:vAlign w:val="center"/>
          </w:tcPr>
          <w:p>
            <w:pPr>
              <w:spacing w:line="276" w:lineRule="auto" w:before="0" w:after="0"/>
            </w:pPr>
            <w:r/>
            <w:r>
              <w:rPr>
                <w:rFonts w:ascii="Figtree" w:hAnsi="Figtree"/>
                <w:b w:val="0"/>
                <w:i w:val="0"/>
                <w:sz w:val="20"/>
              </w:rPr>
              <w:t>Operational runbooks (10 core scenarios)</w:t>
            </w:r>
          </w:p>
        </w:tc>
        <w:tc>
          <w:tcPr>
            <w:tcW w:type="dxa" w:w="3249"/>
            <w:vAlign w:val="center"/>
          </w:tcPr>
          <w:p>
            <w:pPr>
              <w:spacing w:line="276" w:lineRule="auto" w:before="0" w:after="0"/>
            </w:pPr>
            <w:r/>
            <w:r>
              <w:rPr>
                <w:rFonts w:ascii="Figtree" w:hAnsi="Figtree"/>
                <w:b w:val="0"/>
                <w:i w:val="0"/>
                <w:sz w:val="20"/>
              </w:rPr>
              <w:t>✅</w:t>
            </w:r>
          </w:p>
        </w:tc>
        <w:tc>
          <w:tcPr>
            <w:tcW w:type="dxa" w:w="3249"/>
            <w:vAlign w:val="center"/>
          </w:tcPr>
          <w:p>
            <w:pPr>
              <w:spacing w:line="276" w:lineRule="auto" w:before="0" w:after="0"/>
            </w:pPr>
            <w:r/>
            <w:r>
              <w:rPr>
                <w:rFonts w:ascii="Figtree" w:hAnsi="Figtree"/>
                <w:b w:val="0"/>
                <w:i w:val="0"/>
                <w:sz w:val="20"/>
              </w:rPr>
              <w:t>—</w:t>
            </w:r>
          </w:p>
        </w:tc>
      </w:tr>
      <w:tr>
        <w:trPr>
          <w:trHeight w:val="425" w:hRule="atLeast"/>
        </w:trPr>
        <w:tc>
          <w:tcPr>
            <w:tcW w:type="dxa" w:w="3249"/>
            <w:vAlign w:val="center"/>
          </w:tcPr>
          <w:p>
            <w:pPr>
              <w:spacing w:line="276" w:lineRule="auto" w:before="0" w:after="0"/>
            </w:pPr>
            <w:r/>
            <w:r>
              <w:rPr>
                <w:rFonts w:ascii="Figtree" w:hAnsi="Figtree"/>
                <w:b w:val="0"/>
                <w:i w:val="0"/>
                <w:sz w:val="20"/>
              </w:rPr>
              <w:t>Training programme (operations, compliance, administration)</w:t>
            </w:r>
          </w:p>
        </w:tc>
        <w:tc>
          <w:tcPr>
            <w:tcW w:type="dxa" w:w="3249"/>
            <w:vAlign w:val="center"/>
          </w:tcPr>
          <w:p>
            <w:pPr>
              <w:spacing w:line="276" w:lineRule="auto" w:before="0" w:after="0"/>
            </w:pPr>
            <w:r/>
            <w:r>
              <w:rPr>
                <w:rFonts w:ascii="Figtree" w:hAnsi="Figtree"/>
                <w:b w:val="0"/>
                <w:i w:val="0"/>
                <w:sz w:val="20"/>
              </w:rPr>
              <w:t>✅</w:t>
            </w:r>
          </w:p>
        </w:tc>
        <w:tc>
          <w:tcPr>
            <w:tcW w:type="dxa" w:w="3249"/>
            <w:vAlign w:val="center"/>
          </w:tcPr>
          <w:p>
            <w:pPr>
              <w:spacing w:line="276" w:lineRule="auto" w:before="0" w:after="0"/>
            </w:pPr>
            <w:r/>
            <w:r>
              <w:rPr>
                <w:rFonts w:ascii="Figtree" w:hAnsi="Figtree"/>
                <w:b w:val="0"/>
                <w:i w:val="0"/>
                <w:sz w:val="20"/>
              </w:rPr>
              <w:t>—</w:t>
            </w:r>
          </w:p>
        </w:tc>
      </w:tr>
      <w:tr>
        <w:trPr>
          <w:trHeight w:val="425" w:hRule="atLeast"/>
        </w:trPr>
        <w:tc>
          <w:tcPr>
            <w:tcW w:type="dxa" w:w="3249"/>
            <w:vAlign w:val="center"/>
          </w:tcPr>
          <w:p>
            <w:pPr>
              <w:spacing w:line="276" w:lineRule="auto" w:before="0" w:after="0"/>
            </w:pPr>
            <w:r/>
            <w:r>
              <w:rPr>
                <w:rFonts w:ascii="Figtree" w:hAnsi="Figtree"/>
                <w:b w:val="0"/>
                <w:i w:val="0"/>
                <w:sz w:val="20"/>
              </w:rPr>
              <w:t>Extended runbook library (30+ scenarios)</w:t>
            </w:r>
          </w:p>
        </w:tc>
        <w:tc>
          <w:tcPr>
            <w:tcW w:type="dxa" w:w="3249"/>
            <w:vAlign w:val="center"/>
          </w:tcPr>
          <w:p>
            <w:pPr>
              <w:spacing w:line="276" w:lineRule="auto" w:before="0" w:after="0"/>
            </w:pPr>
            <w:r/>
            <w:r>
              <w:rPr>
                <w:rFonts w:ascii="Figtree" w:hAnsi="Figtree"/>
                <w:b w:val="0"/>
                <w:i w:val="0"/>
                <w:sz w:val="20"/>
              </w:rPr>
              <w:t>—</w:t>
            </w:r>
          </w:p>
        </w:tc>
        <w:tc>
          <w:tcPr>
            <w:tcW w:type="dxa" w:w="3249"/>
            <w:vAlign w:val="center"/>
          </w:tcPr>
          <w:p>
            <w:pPr>
              <w:spacing w:line="276" w:lineRule="auto" w:before="0" w:after="0"/>
            </w:pPr>
            <w:r/>
            <w:r>
              <w:rPr>
                <w:rFonts w:ascii="Figtree" w:hAnsi="Figtree"/>
                <w:b w:val="0"/>
                <w:i w:val="0"/>
                <w:sz w:val="20"/>
              </w:rPr>
              <w:t>✅</w:t>
            </w:r>
          </w:p>
        </w:tc>
      </w:tr>
      <w:tr>
        <w:trPr>
          <w:trHeight w:val="425" w:hRule="atLeast"/>
        </w:trPr>
        <w:tc>
          <w:tcPr>
            <w:tcW w:type="dxa" w:w="3249"/>
            <w:vAlign w:val="center"/>
          </w:tcPr>
          <w:p>
            <w:pPr>
              <w:spacing w:line="276" w:lineRule="auto" w:before="0" w:after="0"/>
            </w:pPr>
            <w:r/>
            <w:r>
              <w:rPr>
                <w:rFonts w:ascii="Figtree" w:hAnsi="Figtree"/>
                <w:b w:val="0"/>
                <w:i w:val="0"/>
                <w:sz w:val="20"/>
              </w:rPr>
              <w:t>Custom Grafana dashboard development</w:t>
            </w:r>
          </w:p>
        </w:tc>
        <w:tc>
          <w:tcPr>
            <w:tcW w:type="dxa" w:w="3249"/>
            <w:vAlign w:val="center"/>
          </w:tcPr>
          <w:p>
            <w:pPr>
              <w:spacing w:line="276" w:lineRule="auto" w:before="0" w:after="0"/>
            </w:pPr>
            <w:r/>
            <w:r>
              <w:rPr>
                <w:rFonts w:ascii="Figtree" w:hAnsi="Figtree"/>
                <w:b w:val="0"/>
                <w:i w:val="0"/>
                <w:sz w:val="20"/>
              </w:rPr>
              <w:t>—</w:t>
            </w:r>
          </w:p>
        </w:tc>
        <w:tc>
          <w:tcPr>
            <w:tcW w:type="dxa" w:w="3249"/>
            <w:vAlign w:val="center"/>
          </w:tcPr>
          <w:p>
            <w:pPr>
              <w:spacing w:line="276" w:lineRule="auto" w:before="0" w:after="0"/>
            </w:pPr>
            <w:r/>
            <w:r>
              <w:rPr>
                <w:rFonts w:ascii="Figtree" w:hAnsi="Figtree"/>
                <w:b w:val="0"/>
                <w:i w:val="0"/>
                <w:sz w:val="20"/>
              </w:rPr>
              <w:t>✅</w:t>
            </w:r>
          </w:p>
        </w:tc>
      </w:tr>
      <w:tr>
        <w:trPr>
          <w:trHeight w:val="425" w:hRule="atLeast"/>
        </w:trPr>
        <w:tc>
          <w:tcPr>
            <w:tcW w:type="dxa" w:w="3249"/>
            <w:vAlign w:val="center"/>
          </w:tcPr>
          <w:p>
            <w:pPr>
              <w:spacing w:line="276" w:lineRule="auto" w:before="0" w:after="0"/>
            </w:pPr>
            <w:r/>
            <w:r>
              <w:rPr>
                <w:rFonts w:ascii="Figtree" w:hAnsi="Figtree"/>
                <w:b w:val="0"/>
                <w:i w:val="0"/>
                <w:sz w:val="20"/>
              </w:rPr>
              <w:t>Ongoing configuration advisory (post-go-live)</w:t>
            </w:r>
          </w:p>
        </w:tc>
        <w:tc>
          <w:tcPr>
            <w:tcW w:type="dxa" w:w="3249"/>
            <w:vAlign w:val="center"/>
          </w:tcPr>
          <w:p>
            <w:pPr>
              <w:spacing w:line="276" w:lineRule="auto" w:before="0" w:after="0"/>
            </w:pPr>
            <w:r/>
            <w:r>
              <w:rPr>
                <w:rFonts w:ascii="Figtree" w:hAnsi="Figtree"/>
                <w:b w:val="0"/>
                <w:i w:val="0"/>
                <w:sz w:val="20"/>
              </w:rPr>
              <w:t>—</w:t>
            </w:r>
          </w:p>
        </w:tc>
        <w:tc>
          <w:tcPr>
            <w:tcW w:type="dxa" w:w="3249"/>
            <w:vAlign w:val="center"/>
          </w:tcPr>
          <w:p>
            <w:pPr>
              <w:spacing w:line="276" w:lineRule="auto" w:before="0" w:after="0"/>
            </w:pPr>
            <w:r/>
            <w:r>
              <w:rPr>
                <w:rFonts w:ascii="Figtree" w:hAnsi="Figtree"/>
                <w:b w:val="0"/>
                <w:i w:val="0"/>
                <w:sz w:val="20"/>
              </w:rPr>
              <w:t>✅</w:t>
            </w:r>
          </w:p>
        </w:tc>
      </w:tr>
    </w:tbl>
    <w:p>
      <w:pPr>
        <w:spacing w:before="0" w:after="0" w:line="120" w:lineRule="exact"/>
      </w:pPr>
    </w:p>
    <w:p>
      <w:pPr>
        <w:pStyle w:val="H3"/>
        <w:numPr>
          <w:ilvl w:val="2"/>
          <w:numId w:val="1"/>
        </w:numPr>
      </w:pPr>
      <w:r>
        <w:t>4.3 SettleMint Implementation Team</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64"/>
        <w:gridCol w:w="1030"/>
        <w:gridCol w:w="587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Allocation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Responsibility</w:t>
            </w:r>
          </w:p>
        </w:tc>
      </w:tr>
      <w:tr>
        <w:trPr>
          <w:trHeight w:val="425" w:hRule="atLeast"/>
        </w:trPr>
        <w:tc>
          <w:tcPr>
            <w:tcW w:type="dxa" w:w="3249"/>
            <w:vAlign w:val="center"/>
          </w:tcPr>
          <w:p>
            <w:pPr>
              <w:spacing w:line="276" w:lineRule="auto" w:before="0" w:after="0"/>
            </w:pPr>
            <w:r/>
            <w:r>
              <w:rPr>
                <w:rFonts w:ascii="Figtree" w:hAnsi="Figtree"/>
                <w:b w:val="0"/>
                <w:i w:val="0"/>
                <w:sz w:val="20"/>
              </w:rPr>
              <w:t>Programme Manager</w:t>
            </w:r>
          </w:p>
        </w:tc>
        <w:tc>
          <w:tcPr>
            <w:tcW w:type="dxa" w:w="3249"/>
            <w:vAlign w:val="center"/>
          </w:tcPr>
          <w:p>
            <w:pPr>
              <w:spacing w:line="276" w:lineRule="auto" w:before="0" w:after="0"/>
            </w:pPr>
            <w:r/>
            <w:r>
              <w:rPr>
                <w:rFonts w:ascii="Figtree" w:hAnsi="Figtree"/>
                <w:b w:val="0"/>
                <w:i w:val="0"/>
                <w:sz w:val="20"/>
              </w:rPr>
              <w:t>0.5 FTE</w:t>
            </w:r>
          </w:p>
        </w:tc>
        <w:tc>
          <w:tcPr>
            <w:tcW w:type="dxa" w:w="3249"/>
            <w:vAlign w:val="center"/>
          </w:tcPr>
          <w:p>
            <w:pPr>
              <w:spacing w:line="276" w:lineRule="auto" w:before="0" w:after="0"/>
            </w:pPr>
            <w:r/>
            <w:r>
              <w:rPr>
                <w:rFonts w:ascii="Figtree" w:hAnsi="Figtree"/>
                <w:b w:val="0"/>
                <w:i w:val="0"/>
                <w:sz w:val="20"/>
              </w:rPr>
              <w:t>Governance, status reporting, RAID management</w:t>
            </w:r>
          </w:p>
        </w:tc>
      </w:tr>
      <w:tr>
        <w:trPr>
          <w:trHeight w:val="425" w:hRule="atLeast"/>
        </w:trPr>
        <w:tc>
          <w:tcPr>
            <w:tcW w:type="dxa" w:w="3249"/>
            <w:vAlign w:val="center"/>
          </w:tcPr>
          <w:p>
            <w:pPr>
              <w:spacing w:line="276" w:lineRule="auto" w:before="0" w:after="0"/>
            </w:pPr>
            <w:r/>
            <w:r>
              <w:rPr>
                <w:rFonts w:ascii="Figtree" w:hAnsi="Figtree"/>
                <w:b w:val="0"/>
                <w:i w:val="0"/>
                <w:sz w:val="20"/>
              </w:rPr>
              <w:t>Solution Architect</w:t>
            </w:r>
          </w:p>
        </w:tc>
        <w:tc>
          <w:tcPr>
            <w:tcW w:type="dxa" w:w="3249"/>
            <w:vAlign w:val="center"/>
          </w:tcPr>
          <w:p>
            <w:pPr>
              <w:spacing w:line="276" w:lineRule="auto" w:before="0" w:after="0"/>
            </w:pPr>
            <w:r/>
            <w:r>
              <w:rPr>
                <w:rFonts w:ascii="Figtree" w:hAnsi="Figtree"/>
                <w:b w:val="0"/>
                <w:i w:val="0"/>
                <w:sz w:val="20"/>
              </w:rPr>
              <w:t>1.0 FTE</w:t>
            </w:r>
          </w:p>
        </w:tc>
        <w:tc>
          <w:tcPr>
            <w:tcW w:type="dxa" w:w="3249"/>
            <w:vAlign w:val="center"/>
          </w:tcPr>
          <w:p>
            <w:pPr>
              <w:spacing w:line="276" w:lineRule="auto" w:before="0" w:after="0"/>
            </w:pPr>
            <w:r/>
            <w:r>
              <w:rPr>
                <w:rFonts w:ascii="Figtree" w:hAnsi="Figtree"/>
                <w:b w:val="0"/>
                <w:i w:val="0"/>
                <w:sz w:val="20"/>
              </w:rPr>
              <w:t>Target architecture, integration design, phase gate reviews</w:t>
            </w:r>
          </w:p>
        </w:tc>
      </w:tr>
      <w:tr>
        <w:trPr>
          <w:trHeight w:val="425" w:hRule="atLeast"/>
        </w:trPr>
        <w:tc>
          <w:tcPr>
            <w:tcW w:type="dxa" w:w="3249"/>
            <w:vAlign w:val="center"/>
          </w:tcPr>
          <w:p>
            <w:pPr>
              <w:spacing w:line="276" w:lineRule="auto" w:before="0" w:after="0"/>
            </w:pPr>
            <w:r/>
            <w:r>
              <w:rPr>
                <w:rFonts w:ascii="Figtree" w:hAnsi="Figtree"/>
                <w:b w:val="0"/>
                <w:i w:val="0"/>
                <w:sz w:val="20"/>
              </w:rPr>
              <w:t>Integration Engineer</w:t>
            </w:r>
          </w:p>
        </w:tc>
        <w:tc>
          <w:tcPr>
            <w:tcW w:type="dxa" w:w="3249"/>
            <w:vAlign w:val="center"/>
          </w:tcPr>
          <w:p>
            <w:pPr>
              <w:spacing w:line="276" w:lineRule="auto" w:before="0" w:after="0"/>
            </w:pPr>
            <w:r/>
            <w:r>
              <w:rPr>
                <w:rFonts w:ascii="Figtree" w:hAnsi="Figtree"/>
                <w:b w:val="0"/>
                <w:i w:val="0"/>
                <w:sz w:val="20"/>
              </w:rPr>
              <w:t>1.0 FTE</w:t>
            </w:r>
          </w:p>
        </w:tc>
        <w:tc>
          <w:tcPr>
            <w:tcW w:type="dxa" w:w="3249"/>
            <w:vAlign w:val="center"/>
          </w:tcPr>
          <w:p>
            <w:pPr>
              <w:spacing w:line="276" w:lineRule="auto" w:before="0" w:after="0"/>
            </w:pPr>
            <w:r/>
            <w:r>
              <w:rPr>
                <w:rFonts w:ascii="Figtree" w:hAnsi="Figtree"/>
                <w:b w:val="0"/>
                <w:i w:val="0"/>
                <w:sz w:val="20"/>
              </w:rPr>
              <w:t>Enterprise integration implementation (GL, treasury, KYC, AML)</w:t>
            </w:r>
          </w:p>
        </w:tc>
      </w:tr>
      <w:tr>
        <w:trPr>
          <w:trHeight w:val="425" w:hRule="atLeast"/>
        </w:trPr>
        <w:tc>
          <w:tcPr>
            <w:tcW w:type="dxa" w:w="3249"/>
            <w:vAlign w:val="center"/>
          </w:tcPr>
          <w:p>
            <w:pPr>
              <w:spacing w:line="276" w:lineRule="auto" w:before="0" w:after="0"/>
            </w:pPr>
            <w:r/>
            <w:r>
              <w:rPr>
                <w:rFonts w:ascii="Figtree" w:hAnsi="Figtree"/>
                <w:b w:val="0"/>
                <w:i w:val="0"/>
                <w:sz w:val="20"/>
              </w:rPr>
              <w:t>Blockchain Engineer</w:t>
            </w:r>
          </w:p>
        </w:tc>
        <w:tc>
          <w:tcPr>
            <w:tcW w:type="dxa" w:w="3249"/>
            <w:vAlign w:val="center"/>
          </w:tcPr>
          <w:p>
            <w:pPr>
              <w:spacing w:line="276" w:lineRule="auto" w:before="0" w:after="0"/>
            </w:pPr>
            <w:r/>
            <w:r>
              <w:rPr>
                <w:rFonts w:ascii="Figtree" w:hAnsi="Figtree"/>
                <w:b w:val="0"/>
                <w:i w:val="0"/>
                <w:sz w:val="20"/>
              </w:rPr>
              <w:t>0.5 FTE</w:t>
            </w:r>
          </w:p>
        </w:tc>
        <w:tc>
          <w:tcPr>
            <w:tcW w:type="dxa" w:w="3249"/>
            <w:vAlign w:val="center"/>
          </w:tcPr>
          <w:p>
            <w:pPr>
              <w:spacing w:line="276" w:lineRule="auto" w:before="0" w:after="0"/>
            </w:pPr>
            <w:r/>
            <w:r>
              <w:rPr>
                <w:rFonts w:ascii="Figtree" w:hAnsi="Figtree"/>
                <w:b w:val="0"/>
                <w:i w:val="0"/>
                <w:sz w:val="20"/>
              </w:rPr>
              <w:t>Smart contract configuration, network setup, custody integration</w:t>
            </w:r>
          </w:p>
        </w:tc>
      </w:tr>
      <w:tr>
        <w:trPr>
          <w:trHeight w:val="425" w:hRule="atLeast"/>
        </w:trPr>
        <w:tc>
          <w:tcPr>
            <w:tcW w:type="dxa" w:w="3249"/>
            <w:vAlign w:val="center"/>
          </w:tcPr>
          <w:p>
            <w:pPr>
              <w:spacing w:line="276" w:lineRule="auto" w:before="0" w:after="0"/>
            </w:pPr>
            <w:r/>
            <w:r>
              <w:rPr>
                <w:rFonts w:ascii="Figtree" w:hAnsi="Figtree"/>
                <w:b w:val="0"/>
                <w:i w:val="0"/>
                <w:sz w:val="20"/>
              </w:rPr>
              <w:t>QA Engineer</w:t>
            </w:r>
          </w:p>
        </w:tc>
        <w:tc>
          <w:tcPr>
            <w:tcW w:type="dxa" w:w="3249"/>
            <w:vAlign w:val="center"/>
          </w:tcPr>
          <w:p>
            <w:pPr>
              <w:spacing w:line="276" w:lineRule="auto" w:before="0" w:after="0"/>
            </w:pPr>
            <w:r/>
            <w:r>
              <w:rPr>
                <w:rFonts w:ascii="Figtree" w:hAnsi="Figtree"/>
                <w:b w:val="0"/>
                <w:i w:val="0"/>
                <w:sz w:val="20"/>
              </w:rPr>
              <w:t>0.5 FTE</w:t>
            </w:r>
          </w:p>
        </w:tc>
        <w:tc>
          <w:tcPr>
            <w:tcW w:type="dxa" w:w="3249"/>
            <w:vAlign w:val="center"/>
          </w:tcPr>
          <w:p>
            <w:pPr>
              <w:spacing w:line="276" w:lineRule="auto" w:before="0" w:after="0"/>
            </w:pPr>
            <w:r/>
            <w:r>
              <w:rPr>
                <w:rFonts w:ascii="Figtree" w:hAnsi="Figtree"/>
                <w:b w:val="0"/>
                <w:i w:val="0"/>
                <w:sz w:val="20"/>
              </w:rPr>
              <w:t>Test strategy, SIT coordination, UAT support</w:t>
            </w:r>
          </w:p>
        </w:tc>
      </w:tr>
      <w:tr>
        <w:trPr>
          <w:trHeight w:val="425" w:hRule="atLeast"/>
        </w:trPr>
        <w:tc>
          <w:tcPr>
            <w:tcW w:type="dxa" w:w="3249"/>
            <w:vAlign w:val="center"/>
          </w:tcPr>
          <w:p>
            <w:pPr>
              <w:spacing w:line="276" w:lineRule="auto" w:before="0" w:after="0"/>
            </w:pPr>
            <w:r/>
            <w:r>
              <w:rPr>
                <w:rFonts w:ascii="Figtree" w:hAnsi="Figtree"/>
                <w:b w:val="0"/>
                <w:i w:val="0"/>
                <w:sz w:val="20"/>
              </w:rPr>
              <w:t>Compliance Specialist</w:t>
            </w:r>
          </w:p>
        </w:tc>
        <w:tc>
          <w:tcPr>
            <w:tcW w:type="dxa" w:w="3249"/>
            <w:vAlign w:val="center"/>
          </w:tcPr>
          <w:p>
            <w:pPr>
              <w:spacing w:line="276" w:lineRule="auto" w:before="0" w:after="0"/>
            </w:pPr>
            <w:r/>
            <w:r>
              <w:rPr>
                <w:rFonts w:ascii="Figtree" w:hAnsi="Figtree"/>
                <w:b w:val="0"/>
                <w:i w:val="0"/>
                <w:sz w:val="20"/>
              </w:rPr>
              <w:t>0.25 FTE</w:t>
            </w:r>
          </w:p>
        </w:tc>
        <w:tc>
          <w:tcPr>
            <w:tcW w:type="dxa" w:w="3249"/>
            <w:vAlign w:val="center"/>
          </w:tcPr>
          <w:p>
            <w:pPr>
              <w:spacing w:line="276" w:lineRule="auto" w:before="0" w:after="0"/>
            </w:pPr>
            <w:r/>
            <w:r>
              <w:rPr>
                <w:rFonts w:ascii="Figtree" w:hAnsi="Figtree"/>
                <w:b w:val="0"/>
                <w:i w:val="0"/>
                <w:sz w:val="20"/>
              </w:rPr>
              <w:t>Compliance module configuration, regulatory mapping</w:t>
            </w:r>
          </w:p>
        </w:tc>
      </w:tr>
    </w:tbl>
    <w:p>
      <w:pPr>
        <w:spacing w:before="0" w:after="0" w:line="120" w:lineRule="exact"/>
      </w:pPr>
    </w:p>
    <w:p>
      <w:r>
        <w:br w:type="page"/>
      </w:r>
    </w:p>
    <w:p>
      <w:pPr>
        <w:pStyle w:val="H2"/>
        <w:numPr>
          <w:ilvl w:val="1"/>
          <w:numId w:val="1"/>
        </w:numPr>
      </w:pPr>
      <w:r>
        <w:t>5. Support and Service Levels</w:t>
      </w:r>
    </w:p>
    <w:p>
      <w:pPr>
        <w:pStyle w:val="H3"/>
        <w:numPr>
          <w:ilvl w:val="2"/>
          <w:numId w:val="1"/>
        </w:numPr>
      </w:pPr>
      <w:r>
        <w:t>5.1 Standard Support (Included)</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75"/>
        <w:gridCol w:w="619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Parameter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Standard</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Business hours, Monday-Friday, 09:00-18:00 CET</w:t>
            </w:r>
          </w:p>
        </w:tc>
      </w:tr>
      <w:tr>
        <w:trPr>
          <w:trHeight w:val="425" w:hRule="atLeast"/>
        </w:trPr>
        <w:tc>
          <w:tcPr>
            <w:tcW w:type="dxa" w:w="4873"/>
            <w:vAlign w:val="center"/>
          </w:tcPr>
          <w:p>
            <w:pPr>
              <w:spacing w:line="276" w:lineRule="auto" w:before="0" w:after="0"/>
            </w:pPr>
            <w:r/>
            <w:r>
              <w:rPr>
                <w:rFonts w:ascii="Figtree" w:hAnsi="Figtree"/>
                <w:b w:val="0"/>
                <w:i w:val="0"/>
                <w:sz w:val="20"/>
              </w:rPr>
              <w:t>Response — P1 Critical</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Response — P2 High</w:t>
            </w:r>
          </w:p>
        </w:tc>
        <w:tc>
          <w:tcPr>
            <w:tcW w:type="dxa" w:w="4873"/>
            <w:vAlign w:val="center"/>
          </w:tcPr>
          <w:p>
            <w:pPr>
              <w:spacing w:line="276" w:lineRule="auto" w:before="0" w:after="0"/>
            </w:pPr>
            <w:r/>
            <w:r>
              <w:rPr>
                <w:rFonts w:ascii="Figtree" w:hAnsi="Figtree"/>
                <w:b w:val="0"/>
                <w:i w:val="0"/>
                <w:sz w:val="20"/>
              </w:rPr>
              <w:t>8 hours</w:t>
            </w:r>
          </w:p>
        </w:tc>
      </w:tr>
      <w:tr>
        <w:trPr>
          <w:trHeight w:val="425" w:hRule="atLeast"/>
        </w:trPr>
        <w:tc>
          <w:tcPr>
            <w:tcW w:type="dxa" w:w="4873"/>
            <w:vAlign w:val="center"/>
          </w:tcPr>
          <w:p>
            <w:pPr>
              <w:spacing w:line="276" w:lineRule="auto" w:before="0" w:after="0"/>
            </w:pPr>
            <w:r/>
            <w:r>
              <w:rPr>
                <w:rFonts w:ascii="Figtree" w:hAnsi="Figtree"/>
                <w:b w:val="0"/>
                <w:i w:val="0"/>
                <w:sz w:val="20"/>
              </w:rPr>
              <w:t>Response — P3 Medium</w:t>
            </w:r>
          </w:p>
        </w:tc>
        <w:tc>
          <w:tcPr>
            <w:tcW w:type="dxa" w:w="4873"/>
            <w:vAlign w:val="center"/>
          </w:tcPr>
          <w:p>
            <w:pPr>
              <w:spacing w:line="276" w:lineRule="auto" w:before="0" w:after="0"/>
            </w:pPr>
            <w:r/>
            <w:r>
              <w:rPr>
                <w:rFonts w:ascii="Figtree" w:hAnsi="Figtree"/>
                <w:b w:val="0"/>
                <w:i w:val="0"/>
                <w:sz w:val="20"/>
              </w:rPr>
              <w:t>24 hours</w:t>
            </w:r>
          </w:p>
        </w:tc>
      </w:tr>
      <w:tr>
        <w:trPr>
          <w:trHeight w:val="425" w:hRule="atLeast"/>
        </w:trPr>
        <w:tc>
          <w:tcPr>
            <w:tcW w:type="dxa" w:w="4873"/>
            <w:vAlign w:val="center"/>
          </w:tcPr>
          <w:p>
            <w:pPr>
              <w:spacing w:line="276" w:lineRule="auto" w:before="0" w:after="0"/>
            </w:pPr>
            <w:r/>
            <w:r>
              <w:rPr>
                <w:rFonts w:ascii="Figtree" w:hAnsi="Figtree"/>
                <w:b w:val="0"/>
                <w:i w:val="0"/>
                <w:sz w:val="20"/>
              </w:rPr>
              <w:t>Response — P4 Low</w:t>
            </w:r>
          </w:p>
        </w:tc>
        <w:tc>
          <w:tcPr>
            <w:tcW w:type="dxa" w:w="4873"/>
            <w:vAlign w:val="center"/>
          </w:tcPr>
          <w:p>
            <w:pPr>
              <w:spacing w:line="276" w:lineRule="auto" w:before="0" w:after="0"/>
            </w:pPr>
            <w:r/>
            <w:r>
              <w:rPr>
                <w:rFonts w:ascii="Figtree" w:hAnsi="Figtree"/>
                <w:b w:val="0"/>
                <w:i w:val="0"/>
                <w:sz w:val="20"/>
              </w:rPr>
              <w:t>48 hours</w:t>
            </w:r>
          </w:p>
        </w:tc>
      </w:tr>
      <w:tr>
        <w:trPr>
          <w:trHeight w:val="425" w:hRule="atLeast"/>
        </w:trPr>
        <w:tc>
          <w:tcPr>
            <w:tcW w:type="dxa" w:w="4873"/>
            <w:vAlign w:val="center"/>
          </w:tcPr>
          <w:p>
            <w:pPr>
              <w:spacing w:line="276" w:lineRule="auto" w:before="0" w:after="0"/>
            </w:pPr>
            <w:r/>
            <w:r>
              <w:rPr>
                <w:rFonts w:ascii="Figtree" w:hAnsi="Figtree"/>
                <w:b w:val="0"/>
                <w:i w:val="0"/>
                <w:sz w:val="20"/>
              </w:rPr>
              <w:t>Channels</w:t>
            </w:r>
          </w:p>
        </w:tc>
        <w:tc>
          <w:tcPr>
            <w:tcW w:type="dxa" w:w="4873"/>
            <w:vAlign w:val="center"/>
          </w:tcPr>
          <w:p>
            <w:pPr>
              <w:spacing w:line="276" w:lineRule="auto" w:before="0" w:after="0"/>
            </w:pPr>
            <w:r/>
            <w:r>
              <w:rPr>
                <w:rFonts w:ascii="Figtree" w:hAnsi="Figtree"/>
                <w:b w:val="0"/>
                <w:i w:val="0"/>
                <w:sz w:val="20"/>
              </w:rPr>
              <w:t>Email, support portal</w:t>
            </w:r>
          </w:p>
        </w:tc>
      </w:tr>
      <w:tr>
        <w:trPr>
          <w:trHeight w:val="425" w:hRule="atLeast"/>
        </w:trPr>
        <w:tc>
          <w:tcPr>
            <w:tcW w:type="dxa" w:w="4873"/>
            <w:vAlign w:val="center"/>
          </w:tcPr>
          <w:p>
            <w:pPr>
              <w:spacing w:line="276" w:lineRule="auto" w:before="0" w:after="0"/>
            </w:pPr>
            <w:r/>
            <w:r>
              <w:rPr>
                <w:rFonts w:ascii="Figtree" w:hAnsi="Figtree"/>
                <w:b w:val="0"/>
                <w:i w:val="0"/>
                <w:sz w:val="20"/>
              </w:rPr>
              <w:t>Platform uptime SLA</w:t>
            </w:r>
          </w:p>
        </w:tc>
        <w:tc>
          <w:tcPr>
            <w:tcW w:type="dxa" w:w="4873"/>
            <w:vAlign w:val="center"/>
          </w:tcPr>
          <w:p>
            <w:pPr>
              <w:spacing w:line="276" w:lineRule="auto" w:before="0" w:after="0"/>
            </w:pPr>
            <w:r/>
            <w:r>
              <w:rPr>
                <w:rFonts w:ascii="Figtree" w:hAnsi="Figtree"/>
                <w:b w:val="0"/>
                <w:i w:val="0"/>
                <w:sz w:val="20"/>
              </w:rPr>
              <w:t>99.5% for managed components</w:t>
            </w:r>
          </w:p>
        </w:tc>
      </w:tr>
      <w:tr>
        <w:trPr>
          <w:trHeight w:val="425" w:hRule="atLeast"/>
        </w:trPr>
        <w:tc>
          <w:tcPr>
            <w:tcW w:type="dxa" w:w="4873"/>
            <w:vAlign w:val="center"/>
          </w:tcPr>
          <w:p>
            <w:pPr>
              <w:spacing w:line="276" w:lineRule="auto" w:before="0" w:after="0"/>
            </w:pPr>
            <w:r/>
            <w:r>
              <w:rPr>
                <w:rFonts w:ascii="Figtree" w:hAnsi="Figtree"/>
                <w:b w:val="0"/>
                <w:i w:val="0"/>
                <w:sz w:val="20"/>
              </w:rPr>
              <w:t>Patch delivery</w:t>
            </w:r>
          </w:p>
        </w:tc>
        <w:tc>
          <w:tcPr>
            <w:tcW w:type="dxa" w:w="4873"/>
            <w:vAlign w:val="center"/>
          </w:tcPr>
          <w:p>
            <w:pPr>
              <w:spacing w:line="276" w:lineRule="auto" w:before="0" w:after="0"/>
            </w:pPr>
            <w:r/>
            <w:r>
              <w:rPr>
                <w:rFonts w:ascii="Figtree" w:hAnsi="Figtree"/>
                <w:b w:val="0"/>
                <w:i w:val="0"/>
                <w:sz w:val="20"/>
              </w:rPr>
              <w:t>Security patches: 24-48 hours; feature updates: quarterly</w:t>
            </w:r>
          </w:p>
        </w:tc>
      </w:tr>
    </w:tbl>
    <w:p>
      <w:pPr>
        <w:spacing w:before="0" w:after="0" w:line="120" w:lineRule="exact"/>
      </w:pPr>
    </w:p>
    <w:p>
      <w:pPr>
        <w:pStyle w:val="H3"/>
        <w:numPr>
          <w:ilvl w:val="2"/>
          <w:numId w:val="1"/>
        </w:numPr>
      </w:pPr>
      <w:r>
        <w:t>5.2 Enhanced Support (Optional — Priced Separately)</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01"/>
        <w:gridCol w:w="6070"/>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Parameter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Enhanced</w:t>
            </w:r>
          </w:p>
        </w:tc>
      </w:tr>
      <w:tr>
        <w:trPr>
          <w:trHeight w:val="425" w:hRule="atLeast"/>
        </w:trPr>
        <w:tc>
          <w:tcPr>
            <w:tcW w:type="dxa" w:w="4873"/>
            <w:vAlign w:val="center"/>
          </w:tcPr>
          <w:p>
            <w:pPr>
              <w:spacing w:line="276" w:lineRule="auto" w:before="0" w:after="0"/>
            </w:pPr>
            <w:r/>
            <w:r>
              <w:rPr>
                <w:rFonts w:ascii="Figtree" w:hAnsi="Figtree"/>
                <w:b w:val="0"/>
                <w:i w:val="0"/>
                <w:sz w:val="20"/>
              </w:rPr>
              <w:t>Coverage</w:t>
            </w:r>
          </w:p>
        </w:tc>
        <w:tc>
          <w:tcPr>
            <w:tcW w:type="dxa" w:w="4873"/>
            <w:vAlign w:val="center"/>
          </w:tcPr>
          <w:p>
            <w:pPr>
              <w:spacing w:line="276" w:lineRule="auto" w:before="0" w:after="0"/>
            </w:pPr>
            <w:r/>
            <w:r>
              <w:rPr>
                <w:rFonts w:ascii="Figtree" w:hAnsi="Figtree"/>
                <w:b w:val="0"/>
                <w:i w:val="0"/>
                <w:sz w:val="20"/>
              </w:rPr>
              <w:t>24x7x365</w:t>
            </w:r>
          </w:p>
        </w:tc>
      </w:tr>
      <w:tr>
        <w:trPr>
          <w:trHeight w:val="425" w:hRule="atLeast"/>
        </w:trPr>
        <w:tc>
          <w:tcPr>
            <w:tcW w:type="dxa" w:w="4873"/>
            <w:vAlign w:val="center"/>
          </w:tcPr>
          <w:p>
            <w:pPr>
              <w:spacing w:line="276" w:lineRule="auto" w:before="0" w:after="0"/>
            </w:pPr>
            <w:r/>
            <w:r>
              <w:rPr>
                <w:rFonts w:ascii="Figtree" w:hAnsi="Figtree"/>
                <w:b w:val="0"/>
                <w:i w:val="0"/>
                <w:sz w:val="20"/>
              </w:rPr>
              <w:t>Response — P1 Critical</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Response — P2 High</w:t>
            </w:r>
          </w:p>
        </w:tc>
        <w:tc>
          <w:tcPr>
            <w:tcW w:type="dxa" w:w="4873"/>
            <w:vAlign w:val="center"/>
          </w:tcPr>
          <w:p>
            <w:pPr>
              <w:spacing w:line="276" w:lineRule="auto" w:before="0" w:after="0"/>
            </w:pPr>
            <w:r/>
            <w:r>
              <w:rPr>
                <w:rFonts w:ascii="Figtree" w:hAnsi="Figtree"/>
                <w:b w:val="0"/>
                <w:i w:val="0"/>
                <w:sz w:val="20"/>
              </w:rPr>
              <w:t>1 hour</w:t>
            </w:r>
          </w:p>
        </w:tc>
      </w:tr>
      <w:tr>
        <w:trPr>
          <w:trHeight w:val="425" w:hRule="atLeast"/>
        </w:trPr>
        <w:tc>
          <w:tcPr>
            <w:tcW w:type="dxa" w:w="4873"/>
            <w:vAlign w:val="center"/>
          </w:tcPr>
          <w:p>
            <w:pPr>
              <w:spacing w:line="276" w:lineRule="auto" w:before="0" w:after="0"/>
            </w:pPr>
            <w:r/>
            <w:r>
              <w:rPr>
                <w:rFonts w:ascii="Figtree" w:hAnsi="Figtree"/>
                <w:b w:val="0"/>
                <w:i w:val="0"/>
                <w:sz w:val="20"/>
              </w:rPr>
              <w:t>Named Support Engineer</w:t>
            </w:r>
          </w:p>
        </w:tc>
        <w:tc>
          <w:tcPr>
            <w:tcW w:type="dxa" w:w="4873"/>
            <w:vAlign w:val="center"/>
          </w:tcPr>
          <w:p>
            <w:pPr>
              <w:spacing w:line="276" w:lineRule="auto" w:before="0" w:after="0"/>
            </w:pPr>
            <w:r/>
            <w:r>
              <w:rPr>
                <w:rFonts w:ascii="Figtree" w:hAnsi="Figtree"/>
                <w:b w:val="0"/>
                <w:i w:val="0"/>
                <w:sz w:val="20"/>
              </w:rPr>
              <w:t>Dedicated SettleMint engineer familiar with Airwallex deployment</w:t>
            </w:r>
          </w:p>
        </w:tc>
      </w:tr>
      <w:tr>
        <w:trPr>
          <w:trHeight w:val="425" w:hRule="atLeast"/>
        </w:trPr>
        <w:tc>
          <w:tcPr>
            <w:tcW w:type="dxa" w:w="4873"/>
            <w:vAlign w:val="center"/>
          </w:tcPr>
          <w:p>
            <w:pPr>
              <w:spacing w:line="276" w:lineRule="auto" w:before="0" w:after="0"/>
            </w:pPr>
            <w:r/>
            <w:r>
              <w:rPr>
                <w:rFonts w:ascii="Figtree" w:hAnsi="Figtree"/>
                <w:b w:val="0"/>
                <w:i w:val="0"/>
                <w:sz w:val="20"/>
              </w:rPr>
              <w:t>Monthly Architecture Review</w:t>
            </w:r>
          </w:p>
        </w:tc>
        <w:tc>
          <w:tcPr>
            <w:tcW w:type="dxa" w:w="4873"/>
            <w:vAlign w:val="center"/>
          </w:tcPr>
          <w:p>
            <w:pPr>
              <w:spacing w:line="276" w:lineRule="auto" w:before="0" w:after="0"/>
            </w:pPr>
            <w:r/>
            <w:r>
              <w:rPr>
                <w:rFonts w:ascii="Figtree" w:hAnsi="Figtree"/>
                <w:b w:val="0"/>
                <w:i w:val="0"/>
                <w:sz w:val="20"/>
              </w:rPr>
              <w:t>Included</w:t>
            </w:r>
          </w:p>
        </w:tc>
      </w:tr>
      <w:tr>
        <w:trPr>
          <w:trHeight w:val="425" w:hRule="atLeast"/>
        </w:trPr>
        <w:tc>
          <w:tcPr>
            <w:tcW w:type="dxa" w:w="4873"/>
            <w:vAlign w:val="center"/>
          </w:tcPr>
          <w:p>
            <w:pPr>
              <w:spacing w:line="276" w:lineRule="auto" w:before="0" w:after="0"/>
            </w:pPr>
            <w:r/>
            <w:r>
              <w:rPr>
                <w:rFonts w:ascii="Figtree" w:hAnsi="Figtree"/>
                <w:b w:val="0"/>
                <w:i w:val="0"/>
                <w:sz w:val="20"/>
              </w:rPr>
              <w:t>Pricing</w:t>
            </w:r>
          </w:p>
        </w:tc>
        <w:tc>
          <w:tcPr>
            <w:tcW w:type="dxa" w:w="4873"/>
            <w:vAlign w:val="center"/>
          </w:tcPr>
          <w:p>
            <w:pPr>
              <w:spacing w:line="276" w:lineRule="auto" w:before="0" w:after="0"/>
            </w:pPr>
            <w:r/>
            <w:r>
              <w:rPr>
                <w:rFonts w:ascii="Figtree" w:hAnsi="Figtree"/>
                <w:b w:val="0"/>
                <w:i w:val="0"/>
                <w:sz w:val="20"/>
              </w:rPr>
              <w:t>[CLIENT-SPECIFIC — priced on engagement scope]</w:t>
            </w:r>
          </w:p>
        </w:tc>
      </w:tr>
    </w:tbl>
    <w:p>
      <w:pPr>
        <w:spacing w:before="0" w:after="0" w:line="120" w:lineRule="exact"/>
      </w:pPr>
    </w:p>
    <w:p>
      <w:r>
        <w:rPr>
          <w:rFonts w:ascii="Figtree" w:hAnsi="Figtree"/>
          <w:b w:val="0"/>
          <w:i w:val="0"/>
          <w:sz w:val="22"/>
        </w:rPr>
        <w:t>Given Airwallex's operational profile — a global payments business with Singapore regulatory obligations and continuous cross-border settlement activity — SettleMint recommends Enhanced Support for the production environment. The 15-minute P1 response time ensures that settlement halts and critical compliance events receive immediate engineering attention, which aligns with MAS Technology Risk Management Guidelines on incident response obligations.</w:t>
      </w:r>
    </w:p>
    <w:p>
      <w:pPr>
        <w:pStyle w:val="H3"/>
        <w:numPr>
          <w:ilvl w:val="2"/>
          <w:numId w:val="1"/>
        </w:numPr>
      </w:pPr>
      <w:r>
        <w:t>5.3 Knowledge Transfer and Training</w:t>
      </w:r>
    </w:p>
    <w:p>
      <w:r>
        <w:rPr>
          <w:rFonts w:ascii="Figtree" w:hAnsi="Figtree"/>
          <w:b w:val="0"/>
          <w:i w:val="0"/>
          <w:sz w:val="22"/>
        </w:rPr>
        <w:t>Training is included within implementation services and covers: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314"/>
        <w:gridCol w:w="3702"/>
        <w:gridCol w:w="2314"/>
        <w:gridCol w:w="740"/>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Programme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Audience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Format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Duration</w:t>
            </w:r>
          </w:p>
        </w:tc>
      </w:tr>
      <w:tr>
        <w:trPr>
          <w:trHeight w:val="425" w:hRule="atLeast"/>
        </w:trPr>
        <w:tc>
          <w:tcPr>
            <w:tcW w:type="dxa" w:w="2436"/>
            <w:vAlign w:val="center"/>
          </w:tcPr>
          <w:p>
            <w:pPr>
              <w:spacing w:line="276" w:lineRule="auto" w:before="0" w:after="0"/>
            </w:pPr>
            <w:r/>
            <w:r>
              <w:rPr>
                <w:rFonts w:ascii="Figtree" w:hAnsi="Figtree"/>
                <w:b w:val="0"/>
                <w:i w:val="0"/>
                <w:sz w:val="20"/>
              </w:rPr>
              <w:t>Operations Training</w:t>
            </w:r>
          </w:p>
        </w:tc>
        <w:tc>
          <w:tcPr>
            <w:tcW w:type="dxa" w:w="2436"/>
            <w:vAlign w:val="center"/>
          </w:tcPr>
          <w:p>
            <w:pPr>
              <w:spacing w:line="276" w:lineRule="auto" w:before="0" w:after="0"/>
            </w:pPr>
            <w:r/>
            <w:r>
              <w:rPr>
                <w:rFonts w:ascii="Figtree" w:hAnsi="Figtree"/>
                <w:b w:val="0"/>
                <w:i w:val="0"/>
                <w:sz w:val="20"/>
              </w:rPr>
              <w:t>Settlement operations team</w:t>
            </w:r>
          </w:p>
        </w:tc>
        <w:tc>
          <w:tcPr>
            <w:tcW w:type="dxa" w:w="2436"/>
            <w:vAlign w:val="center"/>
          </w:tcPr>
          <w:p>
            <w:pPr>
              <w:spacing w:line="276" w:lineRule="auto" w:before="0" w:after="0"/>
            </w:pPr>
            <w:r/>
            <w:r>
              <w:rPr>
                <w:rFonts w:ascii="Figtree" w:hAnsi="Figtree"/>
                <w:b w:val="0"/>
                <w:i w:val="0"/>
                <w:sz w:val="20"/>
              </w:rPr>
              <w:t>Instructor-led, hands-on</w:t>
            </w:r>
          </w:p>
        </w:tc>
        <w:tc>
          <w:tcPr>
            <w:tcW w:type="dxa" w:w="2436"/>
            <w:vAlign w:val="center"/>
          </w:tcPr>
          <w:p>
            <w:pPr>
              <w:spacing w:line="276" w:lineRule="auto" w:before="0" w:after="0"/>
            </w:pPr>
            <w:r/>
            <w:r>
              <w:rPr>
                <w:rFonts w:ascii="Figtree" w:hAnsi="Figtree"/>
                <w:b w:val="0"/>
                <w:i w:val="0"/>
                <w:sz w:val="20"/>
              </w:rPr>
              <w:t>2 days</w:t>
            </w:r>
          </w:p>
        </w:tc>
      </w:tr>
      <w:tr>
        <w:trPr>
          <w:trHeight w:val="425" w:hRule="atLeast"/>
        </w:trPr>
        <w:tc>
          <w:tcPr>
            <w:tcW w:type="dxa" w:w="2436"/>
            <w:vAlign w:val="center"/>
          </w:tcPr>
          <w:p>
            <w:pPr>
              <w:spacing w:line="276" w:lineRule="auto" w:before="0" w:after="0"/>
            </w:pPr>
            <w:r/>
            <w:r>
              <w:rPr>
                <w:rFonts w:ascii="Figtree" w:hAnsi="Figtree"/>
                <w:b w:val="0"/>
                <w:i w:val="0"/>
                <w:sz w:val="20"/>
              </w:rPr>
              <w:t>Compliance Administration</w:t>
            </w:r>
          </w:p>
        </w:tc>
        <w:tc>
          <w:tcPr>
            <w:tcW w:type="dxa" w:w="2436"/>
            <w:vAlign w:val="center"/>
          </w:tcPr>
          <w:p>
            <w:pPr>
              <w:spacing w:line="276" w:lineRule="auto" w:before="0" w:after="0"/>
            </w:pPr>
            <w:r/>
            <w:r>
              <w:rPr>
                <w:rFonts w:ascii="Figtree" w:hAnsi="Figtree"/>
                <w:b w:val="0"/>
                <w:i w:val="0"/>
                <w:sz w:val="20"/>
              </w:rPr>
              <w:t>Compliance and risk teams</w:t>
            </w:r>
          </w:p>
        </w:tc>
        <w:tc>
          <w:tcPr>
            <w:tcW w:type="dxa" w:w="2436"/>
            <w:vAlign w:val="center"/>
          </w:tcPr>
          <w:p>
            <w:pPr>
              <w:spacing w:line="276" w:lineRule="auto" w:before="0" w:after="0"/>
            </w:pPr>
            <w:r/>
            <w:r>
              <w:rPr>
                <w:rFonts w:ascii="Figtree" w:hAnsi="Figtree"/>
                <w:b w:val="0"/>
                <w:i w:val="0"/>
                <w:sz w:val="20"/>
              </w:rPr>
              <w:t>Instructor-led, hands-on</w:t>
            </w:r>
          </w:p>
        </w:tc>
        <w:tc>
          <w:tcPr>
            <w:tcW w:type="dxa" w:w="2436"/>
            <w:vAlign w:val="center"/>
          </w:tcPr>
          <w:p>
            <w:pPr>
              <w:spacing w:line="276" w:lineRule="auto" w:before="0" w:after="0"/>
            </w:pPr>
            <w:r/>
            <w:r>
              <w:rPr>
                <w:rFonts w:ascii="Figtree" w:hAnsi="Figtree"/>
                <w:b w:val="0"/>
                <w:i w:val="0"/>
                <w:sz w:val="20"/>
              </w:rPr>
              <w:t>1 day</w:t>
            </w:r>
          </w:p>
        </w:tc>
      </w:tr>
      <w:tr>
        <w:trPr>
          <w:trHeight w:val="425" w:hRule="atLeast"/>
        </w:trPr>
        <w:tc>
          <w:tcPr>
            <w:tcW w:type="dxa" w:w="2436"/>
            <w:vAlign w:val="center"/>
          </w:tcPr>
          <w:p>
            <w:pPr>
              <w:spacing w:line="276" w:lineRule="auto" w:before="0" w:after="0"/>
            </w:pPr>
            <w:r/>
            <w:r>
              <w:rPr>
                <w:rFonts w:ascii="Figtree" w:hAnsi="Figtree"/>
                <w:b w:val="0"/>
                <w:i w:val="0"/>
                <w:sz w:val="20"/>
              </w:rPr>
              <w:t>System Administration</w:t>
            </w:r>
          </w:p>
        </w:tc>
        <w:tc>
          <w:tcPr>
            <w:tcW w:type="dxa" w:w="2436"/>
            <w:vAlign w:val="center"/>
          </w:tcPr>
          <w:p>
            <w:pPr>
              <w:spacing w:line="276" w:lineRule="auto" w:before="0" w:after="0"/>
            </w:pPr>
            <w:r/>
            <w:r>
              <w:rPr>
                <w:rFonts w:ascii="Figtree" w:hAnsi="Figtree"/>
                <w:b w:val="0"/>
                <w:i w:val="0"/>
                <w:sz w:val="20"/>
              </w:rPr>
              <w:t>Technology and DevOps teams</w:t>
            </w:r>
          </w:p>
        </w:tc>
        <w:tc>
          <w:tcPr>
            <w:tcW w:type="dxa" w:w="2436"/>
            <w:vAlign w:val="center"/>
          </w:tcPr>
          <w:p>
            <w:pPr>
              <w:spacing w:line="276" w:lineRule="auto" w:before="0" w:after="0"/>
            </w:pPr>
            <w:r/>
            <w:r>
              <w:rPr>
                <w:rFonts w:ascii="Figtree" w:hAnsi="Figtree"/>
                <w:b w:val="0"/>
                <w:i w:val="0"/>
                <w:sz w:val="20"/>
              </w:rPr>
              <w:t>Instructor-led, technical</w:t>
            </w:r>
          </w:p>
        </w:tc>
        <w:tc>
          <w:tcPr>
            <w:tcW w:type="dxa" w:w="2436"/>
            <w:vAlign w:val="center"/>
          </w:tcPr>
          <w:p>
            <w:pPr>
              <w:spacing w:line="276" w:lineRule="auto" w:before="0" w:after="0"/>
            </w:pPr>
            <w:r/>
            <w:r>
              <w:rPr>
                <w:rFonts w:ascii="Figtree" w:hAnsi="Figtree"/>
                <w:b w:val="0"/>
                <w:i w:val="0"/>
                <w:sz w:val="20"/>
              </w:rPr>
              <w:t>2 days</w:t>
            </w:r>
          </w:p>
        </w:tc>
      </w:tr>
      <w:tr>
        <w:trPr>
          <w:trHeight w:val="425" w:hRule="atLeast"/>
        </w:trPr>
        <w:tc>
          <w:tcPr>
            <w:tcW w:type="dxa" w:w="2436"/>
            <w:vAlign w:val="center"/>
          </w:tcPr>
          <w:p>
            <w:pPr>
              <w:spacing w:line="276" w:lineRule="auto" w:before="0" w:after="0"/>
            </w:pPr>
            <w:r/>
            <w:r>
              <w:rPr>
                <w:rFonts w:ascii="Figtree" w:hAnsi="Figtree"/>
                <w:b w:val="0"/>
                <w:i w:val="0"/>
                <w:sz w:val="20"/>
              </w:rPr>
              <w:t>Platform Overview</w:t>
            </w:r>
          </w:p>
        </w:tc>
        <w:tc>
          <w:tcPr>
            <w:tcW w:type="dxa" w:w="2436"/>
            <w:vAlign w:val="center"/>
          </w:tcPr>
          <w:p>
            <w:pPr>
              <w:spacing w:line="276" w:lineRule="auto" w:before="0" w:after="0"/>
            </w:pPr>
            <w:r/>
            <w:r>
              <w:rPr>
                <w:rFonts w:ascii="Figtree" w:hAnsi="Figtree"/>
                <w:b w:val="0"/>
                <w:i w:val="0"/>
                <w:sz w:val="20"/>
              </w:rPr>
              <w:t>Executive sponsors, programme management</w:t>
            </w:r>
          </w:p>
        </w:tc>
        <w:tc>
          <w:tcPr>
            <w:tcW w:type="dxa" w:w="2436"/>
            <w:vAlign w:val="center"/>
          </w:tcPr>
          <w:p>
            <w:pPr>
              <w:spacing w:line="276" w:lineRule="auto" w:before="0" w:after="0"/>
            </w:pPr>
            <w:r/>
            <w:r>
              <w:rPr>
                <w:rFonts w:ascii="Figtree" w:hAnsi="Figtree"/>
                <w:b w:val="0"/>
                <w:i w:val="0"/>
                <w:sz w:val="20"/>
              </w:rPr>
              <w:t>Briefing</w:t>
            </w:r>
          </w:p>
        </w:tc>
        <w:tc>
          <w:tcPr>
            <w:tcW w:type="dxa" w:w="2436"/>
            <w:vAlign w:val="center"/>
          </w:tcPr>
          <w:p>
            <w:pPr>
              <w:spacing w:line="276" w:lineRule="auto" w:before="0" w:after="0"/>
            </w:pPr>
            <w:r/>
            <w:r>
              <w:rPr>
                <w:rFonts w:ascii="Figtree" w:hAnsi="Figtree"/>
                <w:b w:val="0"/>
                <w:i w:val="0"/>
                <w:sz w:val="20"/>
              </w:rPr>
              <w:t>3 hours</w:t>
            </w:r>
          </w:p>
        </w:tc>
      </w:tr>
      <w:tr>
        <w:trPr>
          <w:trHeight w:val="425" w:hRule="atLeast"/>
        </w:trPr>
        <w:tc>
          <w:tcPr>
            <w:tcW w:type="dxa" w:w="2436"/>
            <w:vAlign w:val="center"/>
          </w:tcPr>
          <w:p>
            <w:pPr>
              <w:spacing w:line="276" w:lineRule="auto" w:before="0" w:after="0"/>
            </w:pPr>
            <w:r/>
            <w:r>
              <w:rPr>
                <w:rFonts w:ascii="Figtree" w:hAnsi="Figtree"/>
                <w:b w:val="0"/>
                <w:i w:val="0"/>
                <w:sz w:val="20"/>
              </w:rPr>
              <w:t>Runbook Validation</w:t>
            </w:r>
          </w:p>
        </w:tc>
        <w:tc>
          <w:tcPr>
            <w:tcW w:type="dxa" w:w="2436"/>
            <w:vAlign w:val="center"/>
          </w:tcPr>
          <w:p>
            <w:pPr>
              <w:spacing w:line="276" w:lineRule="auto" w:before="0" w:after="0"/>
            </w:pPr>
            <w:r/>
            <w:r>
              <w:rPr>
                <w:rFonts w:ascii="Figtree" w:hAnsi="Figtree"/>
                <w:b w:val="0"/>
                <w:i w:val="0"/>
                <w:sz w:val="20"/>
              </w:rPr>
              <w:t>Operations team</w:t>
            </w:r>
          </w:p>
        </w:tc>
        <w:tc>
          <w:tcPr>
            <w:tcW w:type="dxa" w:w="2436"/>
            <w:vAlign w:val="center"/>
          </w:tcPr>
          <w:p>
            <w:pPr>
              <w:spacing w:line="276" w:lineRule="auto" w:before="0" w:after="0"/>
            </w:pPr>
            <w:r/>
            <w:r>
              <w:rPr>
                <w:rFonts w:ascii="Figtree" w:hAnsi="Figtree"/>
                <w:b w:val="0"/>
                <w:i w:val="0"/>
                <w:sz w:val="20"/>
              </w:rPr>
              <w:t>Tabletop exercise</w:t>
            </w:r>
          </w:p>
        </w:tc>
        <w:tc>
          <w:tcPr>
            <w:tcW w:type="dxa" w:w="2436"/>
            <w:vAlign w:val="center"/>
          </w:tcPr>
          <w:p>
            <w:pPr>
              <w:spacing w:line="276" w:lineRule="auto" w:before="0" w:after="0"/>
            </w:pPr>
            <w:r/>
            <w:r>
              <w:rPr>
                <w:rFonts w:ascii="Figtree" w:hAnsi="Figtree"/>
                <w:b w:val="0"/>
                <w:i w:val="0"/>
                <w:sz w:val="20"/>
              </w:rPr>
              <w:t>1 day</w:t>
            </w:r>
          </w:p>
        </w:tc>
      </w:tr>
    </w:tbl>
    <w:p>
      <w:pPr>
        <w:spacing w:before="0" w:after="0" w:line="120" w:lineRule="exact"/>
      </w:pPr>
    </w:p>
    <w:p>
      <w:r>
        <w:rPr>
          <w:rFonts w:ascii="Figtree" w:hAnsi="Figtree"/>
          <w:b w:val="0"/>
          <w:i w:val="0"/>
          <w:sz w:val="22"/>
        </w:rPr>
        <w:t>Training materials are provided in a format suitable for internal re-delivery as staff rotate.</w:t>
      </w:r>
    </w:p>
    <w:p>
      <w:r>
        <w:br w:type="page"/>
      </w:r>
    </w:p>
    <w:p>
      <w:pPr>
        <w:pStyle w:val="H2"/>
        <w:numPr>
          <w:ilvl w:val="1"/>
          <w:numId w:val="1"/>
        </w:numPr>
      </w:pPr>
      <w:r>
        <w:t>6. Commercial Terms and Payment Structure</w:t>
      </w:r>
    </w:p>
    <w:p>
      <w:pPr>
        <w:pStyle w:val="H3"/>
        <w:numPr>
          <w:ilvl w:val="2"/>
          <w:numId w:val="1"/>
        </w:numPr>
      </w:pPr>
      <w:r>
        <w:t>6.1 Payment Schedule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19"/>
        <w:gridCol w:w="3901"/>
        <w:gridCol w:w="195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Payment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Timing</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Amount</w:t>
            </w:r>
          </w:p>
        </w:tc>
      </w:tr>
      <w:tr>
        <w:trPr>
          <w:trHeight w:val="425" w:hRule="atLeast"/>
        </w:trPr>
        <w:tc>
          <w:tcPr>
            <w:tcW w:type="dxa" w:w="3249"/>
            <w:vAlign w:val="center"/>
          </w:tcPr>
          <w:p>
            <w:pPr>
              <w:spacing w:line="276" w:lineRule="auto" w:before="0" w:after="0"/>
            </w:pPr>
            <w:r/>
            <w:r>
              <w:rPr>
                <w:rFonts w:ascii="Figtree" w:hAnsi="Figtree"/>
                <w:b w:val="0"/>
                <w:i w:val="0"/>
                <w:sz w:val="20"/>
              </w:rPr>
              <w:t>Year 1 — Platform License</w:t>
            </w:r>
          </w:p>
        </w:tc>
        <w:tc>
          <w:tcPr>
            <w:tcW w:type="dxa" w:w="3249"/>
            <w:vAlign w:val="center"/>
          </w:tcPr>
          <w:p>
            <w:pPr>
              <w:spacing w:line="276" w:lineRule="auto" w:before="0" w:after="0"/>
            </w:pPr>
            <w:r/>
            <w:r>
              <w:rPr>
                <w:rFonts w:ascii="Figtree" w:hAnsi="Figtree"/>
                <w:b w:val="0"/>
                <w:i w:val="0"/>
                <w:sz w:val="20"/>
              </w:rPr>
              <w:t>At contract signature</w:t>
            </w:r>
          </w:p>
        </w:tc>
        <w:tc>
          <w:tcPr>
            <w:tcW w:type="dxa" w:w="3249"/>
            <w:vAlign w:val="center"/>
          </w:tcPr>
          <w:p>
            <w:pPr>
              <w:spacing w:line="276" w:lineRule="auto" w:before="0" w:after="0"/>
            </w:pPr>
            <w:r/>
            <w:r>
              <w:rPr>
                <w:rFonts w:ascii="Figtree" w:hAnsi="Figtree"/>
                <w:b w:val="0"/>
                <w:i w:val="0"/>
                <w:sz w:val="20"/>
              </w:rPr>
              <w:t>EUR 420,000</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Tranche 1 (40%)</w:t>
            </w:r>
          </w:p>
        </w:tc>
        <w:tc>
          <w:tcPr>
            <w:tcW w:type="dxa" w:w="3249"/>
            <w:vAlign w:val="center"/>
          </w:tcPr>
          <w:p>
            <w:pPr>
              <w:spacing w:line="276" w:lineRule="auto" w:before="0" w:after="0"/>
            </w:pPr>
            <w:r/>
            <w:r>
              <w:rPr>
                <w:rFonts w:ascii="Figtree" w:hAnsi="Figtree"/>
                <w:b w:val="0"/>
                <w:i w:val="0"/>
                <w:sz w:val="20"/>
              </w:rPr>
              <w:t>At project kickoff</w:t>
            </w:r>
          </w:p>
        </w:tc>
        <w:tc>
          <w:tcPr>
            <w:tcW w:type="dxa" w:w="3249"/>
            <w:vAlign w:val="center"/>
          </w:tcPr>
          <w:p>
            <w:pPr>
              <w:spacing w:line="276" w:lineRule="auto" w:before="0" w:after="0"/>
            </w:pPr>
            <w:r/>
            <w:r>
              <w:rPr>
                <w:rFonts w:ascii="Figtree" w:hAnsi="Figtree"/>
                <w:b w:val="0"/>
                <w:i w:val="0"/>
                <w:sz w:val="20"/>
              </w:rPr>
              <w:t>[CLIENT-SPECIFIC]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Tranche 2 (30%)</w:t>
            </w:r>
          </w:p>
        </w:tc>
        <w:tc>
          <w:tcPr>
            <w:tcW w:type="dxa" w:w="3249"/>
            <w:vAlign w:val="center"/>
          </w:tcPr>
          <w:p>
            <w:pPr>
              <w:spacing w:line="276" w:lineRule="auto" w:before="0" w:after="0"/>
            </w:pPr>
            <w:r/>
            <w:r>
              <w:rPr>
                <w:rFonts w:ascii="Figtree" w:hAnsi="Figtree"/>
                <w:b w:val="0"/>
                <w:i w:val="0"/>
                <w:sz w:val="20"/>
              </w:rPr>
              <w:t>At Phase 3 completion</w:t>
            </w:r>
          </w:p>
        </w:tc>
        <w:tc>
          <w:tcPr>
            <w:tcW w:type="dxa" w:w="3249"/>
            <w:vAlign w:val="center"/>
          </w:tcPr>
          <w:p>
            <w:pPr>
              <w:spacing w:line="276" w:lineRule="auto" w:before="0" w:after="0"/>
            </w:pPr>
            <w:r/>
            <w:r>
              <w:rPr>
                <w:rFonts w:ascii="Figtree" w:hAnsi="Figtree"/>
                <w:b w:val="0"/>
                <w:i w:val="0"/>
                <w:sz w:val="20"/>
              </w:rPr>
              <w:t>[CLIENT-SPECIFIC]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Tranche 3 (30%)</w:t>
            </w:r>
          </w:p>
        </w:tc>
        <w:tc>
          <w:tcPr>
            <w:tcW w:type="dxa" w:w="3249"/>
            <w:vAlign w:val="center"/>
          </w:tcPr>
          <w:p>
            <w:pPr>
              <w:spacing w:line="276" w:lineRule="auto" w:before="0" w:after="0"/>
            </w:pPr>
            <w:r/>
            <w:r>
              <w:rPr>
                <w:rFonts w:ascii="Figtree" w:hAnsi="Figtree"/>
                <w:b w:val="0"/>
                <w:i w:val="0"/>
                <w:sz w:val="20"/>
              </w:rPr>
              <w:t>At go-live sign-off</w:t>
            </w:r>
          </w:p>
        </w:tc>
        <w:tc>
          <w:tcPr>
            <w:tcW w:type="dxa" w:w="3249"/>
            <w:vAlign w:val="center"/>
          </w:tcPr>
          <w:p>
            <w:pPr>
              <w:spacing w:line="276" w:lineRule="auto" w:before="0" w:after="0"/>
            </w:pPr>
            <w:r/>
            <w:r>
              <w:rPr>
                <w:rFonts w:ascii="Figtree" w:hAnsi="Figtree"/>
                <w:b w:val="0"/>
                <w:i w:val="0"/>
                <w:sz w:val="20"/>
              </w:rPr>
              <w:t>[CLIENT-SPECIFIC]</w:t>
            </w:r>
          </w:p>
        </w:tc>
      </w:tr>
      <w:tr>
        <w:trPr>
          <w:trHeight w:val="425" w:hRule="atLeast"/>
        </w:trPr>
        <w:tc>
          <w:tcPr>
            <w:tcW w:type="dxa" w:w="3249"/>
            <w:vAlign w:val="center"/>
          </w:tcPr>
          <w:p>
            <w:pPr>
              <w:spacing w:line="276" w:lineRule="auto" w:before="0" w:after="0"/>
            </w:pPr>
            <w:r/>
            <w:r>
              <w:rPr>
                <w:rFonts w:ascii="Figtree" w:hAnsi="Figtree"/>
                <w:b w:val="0"/>
                <w:i w:val="0"/>
                <w:sz w:val="20"/>
              </w:rPr>
              <w:t>Year 2 onwards — Platform License</w:t>
            </w:r>
          </w:p>
        </w:tc>
        <w:tc>
          <w:tcPr>
            <w:tcW w:type="dxa" w:w="3249"/>
            <w:vAlign w:val="center"/>
          </w:tcPr>
          <w:p>
            <w:pPr>
              <w:spacing w:line="276" w:lineRule="auto" w:before="0" w:after="0"/>
            </w:pPr>
            <w:r/>
            <w:r>
              <w:rPr>
                <w:rFonts w:ascii="Figtree" w:hAnsi="Figtree"/>
                <w:b w:val="0"/>
                <w:i w:val="0"/>
                <w:sz w:val="20"/>
              </w:rPr>
              <w:t>Annually in advance, on anniversary date</w:t>
            </w:r>
          </w:p>
        </w:tc>
        <w:tc>
          <w:tcPr>
            <w:tcW w:type="dxa" w:w="3249"/>
            <w:vAlign w:val="center"/>
          </w:tcPr>
          <w:p>
            <w:pPr>
              <w:spacing w:line="276" w:lineRule="auto" w:before="0" w:after="0"/>
            </w:pPr>
            <w:r/>
            <w:r>
              <w:rPr>
                <w:rFonts w:ascii="Figtree" w:hAnsi="Figtree"/>
                <w:b w:val="0"/>
                <w:i w:val="0"/>
                <w:sz w:val="20"/>
              </w:rPr>
              <w:t>EUR 420,000 per year</w:t>
            </w:r>
          </w:p>
        </w:tc>
      </w:tr>
    </w:tbl>
    <w:p>
      <w:pPr>
        <w:spacing w:before="0" w:after="0" w:line="120" w:lineRule="exact"/>
      </w:pPr>
    </w:p>
    <w:p>
      <w:pPr>
        <w:pStyle w:val="H3"/>
        <w:numPr>
          <w:ilvl w:val="2"/>
          <w:numId w:val="1"/>
        </w:numPr>
      </w:pPr>
      <w:r>
        <w:t>6.2 Contract Parameters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492"/>
        <w:gridCol w:w="6579"/>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Parameter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4873"/>
            <w:vAlign w:val="center"/>
          </w:tcPr>
          <w:p>
            <w:pPr>
              <w:spacing w:line="276" w:lineRule="auto" w:before="0" w:after="0"/>
            </w:pPr>
            <w:r/>
            <w:r>
              <w:rPr>
                <w:rFonts w:ascii="Figtree" w:hAnsi="Figtree"/>
                <w:b w:val="0"/>
                <w:i w:val="0"/>
                <w:sz w:val="20"/>
              </w:rPr>
              <w:t>Minimum license term</w:t>
            </w:r>
          </w:p>
        </w:tc>
        <w:tc>
          <w:tcPr>
            <w:tcW w:type="dxa" w:w="4873"/>
            <w:vAlign w:val="center"/>
          </w:tcPr>
          <w:p>
            <w:pPr>
              <w:spacing w:line="276" w:lineRule="auto" w:before="0" w:after="0"/>
            </w:pPr>
            <w:r/>
            <w:r>
              <w:rPr>
                <w:rFonts w:ascii="Figtree" w:hAnsi="Figtree"/>
                <w:b w:val="0"/>
                <w:i w:val="0"/>
                <w:sz w:val="20"/>
              </w:rPr>
              <w:t>1 year</w:t>
            </w:r>
          </w:p>
        </w:tc>
      </w:tr>
      <w:tr>
        <w:trPr>
          <w:trHeight w:val="425" w:hRule="atLeast"/>
        </w:trPr>
        <w:tc>
          <w:tcPr>
            <w:tcW w:type="dxa" w:w="4873"/>
            <w:vAlign w:val="center"/>
          </w:tcPr>
          <w:p>
            <w:pPr>
              <w:spacing w:line="276" w:lineRule="auto" w:before="0" w:after="0"/>
            </w:pPr>
            <w:r/>
            <w:r>
              <w:rPr>
                <w:rFonts w:ascii="Figtree" w:hAnsi="Figtree"/>
                <w:b w:val="0"/>
                <w:i w:val="0"/>
                <w:sz w:val="20"/>
              </w:rPr>
              <w:t>Price hold period</w:t>
            </w:r>
          </w:p>
        </w:tc>
        <w:tc>
          <w:tcPr>
            <w:tcW w:type="dxa" w:w="4873"/>
            <w:vAlign w:val="center"/>
          </w:tcPr>
          <w:p>
            <w:pPr>
              <w:spacing w:line="276" w:lineRule="auto" w:before="0" w:after="0"/>
            </w:pPr>
            <w:r/>
            <w:r>
              <w:rPr>
                <w:rFonts w:ascii="Figtree" w:hAnsi="Figtree"/>
                <w:b w:val="0"/>
                <w:i w:val="0"/>
                <w:sz w:val="20"/>
              </w:rPr>
              <w:t>12 months from contract signature</w:t>
            </w:r>
          </w:p>
        </w:tc>
      </w:tr>
      <w:tr>
        <w:trPr>
          <w:trHeight w:val="425" w:hRule="atLeast"/>
        </w:trPr>
        <w:tc>
          <w:tcPr>
            <w:tcW w:type="dxa" w:w="4873"/>
            <w:vAlign w:val="center"/>
          </w:tcPr>
          <w:p>
            <w:pPr>
              <w:spacing w:line="276" w:lineRule="auto" w:before="0" w:after="0"/>
            </w:pPr>
            <w:r/>
            <w:r>
              <w:rPr>
                <w:rFonts w:ascii="Figtree" w:hAnsi="Figtree"/>
                <w:b w:val="0"/>
                <w:i w:val="0"/>
                <w:sz w:val="20"/>
              </w:rPr>
              <w:t>License currency</w:t>
            </w:r>
          </w:p>
        </w:tc>
        <w:tc>
          <w:tcPr>
            <w:tcW w:type="dxa" w:w="4873"/>
            <w:vAlign w:val="center"/>
          </w:tcPr>
          <w:p>
            <w:pPr>
              <w:spacing w:line="276" w:lineRule="auto" w:before="0" w:after="0"/>
            </w:pPr>
            <w:r/>
            <w:r>
              <w:rPr>
                <w:rFonts w:ascii="Figtree" w:hAnsi="Figtree"/>
                <w:b w:val="0"/>
                <w:i w:val="0"/>
                <w:sz w:val="20"/>
              </w:rPr>
              <w:t>EUR</w:t>
            </w:r>
          </w:p>
        </w:tc>
      </w:tr>
      <w:tr>
        <w:trPr>
          <w:trHeight w:val="425" w:hRule="atLeast"/>
        </w:trPr>
        <w:tc>
          <w:tcPr>
            <w:tcW w:type="dxa" w:w="4873"/>
            <w:vAlign w:val="center"/>
          </w:tcPr>
          <w:p>
            <w:pPr>
              <w:spacing w:line="276" w:lineRule="auto" w:before="0" w:after="0"/>
            </w:pPr>
            <w:r/>
            <w:r>
              <w:rPr>
                <w:rFonts w:ascii="Figtree" w:hAnsi="Figtree"/>
                <w:b w:val="0"/>
                <w:i w:val="0"/>
                <w:sz w:val="20"/>
              </w:rPr>
              <w:t>Tax treatment</w:t>
            </w:r>
          </w:p>
        </w:tc>
        <w:tc>
          <w:tcPr>
            <w:tcW w:type="dxa" w:w="4873"/>
            <w:vAlign w:val="center"/>
          </w:tcPr>
          <w:p>
            <w:pPr>
              <w:spacing w:line="276" w:lineRule="auto" w:before="0" w:after="0"/>
            </w:pPr>
            <w:r/>
            <w:r>
              <w:rPr>
                <w:rFonts w:ascii="Figtree" w:hAnsi="Figtree"/>
                <w:b w:val="0"/>
                <w:i w:val="0"/>
                <w:sz w:val="20"/>
              </w:rPr>
              <w:t>All prices exclude applicable taxes and VAT</w:t>
            </w:r>
          </w:p>
        </w:tc>
      </w:tr>
      <w:tr>
        <w:trPr>
          <w:trHeight w:val="425" w:hRule="atLeast"/>
        </w:trPr>
        <w:tc>
          <w:tcPr>
            <w:tcW w:type="dxa" w:w="4873"/>
            <w:vAlign w:val="center"/>
          </w:tcPr>
          <w:p>
            <w:pPr>
              <w:spacing w:line="276" w:lineRule="auto" w:before="0" w:after="0"/>
            </w:pPr>
            <w:r/>
            <w:r>
              <w:rPr>
                <w:rFonts w:ascii="Figtree" w:hAnsi="Figtree"/>
                <w:b w:val="0"/>
                <w:i w:val="0"/>
                <w:sz w:val="20"/>
              </w:rPr>
              <w:t>Renewal</w:t>
            </w:r>
          </w:p>
        </w:tc>
        <w:tc>
          <w:tcPr>
            <w:tcW w:type="dxa" w:w="4873"/>
            <w:vAlign w:val="center"/>
          </w:tcPr>
          <w:p>
            <w:pPr>
              <w:spacing w:line="276" w:lineRule="auto" w:before="0" w:after="0"/>
            </w:pPr>
            <w:r/>
            <w:r>
              <w:rPr>
                <w:rFonts w:ascii="Figtree" w:hAnsi="Figtree"/>
                <w:b w:val="0"/>
                <w:i w:val="0"/>
                <w:sz w:val="20"/>
              </w:rPr>
              <w:t>Automatic annual renewal with 90 days written notice for non-renewal</w:t>
            </w:r>
          </w:p>
        </w:tc>
      </w:tr>
      <w:tr>
        <w:trPr>
          <w:trHeight w:val="425" w:hRule="atLeast"/>
        </w:trPr>
        <w:tc>
          <w:tcPr>
            <w:tcW w:type="dxa" w:w="4873"/>
            <w:vAlign w:val="center"/>
          </w:tcPr>
          <w:p>
            <w:pPr>
              <w:spacing w:line="276" w:lineRule="auto" w:before="0" w:after="0"/>
            </w:pPr>
            <w:r/>
            <w:r>
              <w:rPr>
                <w:rFonts w:ascii="Figtree" w:hAnsi="Figtree"/>
                <w:b w:val="0"/>
                <w:i w:val="0"/>
                <w:sz w:val="20"/>
              </w:rPr>
              <w:t>Indexation</w:t>
            </w:r>
          </w:p>
        </w:tc>
        <w:tc>
          <w:tcPr>
            <w:tcW w:type="dxa" w:w="4873"/>
            <w:vAlign w:val="center"/>
          </w:tcPr>
          <w:p>
            <w:pPr>
              <w:spacing w:line="276" w:lineRule="auto" w:before="0" w:after="0"/>
            </w:pPr>
            <w:r/>
            <w:r>
              <w:rPr>
                <w:rFonts w:ascii="Figtree" w:hAnsi="Figtree"/>
                <w:b w:val="0"/>
                <w:i w:val="0"/>
                <w:sz w:val="20"/>
              </w:rPr>
              <w:t>CPI-based adjustment after year 2, capped at 5% per year</w:t>
            </w:r>
          </w:p>
        </w:tc>
      </w:tr>
    </w:tbl>
    <w:p>
      <w:pPr>
        <w:spacing w:before="0" w:after="0" w:line="120" w:lineRule="exact"/>
      </w:pPr>
    </w:p>
    <w:p>
      <w:pPr>
        <w:pStyle w:val="H3"/>
        <w:numPr>
          <w:ilvl w:val="2"/>
          <w:numId w:val="1"/>
        </w:numPr>
      </w:pPr>
      <w:r>
        <w:t>6.3 Intellectual Property</w:t>
      </w:r>
    </w:p>
    <w:p>
      <w:r>
        <w:rPr>
          <w:rFonts w:ascii="Figtree" w:hAnsi="Figtree"/>
          <w:b w:val="0"/>
          <w:i w:val="0"/>
          <w:sz w:val="22"/>
        </w:rPr>
        <w:t>The DALP platform software, smart contracts, compliance modules, and addons are and remain the intellectual property of SettleMint BV. The license grants Airwallex the right to use the platform for its licensed purposes during the license period.</w:t>
      </w:r>
    </w:p>
    <w:p>
      <w:r>
        <w:rPr>
          <w:rFonts w:ascii="Figtree" w:hAnsi="Figtree"/>
          <w:b w:val="0"/>
          <w:i w:val="0"/>
          <w:sz w:val="22"/>
        </w:rPr>
        <w:t>Configuration files, integration code, operational runbooks, and documentation produced during implementation are Airwallex's intellectual property. SettleMint retains no rights over Airwallex-specific configuration or integration assets.</w:t>
      </w:r>
    </w:p>
    <w:p>
      <w:r>
        <w:br w:type="page"/>
      </w:r>
    </w:p>
    <w:p>
      <w:pPr>
        <w:pStyle w:val="H2"/>
        <w:numPr>
          <w:ilvl w:val="1"/>
          <w:numId w:val="1"/>
        </w:numPr>
      </w:pPr>
      <w:r>
        <w:t>7. Total Cost of Ownership Analysis</w:t>
      </w:r>
    </w:p>
    <w:p>
      <w:pPr>
        <w:pStyle w:val="H3"/>
        <w:numPr>
          <w:ilvl w:val="2"/>
          <w:numId w:val="1"/>
        </w:numPr>
      </w:pPr>
      <w:r>
        <w:t>7.1 Five-Year TCO Model</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90"/>
        <w:gridCol w:w="1063"/>
        <w:gridCol w:w="1063"/>
        <w:gridCol w:w="1063"/>
        <w:gridCol w:w="1063"/>
        <w:gridCol w:w="1063"/>
        <w:gridCol w:w="1063"/>
      </w:tblGrid>
      <w:tr>
        <w:trPr>
          <w:trHeight w:val="425" w:hRule="atLeast"/>
        </w:trPr>
        <w:tc>
          <w:tcPr>
            <w:tcW w:type="dxa" w:w="1392"/>
            <w:vAlign w:val="center"/>
            <w:shd w:fill="E8E0F0" w:val="clear"/>
          </w:tcPr>
          <w:p>
            <w:pPr>
              <w:spacing w:line="276" w:lineRule="auto" w:before="0" w:after="0"/>
              <w:jc w:val="left"/>
            </w:pPr>
            <w:r>
              <w:rPr>
                <w:b/>
                <w:color w:val="2D1A8C"/>
              </w:rPr>
            </w:r>
            <w:r>
              <w:rPr>
                <w:rFonts w:ascii="Figtree" w:hAnsi="Figtree"/>
                <w:b/>
                <w:i w:val="0"/>
                <w:color w:val="2D1A8C"/>
                <w:sz w:val="20"/>
              </w:rPr>
              <w:t>Cost Component</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Year 1</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Year 2</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Year 3</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Year 4</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Year 5</w:t>
            </w:r>
          </w:p>
        </w:tc>
        <w:tc>
          <w:tcPr>
            <w:tcW w:type="dxa" w:w="1392"/>
            <w:vAlign w:val="center"/>
            <w:shd w:fill="E8E0F0" w:val="clear"/>
          </w:tcPr>
          <w:p>
            <w:pPr>
              <w:spacing w:line="276" w:lineRule="auto" w:before="0" w:after="0"/>
              <w:jc w:val="center"/>
            </w:pPr>
            <w:r>
              <w:rPr>
                <w:b/>
                <w:color w:val="2D1A8C"/>
              </w:rPr>
            </w:r>
            <w:r>
              <w:rPr>
                <w:rFonts w:ascii="Figtree" w:hAnsi="Figtree"/>
                <w:b/>
                <w:i w:val="0"/>
                <w:color w:val="2D1A8C"/>
                <w:sz w:val="20"/>
              </w:rPr>
              <w:t>5-Year Total</w:t>
            </w:r>
          </w:p>
        </w:tc>
      </w:tr>
      <w:tr>
        <w:trPr>
          <w:trHeight w:val="425" w:hRule="atLeast"/>
        </w:trPr>
        <w:tc>
          <w:tcPr>
            <w:tcW w:type="dxa" w:w="1392"/>
            <w:vAlign w:val="center"/>
          </w:tcPr>
          <w:p>
            <w:pPr>
              <w:spacing w:line="276" w:lineRule="auto" w:before="0" w:after="0"/>
            </w:pPr>
            <w:r/>
            <w:r>
              <w:rPr>
                <w:rFonts w:ascii="Figtree" w:hAnsi="Figtree"/>
                <w:b w:val="0"/>
                <w:i w:val="0"/>
                <w:sz w:val="20"/>
              </w:rPr>
              <w:t>Platform License (Production + Development)</w:t>
            </w:r>
          </w:p>
        </w:tc>
        <w:tc>
          <w:tcPr>
            <w:tcW w:type="dxa" w:w="1392"/>
            <w:vAlign w:val="center"/>
          </w:tcPr>
          <w:p>
            <w:pPr>
              <w:spacing w:line="276" w:lineRule="auto" w:before="0" w:after="0"/>
            </w:pPr>
            <w:r/>
            <w:r>
              <w:rPr>
                <w:rFonts w:ascii="Figtree" w:hAnsi="Figtree"/>
                <w:b w:val="0"/>
                <w:i w:val="0"/>
                <w:sz w:val="20"/>
              </w:rPr>
              <w:t>EUR 420,000</w:t>
            </w:r>
          </w:p>
        </w:tc>
        <w:tc>
          <w:tcPr>
            <w:tcW w:type="dxa" w:w="1392"/>
            <w:vAlign w:val="center"/>
          </w:tcPr>
          <w:p>
            <w:pPr>
              <w:spacing w:line="276" w:lineRule="auto" w:before="0" w:after="0"/>
            </w:pPr>
            <w:r/>
            <w:r>
              <w:rPr>
                <w:rFonts w:ascii="Figtree" w:hAnsi="Figtree"/>
                <w:b w:val="0"/>
                <w:i w:val="0"/>
                <w:sz w:val="20"/>
              </w:rPr>
              <w:t>EUR 420,000</w:t>
            </w:r>
          </w:p>
        </w:tc>
        <w:tc>
          <w:tcPr>
            <w:tcW w:type="dxa" w:w="1392"/>
            <w:vAlign w:val="center"/>
          </w:tcPr>
          <w:p>
            <w:pPr>
              <w:spacing w:line="276" w:lineRule="auto" w:before="0" w:after="0"/>
            </w:pPr>
            <w:r/>
            <w:r>
              <w:rPr>
                <w:rFonts w:ascii="Figtree" w:hAnsi="Figtree"/>
                <w:b w:val="0"/>
                <w:i w:val="0"/>
                <w:sz w:val="20"/>
              </w:rPr>
              <w:t>EUR 429,000*</w:t>
            </w:r>
          </w:p>
        </w:tc>
        <w:tc>
          <w:tcPr>
            <w:tcW w:type="dxa" w:w="1392"/>
            <w:vAlign w:val="center"/>
          </w:tcPr>
          <w:p>
            <w:pPr>
              <w:spacing w:line="276" w:lineRule="auto" w:before="0" w:after="0"/>
            </w:pPr>
            <w:r/>
            <w:r>
              <w:rPr>
                <w:rFonts w:ascii="Figtree" w:hAnsi="Figtree"/>
                <w:b w:val="0"/>
                <w:i w:val="0"/>
                <w:sz w:val="20"/>
              </w:rPr>
              <w:t>EUR 429,000*</w:t>
            </w:r>
          </w:p>
        </w:tc>
        <w:tc>
          <w:tcPr>
            <w:tcW w:type="dxa" w:w="1392"/>
            <w:vAlign w:val="center"/>
          </w:tcPr>
          <w:p>
            <w:pPr>
              <w:spacing w:line="276" w:lineRule="auto" w:before="0" w:after="0"/>
            </w:pPr>
            <w:r/>
            <w:r>
              <w:rPr>
                <w:rFonts w:ascii="Figtree" w:hAnsi="Figtree"/>
                <w:b w:val="0"/>
                <w:i w:val="0"/>
                <w:sz w:val="20"/>
              </w:rPr>
              <w:t>EUR 429,000*</w:t>
            </w:r>
          </w:p>
        </w:tc>
        <w:tc>
          <w:tcPr>
            <w:tcW w:type="dxa" w:w="1392"/>
            <w:vAlign w:val="center"/>
          </w:tcPr>
          <w:p>
            <w:pPr>
              <w:spacing w:line="276" w:lineRule="auto" w:before="0" w:after="0"/>
            </w:pPr>
            <w:r/>
            <w:r>
              <w:rPr>
                <w:rFonts w:ascii="Figtree" w:hAnsi="Figtree"/>
                <w:b w:val="0"/>
                <w:i w:val="0"/>
                <w:sz w:val="20"/>
              </w:rPr>
              <w:t>EUR 2,127,000</w:t>
            </w:r>
          </w:p>
        </w:tc>
      </w:tr>
      <w:tr>
        <w:trPr>
          <w:trHeight w:val="425" w:hRule="atLeast"/>
        </w:trPr>
        <w:tc>
          <w:tcPr>
            <w:tcW w:type="dxa" w:w="1392"/>
            <w:vAlign w:val="center"/>
          </w:tcPr>
          <w:p>
            <w:pPr>
              <w:spacing w:line="276" w:lineRule="auto" w:before="0" w:after="0"/>
            </w:pPr>
            <w:r/>
            <w:r>
              <w:rPr>
                <w:rFonts w:ascii="Figtree" w:hAnsi="Figtree"/>
                <w:b w:val="0"/>
                <w:i w:val="0"/>
                <w:sz w:val="20"/>
              </w:rPr>
              <w:t>Implementation Services</w:t>
            </w:r>
          </w:p>
        </w:tc>
        <w:tc>
          <w:tcPr>
            <w:tcW w:type="dxa" w:w="1392"/>
            <w:vAlign w:val="center"/>
          </w:tcPr>
          <w:p>
            <w:pPr>
              <w:spacing w:line="276" w:lineRule="auto" w:before="0" w:after="0"/>
            </w:pPr>
            <w:r/>
            <w:r>
              <w:rPr>
                <w:rFonts w:ascii="Figtree" w:hAnsi="Figtree"/>
                <w:b w:val="0"/>
                <w:i w:val="0"/>
                <w:sz w:val="20"/>
              </w:rPr>
              <w:t>[CLIENT-SPECIFIC]</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w:t>
            </w:r>
          </w:p>
        </w:tc>
        <w:tc>
          <w:tcPr>
            <w:tcW w:type="dxa" w:w="1392"/>
            <w:vAlign w:val="center"/>
          </w:tcPr>
          <w:p>
            <w:pPr>
              <w:spacing w:line="276" w:lineRule="auto" w:before="0" w:after="0"/>
            </w:pPr>
            <w:r/>
            <w:r>
              <w:rPr>
                <w:rFonts w:ascii="Figtree" w:hAnsi="Figtree"/>
                <w:b w:val="0"/>
                <w:i w:val="0"/>
                <w:sz w:val="20"/>
              </w:rPr>
              <w:t>[CLIENT-SPECIFIC]</w:t>
            </w:r>
          </w:p>
        </w:tc>
      </w:tr>
      <w:tr>
        <w:trPr>
          <w:trHeight w:val="425" w:hRule="atLeast"/>
        </w:trPr>
        <w:tc>
          <w:tcPr>
            <w:tcW w:type="dxa" w:w="1392"/>
            <w:vAlign w:val="center"/>
          </w:tcPr>
          <w:p>
            <w:pPr>
              <w:spacing w:line="276" w:lineRule="auto" w:before="0" w:after="0"/>
            </w:pPr>
            <w:r/>
            <w:r>
              <w:rPr>
                <w:rFonts w:ascii="Figtree" w:hAnsi="Figtree"/>
                <w:b w:val="0"/>
                <w:i w:val="0"/>
                <w:sz w:val="20"/>
              </w:rPr>
              <w:t>Enhanced Support (optional)</w:t>
            </w:r>
          </w:p>
        </w:tc>
        <w:tc>
          <w:tcPr>
            <w:tcW w:type="dxa" w:w="1392"/>
            <w:vAlign w:val="center"/>
          </w:tcPr>
          <w:p>
            <w:pPr>
              <w:spacing w:line="276" w:lineRule="auto" w:before="0" w:after="0"/>
            </w:pPr>
            <w:r/>
            <w:r>
              <w:rPr>
                <w:rFonts w:ascii="Figtree" w:hAnsi="Figtree"/>
                <w:b w:val="0"/>
                <w:i w:val="0"/>
                <w:sz w:val="20"/>
              </w:rPr>
              <w:t>[CLIENT-SPECIFIC]</w:t>
            </w:r>
          </w:p>
        </w:tc>
        <w:tc>
          <w:tcPr>
            <w:tcW w:type="dxa" w:w="1392"/>
            <w:vAlign w:val="center"/>
          </w:tcPr>
          <w:p>
            <w:pPr>
              <w:spacing w:line="276" w:lineRule="auto" w:before="0" w:after="0"/>
            </w:pPr>
            <w:r/>
            <w:r>
              <w:rPr>
                <w:rFonts w:ascii="Figtree" w:hAnsi="Figtree"/>
                <w:b w:val="0"/>
                <w:i w:val="0"/>
                <w:sz w:val="20"/>
              </w:rPr>
              <w:t>[CLIENT-SPECIFIC]</w:t>
            </w:r>
          </w:p>
        </w:tc>
        <w:tc>
          <w:tcPr>
            <w:tcW w:type="dxa" w:w="1392"/>
            <w:vAlign w:val="center"/>
          </w:tcPr>
          <w:p>
            <w:pPr>
              <w:spacing w:line="276" w:lineRule="auto" w:before="0" w:after="0"/>
            </w:pPr>
            <w:r/>
            <w:r>
              <w:rPr>
                <w:rFonts w:ascii="Figtree" w:hAnsi="Figtree"/>
                <w:b w:val="0"/>
                <w:i w:val="0"/>
                <w:sz w:val="20"/>
              </w:rPr>
              <w:t>[CLIENT-SPECIFIC]</w:t>
            </w:r>
          </w:p>
        </w:tc>
        <w:tc>
          <w:tcPr>
            <w:tcW w:type="dxa" w:w="1392"/>
            <w:vAlign w:val="center"/>
          </w:tcPr>
          <w:p>
            <w:pPr>
              <w:spacing w:line="276" w:lineRule="auto" w:before="0" w:after="0"/>
            </w:pPr>
            <w:r/>
            <w:r>
              <w:rPr>
                <w:rFonts w:ascii="Figtree" w:hAnsi="Figtree"/>
                <w:b w:val="0"/>
                <w:i w:val="0"/>
                <w:sz w:val="20"/>
              </w:rPr>
              <w:t>[CLIENT-SPECIFIC]</w:t>
            </w:r>
          </w:p>
        </w:tc>
        <w:tc>
          <w:tcPr>
            <w:tcW w:type="dxa" w:w="1392"/>
            <w:vAlign w:val="center"/>
          </w:tcPr>
          <w:p>
            <w:pPr>
              <w:spacing w:line="276" w:lineRule="auto" w:before="0" w:after="0"/>
            </w:pPr>
            <w:r/>
            <w:r>
              <w:rPr>
                <w:rFonts w:ascii="Figtree" w:hAnsi="Figtree"/>
                <w:b w:val="0"/>
                <w:i w:val="0"/>
                <w:sz w:val="20"/>
              </w:rPr>
              <w:t>[CLIENT-SPECIFIC]</w:t>
            </w:r>
          </w:p>
        </w:tc>
        <w:tc>
          <w:tcPr>
            <w:tcW w:type="dxa" w:w="1392"/>
            <w:vAlign w:val="center"/>
          </w:tcPr>
          <w:p>
            <w:pPr>
              <w:spacing w:line="276" w:lineRule="auto" w:before="0" w:after="0"/>
            </w:pPr>
            <w:r/>
            <w:r>
              <w:rPr>
                <w:rFonts w:ascii="Figtree" w:hAnsi="Figtree"/>
                <w:b w:val="0"/>
                <w:i w:val="0"/>
                <w:sz w:val="20"/>
              </w:rPr>
              <w:t>[CLIENT-SPECIFIC]</w:t>
            </w:r>
          </w:p>
        </w:tc>
      </w:tr>
      <w:tr>
        <w:trPr>
          <w:trHeight w:val="425" w:hRule="atLeast"/>
        </w:trPr>
        <w:tc>
          <w:tcPr>
            <w:tcW w:type="dxa" w:w="1392"/>
            <w:vAlign w:val="center"/>
          </w:tcPr>
          <w:p>
            <w:pPr>
              <w:spacing w:line="276" w:lineRule="auto" w:before="0" w:after="0"/>
            </w:pPr>
            <w:r/>
            <w:r>
              <w:rPr>
                <w:rFonts w:ascii="Figtree" w:hAnsi="Figtree"/>
                <w:b w:val="0"/>
                <w:i w:val="0"/>
                <w:sz w:val="20"/>
              </w:rPr>
              <w:t>Cloud Infrastructure (Airwallex-managed)</w:t>
            </w:r>
          </w:p>
        </w:tc>
        <w:tc>
          <w:tcPr>
            <w:tcW w:type="dxa" w:w="1392"/>
            <w:vAlign w:val="center"/>
          </w:tcPr>
          <w:p>
            <w:pPr>
              <w:spacing w:line="276" w:lineRule="auto" w:before="0" w:after="0"/>
            </w:pPr>
            <w:r/>
            <w:r>
              <w:rPr>
                <w:rFonts w:ascii="Figtree" w:hAnsi="Figtree"/>
                <w:b w:val="0"/>
                <w:i w:val="0"/>
                <w:sz w:val="20"/>
              </w:rPr>
              <w:t>[CLIENT-SPECIFIC]</w:t>
            </w:r>
          </w:p>
        </w:tc>
        <w:tc>
          <w:tcPr>
            <w:tcW w:type="dxa" w:w="1392"/>
            <w:vAlign w:val="center"/>
          </w:tcPr>
          <w:p>
            <w:pPr>
              <w:spacing w:line="276" w:lineRule="auto" w:before="0" w:after="0"/>
            </w:pPr>
            <w:r/>
            <w:r>
              <w:rPr>
                <w:rFonts w:ascii="Figtree" w:hAnsi="Figtree"/>
                <w:b w:val="0"/>
                <w:i w:val="0"/>
                <w:sz w:val="20"/>
              </w:rPr>
              <w:t>[CLIENT-SPECIFIC]</w:t>
            </w:r>
          </w:p>
        </w:tc>
        <w:tc>
          <w:tcPr>
            <w:tcW w:type="dxa" w:w="1392"/>
            <w:vAlign w:val="center"/>
          </w:tcPr>
          <w:p>
            <w:pPr>
              <w:spacing w:line="276" w:lineRule="auto" w:before="0" w:after="0"/>
            </w:pPr>
            <w:r/>
            <w:r>
              <w:rPr>
                <w:rFonts w:ascii="Figtree" w:hAnsi="Figtree"/>
                <w:b w:val="0"/>
                <w:i w:val="0"/>
                <w:sz w:val="20"/>
              </w:rPr>
              <w:t>[CLIENT-SPECIFIC]</w:t>
            </w:r>
          </w:p>
        </w:tc>
        <w:tc>
          <w:tcPr>
            <w:tcW w:type="dxa" w:w="1392"/>
            <w:vAlign w:val="center"/>
          </w:tcPr>
          <w:p>
            <w:pPr>
              <w:spacing w:line="276" w:lineRule="auto" w:before="0" w:after="0"/>
            </w:pPr>
            <w:r/>
            <w:r>
              <w:rPr>
                <w:rFonts w:ascii="Figtree" w:hAnsi="Figtree"/>
                <w:b w:val="0"/>
                <w:i w:val="0"/>
                <w:sz w:val="20"/>
              </w:rPr>
              <w:t>[CLIENT-SPECIFIC]</w:t>
            </w:r>
          </w:p>
        </w:tc>
        <w:tc>
          <w:tcPr>
            <w:tcW w:type="dxa" w:w="1392"/>
            <w:vAlign w:val="center"/>
          </w:tcPr>
          <w:p>
            <w:pPr>
              <w:spacing w:line="276" w:lineRule="auto" w:before="0" w:after="0"/>
            </w:pPr>
            <w:r/>
            <w:r>
              <w:rPr>
                <w:rFonts w:ascii="Figtree" w:hAnsi="Figtree"/>
                <w:b w:val="0"/>
                <w:i w:val="0"/>
                <w:sz w:val="20"/>
              </w:rPr>
              <w:t>[CLIENT-SPECIFIC]</w:t>
            </w:r>
          </w:p>
        </w:tc>
        <w:tc>
          <w:tcPr>
            <w:tcW w:type="dxa" w:w="1392"/>
            <w:vAlign w:val="center"/>
          </w:tcPr>
          <w:p>
            <w:pPr>
              <w:spacing w:line="276" w:lineRule="auto" w:before="0" w:after="0"/>
            </w:pPr>
            <w:r/>
            <w:r>
              <w:rPr>
                <w:rFonts w:ascii="Figtree" w:hAnsi="Figtree"/>
                <w:b w:val="0"/>
                <w:i w:val="0"/>
                <w:sz w:val="20"/>
              </w:rPr>
              <w:t>[CLIENT-SPECIFIC]</w:t>
            </w:r>
          </w:p>
        </w:tc>
      </w:tr>
      <w:tr>
        <w:trPr>
          <w:trHeight w:val="425" w:hRule="atLeast"/>
        </w:trPr>
        <w:tc>
          <w:tcPr>
            <w:tcW w:type="dxa" w:w="1392"/>
            <w:vAlign w:val="center"/>
          </w:tcPr>
          <w:p>
            <w:pPr>
              <w:spacing w:line="276" w:lineRule="auto" w:before="0" w:after="0"/>
            </w:pPr>
            <w:r/>
            <w:r>
              <w:rPr>
                <w:rFonts w:ascii="Figtree" w:hAnsi="Figtree"/>
                <w:b w:val="0"/>
                <w:i w:val="0"/>
                <w:sz w:val="20"/>
              </w:rPr>
              <w:t>Custody Provider Fees</w:t>
            </w:r>
          </w:p>
        </w:tc>
        <w:tc>
          <w:tcPr>
            <w:tcW w:type="dxa" w:w="1392"/>
            <w:vAlign w:val="center"/>
          </w:tcPr>
          <w:p>
            <w:pPr>
              <w:spacing w:line="276" w:lineRule="auto" w:before="0" w:after="0"/>
            </w:pPr>
            <w:r/>
            <w:r>
              <w:rPr>
                <w:rFonts w:ascii="Figtree" w:hAnsi="Figtree"/>
                <w:b w:val="0"/>
                <w:i w:val="0"/>
                <w:sz w:val="20"/>
              </w:rPr>
              <w:t>[CLIENT-SPECIFIC]</w:t>
            </w:r>
          </w:p>
        </w:tc>
        <w:tc>
          <w:tcPr>
            <w:tcW w:type="dxa" w:w="1392"/>
            <w:vAlign w:val="center"/>
          </w:tcPr>
          <w:p>
            <w:pPr>
              <w:spacing w:line="276" w:lineRule="auto" w:before="0" w:after="0"/>
            </w:pPr>
            <w:r/>
            <w:r>
              <w:rPr>
                <w:rFonts w:ascii="Figtree" w:hAnsi="Figtree"/>
                <w:b w:val="0"/>
                <w:i w:val="0"/>
                <w:sz w:val="20"/>
              </w:rPr>
              <w:t>[CLIENT-SPECIFIC]</w:t>
            </w:r>
          </w:p>
        </w:tc>
        <w:tc>
          <w:tcPr>
            <w:tcW w:type="dxa" w:w="1392"/>
            <w:vAlign w:val="center"/>
          </w:tcPr>
          <w:p>
            <w:pPr>
              <w:spacing w:line="276" w:lineRule="auto" w:before="0" w:after="0"/>
            </w:pPr>
            <w:r/>
            <w:r>
              <w:rPr>
                <w:rFonts w:ascii="Figtree" w:hAnsi="Figtree"/>
                <w:b w:val="0"/>
                <w:i w:val="0"/>
                <w:sz w:val="20"/>
              </w:rPr>
              <w:t>[CLIENT-SPECIFIC]</w:t>
            </w:r>
          </w:p>
        </w:tc>
        <w:tc>
          <w:tcPr>
            <w:tcW w:type="dxa" w:w="1392"/>
            <w:vAlign w:val="center"/>
          </w:tcPr>
          <w:p>
            <w:pPr>
              <w:spacing w:line="276" w:lineRule="auto" w:before="0" w:after="0"/>
            </w:pPr>
            <w:r/>
            <w:r>
              <w:rPr>
                <w:rFonts w:ascii="Figtree" w:hAnsi="Figtree"/>
                <w:b w:val="0"/>
                <w:i w:val="0"/>
                <w:sz w:val="20"/>
              </w:rPr>
              <w:t>[CLIENT-SPECIFIC]</w:t>
            </w:r>
          </w:p>
        </w:tc>
        <w:tc>
          <w:tcPr>
            <w:tcW w:type="dxa" w:w="1392"/>
            <w:vAlign w:val="center"/>
          </w:tcPr>
          <w:p>
            <w:pPr>
              <w:spacing w:line="276" w:lineRule="auto" w:before="0" w:after="0"/>
            </w:pPr>
            <w:r/>
            <w:r>
              <w:rPr>
                <w:rFonts w:ascii="Figtree" w:hAnsi="Figtree"/>
                <w:b w:val="0"/>
                <w:i w:val="0"/>
                <w:sz w:val="20"/>
              </w:rPr>
              <w:t>[CLIENT-SPECIFIC]</w:t>
            </w:r>
          </w:p>
        </w:tc>
        <w:tc>
          <w:tcPr>
            <w:tcW w:type="dxa" w:w="1392"/>
            <w:vAlign w:val="center"/>
          </w:tcPr>
          <w:p>
            <w:pPr>
              <w:spacing w:line="276" w:lineRule="auto" w:before="0" w:after="0"/>
            </w:pPr>
            <w:r/>
            <w:r>
              <w:rPr>
                <w:rFonts w:ascii="Figtree" w:hAnsi="Figtree"/>
                <w:b w:val="0"/>
                <w:i w:val="0"/>
                <w:sz w:val="20"/>
              </w:rPr>
              <w:t>[CLIENT-SPECIFIC]</w:t>
            </w:r>
          </w:p>
        </w:tc>
      </w:tr>
    </w:tbl>
    <w:p>
      <w:pPr>
        <w:spacing w:before="0" w:after="0" w:line="120" w:lineRule="exact"/>
      </w:pPr>
    </w:p>
    <w:p>
      <w:r>
        <w:rPr>
          <w:rFonts w:ascii="Figtree" w:hAnsi="Figtree"/>
          <w:b w:val="0"/>
          <w:i w:val="0"/>
          <w:sz w:val="22"/>
        </w:rPr>
        <w:t>*Indicative — subject to CPI indexation terms agreed at contract signature.</w:t>
      </w:r>
    </w:p>
    <w:p>
      <w:pPr>
        <w:pStyle w:val="H3"/>
        <w:numPr>
          <w:ilvl w:val="2"/>
          <w:numId w:val="1"/>
        </w:numPr>
      </w:pPr>
      <w:r>
        <w:t>7.2 Comparative TCO Position</w:t>
      </w:r>
    </w:p>
    <w:p>
      <w:r>
        <w:rPr>
          <w:rFonts w:ascii="Figtree" w:hAnsi="Figtree"/>
          <w:b w:val="0"/>
          <w:i w:val="0"/>
          <w:sz w:val="22"/>
        </w:rPr>
        <w:t>DALP's five-year platform licensing cost of EUR 2.1 million represents the primary fixed cost component. Against the alternative of assembling an equivalent regulated settlement capability from point solutions (estimated EUR 3-5 million over five years in licensing, integration, and maintenance costs) or building from scratch (estimated EUR 4-8 million over five years), DALP's TCO position is materially favorable.</w:t>
      </w:r>
    </w:p>
    <w:p>
      <w:r>
        <w:rPr>
          <w:rFonts w:ascii="Figtree" w:hAnsi="Figtree"/>
          <w:b w:val="0"/>
          <w:i w:val="0"/>
          <w:sz w:val="22"/>
        </w:rPr>
        <w:t>The economic advantage is most pronounced when the value of accelerated time-to-production is factored in: 19 weeks under DALP versus 18-36 months for a comparable custom build. For Airwallex, the opportunity cost of delayed cross-border settlement programme delivery is measured against the revenues and operational savings achievable once the programme is operational.</w:t>
      </w:r>
    </w:p>
    <w:p>
      <w:r>
        <w:br w:type="page"/>
      </w:r>
    </w:p>
    <w:p>
      <w:pPr>
        <w:pStyle w:val="H2"/>
        <w:numPr>
          <w:ilvl w:val="1"/>
          <w:numId w:val="1"/>
        </w:numPr>
      </w:pPr>
      <w:r>
        <w:t>8. Expansion Economics</w:t>
      </w:r>
    </w:p>
    <w:p>
      <w:pPr>
        <w:pStyle w:val="H3"/>
        <w:numPr>
          <w:ilvl w:val="2"/>
          <w:numId w:val="1"/>
        </w:numPr>
      </w:pPr>
      <w:r>
        <w:t>8.1 Within-License Expansion</w:t>
      </w:r>
    </w:p>
    <w:p>
      <w:r>
        <w:rPr>
          <w:rFonts w:ascii="Figtree" w:hAnsi="Figtree"/>
          <w:b w:val="0"/>
          <w:i w:val="0"/>
          <w:sz w:val="22"/>
        </w:rPr>
        <w:t>The production license covers Airwallex's Singapore-domiciled cross-border settlement operations without volume caps or per-transaction fees. Additional settlement corridors, additional currency-denominated instruments, and additional participant legal entities within the same deployment instance are covered within the existing license at no additional cost.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384"/>
        <w:gridCol w:w="1872"/>
        <w:gridCol w:w="381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Expansion Scenario</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License Impact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Implementation Impact</w:t>
            </w:r>
          </w:p>
        </w:tc>
      </w:tr>
      <w:tr>
        <w:trPr>
          <w:trHeight w:val="425" w:hRule="atLeast"/>
        </w:trPr>
        <w:tc>
          <w:tcPr>
            <w:tcW w:type="dxa" w:w="3249"/>
            <w:vAlign w:val="center"/>
          </w:tcPr>
          <w:p>
            <w:pPr>
              <w:spacing w:line="276" w:lineRule="auto" w:before="0" w:after="0"/>
            </w:pPr>
            <w:r/>
            <w:r>
              <w:rPr>
                <w:rFonts w:ascii="Figtree" w:hAnsi="Figtree"/>
                <w:b w:val="0"/>
                <w:i w:val="0"/>
                <w:sz w:val="20"/>
              </w:rPr>
              <w:t>Additional settlement currency (e.g., EUR, GBP)</w:t>
            </w:r>
          </w:p>
        </w:tc>
        <w:tc>
          <w:tcPr>
            <w:tcW w:type="dxa" w:w="3249"/>
            <w:vAlign w:val="center"/>
          </w:tcPr>
          <w:p>
            <w:pPr>
              <w:spacing w:line="276" w:lineRule="auto" w:before="0" w:after="0"/>
            </w:pPr>
            <w:r/>
            <w:r>
              <w:rPr>
                <w:rFonts w:ascii="Figtree" w:hAnsi="Figtree"/>
                <w:b w:val="0"/>
                <w:i w:val="0"/>
                <w:sz w:val="20"/>
              </w:rPr>
              <w:t>No additional license cost</w:t>
            </w:r>
          </w:p>
        </w:tc>
        <w:tc>
          <w:tcPr>
            <w:tcW w:type="dxa" w:w="3249"/>
            <w:vAlign w:val="center"/>
          </w:tcPr>
          <w:p>
            <w:pPr>
              <w:spacing w:line="276" w:lineRule="auto" w:before="0" w:after="0"/>
            </w:pPr>
            <w:r/>
            <w:r>
              <w:rPr>
                <w:rFonts w:ascii="Figtree" w:hAnsi="Figtree"/>
                <w:b w:val="0"/>
                <w:i w:val="0"/>
                <w:sz w:val="20"/>
              </w:rPr>
              <w:t>Configuration only: 2-4 weeks with SettleMint support</w:t>
            </w:r>
          </w:p>
        </w:tc>
      </w:tr>
      <w:tr>
        <w:trPr>
          <w:trHeight w:val="425" w:hRule="atLeast"/>
        </w:trPr>
        <w:tc>
          <w:tcPr>
            <w:tcW w:type="dxa" w:w="3249"/>
            <w:vAlign w:val="center"/>
          </w:tcPr>
          <w:p>
            <w:pPr>
              <w:spacing w:line="276" w:lineRule="auto" w:before="0" w:after="0"/>
            </w:pPr>
            <w:r/>
            <w:r>
              <w:rPr>
                <w:rFonts w:ascii="Figtree" w:hAnsi="Figtree"/>
                <w:b w:val="0"/>
                <w:i w:val="0"/>
                <w:sz w:val="20"/>
              </w:rPr>
              <w:t>Additional legal entity within Singapore</w:t>
            </w:r>
          </w:p>
        </w:tc>
        <w:tc>
          <w:tcPr>
            <w:tcW w:type="dxa" w:w="3249"/>
            <w:vAlign w:val="center"/>
          </w:tcPr>
          <w:p>
            <w:pPr>
              <w:spacing w:line="276" w:lineRule="auto" w:before="0" w:after="0"/>
            </w:pPr>
            <w:r/>
            <w:r>
              <w:rPr>
                <w:rFonts w:ascii="Figtree" w:hAnsi="Figtree"/>
                <w:b w:val="0"/>
                <w:i w:val="0"/>
                <w:sz w:val="20"/>
              </w:rPr>
              <w:t>No additional license cost</w:t>
            </w:r>
          </w:p>
        </w:tc>
        <w:tc>
          <w:tcPr>
            <w:tcW w:type="dxa" w:w="3249"/>
            <w:vAlign w:val="center"/>
          </w:tcPr>
          <w:p>
            <w:pPr>
              <w:spacing w:line="276" w:lineRule="auto" w:before="0" w:after="0"/>
            </w:pPr>
            <w:r/>
            <w:r>
              <w:rPr>
                <w:rFonts w:ascii="Figtree" w:hAnsi="Figtree"/>
                <w:b w:val="0"/>
                <w:i w:val="0"/>
                <w:sz w:val="20"/>
              </w:rPr>
              <w:t>Configuration only: 2-4 weeks</w:t>
            </w:r>
          </w:p>
        </w:tc>
      </w:tr>
      <w:tr>
        <w:trPr>
          <w:trHeight w:val="425" w:hRule="atLeast"/>
        </w:trPr>
        <w:tc>
          <w:tcPr>
            <w:tcW w:type="dxa" w:w="3249"/>
            <w:vAlign w:val="center"/>
          </w:tcPr>
          <w:p>
            <w:pPr>
              <w:spacing w:line="276" w:lineRule="auto" w:before="0" w:after="0"/>
            </w:pPr>
            <w:r/>
            <w:r>
              <w:rPr>
                <w:rFonts w:ascii="Figtree" w:hAnsi="Figtree"/>
                <w:b w:val="0"/>
                <w:i w:val="0"/>
                <w:sz w:val="20"/>
              </w:rPr>
              <w:t>Additional settlement participant types</w:t>
            </w:r>
          </w:p>
        </w:tc>
        <w:tc>
          <w:tcPr>
            <w:tcW w:type="dxa" w:w="3249"/>
            <w:vAlign w:val="center"/>
          </w:tcPr>
          <w:p>
            <w:pPr>
              <w:spacing w:line="276" w:lineRule="auto" w:before="0" w:after="0"/>
            </w:pPr>
            <w:r/>
            <w:r>
              <w:rPr>
                <w:rFonts w:ascii="Figtree" w:hAnsi="Figtree"/>
                <w:b w:val="0"/>
                <w:i w:val="0"/>
                <w:sz w:val="20"/>
              </w:rPr>
              <w:t>No additional license cost</w:t>
            </w:r>
          </w:p>
        </w:tc>
        <w:tc>
          <w:tcPr>
            <w:tcW w:type="dxa" w:w="3249"/>
            <w:vAlign w:val="center"/>
          </w:tcPr>
          <w:p>
            <w:pPr>
              <w:spacing w:line="276" w:lineRule="auto" w:before="0" w:after="0"/>
            </w:pPr>
            <w:r/>
            <w:r>
              <w:rPr>
                <w:rFonts w:ascii="Figtree" w:hAnsi="Figtree"/>
                <w:b w:val="0"/>
                <w:i w:val="0"/>
                <w:sz w:val="20"/>
              </w:rPr>
              <w:t>Configuration only: 1-2 weeks</w:t>
            </w:r>
          </w:p>
        </w:tc>
      </w:tr>
      <w:tr>
        <w:trPr>
          <w:trHeight w:val="425" w:hRule="atLeast"/>
        </w:trPr>
        <w:tc>
          <w:tcPr>
            <w:tcW w:type="dxa" w:w="3249"/>
            <w:vAlign w:val="center"/>
          </w:tcPr>
          <w:p>
            <w:pPr>
              <w:spacing w:line="276" w:lineRule="auto" w:before="0" w:after="0"/>
            </w:pPr>
            <w:r/>
            <w:r>
              <w:rPr>
                <w:rFonts w:ascii="Figtree" w:hAnsi="Figtree"/>
                <w:b w:val="0"/>
                <w:i w:val="0"/>
                <w:sz w:val="20"/>
              </w:rPr>
              <w:t>Transaction volume growth</w:t>
            </w:r>
          </w:p>
        </w:tc>
        <w:tc>
          <w:tcPr>
            <w:tcW w:type="dxa" w:w="3249"/>
            <w:vAlign w:val="center"/>
          </w:tcPr>
          <w:p>
            <w:pPr>
              <w:spacing w:line="276" w:lineRule="auto" w:before="0" w:after="0"/>
            </w:pPr>
            <w:r/>
            <w:r>
              <w:rPr>
                <w:rFonts w:ascii="Figtree" w:hAnsi="Figtree"/>
                <w:b w:val="0"/>
                <w:i w:val="0"/>
                <w:sz w:val="20"/>
              </w:rPr>
              <w:t>No volume-linked fees</w:t>
            </w:r>
          </w:p>
        </w:tc>
        <w:tc>
          <w:tcPr>
            <w:tcW w:type="dxa" w:w="3249"/>
            <w:vAlign w:val="center"/>
          </w:tcPr>
          <w:p>
            <w:pPr>
              <w:spacing w:line="276" w:lineRule="auto" w:before="0" w:after="0"/>
            </w:pPr>
            <w:r/>
            <w:r>
              <w:rPr>
                <w:rFonts w:ascii="Figtree" w:hAnsi="Figtree"/>
                <w:b w:val="0"/>
                <w:i w:val="0"/>
                <w:sz w:val="20"/>
              </w:rPr>
              <w:t>Platform scales to infrastructure capacity</w:t>
            </w:r>
          </w:p>
        </w:tc>
      </w:tr>
    </w:tbl>
    <w:p>
      <w:pPr>
        <w:spacing w:before="0" w:after="0" w:line="120" w:lineRule="exact"/>
      </w:pPr>
    </w:p>
    <w:p>
      <w:pPr>
        <w:pStyle w:val="H3"/>
        <w:numPr>
          <w:ilvl w:val="2"/>
          <w:numId w:val="1"/>
        </w:numPr>
      </w:pPr>
      <w:r>
        <w:t>8.2 Cross-Jurisdiction Expansion</w:t>
      </w:r>
    </w:p>
    <w:p>
      <w:r>
        <w:rPr>
          <w:rFonts w:ascii="Figtree" w:hAnsi="Figtree"/>
          <w:b w:val="0"/>
          <w:i w:val="0"/>
          <w:sz w:val="22"/>
        </w:rPr>
        <w:t>For expansion to additional jurisdiction deployments (e.g., Hong Kong, Australia, UAE) requiring separate production environments per jurisdiction, additional production licenses apply at EUR 300,000 per year per production environment. Development environments for additional jurisdictions are EUR 120,000 per year.</w:t>
      </w:r>
    </w:p>
    <w:p>
      <w:r>
        <w:rPr>
          <w:rFonts w:ascii="Figtree" w:hAnsi="Figtree"/>
          <w:b w:val="0"/>
          <w:i w:val="0"/>
          <w:sz w:val="22"/>
        </w:rPr>
        <w:t>Volume discounts for multi-jurisdiction agreements are available subject to written approval from SettleMint commercial leadership. Multi-year commitment structures that reduce the effective per-environment rate are available under the same approval process.</w:t>
      </w:r>
    </w:p>
    <w:p>
      <w:pPr>
        <w:pStyle w:val="H3"/>
        <w:numPr>
          <w:ilvl w:val="2"/>
          <w:numId w:val="1"/>
        </w:numPr>
      </w:pPr>
      <w:r>
        <w:t>8.3 Platform Capability Expansion</w:t>
      </w:r>
    </w:p>
    <w:p>
      <w:r>
        <w:rPr>
          <w:rFonts w:ascii="Figtree" w:hAnsi="Figtree"/>
          <w:b w:val="0"/>
          <w:i w:val="0"/>
          <w:sz w:val="22"/>
        </w:rPr>
        <w:t>New DALP capabilities released during the license period — including new asset types, compliance modules, addons, and integration connectors — are included in the existing license without additional cost. Major version upgrades that require implementation effort are scoped as change requests, with SettleMint providing effort estimates before commencement.</w:t>
      </w:r>
    </w:p>
    <w:p>
      <w:r>
        <w:br w:type="page"/>
      </w:r>
    </w:p>
    <w:p>
      <w:pPr>
        <w:pStyle w:val="H2"/>
        <w:numPr>
          <w:ilvl w:val="1"/>
          <w:numId w:val="1"/>
        </w:numPr>
      </w:pPr>
      <w:r>
        <w:t>9. Exit Readiness and Transition Provisions</w:t>
      </w:r>
    </w:p>
    <w:p>
      <w:r>
        <w:rPr>
          <w:rFonts w:ascii="Figtree" w:hAnsi="Figtree"/>
          <w:b w:val="0"/>
          <w:i w:val="0"/>
          <w:sz w:val="22"/>
        </w:rPr>
        <w:t>SettleMint treats exit readiness as a commercial commitment, not an afterthought. The following provisions are standard within the license agreement:</w:t>
      </w:r>
    </w:p>
    <w:p>
      <w:r>
        <w:rPr>
          <w:rFonts w:ascii="Figtree" w:hAnsi="Figtree"/>
          <w:b/>
          <w:i w:val="0"/>
          <w:sz w:val="22"/>
        </w:rPr>
        <w:t>Data Exportability.</w:t>
      </w:r>
      <w:r>
        <w:rPr>
          <w:rFonts w:ascii="Figtree" w:hAnsi="Figtree"/>
          <w:b w:val="0"/>
          <w:i w:val="0"/>
          <w:sz w:val="22"/>
        </w:rPr>
        <w:t xml:space="preserve"> All token state, transaction records, audit logs, identity data, and configuration are exportable in structured formats (JSON, CSV) at any time during the license period and for 12 months after license termination. Export is available through DAPI without requiring SettleMint engineering involvement.</w:t>
      </w:r>
    </w:p>
    <w:p>
      <w:r>
        <w:rPr>
          <w:rFonts w:ascii="Figtree" w:hAnsi="Figtree"/>
          <w:b/>
          <w:i w:val="0"/>
          <w:sz w:val="22"/>
        </w:rPr>
        <w:t>Configuration Documentation.</w:t>
      </w:r>
      <w:r>
        <w:rPr>
          <w:rFonts w:ascii="Figtree" w:hAnsi="Figtree"/>
          <w:b w:val="0"/>
          <w:i w:val="0"/>
          <w:sz w:val="22"/>
        </w:rPr>
        <w:t xml:space="preserve"> Full configuration documentation — compliance module parameters, approval workflow definitions, role assignments, and integration specifications — is maintained throughout the implementation period and updated on each change. Configuration documentation is Airwallex's property and is transferable to an alternative service provider.</w:t>
      </w:r>
    </w:p>
    <w:p>
      <w:r>
        <w:rPr>
          <w:rFonts w:ascii="Figtree" w:hAnsi="Figtree"/>
          <w:b/>
          <w:i w:val="0"/>
          <w:sz w:val="22"/>
        </w:rPr>
        <w:t>Smart Contract Independence.</w:t>
      </w:r>
      <w:r>
        <w:rPr>
          <w:rFonts w:ascii="Figtree" w:hAnsi="Figtree"/>
          <w:b w:val="0"/>
          <w:i w:val="0"/>
          <w:sz w:val="22"/>
        </w:rPr>
        <w:t xml:space="preserve"> DALPAsset smart contracts deployed on Airwallex's infrastructure are not dependent on SettleMint-operated infrastructure for their on-chain state. Token balances, compliance rules, and identity data remain on-chain and accessible regardless of the DALP application layer status.</w:t>
      </w:r>
    </w:p>
    <w:p>
      <w:r>
        <w:rPr>
          <w:rFonts w:ascii="Figtree" w:hAnsi="Figtree"/>
          <w:b/>
          <w:i w:val="0"/>
          <w:sz w:val="22"/>
        </w:rPr>
        <w:t>Transition Assistance.</w:t>
      </w:r>
      <w:r>
        <w:rPr>
          <w:rFonts w:ascii="Figtree" w:hAnsi="Figtree"/>
          <w:b w:val="0"/>
          <w:i w:val="0"/>
          <w:sz w:val="22"/>
        </w:rPr>
        <w:t xml:space="preserve"> Following license termination, SettleMint provides up to 90 days of transition assistance at standard professional services day rates. Transition assistance covers configuration documentation review, data export support, and integration handover to an alternative service provider or internal team.</w:t>
      </w:r>
    </w:p>
    <w:p>
      <w:r>
        <w:rPr>
          <w:rFonts w:ascii="Figtree" w:hAnsi="Figtree"/>
          <w:b/>
          <w:i w:val="0"/>
          <w:sz w:val="22"/>
        </w:rPr>
        <w:t>Knowledge Transfer.</w:t>
      </w:r>
      <w:r>
        <w:rPr>
          <w:rFonts w:ascii="Figtree" w:hAnsi="Figtree"/>
          <w:b w:val="0"/>
          <w:i w:val="0"/>
          <w:sz w:val="22"/>
        </w:rPr>
        <w:t xml:space="preserve"> Implementation deliverables are designed for internal maintainability. Runbooks, architecture documentation, and training materials are structured for re-delivery by Airwallex's internal team without SettleMint involvement.</w:t>
      </w:r>
    </w:p>
    <w:p>
      <w:r>
        <w:br w:type="page"/>
      </w:r>
    </w:p>
    <w:p>
      <w:pPr>
        <w:pStyle w:val="H2"/>
        <w:numPr>
          <w:ilvl w:val="1"/>
          <w:numId w:val="1"/>
        </w:numPr>
      </w:pPr>
      <w:r>
        <w:t>10. Assumptions Register</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30"/>
        <w:gridCol w:w="2709"/>
        <w:gridCol w:w="283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Assumption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Impact if Different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Resolution Path</w:t>
            </w:r>
          </w:p>
        </w:tc>
      </w:tr>
      <w:tr>
        <w:trPr>
          <w:trHeight w:val="425" w:hRule="atLeast"/>
        </w:trPr>
        <w:tc>
          <w:tcPr>
            <w:tcW w:type="dxa" w:w="3249"/>
            <w:vAlign w:val="center"/>
          </w:tcPr>
          <w:p>
            <w:pPr>
              <w:spacing w:line="276" w:lineRule="auto" w:before="0" w:after="0"/>
            </w:pPr>
            <w:r/>
            <w:r>
              <w:rPr>
                <w:rFonts w:ascii="Figtree" w:hAnsi="Figtree"/>
                <w:b w:val="0"/>
                <w:i w:val="0"/>
                <w:sz w:val="20"/>
              </w:rPr>
              <w:t>Airwallex operates in Singapore under MAS licensing</w:t>
            </w:r>
          </w:p>
        </w:tc>
        <w:tc>
          <w:tcPr>
            <w:tcW w:type="dxa" w:w="3249"/>
            <w:vAlign w:val="center"/>
          </w:tcPr>
          <w:p>
            <w:pPr>
              <w:spacing w:line="276" w:lineRule="auto" w:before="0" w:after="0"/>
            </w:pPr>
            <w:r/>
            <w:r>
              <w:rPr>
                <w:rFonts w:ascii="Figtree" w:hAnsi="Figtree"/>
                <w:b w:val="0"/>
                <w:i w:val="0"/>
                <w:sz w:val="20"/>
              </w:rPr>
              <w:t>Compliance module configuration would differ</w:t>
            </w:r>
          </w:p>
        </w:tc>
        <w:tc>
          <w:tcPr>
            <w:tcW w:type="dxa" w:w="3249"/>
            <w:vAlign w:val="center"/>
          </w:tcPr>
          <w:p>
            <w:pPr>
              <w:spacing w:line="276" w:lineRule="auto" w:before="0" w:after="0"/>
            </w:pPr>
            <w:r/>
            <w:r>
              <w:rPr>
                <w:rFonts w:ascii="Figtree" w:hAnsi="Figtree"/>
                <w:b w:val="0"/>
                <w:i w:val="0"/>
                <w:sz w:val="20"/>
              </w:rPr>
              <w:t>Confirm in Phase 1 discovery</w:t>
            </w:r>
          </w:p>
        </w:tc>
      </w:tr>
      <w:tr>
        <w:trPr>
          <w:trHeight w:val="425" w:hRule="atLeast"/>
        </w:trPr>
        <w:tc>
          <w:tcPr>
            <w:tcW w:type="dxa" w:w="3249"/>
            <w:vAlign w:val="center"/>
          </w:tcPr>
          <w:p>
            <w:pPr>
              <w:spacing w:line="276" w:lineRule="auto" w:before="0" w:after="0"/>
            </w:pPr>
            <w:r/>
            <w:r>
              <w:rPr>
                <w:rFonts w:ascii="Figtree" w:hAnsi="Figtree"/>
                <w:b w:val="0"/>
                <w:i w:val="0"/>
                <w:sz w:val="20"/>
              </w:rPr>
              <w:t>Initial deployment covers 2-3 settlement instruments</w:t>
            </w:r>
          </w:p>
        </w:tc>
        <w:tc>
          <w:tcPr>
            <w:tcW w:type="dxa" w:w="3249"/>
            <w:vAlign w:val="center"/>
          </w:tcPr>
          <w:p>
            <w:pPr>
              <w:spacing w:line="276" w:lineRule="auto" w:before="0" w:after="0"/>
            </w:pPr>
            <w:r/>
            <w:r>
              <w:rPr>
                <w:rFonts w:ascii="Figtree" w:hAnsi="Figtree"/>
                <w:b w:val="0"/>
                <w:i w:val="0"/>
                <w:sz w:val="20"/>
              </w:rPr>
              <w:t>Implementation scope and cost may increase</w:t>
            </w:r>
          </w:p>
        </w:tc>
        <w:tc>
          <w:tcPr>
            <w:tcW w:type="dxa" w:w="3249"/>
            <w:vAlign w:val="center"/>
          </w:tcPr>
          <w:p>
            <w:pPr>
              <w:spacing w:line="276" w:lineRule="auto" w:before="0" w:after="0"/>
            </w:pPr>
            <w:r/>
            <w:r>
              <w:rPr>
                <w:rFonts w:ascii="Figtree" w:hAnsi="Figtree"/>
                <w:b w:val="0"/>
                <w:i w:val="0"/>
                <w:sz w:val="20"/>
              </w:rPr>
              <w:t>Finalize in discovery scoping</w:t>
            </w:r>
          </w:p>
        </w:tc>
      </w:tr>
      <w:tr>
        <w:trPr>
          <w:trHeight w:val="425" w:hRule="atLeast"/>
        </w:trPr>
        <w:tc>
          <w:tcPr>
            <w:tcW w:type="dxa" w:w="3249"/>
            <w:vAlign w:val="center"/>
          </w:tcPr>
          <w:p>
            <w:pPr>
              <w:spacing w:line="276" w:lineRule="auto" w:before="0" w:after="0"/>
            </w:pPr>
            <w:r/>
            <w:r>
              <w:rPr>
                <w:rFonts w:ascii="Figtree" w:hAnsi="Figtree"/>
                <w:b w:val="0"/>
                <w:i w:val="0"/>
                <w:sz w:val="20"/>
              </w:rPr>
              <w:t>Airwallex has an existing KYC engine with API integration capability</w:t>
            </w:r>
          </w:p>
        </w:tc>
        <w:tc>
          <w:tcPr>
            <w:tcW w:type="dxa" w:w="3249"/>
            <w:vAlign w:val="center"/>
          </w:tcPr>
          <w:p>
            <w:pPr>
              <w:spacing w:line="276" w:lineRule="auto" w:before="0" w:after="0"/>
            </w:pPr>
            <w:r/>
            <w:r>
              <w:rPr>
                <w:rFonts w:ascii="Figtree" w:hAnsi="Figtree"/>
                <w:b w:val="0"/>
                <w:i w:val="0"/>
                <w:sz w:val="20"/>
              </w:rPr>
              <w:t>Alternative claim issuance patterns available; may affect timeline</w:t>
            </w:r>
          </w:p>
        </w:tc>
        <w:tc>
          <w:tcPr>
            <w:tcW w:type="dxa" w:w="3249"/>
            <w:vAlign w:val="center"/>
          </w:tcPr>
          <w:p>
            <w:pPr>
              <w:spacing w:line="276" w:lineRule="auto" w:before="0" w:after="0"/>
            </w:pPr>
            <w:r/>
            <w:r>
              <w:rPr>
                <w:rFonts w:ascii="Figtree" w:hAnsi="Figtree"/>
                <w:b w:val="0"/>
                <w:i w:val="0"/>
                <w:sz w:val="20"/>
              </w:rPr>
              <w:t>Confirm in Phase 1 discovery</w:t>
            </w:r>
          </w:p>
        </w:tc>
      </w:tr>
      <w:tr>
        <w:trPr>
          <w:trHeight w:val="425" w:hRule="atLeast"/>
        </w:trPr>
        <w:tc>
          <w:tcPr>
            <w:tcW w:type="dxa" w:w="3249"/>
            <w:vAlign w:val="center"/>
          </w:tcPr>
          <w:p>
            <w:pPr>
              <w:spacing w:line="276" w:lineRule="auto" w:before="0" w:after="0"/>
            </w:pPr>
            <w:r/>
            <w:r>
              <w:rPr>
                <w:rFonts w:ascii="Figtree" w:hAnsi="Figtree"/>
                <w:b w:val="0"/>
                <w:i w:val="0"/>
                <w:sz w:val="20"/>
              </w:rPr>
              <w:t>Airwallex's Singapore cloud environment (Kubernetes) is available for Phase 2 start</w:t>
            </w:r>
          </w:p>
        </w:tc>
        <w:tc>
          <w:tcPr>
            <w:tcW w:type="dxa" w:w="3249"/>
            <w:vAlign w:val="center"/>
          </w:tcPr>
          <w:p>
            <w:pPr>
              <w:spacing w:line="276" w:lineRule="auto" w:before="0" w:after="0"/>
            </w:pPr>
            <w:r/>
            <w:r>
              <w:rPr>
                <w:rFonts w:ascii="Figtree" w:hAnsi="Figtree"/>
                <w:b w:val="0"/>
                <w:i w:val="0"/>
                <w:sz w:val="20"/>
              </w:rPr>
              <w:t>Phase 2 delay if environment not ready</w:t>
            </w:r>
          </w:p>
        </w:tc>
        <w:tc>
          <w:tcPr>
            <w:tcW w:type="dxa" w:w="3249"/>
            <w:vAlign w:val="center"/>
          </w:tcPr>
          <w:p>
            <w:pPr>
              <w:spacing w:line="276" w:lineRule="auto" w:before="0" w:after="0"/>
            </w:pPr>
            <w:r/>
            <w:r>
              <w:rPr>
                <w:rFonts w:ascii="Figtree" w:hAnsi="Figtree"/>
                <w:b w:val="0"/>
                <w:i w:val="0"/>
                <w:sz w:val="20"/>
              </w:rPr>
              <w:t>Confirm environment readiness at contract signature</w:t>
            </w:r>
          </w:p>
        </w:tc>
      </w:tr>
      <w:tr>
        <w:trPr>
          <w:trHeight w:val="425" w:hRule="atLeast"/>
        </w:trPr>
        <w:tc>
          <w:tcPr>
            <w:tcW w:type="dxa" w:w="3249"/>
            <w:vAlign w:val="center"/>
          </w:tcPr>
          <w:p>
            <w:pPr>
              <w:spacing w:line="276" w:lineRule="auto" w:before="0" w:after="0"/>
            </w:pPr>
            <w:r/>
            <w:r>
              <w:rPr>
                <w:rFonts w:ascii="Figtree" w:hAnsi="Figtree"/>
                <w:b w:val="0"/>
                <w:i w:val="0"/>
                <w:sz w:val="20"/>
              </w:rPr>
              <w:t>Custody provider (DFNS or Fireblocks) is selected within 4 weeks of contract signature</w:t>
            </w:r>
          </w:p>
        </w:tc>
        <w:tc>
          <w:tcPr>
            <w:tcW w:type="dxa" w:w="3249"/>
            <w:vAlign w:val="center"/>
          </w:tcPr>
          <w:p>
            <w:pPr>
              <w:spacing w:line="276" w:lineRule="auto" w:before="0" w:after="0"/>
            </w:pPr>
            <w:r/>
            <w:r>
              <w:rPr>
                <w:rFonts w:ascii="Figtree" w:hAnsi="Figtree"/>
                <w:b w:val="0"/>
                <w:i w:val="0"/>
                <w:sz w:val="20"/>
              </w:rPr>
              <w:t>Phase 2 delay if custody provider not available</w:t>
            </w:r>
          </w:p>
        </w:tc>
        <w:tc>
          <w:tcPr>
            <w:tcW w:type="dxa" w:w="3249"/>
            <w:vAlign w:val="center"/>
          </w:tcPr>
          <w:p>
            <w:pPr>
              <w:spacing w:line="276" w:lineRule="auto" w:before="0" w:after="0"/>
            </w:pPr>
            <w:r/>
            <w:r>
              <w:rPr>
                <w:rFonts w:ascii="Figtree" w:hAnsi="Figtree"/>
                <w:b w:val="0"/>
                <w:i w:val="0"/>
                <w:sz w:val="20"/>
              </w:rPr>
              <w:t>Parallel-track custody provider selection with commercial negotiation</w:t>
            </w:r>
          </w:p>
        </w:tc>
      </w:tr>
      <w:tr>
        <w:trPr>
          <w:trHeight w:val="425" w:hRule="atLeast"/>
        </w:trPr>
        <w:tc>
          <w:tcPr>
            <w:tcW w:type="dxa" w:w="3249"/>
            <w:vAlign w:val="center"/>
          </w:tcPr>
          <w:p>
            <w:pPr>
              <w:spacing w:line="276" w:lineRule="auto" w:before="0" w:after="0"/>
            </w:pPr>
            <w:r/>
            <w:r>
              <w:rPr>
                <w:rFonts w:ascii="Figtree" w:hAnsi="Figtree"/>
                <w:b w:val="0"/>
                <w:i w:val="0"/>
                <w:sz w:val="20"/>
              </w:rPr>
              <w:t>All prices in EUR; Airwallex invoicing in EUR</w:t>
            </w:r>
          </w:p>
        </w:tc>
        <w:tc>
          <w:tcPr>
            <w:tcW w:type="dxa" w:w="3249"/>
            <w:vAlign w:val="center"/>
          </w:tcPr>
          <w:p>
            <w:pPr>
              <w:spacing w:line="276" w:lineRule="auto" w:before="0" w:after="0"/>
            </w:pPr>
            <w:r/>
            <w:r>
              <w:rPr>
                <w:rFonts w:ascii="Figtree" w:hAnsi="Figtree"/>
                <w:b w:val="0"/>
                <w:i w:val="0"/>
                <w:sz w:val="20"/>
              </w:rPr>
              <w:t>Currency conversion applies if Airwallex requires billing in SGD</w:t>
            </w:r>
          </w:p>
        </w:tc>
        <w:tc>
          <w:tcPr>
            <w:tcW w:type="dxa" w:w="3249"/>
            <w:vAlign w:val="center"/>
          </w:tcPr>
          <w:p>
            <w:pPr>
              <w:spacing w:line="276" w:lineRule="auto" w:before="0" w:after="0"/>
            </w:pPr>
            <w:r/>
            <w:r>
              <w:rPr>
                <w:rFonts w:ascii="Figtree" w:hAnsi="Figtree"/>
                <w:b w:val="0"/>
                <w:i w:val="0"/>
                <w:sz w:val="20"/>
              </w:rPr>
              <w:t>Confirm billing currency at contract signature</w:t>
            </w:r>
          </w:p>
        </w:tc>
      </w:tr>
      <w:tr>
        <w:trPr>
          <w:trHeight w:val="425" w:hRule="atLeast"/>
        </w:trPr>
        <w:tc>
          <w:tcPr>
            <w:tcW w:type="dxa" w:w="3249"/>
            <w:vAlign w:val="center"/>
          </w:tcPr>
          <w:p>
            <w:pPr>
              <w:spacing w:line="276" w:lineRule="auto" w:before="0" w:after="0"/>
            </w:pPr>
            <w:r/>
            <w:r>
              <w:rPr>
                <w:rFonts w:ascii="Figtree" w:hAnsi="Figtree"/>
                <w:b w:val="0"/>
                <w:i w:val="0"/>
                <w:sz w:val="20"/>
              </w:rPr>
              <w:t>Standard support is sufficient for initial programme period</w:t>
            </w:r>
          </w:p>
        </w:tc>
        <w:tc>
          <w:tcPr>
            <w:tcW w:type="dxa" w:w="3249"/>
            <w:vAlign w:val="center"/>
          </w:tcPr>
          <w:p>
            <w:pPr>
              <w:spacing w:line="276" w:lineRule="auto" w:before="0" w:after="0"/>
            </w:pPr>
            <w:r/>
            <w:r>
              <w:rPr>
                <w:rFonts w:ascii="Figtree" w:hAnsi="Figtree"/>
                <w:b w:val="0"/>
                <w:i w:val="0"/>
                <w:sz w:val="20"/>
              </w:rPr>
              <w:t>Enhanced support surcharge applies if required</w:t>
            </w:r>
          </w:p>
        </w:tc>
        <w:tc>
          <w:tcPr>
            <w:tcW w:type="dxa" w:w="3249"/>
            <w:vAlign w:val="center"/>
          </w:tcPr>
          <w:p>
            <w:pPr>
              <w:spacing w:line="276" w:lineRule="auto" w:before="0" w:after="0"/>
            </w:pPr>
            <w:r/>
            <w:r>
              <w:rPr>
                <w:rFonts w:ascii="Figtree" w:hAnsi="Figtree"/>
                <w:b w:val="0"/>
                <w:i w:val="0"/>
                <w:sz w:val="20"/>
              </w:rPr>
              <w:t>Confirm support tier during commercial negotiation</w:t>
            </w:r>
          </w:p>
        </w:tc>
      </w:tr>
      <w:tr>
        <w:trPr>
          <w:trHeight w:val="425" w:hRule="atLeast"/>
        </w:trPr>
        <w:tc>
          <w:tcPr>
            <w:tcW w:type="dxa" w:w="3249"/>
            <w:vAlign w:val="center"/>
          </w:tcPr>
          <w:p>
            <w:pPr>
              <w:spacing w:line="276" w:lineRule="auto" w:before="0" w:after="0"/>
            </w:pPr>
            <w:r/>
            <w:r>
              <w:rPr>
                <w:rFonts w:ascii="Figtree" w:hAnsi="Figtree"/>
                <w:b w:val="0"/>
                <w:i w:val="0"/>
                <w:sz w:val="20"/>
              </w:rPr>
              <w:t>Implementation commences within 8 weeks of contract signature</w:t>
            </w:r>
          </w:p>
        </w:tc>
        <w:tc>
          <w:tcPr>
            <w:tcW w:type="dxa" w:w="3249"/>
            <w:vAlign w:val="center"/>
          </w:tcPr>
          <w:p>
            <w:pPr>
              <w:spacing w:line="276" w:lineRule="auto" w:before="0" w:after="0"/>
            </w:pPr>
            <w:r/>
            <w:r>
              <w:rPr>
                <w:rFonts w:ascii="Figtree" w:hAnsi="Figtree"/>
                <w:b w:val="0"/>
                <w:i w:val="0"/>
                <w:sz w:val="20"/>
              </w:rPr>
              <w:t>Implementation timeline shifts accordingly</w:t>
            </w:r>
          </w:p>
        </w:tc>
        <w:tc>
          <w:tcPr>
            <w:tcW w:type="dxa" w:w="3249"/>
            <w:vAlign w:val="center"/>
          </w:tcPr>
          <w:p>
            <w:pPr>
              <w:spacing w:line="276" w:lineRule="auto" w:before="0" w:after="0"/>
            </w:pPr>
            <w:r/>
            <w:r>
              <w:rPr>
                <w:rFonts w:ascii="Figtree" w:hAnsi="Figtree"/>
                <w:b w:val="0"/>
                <w:i w:val="0"/>
                <w:sz w:val="20"/>
              </w:rPr>
              <w:t>Agree kickoff date at contract signature</w:t>
            </w:r>
          </w:p>
        </w:tc>
      </w:tr>
    </w:tbl>
    <w:p>
      <w:pPr>
        <w:spacing w:before="0" w:after="0" w:line="120" w:lineRule="exact"/>
      </w:pPr>
    </w:p>
    <w:p>
      <w:r>
        <w:br w:type="page"/>
      </w:r>
    </w:p>
    <w:p>
      <w:r>
        <w:rPr>
          <w:rFonts w:ascii="Figtree" w:hAnsi="Figtree"/>
          <w:b w:val="0"/>
          <w:i/>
          <w:sz w:val="22"/>
        </w:rPr>
        <w:t>Document classification: Confidential — Airwallex Evaluation Only. Not for distribution.</w:t>
      </w:r>
      <w:r>
        <w:rPr>
          <w:rFonts w:ascii="Figtree" w:hAnsi="Figtree"/>
          <w:b w:val="0"/>
          <w:i w:val="0"/>
          <w:sz w:val="22"/>
        </w:rPr>
        <w:t xml:space="preserve">  </w:t>
      </w:r>
    </w:p>
    <w:p>
      <w:r>
        <w:rPr>
          <w:rFonts w:ascii="Figtree" w:hAnsi="Figtree"/>
          <w:b w:val="0"/>
          <w:i/>
          <w:sz w:val="22"/>
        </w:rPr>
        <w:t>All prices exclude applicable taxes and VAT.</w:t>
      </w:r>
      <w:r>
        <w:rPr>
          <w:rFonts w:ascii="Figtree" w:hAnsi="Figtree"/>
          <w:b w:val="0"/>
          <w:i w:val="0"/>
          <w:sz w:val="22"/>
        </w:rPr>
        <w:t xml:space="preserve">  </w:t>
      </w:r>
    </w:p>
    <w:p>
      <w:r>
        <w:rPr>
          <w:rFonts w:ascii="Figtree" w:hAnsi="Figtree"/>
          <w:b w:val="0"/>
          <w:i/>
          <w:sz w:val="22"/>
        </w:rPr>
        <w:t>Annual, upfront payment terms apply to all license fees.</w:t>
      </w:r>
      <w:r>
        <w:rPr>
          <w:rFonts w:ascii="Figtree" w:hAnsi="Figtree"/>
          <w:b w:val="0"/>
          <w:i w:val="0"/>
          <w:sz w:val="22"/>
        </w:rPr>
        <w:t xml:space="preserve">  </w:t>
      </w:r>
    </w:p>
    <w:p>
      <w:r>
        <w:rPr>
          <w:rFonts w:ascii="Figtree" w:hAnsi="Figtree"/>
          <w:b w:val="0"/>
          <w:i/>
          <w:sz w:val="22"/>
        </w:rPr>
        <w:t>SettleMint BV — Registered in Belgium. All rights reserved.</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