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Commercial Proposal: Tokenized Payment Rails Platform</w:t>
          </w:r>
          <w:r>
            <w:tab/>
          </w:r>
          <w:r>
            <w:t xml:space="preserve">3</w:t>
          </w:r>
        </w:p>
        <w:p>
          <w:pPr>
            <w:pStyle w:val="TOC2"/>
            <w:tabs>
              <w:tab w:val="right" w:leader="dot" w:pos="9072"/>
            </w:tabs>
          </w:pPr>
          <w:r>
            <w:t xml:space="preserve">Table of Contents</w:t>
          </w:r>
          <w:r>
            <w:tab/>
          </w:r>
          <w:r>
            <w:t xml:space="preserve">4</w:t>
          </w:r>
        </w:p>
        <w:p>
          <w:pPr>
            <w:pStyle w:val="TOC2"/>
            <w:tabs>
              <w:tab w:val="right" w:leader="dot" w:pos="9072"/>
            </w:tabs>
          </w:pPr>
          <w:r>
            <w:t xml:space="preserve">1. Executive Summary</w:t>
          </w:r>
          <w:r>
            <w:tab/>
          </w:r>
          <w:r>
            <w:t xml:space="preserve">5</w:t>
          </w:r>
        </w:p>
        <w:p>
          <w:pPr>
            <w:pStyle w:val="TOC2"/>
            <w:tabs>
              <w:tab w:val="right" w:leader="dot" w:pos="9072"/>
            </w:tabs>
          </w:pPr>
          <w:r>
            <w:t xml:space="preserve">2. Investment Rationale</w:t>
          </w:r>
          <w:r>
            <w:tab/>
          </w:r>
          <w:r>
            <w:t xml:space="preserve">6</w:t>
          </w:r>
        </w:p>
        <w:p>
          <w:pPr>
            <w:pStyle w:val="TOC3"/>
            <w:tabs>
              <w:tab w:val="right" w:leader="dot" w:pos="9072"/>
            </w:tabs>
          </w:pPr>
          <w:r>
            <w:t xml:space="preserve">2.1 Current Payment Economics</w:t>
          </w:r>
          <w:r>
            <w:tab/>
          </w:r>
          <w:r>
            <w:t xml:space="preserve">7</w:t>
          </w:r>
        </w:p>
        <w:p>
          <w:pPr>
            <w:pStyle w:val="TOC3"/>
            <w:tabs>
              <w:tab w:val="right" w:leader="dot" w:pos="9072"/>
            </w:tabs>
          </w:pPr>
          <w:r>
            <w:t xml:space="preserve">2.2 Why DALP Changes Economics</w:t>
          </w:r>
          <w:r>
            <w:tab/>
          </w:r>
          <w:r>
            <w:t xml:space="preserve">8</w:t>
          </w:r>
        </w:p>
        <w:p>
          <w:pPr>
            <w:pStyle w:val="TOC3"/>
            <w:tabs>
              <w:tab w:val="right" w:leader="dot" w:pos="9072"/>
            </w:tabs>
          </w:pPr>
          <w:r>
            <w:t xml:space="preserve">2.3 ROI Framework</w:t>
          </w:r>
          <w:r>
            <w:tab/>
          </w:r>
          <w:r>
            <w:t xml:space="preserve">9</w:t>
          </w:r>
        </w:p>
        <w:p>
          <w:pPr>
            <w:pStyle w:val="TOC2"/>
            <w:tabs>
              <w:tab w:val="right" w:leader="dot" w:pos="9072"/>
            </w:tabs>
          </w:pPr>
          <w:r>
            <w:t xml:space="preserve">3. Licensing Model</w:t>
          </w:r>
          <w:r>
            <w:tab/>
          </w:r>
          <w:r>
            <w:t xml:space="preserve">10</w:t>
          </w:r>
        </w:p>
        <w:p>
          <w:pPr>
            <w:pStyle w:val="TOC3"/>
            <w:tabs>
              <w:tab w:val="right" w:leader="dot" w:pos="9072"/>
            </w:tabs>
          </w:pPr>
          <w:r>
            <w:t xml:space="preserve">3.1 Enterprise Tier</w:t>
          </w:r>
          <w:r>
            <w:tab/>
          </w:r>
          <w:r>
            <w:t xml:space="preserve">11</w:t>
          </w:r>
        </w:p>
        <w:p>
          <w:pPr>
            <w:pStyle w:val="TOC3"/>
            <w:tabs>
              <w:tab w:val="right" w:leader="dot" w:pos="9072"/>
            </w:tabs>
          </w:pPr>
          <w:r>
            <w:t xml:space="preserve">3.2 What's Included</w:t>
          </w:r>
          <w:r>
            <w:tab/>
          </w:r>
          <w:r>
            <w:t xml:space="preserve">12</w:t>
          </w:r>
        </w:p>
        <w:p>
          <w:pPr>
            <w:pStyle w:val="TOC3"/>
            <w:tabs>
              <w:tab w:val="right" w:leader="dot" w:pos="9072"/>
            </w:tabs>
          </w:pPr>
          <w:r>
            <w:t xml:space="preserve">3.3 What Varies</w:t>
          </w:r>
          <w:r>
            <w:tab/>
          </w:r>
          <w:r>
            <w:t xml:space="preserve">13</w:t>
          </w:r>
        </w:p>
        <w:p>
          <w:pPr>
            <w:pStyle w:val="TOC2"/>
            <w:tabs>
              <w:tab w:val="right" w:leader="dot" w:pos="9072"/>
            </w:tabs>
          </w:pPr>
          <w:r>
            <w:t xml:space="preserve">4. Deployment Options and Pricing</w:t>
          </w:r>
          <w:r>
            <w:tab/>
          </w:r>
          <w:r>
            <w:t xml:space="preserve">14</w:t>
          </w:r>
        </w:p>
        <w:p>
          <w:pPr>
            <w:pStyle w:val="TOC3"/>
            <w:tabs>
              <w:tab w:val="right" w:leader="dot" w:pos="9072"/>
            </w:tabs>
          </w:pPr>
          <w:r>
            <w:t xml:space="preserve">4.1 Recommended: Managed SaaS (AWS Singapore) + Regional Extensions</w:t>
          </w:r>
          <w:r>
            <w:tab/>
          </w:r>
          <w:r>
            <w:t xml:space="preserve">15</w:t>
          </w:r>
        </w:p>
        <w:p>
          <w:pPr>
            <w:pStyle w:val="TOC3"/>
            <w:tabs>
              <w:tab w:val="right" w:leader="dot" w:pos="9072"/>
            </w:tabs>
          </w:pPr>
          <w:r>
            <w:t xml:space="preserve">4.2 Cost Structure</w:t>
          </w:r>
          <w:r>
            <w:tab/>
          </w:r>
          <w:r>
            <w:t xml:space="preserve">16</w:t>
          </w:r>
        </w:p>
        <w:p>
          <w:pPr>
            <w:pStyle w:val="TOC3"/>
            <w:tabs>
              <w:tab w:val="right" w:leader="dot" w:pos="9072"/>
            </w:tabs>
          </w:pPr>
          <w:r>
            <w:t xml:space="preserve">4.3 Cost Drivers</w:t>
          </w:r>
          <w:r>
            <w:tab/>
          </w:r>
          <w:r>
            <w:t xml:space="preserve">17</w:t>
          </w:r>
        </w:p>
        <w:p>
          <w:pPr>
            <w:pStyle w:val="TOC2"/>
            <w:tabs>
              <w:tab w:val="right" w:leader="dot" w:pos="9072"/>
            </w:tabs>
          </w:pPr>
          <w:r>
            <w:t xml:space="preserve">5. Support and SLA Framework</w:t>
          </w:r>
          <w:r>
            <w:tab/>
          </w:r>
          <w:r>
            <w:t xml:space="preserve">18</w:t>
          </w:r>
        </w:p>
        <w:p>
          <w:pPr>
            <w:pStyle w:val="TOC2"/>
            <w:tabs>
              <w:tab w:val="right" w:leader="dot" w:pos="9072"/>
            </w:tabs>
          </w:pPr>
          <w:r>
            <w:t xml:space="preserve">6. Implementation Investment</w:t>
          </w:r>
          <w:r>
            <w:tab/>
          </w:r>
          <w:r>
            <w:t xml:space="preserve">19</w:t>
          </w:r>
        </w:p>
        <w:p>
          <w:pPr>
            <w:pStyle w:val="TOC3"/>
            <w:tabs>
              <w:tab w:val="right" w:leader="dot" w:pos="9072"/>
            </w:tabs>
          </w:pPr>
          <w:r>
            <w:t xml:space="preserve">6.1 Phase Summary</w:t>
          </w:r>
          <w:r>
            <w:tab/>
          </w:r>
          <w:r>
            <w:t xml:space="preserve">20</w:t>
          </w:r>
        </w:p>
        <w:p>
          <w:pPr>
            <w:pStyle w:val="TOC3"/>
            <w:tabs>
              <w:tab w:val="right" w:leader="dot" w:pos="9072"/>
            </w:tabs>
          </w:pPr>
          <w:r>
            <w:t xml:space="preserve">6.2 Investment Summary</w:t>
          </w:r>
          <w:r>
            <w:tab/>
          </w:r>
          <w:r>
            <w:t xml:space="preserve">21</w:t>
          </w:r>
        </w:p>
        <w:p>
          <w:pPr>
            <w:pStyle w:val="TOC3"/>
            <w:tabs>
              <w:tab w:val="right" w:leader="dot" w:pos="9072"/>
            </w:tabs>
          </w:pPr>
          <w:r>
            <w:t xml:space="preserve">6.3 Accelerators and Risks</w:t>
          </w:r>
          <w:r>
            <w:tab/>
          </w:r>
          <w:r>
            <w:t xml:space="preserve">22</w:t>
          </w:r>
        </w:p>
        <w:p>
          <w:pPr>
            <w:pStyle w:val="TOC3"/>
            <w:tabs>
              <w:tab w:val="right" w:leader="dot" w:pos="9072"/>
            </w:tabs>
          </w:pPr>
          <w:r>
            <w:t xml:space="preserve">6.4 Training</w:t>
          </w:r>
          <w:r>
            <w:tab/>
          </w:r>
          <w:r>
            <w:t xml:space="preserve">23</w:t>
          </w:r>
        </w:p>
        <w:p>
          <w:pPr>
            <w:pStyle w:val="TOC2"/>
            <w:tabs>
              <w:tab w:val="right" w:leader="dot" w:pos="9072"/>
            </w:tabs>
          </w:pPr>
          <w:r>
            <w:t xml:space="preserve">7. Commercial Terms</w:t>
          </w:r>
          <w:r>
            <w:tab/>
          </w:r>
          <w:r>
            <w:t xml:space="preserve">24</w:t>
          </w:r>
        </w:p>
        <w:p>
          <w:pPr>
            <w:pStyle w:val="TOC3"/>
            <w:tabs>
              <w:tab w:val="right" w:leader="dot" w:pos="9072"/>
            </w:tabs>
          </w:pPr>
          <w:r>
            <w:t xml:space="preserve">7.1 Contract Structure</w:t>
          </w:r>
          <w:r>
            <w:tab/>
          </w:r>
          <w:r>
            <w:t xml:space="preserve">25</w:t>
          </w:r>
        </w:p>
        <w:p>
          <w:pPr>
            <w:pStyle w:val="TOC3"/>
            <w:tabs>
              <w:tab w:val="right" w:leader="dot" w:pos="9072"/>
            </w:tabs>
          </w:pPr>
          <w:r>
            <w:t xml:space="preserve">7.2 Payment Schedule</w:t>
          </w:r>
          <w:r>
            <w:tab/>
          </w:r>
          <w:r>
            <w:t xml:space="preserve">26</w:t>
          </w:r>
        </w:p>
        <w:p>
          <w:pPr>
            <w:pStyle w:val="TOC3"/>
            <w:tabs>
              <w:tab w:val="right" w:leader="dot" w:pos="9072"/>
            </w:tabs>
          </w:pPr>
          <w:r>
            <w:t xml:space="preserve">7.3 Duration</w:t>
          </w:r>
          <w:r>
            <w:tab/>
          </w:r>
          <w:r>
            <w:t xml:space="preserve">27</w:t>
          </w:r>
        </w:p>
        <w:p>
          <w:pPr>
            <w:pStyle w:val="TOC3"/>
            <w:tabs>
              <w:tab w:val="right" w:leader="dot" w:pos="9072"/>
            </w:tabs>
          </w:pPr>
          <w:r>
            <w:t xml:space="preserve">7.4 IP</w:t>
          </w:r>
          <w:r>
            <w:tab/>
          </w:r>
          <w:r>
            <w:t xml:space="preserve">28</w:t>
          </w:r>
        </w:p>
        <w:p>
          <w:pPr>
            <w:pStyle w:val="TOC3"/>
            <w:tabs>
              <w:tab w:val="right" w:leader="dot" w:pos="9072"/>
            </w:tabs>
          </w:pPr>
          <w:r>
            <w:t xml:space="preserve">7.5 Exit</w:t>
          </w:r>
          <w:r>
            <w:tab/>
          </w:r>
          <w:r>
            <w:t xml:space="preserve">29</w:t>
          </w:r>
        </w:p>
        <w:p>
          <w:pPr>
            <w:pStyle w:val="TOC2"/>
            <w:tabs>
              <w:tab w:val="right" w:leader="dot" w:pos="9072"/>
            </w:tabs>
          </w:pPr>
          <w:r>
            <w:t xml:space="preserve">8. Total Cost of Ownership</w:t>
          </w:r>
          <w:r>
            <w:tab/>
          </w:r>
          <w:r>
            <w:t xml:space="preserve">30</w:t>
          </w:r>
        </w:p>
        <w:p>
          <w:pPr>
            <w:pStyle w:val="TOC3"/>
            <w:tabs>
              <w:tab w:val="right" w:leader="dot" w:pos="9072"/>
            </w:tabs>
          </w:pPr>
          <w:r>
            <w:t xml:space="preserve">8.1 3-Year DALP TCO</w:t>
          </w:r>
          <w:r>
            <w:tab/>
          </w:r>
          <w:r>
            <w:t xml:space="preserve">31</w:t>
          </w:r>
        </w:p>
        <w:p>
          <w:pPr>
            <w:pStyle w:val="TOC3"/>
            <w:tabs>
              <w:tab w:val="right" w:leader="dot" w:pos="9072"/>
            </w:tabs>
          </w:pPr>
          <w:r>
            <w:t xml:space="preserve">8.2 Comparative Analysis</w:t>
          </w:r>
          <w:r>
            <w:tab/>
          </w:r>
          <w:r>
            <w:t xml:space="preserve">32</w:t>
          </w:r>
        </w:p>
        <w:p>
          <w:pPr>
            <w:pStyle w:val="TOC2"/>
            <w:tabs>
              <w:tab w:val="right" w:leader="dot" w:pos="9072"/>
            </w:tabs>
          </w:pPr>
          <w:r>
            <w:t xml:space="preserve">9. Reference Clients</w:t>
          </w:r>
          <w:r>
            <w:tab/>
          </w:r>
          <w:r>
            <w:t xml:space="preserve">33</w:t>
          </w:r>
        </w:p>
        <w:p>
          <w:pPr>
            <w:pStyle w:val="TOC2"/>
            <w:tabs>
              <w:tab w:val="right" w:leader="dot" w:pos="9072"/>
            </w:tabs>
          </w:pPr>
          <w:r>
            <w:t xml:space="preserve">10. Next Steps</w:t>
          </w:r>
          <w:r>
            <w:tab/>
          </w:r>
          <w:r>
            <w:t xml:space="preserve">34</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title: "Commercial Proposal: Tokenized Payment Rails Platform"</w:t>
      </w:r>
    </w:p>
    <w:p>
      <w:r>
        <w:rPr>
          <w:rFonts w:ascii="Figtree" w:hAnsi="Figtree"/>
          <w:b w:val="0"/>
          <w:i w:val="0"/>
          <w:sz w:val="22"/>
        </w:rPr>
        <w:t>client: "Grab Financial"</w:t>
      </w:r>
    </w:p>
    <w:p>
      <w:r>
        <w:rPr>
          <w:rFonts w:ascii="Figtree" w:hAnsi="Figtree"/>
          <w:b w:val="0"/>
          <w:i w:val="0"/>
          <w:sz w:val="22"/>
        </w:rPr>
        <w:t>reference: "GRAB-FINANCIAL-RFP-202603"</w:t>
      </w:r>
    </w:p>
    <w:p>
      <w:r>
        <w:rPr>
          <w:rFonts w:ascii="Figtree" w:hAnsi="Figtree"/>
          <w:b w:val="0"/>
          <w:i w:val="0"/>
          <w:sz w:val="22"/>
        </w:rPr>
        <w:t>date: "March 2026"</w:t>
      </w:r>
    </w:p>
    <w:p>
      <w:r>
        <w:rPr>
          <w:rFonts w:ascii="Figtree" w:hAnsi="Figtree"/>
          <w:b w:val="0"/>
          <w:i w:val="0"/>
          <w:sz w:val="22"/>
        </w:rPr>
        <w:t>version: "v1.0 DRAFT"</w:t>
      </w:r>
    </w:p>
    <w:p>
      <w:r>
        <w:rPr>
          <w:rFonts w:ascii="Figtree" w:hAnsi="Figtree"/>
          <w:b w:val="0"/>
          <w:i w:val="0"/>
          <w:sz w:val="22"/>
        </w:rPr>
        <w:t>classification: "Confidential"</w:t>
      </w:r>
    </w:p>
    <w:p>
      <w:r>
        <w:rPr>
          <w:rFonts w:ascii="Figtree" w:hAnsi="Figtree"/>
          <w:b w:val="0"/>
          <w:i w:val="0"/>
          <w:sz w:val="22"/>
        </w:rPr>
        <w:t>prepared_by: "SettleMint"</w:t>
      </w:r>
    </w:p>
    <w:p>
      <w:r>
        <w:br w:type="page"/>
      </w:r>
    </w:p>
    <w:p>
      <w:pPr>
        <w:pStyle w:val="H1"/>
        <w:numPr>
          <w:ilvl w:val="0"/>
          <w:numId w:val="1"/>
        </w:numPr>
      </w:pPr>
      <w:r>
        <w:t>Commercial Proposal: Tokenized Payment Rails Platform</w:t>
      </w:r>
    </w:p>
    <w:p>
      <w:r>
        <w:rPr>
          <w:rFonts w:ascii="Figtree" w:hAnsi="Figtree"/>
          <w:b/>
          <w:i w:val="0"/>
          <w:sz w:val="22"/>
        </w:rPr>
        <w:t>Prepared for:</w:t>
      </w:r>
      <w:r>
        <w:rPr>
          <w:rFonts w:ascii="Figtree" w:hAnsi="Figtree"/>
          <w:b w:val="0"/>
          <w:i w:val="0"/>
          <w:sz w:val="22"/>
        </w:rPr>
        <w:t xml:space="preserve"> Grab Financial Group</w:t>
      </w:r>
    </w:p>
    <w:p>
      <w:r>
        <w:rPr>
          <w:rFonts w:ascii="Figtree" w:hAnsi="Figtree"/>
          <w:b/>
          <w:i w:val="0"/>
          <w:sz w:val="22"/>
        </w:rPr>
        <w:t>Reference:</w:t>
      </w:r>
      <w:r>
        <w:rPr>
          <w:rFonts w:ascii="Figtree" w:hAnsi="Figtree"/>
          <w:b w:val="0"/>
          <w:i w:val="0"/>
          <w:sz w:val="22"/>
        </w:rPr>
        <w:t xml:space="preserve"> GRAB-FINANCIAL-RFP-202603</w:t>
      </w:r>
    </w:p>
    <w:p>
      <w:r>
        <w:rPr>
          <w:rFonts w:ascii="Figtree" w:hAnsi="Figtree"/>
          <w:b/>
          <w:i w:val="0"/>
          <w:sz w:val="22"/>
        </w:rPr>
        <w:t>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v1.0</w:t>
      </w:r>
    </w:p>
    <w:p>
      <w:r>
        <w:rPr>
          <w:rFonts w:ascii="Figtree" w:hAnsi="Figtree"/>
          <w:b/>
          <w:i w:val="0"/>
          <w:sz w:val="22"/>
        </w:rPr>
        <w:t>Classification:</w:t>
      </w:r>
      <w:r>
        <w:rPr>
          <w:rFonts w:ascii="Figtree" w:hAnsi="Figtree"/>
          <w:b w:val="0"/>
          <w:i w:val="0"/>
          <w:sz w:val="22"/>
        </w:rPr>
        <w:t xml:space="preserve"> Strictly Confidential — Invited Bidders Only</w:t>
      </w:r>
    </w:p>
    <w:p>
      <w:r>
        <w:rPr>
          <w:rFonts w:ascii="Figtree" w:hAnsi="Figtree"/>
          <w:b/>
          <w:i w:val="0"/>
          <w:sz w:val="22"/>
        </w:rPr>
        <w:t>Prepared by:</w:t>
      </w:r>
      <w:r>
        <w:rPr>
          <w:rFonts w:ascii="Figtree" w:hAnsi="Figtree"/>
          <w:b w:val="0"/>
          <w:i w:val="0"/>
          <w:sz w:val="22"/>
        </w:rPr>
        <w:t xml:space="preserve"> SettleMint NV</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Deployment Options and Pricing</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Commercial Terms</w:t>
      </w:r>
    </w:p>
    <w:p>
      <w:pPr>
        <w:pStyle w:val="ListParagraph"/>
        <w:numPr>
          <w:ilvl w:val="0"/>
          <w:numId w:val="6"/>
        </w:numPr>
      </w:pPr>
      <w:r>
        <w:rPr>
          <w:rFonts w:ascii="Figtree" w:hAnsi="Figtree"/>
          <w:b w:val="0"/>
          <w:i w:val="0"/>
          <w:sz w:val="22"/>
        </w:rPr>
        <w:t>Total Cost of Ownership</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Next Steps</w:t>
      </w:r>
    </w:p>
    <w:p>
      <w:r>
        <w:br w:type="page"/>
      </w:r>
    </w:p>
    <w:p>
      <w:pPr>
        <w:pStyle w:val="H2"/>
        <w:numPr>
          <w:ilvl w:val="1"/>
          <w:numId w:val="1"/>
        </w:numPr>
      </w:pPr>
      <w:r>
        <w:t>1. Executive Summary</w:t>
      </w:r>
    </w:p>
    <w:p>
      <w:r>
        <w:rPr>
          <w:rFonts w:ascii="Figtree" w:hAnsi="Figtree"/>
          <w:b w:val="0"/>
          <w:i w:val="0"/>
          <w:sz w:val="22"/>
        </w:rPr>
        <w:t>Grab Financial's tokenized payment rails programme is a unit economics and operational control programme. The commercial question is not whether to build tokenized payment infrastructure; it is whether to build it or buy it, and if buying, which platform provides the right combination of consumer payment performance, regulatory compliance, and multi-market scalability.</w:t>
      </w:r>
    </w:p>
    <w:p>
      <w:r>
        <w:rPr>
          <w:rFonts w:ascii="Figtree" w:hAnsi="Figtree"/>
          <w:b w:val="0"/>
          <w:i w:val="0"/>
          <w:sz w:val="22"/>
        </w:rPr>
        <w:t>SettleMint recommends DALP under an Enterprise License with Managed SaaS on AWS Singapore.</w:t>
      </w:r>
    </w:p>
    <w:p>
      <w:r>
        <w:rPr>
          <w:rFonts w:ascii="Figtree" w:hAnsi="Figtree"/>
          <w:b/>
          <w:i w:val="0"/>
          <w:sz w:val="22"/>
        </w:rPr>
        <w:t>Commercial decision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63"/>
        <w:gridCol w:w="1121"/>
        <w:gridCol w:w="2242"/>
        <w:gridCol w:w="234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Factor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Build In-House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Payment Platform Vendor</w:t>
            </w:r>
          </w:p>
        </w:tc>
      </w:tr>
      <w:tr>
        <w:trPr>
          <w:trHeight w:val="425" w:hRule="atLeast"/>
        </w:trPr>
        <w:tc>
          <w:tcPr>
            <w:tcW w:type="dxa" w:w="2436"/>
            <w:vAlign w:val="center"/>
          </w:tcPr>
          <w:p>
            <w:pPr>
              <w:spacing w:line="276" w:lineRule="auto" w:before="0" w:after="0"/>
            </w:pPr>
            <w:r/>
            <w:r>
              <w:rPr>
                <w:rFonts w:ascii="Figtree" w:hAnsi="Figtree"/>
                <w:b w:val="0"/>
                <w:i w:val="0"/>
                <w:sz w:val="20"/>
              </w:rPr>
              <w:t>Time to Singapore pilot</w:t>
            </w:r>
          </w:p>
        </w:tc>
        <w:tc>
          <w:tcPr>
            <w:tcW w:type="dxa" w:w="2436"/>
            <w:vAlign w:val="center"/>
          </w:tcPr>
          <w:p>
            <w:pPr>
              <w:spacing w:line="276" w:lineRule="auto" w:before="0" w:after="0"/>
            </w:pPr>
            <w:r/>
            <w:r>
              <w:rPr>
                <w:rFonts w:ascii="Figtree" w:hAnsi="Figtree"/>
                <w:b w:val="0"/>
                <w:i w:val="0"/>
                <w:sz w:val="20"/>
              </w:rPr>
              <w:t>6-7 months</w:t>
            </w:r>
          </w:p>
        </w:tc>
        <w:tc>
          <w:tcPr>
            <w:tcW w:type="dxa" w:w="2436"/>
            <w:vAlign w:val="center"/>
          </w:tcPr>
          <w:p>
            <w:pPr>
              <w:spacing w:line="276" w:lineRule="auto" w:before="0" w:after="0"/>
            </w:pPr>
            <w:r/>
            <w:r>
              <w:rPr>
                <w:rFonts w:ascii="Figtree" w:hAnsi="Figtree"/>
                <w:b w:val="0"/>
                <w:i w:val="0"/>
                <w:sz w:val="20"/>
              </w:rPr>
              <w:t>15-18 months</w:t>
            </w:r>
          </w:p>
        </w:tc>
        <w:tc>
          <w:tcPr>
            <w:tcW w:type="dxa" w:w="2436"/>
            <w:vAlign w:val="center"/>
          </w:tcPr>
          <w:p>
            <w:pPr>
              <w:spacing w:line="276" w:lineRule="auto" w:before="0" w:after="0"/>
            </w:pPr>
            <w:r/>
            <w:r>
              <w:rPr>
                <w:rFonts w:ascii="Figtree" w:hAnsi="Figtree"/>
                <w:b w:val="0"/>
                <w:i w:val="0"/>
                <w:sz w:val="20"/>
              </w:rPr>
              <w:t>8-10 months</w:t>
            </w:r>
          </w:p>
        </w:tc>
      </w:tr>
      <w:tr>
        <w:trPr>
          <w:trHeight w:val="425" w:hRule="atLeast"/>
        </w:trPr>
        <w:tc>
          <w:tcPr>
            <w:tcW w:type="dxa" w:w="2436"/>
            <w:vAlign w:val="center"/>
          </w:tcPr>
          <w:p>
            <w:pPr>
              <w:spacing w:line="276" w:lineRule="auto" w:before="0" w:after="0"/>
            </w:pPr>
            <w:r/>
            <w:r>
              <w:rPr>
                <w:rFonts w:ascii="Figtree" w:hAnsi="Figtree"/>
                <w:b w:val="0"/>
                <w:i w:val="0"/>
                <w:sz w:val="20"/>
              </w:rPr>
              <w:t>Per-wallet, per-market compliance</w:t>
            </w:r>
          </w:p>
        </w:tc>
        <w:tc>
          <w:tcPr>
            <w:tcW w:type="dxa" w:w="2436"/>
            <w:vAlign w:val="center"/>
          </w:tcPr>
          <w:p>
            <w:pPr>
              <w:spacing w:line="276" w:lineRule="auto" w:before="0" w:after="0"/>
            </w:pPr>
            <w:r/>
            <w:r>
              <w:rPr>
                <w:rFonts w:ascii="Figtree" w:hAnsi="Figtree"/>
                <w:b w:val="0"/>
                <w:i w:val="0"/>
                <w:sz w:val="20"/>
              </w:rPr>
              <w:t>Config only</w:t>
            </w:r>
          </w:p>
        </w:tc>
        <w:tc>
          <w:tcPr>
            <w:tcW w:type="dxa" w:w="2436"/>
            <w:vAlign w:val="center"/>
          </w:tcPr>
          <w:p>
            <w:pPr>
              <w:spacing w:line="276" w:lineRule="auto" w:before="0" w:after="0"/>
            </w:pPr>
            <w:r/>
            <w:r>
              <w:rPr>
                <w:rFonts w:ascii="Figtree" w:hAnsi="Figtree"/>
                <w:b w:val="0"/>
                <w:i w:val="0"/>
                <w:sz w:val="20"/>
              </w:rPr>
              <w:t>Engineering per market</w:t>
            </w:r>
          </w:p>
        </w:tc>
        <w:tc>
          <w:tcPr>
            <w:tcW w:type="dxa" w:w="2436"/>
            <w:vAlign w:val="center"/>
          </w:tcPr>
          <w:p>
            <w:pPr>
              <w:spacing w:line="276" w:lineRule="auto" w:before="0" w:after="0"/>
            </w:pPr>
            <w:r/>
            <w:r>
              <w:rPr>
                <w:rFonts w:ascii="Figtree" w:hAnsi="Figtree"/>
                <w:b w:val="0"/>
                <w:i w:val="0"/>
                <w:sz w:val="20"/>
              </w:rPr>
              <w:t>Depends on vendor</w:t>
            </w:r>
          </w:p>
        </w:tc>
      </w:tr>
      <w:tr>
        <w:trPr>
          <w:trHeight w:val="425" w:hRule="atLeast"/>
        </w:trPr>
        <w:tc>
          <w:tcPr>
            <w:tcW w:type="dxa" w:w="2436"/>
            <w:vAlign w:val="center"/>
          </w:tcPr>
          <w:p>
            <w:pPr>
              <w:spacing w:line="276" w:lineRule="auto" w:before="0" w:after="0"/>
            </w:pPr>
            <w:r/>
            <w:r>
              <w:rPr>
                <w:rFonts w:ascii="Figtree" w:hAnsi="Figtree"/>
                <w:b w:val="0"/>
                <w:i w:val="0"/>
                <w:sz w:val="20"/>
              </w:rPr>
              <w:t>MAS PSA outsourcing documentation</w:t>
            </w:r>
          </w:p>
        </w:tc>
        <w:tc>
          <w:tcPr>
            <w:tcW w:type="dxa" w:w="2436"/>
            <w:vAlign w:val="center"/>
          </w:tcPr>
          <w:p>
            <w:pPr>
              <w:spacing w:line="276" w:lineRule="auto" w:before="0" w:after="0"/>
            </w:pPr>
            <w:r/>
            <w:r>
              <w:rPr>
                <w:rFonts w:ascii="Figtree" w:hAnsi="Figtree"/>
                <w:b w:val="0"/>
                <w:i w:val="0"/>
                <w:sz w:val="20"/>
              </w:rPr>
              <w:t>Provided</w:t>
            </w:r>
          </w:p>
        </w:tc>
        <w:tc>
          <w:tcPr>
            <w:tcW w:type="dxa" w:w="2436"/>
            <w:vAlign w:val="center"/>
          </w:tcPr>
          <w:p>
            <w:pPr>
              <w:spacing w:line="276" w:lineRule="auto" w:before="0" w:after="0"/>
            </w:pPr>
            <w:r/>
            <w:r>
              <w:rPr>
                <w:rFonts w:ascii="Figtree" w:hAnsi="Figtree"/>
                <w:b w:val="0"/>
                <w:i w:val="0"/>
                <w:sz w:val="20"/>
              </w:rPr>
              <w:t>N/A</w:t>
            </w:r>
          </w:p>
        </w:tc>
        <w:tc>
          <w:tcPr>
            <w:tcW w:type="dxa" w:w="2436"/>
            <w:vAlign w:val="center"/>
          </w:tcPr>
          <w:p>
            <w:pPr>
              <w:spacing w:line="276" w:lineRule="auto" w:before="0" w:after="0"/>
            </w:pPr>
            <w:r/>
            <w:r>
              <w:rPr>
                <w:rFonts w:ascii="Figtree" w:hAnsi="Figtree"/>
                <w:b w:val="0"/>
                <w:i w:val="0"/>
                <w:sz w:val="20"/>
              </w:rPr>
              <w:t>Varies</w:t>
            </w:r>
          </w:p>
        </w:tc>
      </w:tr>
      <w:tr>
        <w:trPr>
          <w:trHeight w:val="425" w:hRule="atLeast"/>
        </w:trPr>
        <w:tc>
          <w:tcPr>
            <w:tcW w:type="dxa" w:w="2436"/>
            <w:vAlign w:val="center"/>
          </w:tcPr>
          <w:p>
            <w:pPr>
              <w:spacing w:line="276" w:lineRule="auto" w:before="0" w:after="0"/>
            </w:pPr>
            <w:r/>
            <w:r>
              <w:rPr>
                <w:rFonts w:ascii="Figtree" w:hAnsi="Figtree"/>
                <w:b w:val="0"/>
                <w:i w:val="0"/>
                <w:sz w:val="20"/>
              </w:rPr>
              <w:t>High-frequency consumer payments</w:t>
            </w:r>
          </w:p>
        </w:tc>
        <w:tc>
          <w:tcPr>
            <w:tcW w:type="dxa" w:w="2436"/>
            <w:vAlign w:val="center"/>
          </w:tcPr>
          <w:p>
            <w:pPr>
              <w:spacing w:line="276" w:lineRule="auto" w:before="0" w:after="0"/>
            </w:pPr>
            <w:r/>
            <w:r>
              <w:rPr>
                <w:rFonts w:ascii="Figtree" w:hAnsi="Figtree"/>
                <w:b w:val="0"/>
                <w:i w:val="0"/>
                <w:sz w:val="20"/>
              </w:rPr>
              <w:t>Native</w:t>
            </w:r>
          </w:p>
        </w:tc>
        <w:tc>
          <w:tcPr>
            <w:tcW w:type="dxa" w:w="2436"/>
            <w:vAlign w:val="center"/>
          </w:tcPr>
          <w:p>
            <w:pPr>
              <w:spacing w:line="276" w:lineRule="auto" w:before="0" w:after="0"/>
            </w:pPr>
            <w:r/>
            <w:r>
              <w:rPr>
                <w:rFonts w:ascii="Figtree" w:hAnsi="Figtree"/>
                <w:b w:val="0"/>
                <w:i w:val="0"/>
                <w:sz w:val="20"/>
              </w:rPr>
              <w:t>Complex engineering</w:t>
            </w:r>
          </w:p>
        </w:tc>
        <w:tc>
          <w:tcPr>
            <w:tcW w:type="dxa" w:w="2436"/>
            <w:vAlign w:val="center"/>
          </w:tcPr>
          <w:p>
            <w:pPr>
              <w:spacing w:line="276" w:lineRule="auto" w:before="0" w:after="0"/>
            </w:pPr>
            <w:r/>
            <w:r>
              <w:rPr>
                <w:rFonts w:ascii="Figtree" w:hAnsi="Figtree"/>
                <w:b w:val="0"/>
                <w:i w:val="0"/>
                <w:sz w:val="20"/>
              </w:rPr>
              <w:t>Depends</w:t>
            </w:r>
          </w:p>
        </w:tc>
      </w:tr>
      <w:tr>
        <w:trPr>
          <w:trHeight w:val="425" w:hRule="atLeast"/>
        </w:trPr>
        <w:tc>
          <w:tcPr>
            <w:tcW w:type="dxa" w:w="2436"/>
            <w:vAlign w:val="center"/>
          </w:tcPr>
          <w:p>
            <w:pPr>
              <w:spacing w:line="276" w:lineRule="auto" w:before="0" w:after="0"/>
            </w:pPr>
            <w:r/>
            <w:r>
              <w:rPr>
                <w:rFonts w:ascii="Figtree" w:hAnsi="Figtree"/>
                <w:b w:val="0"/>
                <w:i w:val="0"/>
                <w:sz w:val="20"/>
              </w:rPr>
              <w:t>Multi-market SEA expansion</w:t>
            </w:r>
          </w:p>
        </w:tc>
        <w:tc>
          <w:tcPr>
            <w:tcW w:type="dxa" w:w="2436"/>
            <w:vAlign w:val="center"/>
          </w:tcPr>
          <w:p>
            <w:pPr>
              <w:spacing w:line="276" w:lineRule="auto" w:before="0" w:after="0"/>
            </w:pPr>
            <w:r/>
            <w:r>
              <w:rPr>
                <w:rFonts w:ascii="Figtree" w:hAnsi="Figtree"/>
                <w:b w:val="0"/>
                <w:i w:val="0"/>
                <w:sz w:val="20"/>
              </w:rPr>
              <w:t>Config only</w:t>
            </w:r>
          </w:p>
        </w:tc>
        <w:tc>
          <w:tcPr>
            <w:tcW w:type="dxa" w:w="2436"/>
            <w:vAlign w:val="center"/>
          </w:tcPr>
          <w:p>
            <w:pPr>
              <w:spacing w:line="276" w:lineRule="auto" w:before="0" w:after="0"/>
            </w:pPr>
            <w:r/>
            <w:r>
              <w:rPr>
                <w:rFonts w:ascii="Figtree" w:hAnsi="Figtree"/>
                <w:b w:val="0"/>
                <w:i w:val="0"/>
                <w:sz w:val="20"/>
              </w:rPr>
              <w:t>Engineering per market</w:t>
            </w:r>
          </w:p>
        </w:tc>
        <w:tc>
          <w:tcPr>
            <w:tcW w:type="dxa" w:w="2436"/>
            <w:vAlign w:val="center"/>
          </w:tcPr>
          <w:p>
            <w:pPr>
              <w:spacing w:line="276" w:lineRule="auto" w:before="0" w:after="0"/>
            </w:pPr>
            <w:r/>
            <w:r>
              <w:rPr>
                <w:rFonts w:ascii="Figtree" w:hAnsi="Figtree"/>
                <w:b w:val="0"/>
                <w:i w:val="0"/>
                <w:sz w:val="20"/>
              </w:rPr>
              <w:t>Varies</w:t>
            </w:r>
          </w:p>
        </w:tc>
      </w:tr>
    </w:tbl>
    <w:p>
      <w:pPr>
        <w:spacing w:before="0" w:after="0" w:line="120" w:lineRule="exact"/>
      </w:pPr>
    </w:p>
    <w:p>
      <w:pPr>
        <w:pStyle w:val="H2"/>
        <w:numPr>
          <w:ilvl w:val="1"/>
          <w:numId w:val="1"/>
        </w:numPr>
      </w:pPr>
      <w:r>
        <w:t>2. Investment Rationale</w:t>
      </w:r>
    </w:p>
    <w:p>
      <w:pPr>
        <w:pStyle w:val="H3"/>
        <w:numPr>
          <w:ilvl w:val="2"/>
          <w:numId w:val="1"/>
        </w:numPr>
      </w:pPr>
      <w:r>
        <w:t>2.1 Current Payment Economics</w:t>
      </w:r>
    </w:p>
    <w:p>
      <w:r>
        <w:rPr>
          <w:rFonts w:ascii="Figtree" w:hAnsi="Figtree"/>
          <w:b w:val="0"/>
          <w:i w:val="0"/>
          <w:sz w:val="22"/>
        </w:rPr>
        <w:t>Grab Financial's current cross-border treasury management requires pre-funded accounts across SEA markets. Settlement between markets relies on correspondent banking infrastructure with T+1 or T+2 cycles. Reconciliation between Grab's internal ledger, merchant settlement accounts, and driver earnings accounts requires dedicated operational resources. Manual AML review queues for threshold-triggered transactions create processing delays.</w:t>
      </w:r>
    </w:p>
    <w:p>
      <w:pPr>
        <w:pStyle w:val="H3"/>
        <w:numPr>
          <w:ilvl w:val="2"/>
          <w:numId w:val="1"/>
        </w:numPr>
      </w:pPr>
      <w:r>
        <w:t>2.2 Why DALP Changes Economics</w:t>
      </w:r>
    </w:p>
    <w:p>
      <w:pPr>
        <w:pStyle w:val="ListParagraph"/>
        <w:numPr>
          <w:ilvl w:val="0"/>
          <w:numId w:val="4"/>
        </w:numPr>
      </w:pPr>
      <w:r>
        <w:rPr>
          <w:rFonts w:ascii="Figtree" w:hAnsi="Figtree"/>
          <w:b/>
          <w:i w:val="0"/>
          <w:sz w:val="22"/>
        </w:rPr>
        <w:t>Treasury pre-funding reduction:</w:t>
      </w:r>
      <w:r>
        <w:rPr>
          <w:rFonts w:ascii="Figtree" w:hAnsi="Figtree"/>
          <w:b w:val="0"/>
          <w:i w:val="0"/>
          <w:sz w:val="22"/>
        </w:rPr>
        <w:t xml:space="preserve"> Faster cross-currency settlement allows treasury capital to cycle more efficiently. Conservative estimate: 15-20% reduction in aggregate pre-funding requirement.</w:t>
      </w:r>
    </w:p>
    <w:p>
      <w:pPr>
        <w:pStyle w:val="ListParagraph"/>
        <w:numPr>
          <w:ilvl w:val="0"/>
          <w:numId w:val="4"/>
        </w:numPr>
      </w:pPr>
      <w:r>
        <w:rPr>
          <w:rFonts w:ascii="Figtree" w:hAnsi="Figtree"/>
          <w:b/>
          <w:i w:val="0"/>
          <w:sz w:val="22"/>
        </w:rPr>
        <w:t>Reconciliation automation:</w:t>
      </w:r>
      <w:r>
        <w:rPr>
          <w:rFonts w:ascii="Figtree" w:hAnsi="Figtree"/>
          <w:b w:val="0"/>
          <w:i w:val="0"/>
          <w:sz w:val="22"/>
        </w:rPr>
        <w:t xml:space="preserve"> DALP's Chain Indexer provides single-source-of-truth payment state, reducing reconciliation FTE by 40-60%.</w:t>
      </w:r>
    </w:p>
    <w:p>
      <w:pPr>
        <w:pStyle w:val="ListParagraph"/>
        <w:numPr>
          <w:ilvl w:val="0"/>
          <w:numId w:val="4"/>
        </w:numPr>
      </w:pPr>
      <w:r>
        <w:rPr>
          <w:rFonts w:ascii="Figtree" w:hAnsi="Figtree"/>
          <w:b/>
          <w:i w:val="0"/>
          <w:sz w:val="22"/>
        </w:rPr>
        <w:t>AML processing efficiency:</w:t>
      </w:r>
      <w:r>
        <w:rPr>
          <w:rFonts w:ascii="Figtree" w:hAnsi="Figtree"/>
          <w:b w:val="0"/>
          <w:i w:val="0"/>
          <w:sz w:val="22"/>
        </w:rPr>
        <w:t xml:space="preserve"> Programmable AML rules reduce manual review queue volume by routing only genuine alerts to compliance officers.</w:t>
      </w:r>
    </w:p>
    <w:p>
      <w:pPr>
        <w:pStyle w:val="ListParagraph"/>
        <w:numPr>
          <w:ilvl w:val="0"/>
          <w:numId w:val="4"/>
        </w:numPr>
      </w:pPr>
      <w:r>
        <w:rPr>
          <w:rFonts w:ascii="Figtree" w:hAnsi="Figtree"/>
          <w:b/>
          <w:i w:val="0"/>
          <w:sz w:val="22"/>
        </w:rPr>
        <w:t>Multi-market expansion:</w:t>
      </w:r>
      <w:r>
        <w:rPr>
          <w:rFonts w:ascii="Figtree" w:hAnsi="Figtree"/>
          <w:b w:val="0"/>
          <w:i w:val="0"/>
          <w:sz w:val="22"/>
        </w:rPr>
        <w:t xml:space="preserve"> New markets via configuration and governed approval. Eliminates per-market engineering cycles.</w:t>
      </w:r>
    </w:p>
    <w:p>
      <w:pPr>
        <w:pStyle w:val="H3"/>
        <w:numPr>
          <w:ilvl w:val="2"/>
          <w:numId w:val="1"/>
        </w:numPr>
      </w:pPr>
      <w:r>
        <w:t>2.3 ROI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34"/>
        <w:gridCol w:w="1767"/>
        <w:gridCol w:w="2002"/>
        <w:gridCol w:w="176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Driver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Conservative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Expected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Upside</w:t>
            </w:r>
          </w:p>
        </w:tc>
      </w:tr>
      <w:tr>
        <w:trPr>
          <w:trHeight w:val="425" w:hRule="atLeast"/>
        </w:trPr>
        <w:tc>
          <w:tcPr>
            <w:tcW w:type="dxa" w:w="2436"/>
            <w:vAlign w:val="center"/>
          </w:tcPr>
          <w:p>
            <w:pPr>
              <w:spacing w:line="276" w:lineRule="auto" w:before="0" w:after="0"/>
            </w:pPr>
            <w:r/>
            <w:r>
              <w:rPr>
                <w:rFonts w:ascii="Figtree" w:hAnsi="Figtree"/>
                <w:b w:val="0"/>
                <w:i w:val="0"/>
                <w:sz w:val="20"/>
              </w:rPr>
              <w:t>Treasury pre-funding reduction</w:t>
            </w:r>
          </w:p>
        </w:tc>
        <w:tc>
          <w:tcPr>
            <w:tcW w:type="dxa" w:w="2436"/>
            <w:vAlign w:val="center"/>
          </w:tcPr>
          <w:p>
            <w:pPr>
              <w:spacing w:line="276" w:lineRule="auto" w:before="0" w:after="0"/>
            </w:pPr>
            <w:r/>
            <w:r>
              <w:rPr>
                <w:rFonts w:ascii="Figtree" w:hAnsi="Figtree"/>
                <w:b w:val="0"/>
                <w:i w:val="0"/>
                <w:sz w:val="20"/>
              </w:rPr>
              <w:t>10%</w:t>
            </w:r>
          </w:p>
        </w:tc>
        <w:tc>
          <w:tcPr>
            <w:tcW w:type="dxa" w:w="2436"/>
            <w:vAlign w:val="center"/>
          </w:tcPr>
          <w:p>
            <w:pPr>
              <w:spacing w:line="276" w:lineRule="auto" w:before="0" w:after="0"/>
            </w:pPr>
            <w:r/>
            <w:r>
              <w:rPr>
                <w:rFonts w:ascii="Figtree" w:hAnsi="Figtree"/>
                <w:b w:val="0"/>
                <w:i w:val="0"/>
                <w:sz w:val="20"/>
              </w:rPr>
              <w:t>18%</w:t>
            </w:r>
          </w:p>
        </w:tc>
        <w:tc>
          <w:tcPr>
            <w:tcW w:type="dxa" w:w="2436"/>
            <w:vAlign w:val="center"/>
          </w:tcPr>
          <w:p>
            <w:pPr>
              <w:spacing w:line="276" w:lineRule="auto" w:before="0" w:after="0"/>
            </w:pPr>
            <w:r/>
            <w:r>
              <w:rPr>
                <w:rFonts w:ascii="Figtree" w:hAnsi="Figtree"/>
                <w:b w:val="0"/>
                <w:i w:val="0"/>
                <w:sz w:val="20"/>
              </w:rPr>
              <w:t>25%</w:t>
            </w:r>
          </w:p>
        </w:tc>
      </w:tr>
      <w:tr>
        <w:trPr>
          <w:trHeight w:val="425" w:hRule="atLeast"/>
        </w:trPr>
        <w:tc>
          <w:tcPr>
            <w:tcW w:type="dxa" w:w="2436"/>
            <w:vAlign w:val="center"/>
          </w:tcPr>
          <w:p>
            <w:pPr>
              <w:spacing w:line="276" w:lineRule="auto" w:before="0" w:after="0"/>
            </w:pPr>
            <w:r/>
            <w:r>
              <w:rPr>
                <w:rFonts w:ascii="Figtree" w:hAnsi="Figtree"/>
                <w:b w:val="0"/>
                <w:i w:val="0"/>
                <w:sz w:val="20"/>
              </w:rPr>
              <w:t>Reconciliation FTE reduction</w:t>
            </w:r>
          </w:p>
        </w:tc>
        <w:tc>
          <w:tcPr>
            <w:tcW w:type="dxa" w:w="2436"/>
            <w:vAlign w:val="center"/>
          </w:tcPr>
          <w:p>
            <w:pPr>
              <w:spacing w:line="276" w:lineRule="auto" w:before="0" w:after="0"/>
            </w:pPr>
            <w:r/>
            <w:r>
              <w:rPr>
                <w:rFonts w:ascii="Figtree" w:hAnsi="Figtree"/>
                <w:b w:val="0"/>
                <w:i w:val="0"/>
                <w:sz w:val="20"/>
              </w:rPr>
              <w:t>35%</w:t>
            </w:r>
          </w:p>
        </w:tc>
        <w:tc>
          <w:tcPr>
            <w:tcW w:type="dxa" w:w="2436"/>
            <w:vAlign w:val="center"/>
          </w:tcPr>
          <w:p>
            <w:pPr>
              <w:spacing w:line="276" w:lineRule="auto" w:before="0" w:after="0"/>
            </w:pPr>
            <w:r/>
            <w:r>
              <w:rPr>
                <w:rFonts w:ascii="Figtree" w:hAnsi="Figtree"/>
                <w:b w:val="0"/>
                <w:i w:val="0"/>
                <w:sz w:val="20"/>
              </w:rPr>
              <w:t>50%</w:t>
            </w:r>
          </w:p>
        </w:tc>
        <w:tc>
          <w:tcPr>
            <w:tcW w:type="dxa" w:w="2436"/>
            <w:vAlign w:val="center"/>
          </w:tcPr>
          <w:p>
            <w:pPr>
              <w:spacing w:line="276" w:lineRule="auto" w:before="0" w:after="0"/>
            </w:pPr>
            <w:r/>
            <w:r>
              <w:rPr>
                <w:rFonts w:ascii="Figtree" w:hAnsi="Figtree"/>
                <w:b w:val="0"/>
                <w:i w:val="0"/>
                <w:sz w:val="20"/>
              </w:rPr>
              <w:t>65%</w:t>
            </w:r>
          </w:p>
        </w:tc>
      </w:tr>
      <w:tr>
        <w:trPr>
          <w:trHeight w:val="425" w:hRule="atLeast"/>
        </w:trPr>
        <w:tc>
          <w:tcPr>
            <w:tcW w:type="dxa" w:w="2436"/>
            <w:vAlign w:val="center"/>
          </w:tcPr>
          <w:p>
            <w:pPr>
              <w:spacing w:line="276" w:lineRule="auto" w:before="0" w:after="0"/>
            </w:pPr>
            <w:r/>
            <w:r>
              <w:rPr>
                <w:rFonts w:ascii="Figtree" w:hAnsi="Figtree"/>
                <w:b w:val="0"/>
                <w:i w:val="0"/>
                <w:sz w:val="20"/>
              </w:rPr>
              <w:t>AML queue reduction</w:t>
            </w:r>
          </w:p>
        </w:tc>
        <w:tc>
          <w:tcPr>
            <w:tcW w:type="dxa" w:w="2436"/>
            <w:vAlign w:val="center"/>
          </w:tcPr>
          <w:p>
            <w:pPr>
              <w:spacing w:line="276" w:lineRule="auto" w:before="0" w:after="0"/>
            </w:pPr>
            <w:r/>
            <w:r>
              <w:rPr>
                <w:rFonts w:ascii="Figtree" w:hAnsi="Figtree"/>
                <w:b w:val="0"/>
                <w:i w:val="0"/>
                <w:sz w:val="20"/>
              </w:rPr>
              <w:t>20%</w:t>
            </w:r>
          </w:p>
        </w:tc>
        <w:tc>
          <w:tcPr>
            <w:tcW w:type="dxa" w:w="2436"/>
            <w:vAlign w:val="center"/>
          </w:tcPr>
          <w:p>
            <w:pPr>
              <w:spacing w:line="276" w:lineRule="auto" w:before="0" w:after="0"/>
            </w:pPr>
            <w:r/>
            <w:r>
              <w:rPr>
                <w:rFonts w:ascii="Figtree" w:hAnsi="Figtree"/>
                <w:b w:val="0"/>
                <w:i w:val="0"/>
                <w:sz w:val="20"/>
              </w:rPr>
              <w:t>40%</w:t>
            </w:r>
          </w:p>
        </w:tc>
        <w:tc>
          <w:tcPr>
            <w:tcW w:type="dxa" w:w="2436"/>
            <w:vAlign w:val="center"/>
          </w:tcPr>
          <w:p>
            <w:pPr>
              <w:spacing w:line="276" w:lineRule="auto" w:before="0" w:after="0"/>
            </w:pPr>
            <w:r/>
            <w:r>
              <w:rPr>
                <w:rFonts w:ascii="Figtree" w:hAnsi="Figtree"/>
                <w:b w:val="0"/>
                <w:i w:val="0"/>
                <w:sz w:val="20"/>
              </w:rPr>
              <w:t>55%</w:t>
            </w:r>
          </w:p>
        </w:tc>
      </w:tr>
      <w:tr>
        <w:trPr>
          <w:trHeight w:val="425" w:hRule="atLeast"/>
        </w:trPr>
        <w:tc>
          <w:tcPr>
            <w:tcW w:type="dxa" w:w="2436"/>
            <w:vAlign w:val="center"/>
          </w:tcPr>
          <w:p>
            <w:pPr>
              <w:spacing w:line="276" w:lineRule="auto" w:before="0" w:after="0"/>
            </w:pPr>
            <w:r/>
            <w:r>
              <w:rPr>
                <w:rFonts w:ascii="Figtree" w:hAnsi="Figtree"/>
                <w:b w:val="0"/>
                <w:i w:val="0"/>
                <w:sz w:val="20"/>
              </w:rPr>
              <w:t>New market launch time</w:t>
            </w:r>
          </w:p>
        </w:tc>
        <w:tc>
          <w:tcPr>
            <w:tcW w:type="dxa" w:w="2436"/>
            <w:vAlign w:val="center"/>
          </w:tcPr>
          <w:p>
            <w:pPr>
              <w:spacing w:line="276" w:lineRule="auto" w:before="0" w:after="0"/>
            </w:pPr>
            <w:r/>
            <w:r>
              <w:rPr>
                <w:rFonts w:ascii="Figtree" w:hAnsi="Figtree"/>
                <w:b w:val="0"/>
                <w:i w:val="0"/>
                <w:sz w:val="20"/>
              </w:rPr>
              <w:t>2 months faster</w:t>
            </w:r>
          </w:p>
        </w:tc>
        <w:tc>
          <w:tcPr>
            <w:tcW w:type="dxa" w:w="2436"/>
            <w:vAlign w:val="center"/>
          </w:tcPr>
          <w:p>
            <w:pPr>
              <w:spacing w:line="276" w:lineRule="auto" w:before="0" w:after="0"/>
            </w:pPr>
            <w:r/>
            <w:r>
              <w:rPr>
                <w:rFonts w:ascii="Figtree" w:hAnsi="Figtree"/>
                <w:b w:val="0"/>
                <w:i w:val="0"/>
                <w:sz w:val="20"/>
              </w:rPr>
              <w:t>3.5 months faster</w:t>
            </w:r>
          </w:p>
        </w:tc>
        <w:tc>
          <w:tcPr>
            <w:tcW w:type="dxa" w:w="2436"/>
            <w:vAlign w:val="center"/>
          </w:tcPr>
          <w:p>
            <w:pPr>
              <w:spacing w:line="276" w:lineRule="auto" w:before="0" w:after="0"/>
            </w:pPr>
            <w:r/>
            <w:r>
              <w:rPr>
                <w:rFonts w:ascii="Figtree" w:hAnsi="Figtree"/>
                <w:b w:val="0"/>
                <w:i w:val="0"/>
                <w:sz w:val="20"/>
              </w:rPr>
              <w:t>5 months faster</w:t>
            </w:r>
          </w:p>
        </w:tc>
      </w:tr>
    </w:tbl>
    <w:p>
      <w:pPr>
        <w:spacing w:before="0" w:after="0" w:line="120" w:lineRule="exact"/>
      </w:pPr>
    </w:p>
    <w:p>
      <w:pPr>
        <w:pStyle w:val="H2"/>
        <w:numPr>
          <w:ilvl w:val="1"/>
          <w:numId w:val="1"/>
        </w:numPr>
      </w:pPr>
      <w:r>
        <w:t>3. Licensing Model</w:t>
      </w:r>
    </w:p>
    <w:p>
      <w:pPr>
        <w:pStyle w:val="H3"/>
        <w:numPr>
          <w:ilvl w:val="2"/>
          <w:numId w:val="1"/>
        </w:numPr>
      </w:pPr>
      <w:r>
        <w:t>3.1 Enterprise Tier</w:t>
      </w:r>
    </w:p>
    <w:p>
      <w:r>
        <w:rPr>
          <w:rFonts w:ascii="Figtree" w:hAnsi="Figtree"/>
          <w:b w:val="0"/>
          <w:i w:val="0"/>
          <w:sz w:val="22"/>
        </w:rPr>
        <w:t>Platform-based pricing covering the full DALP capability set across all markets. No per-transaction fees. No per-market fees. Grab Financial's consumer payment volume growth and SEA market expansion do not trigger additional license costs within the agreed scope.</w:t>
      </w:r>
    </w:p>
    <w:p>
      <w:pPr>
        <w:pStyle w:val="H3"/>
        <w:numPr>
          <w:ilvl w:val="2"/>
          <w:numId w:val="1"/>
        </w:numPr>
      </w:pPr>
      <w:r>
        <w:t>3.2 What's Included</w:t>
      </w:r>
    </w:p>
    <w:p>
      <w:r>
        <w:rPr>
          <w:rFonts w:ascii="Figtree" w:hAnsi="Figtree"/>
          <w:b w:val="0"/>
          <w:i w:val="0"/>
          <w:sz w:val="22"/>
        </w:rPr>
        <w:t>Full DALP platform: programmable payment token management, per-market compliance module system, XvP treasury settlement, Key Guardian for custodial wallet management, OpenAPI 3.1, full observability stack, platform updates and security patches.</w:t>
      </w:r>
    </w:p>
    <w:p>
      <w:pPr>
        <w:pStyle w:val="H3"/>
        <w:numPr>
          <w:ilvl w:val="2"/>
          <w:numId w:val="1"/>
        </w:numPr>
      </w:pPr>
      <w:r>
        <w:t>3.3 What Varies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92"/>
        <w:gridCol w:w="677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Note</w:t>
            </w:r>
          </w:p>
        </w:tc>
      </w:tr>
      <w:tr>
        <w:trPr>
          <w:trHeight w:val="425" w:hRule="atLeast"/>
        </w:trPr>
        <w:tc>
          <w:tcPr>
            <w:tcW w:type="dxa" w:w="4873"/>
            <w:vAlign w:val="center"/>
          </w:tcPr>
          <w:p>
            <w:pPr>
              <w:spacing w:line="276" w:lineRule="auto" w:before="0" w:after="0"/>
            </w:pPr>
            <w:r/>
            <w:r>
              <w:rPr>
                <w:rFonts w:ascii="Figtree" w:hAnsi="Figtree"/>
                <w:b w:val="0"/>
                <w:i w:val="0"/>
                <w:sz w:val="20"/>
              </w:rPr>
              <w:t>Deployment</w:t>
            </w:r>
          </w:p>
        </w:tc>
        <w:tc>
          <w:tcPr>
            <w:tcW w:type="dxa" w:w="4873"/>
            <w:vAlign w:val="center"/>
          </w:tcPr>
          <w:p>
            <w:pPr>
              <w:spacing w:line="276" w:lineRule="auto" w:before="0" w:after="0"/>
            </w:pPr>
            <w:r/>
            <w:r>
              <w:rPr>
                <w:rFonts w:ascii="Figtree" w:hAnsi="Figtree"/>
                <w:b w:val="0"/>
                <w:i w:val="0"/>
                <w:sz w:val="20"/>
              </w:rPr>
              <w:t>Managed SaaS + regional extensions for data sovereignty</w:t>
            </w:r>
          </w:p>
        </w:tc>
      </w:tr>
      <w:tr>
        <w:trPr>
          <w:trHeight w:val="425" w:hRule="atLeast"/>
        </w:trPr>
        <w:tc>
          <w:tcPr>
            <w:tcW w:type="dxa" w:w="4873"/>
            <w:vAlign w:val="center"/>
          </w:tcPr>
          <w:p>
            <w:pPr>
              <w:spacing w:line="276" w:lineRule="auto" w:before="0" w:after="0"/>
            </w:pPr>
            <w:r/>
            <w:r>
              <w:rPr>
                <w:rFonts w:ascii="Figtree" w:hAnsi="Figtree"/>
                <w:b w:val="0"/>
                <w:i w:val="0"/>
                <w:sz w:val="20"/>
              </w:rPr>
              <w:t>Markets</w:t>
            </w:r>
          </w:p>
        </w:tc>
        <w:tc>
          <w:tcPr>
            <w:tcW w:type="dxa" w:w="4873"/>
            <w:vAlign w:val="center"/>
          </w:tcPr>
          <w:p>
            <w:pPr>
              <w:spacing w:line="276" w:lineRule="auto" w:before="0" w:after="0"/>
            </w:pPr>
            <w:r/>
            <w:r>
              <w:rPr>
                <w:rFonts w:ascii="Figtree" w:hAnsi="Figtree"/>
                <w:b w:val="0"/>
                <w:i w:val="0"/>
                <w:sz w:val="20"/>
              </w:rPr>
              <w:t>Configured per-market; no additional license per market</w:t>
            </w:r>
          </w:p>
        </w:tc>
      </w:tr>
      <w:tr>
        <w:trPr>
          <w:trHeight w:val="425" w:hRule="atLeast"/>
        </w:trPr>
        <w:tc>
          <w:tcPr>
            <w:tcW w:type="dxa" w:w="4873"/>
            <w:vAlign w:val="center"/>
          </w:tcPr>
          <w:p>
            <w:pPr>
              <w:spacing w:line="276" w:lineRule="auto" w:before="0" w:after="0"/>
            </w:pPr>
            <w:r/>
            <w:r>
              <w:rPr>
                <w:rFonts w:ascii="Figtree" w:hAnsi="Figtree"/>
                <w:b w:val="0"/>
                <w:i w:val="0"/>
                <w:sz w:val="20"/>
              </w:rPr>
              <w:t>Support tier</w:t>
            </w:r>
          </w:p>
        </w:tc>
        <w:tc>
          <w:tcPr>
            <w:tcW w:type="dxa" w:w="4873"/>
            <w:vAlign w:val="center"/>
          </w:tcPr>
          <w:p>
            <w:pPr>
              <w:spacing w:line="276" w:lineRule="auto" w:before="0" w:after="0"/>
            </w:pPr>
            <w:r/>
            <w:r>
              <w:rPr>
                <w:rFonts w:ascii="Figtree" w:hAnsi="Figtree"/>
                <w:b w:val="0"/>
                <w:i w:val="0"/>
                <w:sz w:val="20"/>
              </w:rPr>
              <w:t>Enterprise (24/7)</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w:t>
            </w:r>
          </w:p>
        </w:tc>
        <w:tc>
          <w:tcPr>
            <w:tcW w:type="dxa" w:w="4873"/>
            <w:vAlign w:val="center"/>
          </w:tcPr>
          <w:p>
            <w:pPr>
              <w:spacing w:line="276" w:lineRule="auto" w:before="0" w:after="0"/>
            </w:pPr>
            <w:r/>
            <w:r>
              <w:rPr>
                <w:rFonts w:ascii="Figtree" w:hAnsi="Figtree"/>
                <w:b w:val="0"/>
                <w:i w:val="0"/>
                <w:sz w:val="20"/>
              </w:rPr>
              <w:t>34-week programme</w:t>
            </w:r>
          </w:p>
        </w:tc>
      </w:tr>
    </w:tbl>
    <w:p>
      <w:pPr>
        <w:spacing w:before="0" w:after="0" w:line="120" w:lineRule="exact"/>
      </w:pPr>
    </w:p>
    <w:p>
      <w:pPr>
        <w:pStyle w:val="H2"/>
        <w:numPr>
          <w:ilvl w:val="1"/>
          <w:numId w:val="1"/>
        </w:numPr>
      </w:pPr>
      <w:r>
        <w:t>4. Deployment Options and Pricing</w:t>
      </w:r>
    </w:p>
    <w:p>
      <w:pPr>
        <w:pStyle w:val="H3"/>
        <w:numPr>
          <w:ilvl w:val="2"/>
          <w:numId w:val="1"/>
        </w:numPr>
      </w:pPr>
      <w:r>
        <w:t>4.1 Recommended: Managed SaaS (AWS Singapore) + Regional Extensions</w:t>
      </w:r>
    </w:p>
    <w:p>
      <w:r>
        <w:rPr>
          <w:rFonts w:ascii="Figtree" w:hAnsi="Figtree"/>
          <w:b w:val="0"/>
          <w:i w:val="0"/>
          <w:sz w:val="22"/>
        </w:rPr>
        <w:t>Primary: Managed SaaS on AWS Singapore (SGD operations, treasury). Regional: per-market AWS region for data sovereignty (Indonesia: AWS Jakarta, Vietnam: AWS local when available). SettleMint manages Singapore primary; assists with regional configuration.</w:t>
      </w:r>
    </w:p>
    <w:p>
      <w:pPr>
        <w:pStyle w:val="H3"/>
        <w:numPr>
          <w:ilvl w:val="2"/>
          <w:numId w:val="1"/>
        </w:numPr>
      </w:pPr>
      <w:r>
        <w:t>4.2 Cost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77"/>
        <w:gridCol w:w="4342"/>
        <w:gridCol w:w="135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Enterprise platform license</w:t>
            </w:r>
          </w:p>
        </w:tc>
        <w:tc>
          <w:tcPr>
            <w:tcW w:type="dxa" w:w="3249"/>
            <w:vAlign w:val="center"/>
          </w:tcPr>
          <w:p>
            <w:pPr>
              <w:spacing w:line="276" w:lineRule="auto" w:before="0" w:after="0"/>
            </w:pPr>
            <w:r/>
            <w:r>
              <w:rPr>
                <w:rFonts w:ascii="Figtree" w:hAnsi="Figtree"/>
                <w:b w:val="0"/>
                <w:i w:val="0"/>
                <w:sz w:val="20"/>
              </w:rPr>
              <w:t>Recurring annual</w:t>
            </w:r>
          </w:p>
        </w:tc>
        <w:tc>
          <w:tcPr>
            <w:tcW w:type="dxa" w:w="3249"/>
            <w:vAlign w:val="center"/>
          </w:tcPr>
          <w:p>
            <w:pPr>
              <w:spacing w:line="276" w:lineRule="auto" w:before="0" w:after="0"/>
            </w:pPr>
            <w:r/>
            <w:r>
              <w:rPr>
                <w:rFonts w:ascii="Figtree" w:hAnsi="Figtree"/>
                <w:b w:val="0"/>
                <w:i w:val="0"/>
                <w:sz w:val="20"/>
              </w:rPr>
              <w:t>SGD [VARIABLE]</w:t>
            </w:r>
          </w:p>
        </w:tc>
      </w:tr>
      <w:tr>
        <w:trPr>
          <w:trHeight w:val="425" w:hRule="atLeast"/>
        </w:trPr>
        <w:tc>
          <w:tcPr>
            <w:tcW w:type="dxa" w:w="3249"/>
            <w:vAlign w:val="center"/>
          </w:tcPr>
          <w:p>
            <w:pPr>
              <w:spacing w:line="276" w:lineRule="auto" w:before="0" w:after="0"/>
            </w:pPr>
            <w:r/>
            <w:r>
              <w:rPr>
                <w:rFonts w:ascii="Figtree" w:hAnsi="Figtree"/>
                <w:b w:val="0"/>
                <w:i w:val="0"/>
                <w:sz w:val="20"/>
              </w:rPr>
              <w:t>Managed SaaS (Singapore + regional)</w:t>
            </w:r>
          </w:p>
        </w:tc>
        <w:tc>
          <w:tcPr>
            <w:tcW w:type="dxa" w:w="3249"/>
            <w:vAlign w:val="center"/>
          </w:tcPr>
          <w:p>
            <w:pPr>
              <w:spacing w:line="276" w:lineRule="auto" w:before="0" w:after="0"/>
            </w:pPr>
            <w:r/>
            <w:r>
              <w:rPr>
                <w:rFonts w:ascii="Figtree" w:hAnsi="Figtree"/>
                <w:b w:val="0"/>
                <w:i w:val="0"/>
                <w:sz w:val="20"/>
              </w:rPr>
              <w:t>Included in license / per-region pass-through</w:t>
            </w:r>
          </w:p>
        </w:tc>
        <w:tc>
          <w:tcPr>
            <w:tcW w:type="dxa" w:w="3249"/>
            <w:vAlign w:val="center"/>
          </w:tcPr>
          <w:p>
            <w:pPr>
              <w:spacing w:line="276" w:lineRule="auto" w:before="0" w:after="0"/>
            </w:pPr>
            <w:r/>
            <w:r>
              <w:rPr>
                <w:rFonts w:ascii="Figtree" w:hAnsi="Figtree"/>
                <w:b w:val="0"/>
                <w:i w:val="0"/>
                <w:sz w:val="20"/>
              </w:rPr>
              <w:t>[VARIABLE]</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services</w:t>
            </w:r>
          </w:p>
        </w:tc>
        <w:tc>
          <w:tcPr>
            <w:tcW w:type="dxa" w:w="3249"/>
            <w:vAlign w:val="center"/>
          </w:tcPr>
          <w:p>
            <w:pPr>
              <w:spacing w:line="276" w:lineRule="auto" w:before="0" w:after="0"/>
            </w:pPr>
            <w:r/>
            <w:r>
              <w:rPr>
                <w:rFonts w:ascii="Figtree" w:hAnsi="Figtree"/>
                <w:b w:val="0"/>
                <w:i w:val="0"/>
                <w:sz w:val="20"/>
              </w:rPr>
              <w:t>One-time</w:t>
            </w:r>
          </w:p>
        </w:tc>
        <w:tc>
          <w:tcPr>
            <w:tcW w:type="dxa" w:w="3249"/>
            <w:vAlign w:val="center"/>
          </w:tcPr>
          <w:p>
            <w:pPr>
              <w:spacing w:line="276" w:lineRule="auto" w:before="0" w:after="0"/>
            </w:pPr>
            <w:r/>
            <w:r>
              <w:rPr>
                <w:rFonts w:ascii="Figtree" w:hAnsi="Figtree"/>
                <w:b w:val="0"/>
                <w:i w:val="0"/>
                <w:sz w:val="20"/>
              </w:rPr>
              <w:t>SGD [VARIABLE]</w:t>
            </w:r>
          </w:p>
        </w:tc>
      </w:tr>
      <w:tr>
        <w:trPr>
          <w:trHeight w:val="425" w:hRule="atLeast"/>
        </w:trPr>
        <w:tc>
          <w:tcPr>
            <w:tcW w:type="dxa" w:w="3249"/>
            <w:vAlign w:val="center"/>
          </w:tcPr>
          <w:p>
            <w:pPr>
              <w:spacing w:line="276" w:lineRule="auto" w:before="0" w:after="0"/>
            </w:pPr>
            <w:r/>
            <w:r>
              <w:rPr>
                <w:rFonts w:ascii="Figtree" w:hAnsi="Figtree"/>
                <w:b w:val="0"/>
                <w:i w:val="0"/>
                <w:sz w:val="20"/>
              </w:rPr>
              <w:t>Enterprise support</w:t>
            </w:r>
          </w:p>
        </w:tc>
        <w:tc>
          <w:tcPr>
            <w:tcW w:type="dxa" w:w="3249"/>
            <w:vAlign w:val="center"/>
          </w:tcPr>
          <w:p>
            <w:pPr>
              <w:spacing w:line="276" w:lineRule="auto" w:before="0" w:after="0"/>
            </w:pPr>
            <w:r/>
            <w:r>
              <w:rPr>
                <w:rFonts w:ascii="Figtree" w:hAnsi="Figtree"/>
                <w:b w:val="0"/>
                <w:i w:val="0"/>
                <w:sz w:val="20"/>
              </w:rPr>
              <w:t>Recurring annual</w:t>
            </w:r>
          </w:p>
        </w:tc>
        <w:tc>
          <w:tcPr>
            <w:tcW w:type="dxa" w:w="3249"/>
            <w:vAlign w:val="center"/>
          </w:tcPr>
          <w:p>
            <w:pPr>
              <w:spacing w:line="276" w:lineRule="auto" w:before="0" w:after="0"/>
            </w:pPr>
            <w:r/>
            <w:r>
              <w:rPr>
                <w:rFonts w:ascii="Figtree" w:hAnsi="Figtree"/>
                <w:b w:val="0"/>
                <w:i w:val="0"/>
                <w:sz w:val="20"/>
              </w:rPr>
              <w:t>SGD [VARIABLE]</w:t>
            </w:r>
          </w:p>
        </w:tc>
      </w:tr>
    </w:tbl>
    <w:p>
      <w:pPr>
        <w:spacing w:before="0" w:after="0" w:line="120" w:lineRule="exact"/>
      </w:pPr>
    </w:p>
    <w:p>
      <w:pPr>
        <w:pStyle w:val="H3"/>
        <w:numPr>
          <w:ilvl w:val="2"/>
          <w:numId w:val="1"/>
        </w:numPr>
      </w:pPr>
      <w:r>
        <w:t>4.3 Cost Drivers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428"/>
        <w:gridCol w:w="464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Driver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Effect</w:t>
            </w:r>
          </w:p>
        </w:tc>
      </w:tr>
      <w:tr>
        <w:trPr>
          <w:trHeight w:val="425" w:hRule="atLeast"/>
        </w:trPr>
        <w:tc>
          <w:tcPr>
            <w:tcW w:type="dxa" w:w="4873"/>
            <w:vAlign w:val="center"/>
          </w:tcPr>
          <w:p>
            <w:pPr>
              <w:spacing w:line="276" w:lineRule="auto" w:before="0" w:after="0"/>
            </w:pPr>
            <w:r/>
            <w:r>
              <w:rPr>
                <w:rFonts w:ascii="Figtree" w:hAnsi="Figtree"/>
                <w:b w:val="0"/>
                <w:i w:val="0"/>
                <w:sz w:val="20"/>
              </w:rPr>
              <w:t>Multi-market scope (5+ markets)</w:t>
            </w:r>
          </w:p>
        </w:tc>
        <w:tc>
          <w:tcPr>
            <w:tcW w:type="dxa" w:w="4873"/>
            <w:vAlign w:val="center"/>
          </w:tcPr>
          <w:p>
            <w:pPr>
              <w:spacing w:line="276" w:lineRule="auto" w:before="0" w:after="0"/>
            </w:pPr>
            <w:r/>
            <w:r>
              <w:rPr>
                <w:rFonts w:ascii="Figtree" w:hAnsi="Figtree"/>
                <w:b w:val="0"/>
                <w:i w:val="0"/>
                <w:sz w:val="20"/>
              </w:rPr>
              <w:t>Extends configuration and integration phase</w:t>
            </w:r>
          </w:p>
        </w:tc>
      </w:tr>
      <w:tr>
        <w:trPr>
          <w:trHeight w:val="425" w:hRule="atLeast"/>
        </w:trPr>
        <w:tc>
          <w:tcPr>
            <w:tcW w:type="dxa" w:w="4873"/>
            <w:vAlign w:val="center"/>
          </w:tcPr>
          <w:p>
            <w:pPr>
              <w:spacing w:line="276" w:lineRule="auto" w:before="0" w:after="0"/>
            </w:pPr>
            <w:r/>
            <w:r>
              <w:rPr>
                <w:rFonts w:ascii="Figtree" w:hAnsi="Figtree"/>
                <w:b w:val="0"/>
                <w:i w:val="0"/>
                <w:sz w:val="20"/>
              </w:rPr>
              <w:t>High-frequency performance requirements</w:t>
            </w:r>
          </w:p>
        </w:tc>
        <w:tc>
          <w:tcPr>
            <w:tcW w:type="dxa" w:w="4873"/>
            <w:vAlign w:val="center"/>
          </w:tcPr>
          <w:p>
            <w:pPr>
              <w:spacing w:line="276" w:lineRule="auto" w:before="0" w:after="0"/>
            </w:pPr>
            <w:r/>
            <w:r>
              <w:rPr>
                <w:rFonts w:ascii="Figtree" w:hAnsi="Figtree"/>
                <w:b w:val="0"/>
                <w:i w:val="0"/>
                <w:sz w:val="20"/>
              </w:rPr>
              <w:t>Additional performance testing investment</w:t>
            </w:r>
          </w:p>
        </w:tc>
      </w:tr>
      <w:tr>
        <w:trPr>
          <w:trHeight w:val="425" w:hRule="atLeast"/>
        </w:trPr>
        <w:tc>
          <w:tcPr>
            <w:tcW w:type="dxa" w:w="4873"/>
            <w:vAlign w:val="center"/>
          </w:tcPr>
          <w:p>
            <w:pPr>
              <w:spacing w:line="276" w:lineRule="auto" w:before="0" w:after="0"/>
            </w:pPr>
            <w:r/>
            <w:r>
              <w:rPr>
                <w:rFonts w:ascii="Figtree" w:hAnsi="Figtree"/>
                <w:b w:val="0"/>
                <w:i w:val="0"/>
                <w:sz w:val="20"/>
              </w:rPr>
              <w:t>Local data residency (Indonesia, Vietnam)</w:t>
            </w:r>
          </w:p>
        </w:tc>
        <w:tc>
          <w:tcPr>
            <w:tcW w:type="dxa" w:w="4873"/>
            <w:vAlign w:val="center"/>
          </w:tcPr>
          <w:p>
            <w:pPr>
              <w:spacing w:line="276" w:lineRule="auto" w:before="0" w:after="0"/>
            </w:pPr>
            <w:r/>
            <w:r>
              <w:rPr>
                <w:rFonts w:ascii="Figtree" w:hAnsi="Figtree"/>
                <w:b w:val="0"/>
                <w:i w:val="0"/>
                <w:sz w:val="20"/>
              </w:rPr>
              <w:t>Regional infrastructure add-on</w:t>
            </w:r>
          </w:p>
        </w:tc>
      </w:tr>
    </w:tbl>
    <w:p>
      <w:pPr>
        <w:spacing w:before="0" w:after="0" w:line="120" w:lineRule="exact"/>
      </w:pPr>
    </w:p>
    <w:p>
      <w:pPr>
        <w:pStyle w:val="H2"/>
        <w:numPr>
          <w:ilvl w:val="1"/>
          <w:numId w:val="1"/>
        </w:numPr>
      </w:pPr>
      <w:r>
        <w:t>5. Support and SLA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02"/>
        <w:gridCol w:w="646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Commitment</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24/7</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P2 response</w:t>
            </w:r>
          </w:p>
        </w:tc>
        <w:tc>
          <w:tcPr>
            <w:tcW w:type="dxa" w:w="4873"/>
            <w:vAlign w:val="center"/>
          </w:tcPr>
          <w:p>
            <w:pPr>
              <w:spacing w:line="276" w:lineRule="auto" w:before="0" w:after="0"/>
            </w:pPr>
            <w:r/>
            <w:r>
              <w:rPr>
                <w:rFonts w:ascii="Figtree" w:hAnsi="Figtree"/>
                <w:b w:val="0"/>
                <w:i w:val="0"/>
                <w:sz w:val="20"/>
              </w:rPr>
              <w:t>30 minutes (Grab peak hours); 1 hour (other)</w:t>
            </w:r>
          </w:p>
        </w:tc>
      </w:tr>
      <w:tr>
        <w:trPr>
          <w:trHeight w:val="425" w:hRule="atLeast"/>
        </w:trPr>
        <w:tc>
          <w:tcPr>
            <w:tcW w:type="dxa" w:w="4873"/>
            <w:vAlign w:val="center"/>
          </w:tcPr>
          <w:p>
            <w:pPr>
              <w:spacing w:line="276" w:lineRule="auto" w:before="0" w:after="0"/>
            </w:pPr>
            <w:r/>
            <w:r>
              <w:rPr>
                <w:rFonts w:ascii="Figtree" w:hAnsi="Figtree"/>
                <w:b w:val="0"/>
                <w:i w:val="0"/>
                <w:sz w:val="20"/>
              </w:rPr>
              <w:t>Monthly uptime</w:t>
            </w:r>
          </w:p>
        </w:tc>
        <w:tc>
          <w:tcPr>
            <w:tcW w:type="dxa" w:w="4873"/>
            <w:vAlign w:val="center"/>
          </w:tcPr>
          <w:p>
            <w:pPr>
              <w:spacing w:line="276" w:lineRule="auto" w:before="0" w:after="0"/>
            </w:pPr>
            <w:r/>
            <w:r>
              <w:rPr>
                <w:rFonts w:ascii="Figtree" w:hAnsi="Figtree"/>
                <w:b w:val="0"/>
                <w:i w:val="0"/>
                <w:sz w:val="20"/>
              </w:rPr>
              <w:t>99.95%</w:t>
            </w:r>
          </w:p>
        </w:tc>
      </w:tr>
      <w:tr>
        <w:trPr>
          <w:trHeight w:val="425" w:hRule="atLeast"/>
        </w:trPr>
        <w:tc>
          <w:tcPr>
            <w:tcW w:type="dxa" w:w="4873"/>
            <w:vAlign w:val="center"/>
          </w:tcPr>
          <w:p>
            <w:pPr>
              <w:spacing w:line="276" w:lineRule="auto" w:before="0" w:after="0"/>
            </w:pPr>
            <w:r/>
            <w:r>
              <w:rPr>
                <w:rFonts w:ascii="Figtree" w:hAnsi="Figtree"/>
                <w:b w:val="0"/>
                <w:i w:val="0"/>
                <w:sz w:val="20"/>
              </w:rPr>
              <w:t>Maintenance</w:t>
            </w:r>
          </w:p>
        </w:tc>
        <w:tc>
          <w:tcPr>
            <w:tcW w:type="dxa" w:w="4873"/>
            <w:vAlign w:val="center"/>
          </w:tcPr>
          <w:p>
            <w:pPr>
              <w:spacing w:line="276" w:lineRule="auto" w:before="0" w:after="0"/>
            </w:pPr>
            <w:r/>
            <w:r>
              <w:rPr>
                <w:rFonts w:ascii="Figtree" w:hAnsi="Figtree"/>
                <w:b w:val="0"/>
                <w:i w:val="0"/>
                <w:sz w:val="20"/>
              </w:rPr>
              <w:t>Weekend low-traffic windows</w:t>
            </w:r>
          </w:p>
        </w:tc>
      </w:tr>
    </w:tbl>
    <w:p>
      <w:pPr>
        <w:spacing w:before="0" w:after="0" w:line="120" w:lineRule="exact"/>
      </w:pPr>
    </w:p>
    <w:p>
      <w:pPr>
        <w:pStyle w:val="H2"/>
        <w:numPr>
          <w:ilvl w:val="1"/>
          <w:numId w:val="1"/>
        </w:numPr>
      </w:pPr>
      <w:r>
        <w:t>6. Implementation Investment</w:t>
      </w:r>
    </w:p>
    <w:p>
      <w:pPr>
        <w:pStyle w:val="H3"/>
        <w:numPr>
          <w:ilvl w:val="2"/>
          <w:numId w:val="1"/>
        </w:numPr>
      </w:pPr>
      <w:r>
        <w:t>6.1 Phase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32"/>
        <w:gridCol w:w="916"/>
        <w:gridCol w:w="632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Gate Criteria</w:t>
            </w:r>
          </w:p>
        </w:tc>
      </w:tr>
      <w:tr>
        <w:trPr>
          <w:trHeight w:val="425" w:hRule="atLeast"/>
        </w:trPr>
        <w:tc>
          <w:tcPr>
            <w:tcW w:type="dxa" w:w="3249"/>
            <w:vAlign w:val="center"/>
          </w:tcPr>
          <w:p>
            <w:pPr>
              <w:spacing w:line="276" w:lineRule="auto" w:before="0" w:after="0"/>
            </w:pPr>
            <w:r/>
            <w:r>
              <w:rPr>
                <w:rFonts w:ascii="Figtree" w:hAnsi="Figtree"/>
                <w:b w:val="0"/>
                <w:i w:val="0"/>
                <w:sz w:val="20"/>
              </w:rPr>
              <w:t>1. Discovery</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Market priority; MAS compliance mapping</w:t>
            </w:r>
          </w:p>
        </w:tc>
      </w:tr>
      <w:tr>
        <w:trPr>
          <w:trHeight w:val="425" w:hRule="atLeast"/>
        </w:trPr>
        <w:tc>
          <w:tcPr>
            <w:tcW w:type="dxa" w:w="3249"/>
            <w:vAlign w:val="center"/>
          </w:tcPr>
          <w:p>
            <w:pPr>
              <w:spacing w:line="276" w:lineRule="auto" w:before="0" w:after="0"/>
            </w:pPr>
            <w:r/>
            <w:r>
              <w:rPr>
                <w:rFonts w:ascii="Figtree" w:hAnsi="Figtree"/>
                <w:b w:val="0"/>
                <w:i w:val="0"/>
                <w:sz w:val="20"/>
              </w:rPr>
              <w:t>2. Configuration</w:t>
            </w:r>
          </w:p>
        </w:tc>
        <w:tc>
          <w:tcPr>
            <w:tcW w:type="dxa" w:w="3249"/>
            <w:vAlign w:val="center"/>
          </w:tcPr>
          <w:p>
            <w:pPr>
              <w:spacing w:line="276" w:lineRule="auto" w:before="0" w:after="0"/>
            </w:pPr>
            <w:r/>
            <w:r>
              <w:rPr>
                <w:rFonts w:ascii="Figtree" w:hAnsi="Figtree"/>
                <w:b w:val="0"/>
                <w:i w:val="0"/>
                <w:sz w:val="20"/>
              </w:rPr>
              <w:t>6 weeks</w:t>
            </w:r>
          </w:p>
        </w:tc>
        <w:tc>
          <w:tcPr>
            <w:tcW w:type="dxa" w:w="3249"/>
            <w:vAlign w:val="center"/>
          </w:tcPr>
          <w:p>
            <w:pPr>
              <w:spacing w:line="276" w:lineRule="auto" w:before="0" w:after="0"/>
            </w:pPr>
            <w:r/>
            <w:r>
              <w:rPr>
                <w:rFonts w:ascii="Figtree" w:hAnsi="Figtree"/>
                <w:b w:val="0"/>
                <w:i w:val="0"/>
                <w:sz w:val="20"/>
              </w:rPr>
              <w:t>SGD payment rails demonstrable in SIT</w:t>
            </w:r>
          </w:p>
        </w:tc>
      </w:tr>
      <w:tr>
        <w:trPr>
          <w:trHeight w:val="425" w:hRule="atLeast"/>
        </w:trPr>
        <w:tc>
          <w:tcPr>
            <w:tcW w:type="dxa" w:w="3249"/>
            <w:vAlign w:val="center"/>
          </w:tcPr>
          <w:p>
            <w:pPr>
              <w:spacing w:line="276" w:lineRule="auto" w:before="0" w:after="0"/>
            </w:pPr>
            <w:r/>
            <w:r>
              <w:rPr>
                <w:rFonts w:ascii="Figtree" w:hAnsi="Figtree"/>
                <w:b w:val="0"/>
                <w:i w:val="0"/>
                <w:sz w:val="20"/>
              </w:rPr>
              <w:t>3. Integration</w:t>
            </w:r>
          </w:p>
        </w:tc>
        <w:tc>
          <w:tcPr>
            <w:tcW w:type="dxa" w:w="3249"/>
            <w:vAlign w:val="center"/>
          </w:tcPr>
          <w:p>
            <w:pPr>
              <w:spacing w:line="276" w:lineRule="auto" w:before="0" w:after="0"/>
            </w:pPr>
            <w:r/>
            <w:r>
              <w:rPr>
                <w:rFonts w:ascii="Figtree" w:hAnsi="Figtree"/>
                <w:b w:val="0"/>
                <w:i w:val="0"/>
                <w:sz w:val="20"/>
              </w:rPr>
              <w:t>8 weeks</w:t>
            </w:r>
          </w:p>
        </w:tc>
        <w:tc>
          <w:tcPr>
            <w:tcW w:type="dxa" w:w="3249"/>
            <w:vAlign w:val="center"/>
          </w:tcPr>
          <w:p>
            <w:pPr>
              <w:spacing w:line="276" w:lineRule="auto" w:before="0" w:after="0"/>
            </w:pPr>
            <w:r/>
            <w:r>
              <w:rPr>
                <w:rFonts w:ascii="Figtree" w:hAnsi="Figtree"/>
                <w:b w:val="0"/>
                <w:i w:val="0"/>
                <w:sz w:val="20"/>
              </w:rPr>
              <w:t>Grab platform integration passing all tests including high-frequency</w:t>
            </w:r>
          </w:p>
        </w:tc>
      </w:tr>
      <w:tr>
        <w:trPr>
          <w:trHeight w:val="425" w:hRule="atLeast"/>
        </w:trPr>
        <w:tc>
          <w:tcPr>
            <w:tcW w:type="dxa" w:w="3249"/>
            <w:vAlign w:val="center"/>
          </w:tcPr>
          <w:p>
            <w:pPr>
              <w:spacing w:line="276" w:lineRule="auto" w:before="0" w:after="0"/>
            </w:pPr>
            <w:r/>
            <w:r>
              <w:rPr>
                <w:rFonts w:ascii="Figtree" w:hAnsi="Figtree"/>
                <w:b w:val="0"/>
                <w:i w:val="0"/>
                <w:sz w:val="20"/>
              </w:rPr>
              <w:t>4. Testing</w:t>
            </w:r>
          </w:p>
        </w:tc>
        <w:tc>
          <w:tcPr>
            <w:tcW w:type="dxa" w:w="3249"/>
            <w:vAlign w:val="center"/>
          </w:tcPr>
          <w:p>
            <w:pPr>
              <w:spacing w:line="276" w:lineRule="auto" w:before="0" w:after="0"/>
            </w:pPr>
            <w:r/>
            <w:r>
              <w:rPr>
                <w:rFonts w:ascii="Figtree" w:hAnsi="Figtree"/>
                <w:b w:val="0"/>
                <w:i w:val="0"/>
                <w:sz w:val="20"/>
              </w:rPr>
              <w:t>6 weeks</w:t>
            </w:r>
          </w:p>
        </w:tc>
        <w:tc>
          <w:tcPr>
            <w:tcW w:type="dxa" w:w="3249"/>
            <w:vAlign w:val="center"/>
          </w:tcPr>
          <w:p>
            <w:pPr>
              <w:spacing w:line="276" w:lineRule="auto" w:before="0" w:after="0"/>
            </w:pPr>
            <w:r/>
            <w:r>
              <w:rPr>
                <w:rFonts w:ascii="Figtree" w:hAnsi="Figtree"/>
                <w:b w:val="0"/>
                <w:i w:val="0"/>
                <w:sz w:val="20"/>
              </w:rPr>
              <w:t>Peak volume validated; MAS compliance confirmed; UAT signed off</w:t>
            </w:r>
          </w:p>
        </w:tc>
      </w:tr>
      <w:tr>
        <w:trPr>
          <w:trHeight w:val="425" w:hRule="atLeast"/>
        </w:trPr>
        <w:tc>
          <w:tcPr>
            <w:tcW w:type="dxa" w:w="3249"/>
            <w:vAlign w:val="center"/>
          </w:tcPr>
          <w:p>
            <w:pPr>
              <w:spacing w:line="276" w:lineRule="auto" w:before="0" w:after="0"/>
            </w:pPr>
            <w:r/>
            <w:r>
              <w:rPr>
                <w:rFonts w:ascii="Figtree" w:hAnsi="Figtree"/>
                <w:b w:val="0"/>
                <w:i w:val="0"/>
                <w:sz w:val="20"/>
              </w:rPr>
              <w:t>5. Go-Live</w:t>
            </w:r>
          </w:p>
        </w:tc>
        <w:tc>
          <w:tcPr>
            <w:tcW w:type="dxa" w:w="3249"/>
            <w:vAlign w:val="center"/>
          </w:tcPr>
          <w:p>
            <w:pPr>
              <w:spacing w:line="276" w:lineRule="auto" w:before="0" w:after="0"/>
            </w:pPr>
            <w:r/>
            <w:r>
              <w:rPr>
                <w:rFonts w:ascii="Figtree" w:hAnsi="Figtree"/>
                <w:b w:val="0"/>
                <w:i w:val="0"/>
                <w:sz w:val="20"/>
              </w:rPr>
              <w:t>2 weeks</w:t>
            </w:r>
          </w:p>
        </w:tc>
        <w:tc>
          <w:tcPr>
            <w:tcW w:type="dxa" w:w="3249"/>
            <w:vAlign w:val="center"/>
          </w:tcPr>
          <w:p>
            <w:pPr>
              <w:spacing w:line="276" w:lineRule="auto" w:before="0" w:after="0"/>
            </w:pPr>
            <w:r/>
            <w:r>
              <w:rPr>
                <w:rFonts w:ascii="Figtree" w:hAnsi="Figtree"/>
                <w:b w:val="0"/>
                <w:i w:val="0"/>
                <w:sz w:val="20"/>
              </w:rPr>
              <w:t>Singapore pilot with limited scope</w:t>
            </w:r>
          </w:p>
        </w:tc>
      </w:tr>
      <w:tr>
        <w:trPr>
          <w:trHeight w:val="425" w:hRule="atLeast"/>
        </w:trPr>
        <w:tc>
          <w:tcPr>
            <w:tcW w:type="dxa" w:w="3249"/>
            <w:vAlign w:val="center"/>
          </w:tcPr>
          <w:p>
            <w:pPr>
              <w:spacing w:line="276" w:lineRule="auto" w:before="0" w:after="0"/>
            </w:pPr>
            <w:r/>
            <w:r>
              <w:rPr>
                <w:rFonts w:ascii="Figtree" w:hAnsi="Figtree"/>
                <w:b w:val="0"/>
                <w:i w:val="0"/>
                <w:sz w:val="20"/>
              </w:rPr>
              <w:t>6. Hypercare</w:t>
            </w:r>
          </w:p>
        </w:tc>
        <w:tc>
          <w:tcPr>
            <w:tcW w:type="dxa" w:w="3249"/>
            <w:vAlign w:val="center"/>
          </w:tcPr>
          <w:p>
            <w:pPr>
              <w:spacing w:line="276" w:lineRule="auto" w:before="0" w:after="0"/>
            </w:pPr>
            <w:r/>
            <w:r>
              <w:rPr>
                <w:rFonts w:ascii="Figtree" w:hAnsi="Figtree"/>
                <w:b w:val="0"/>
                <w:i w:val="0"/>
                <w:sz w:val="20"/>
              </w:rPr>
              <w:t>8 weeks</w:t>
            </w:r>
          </w:p>
        </w:tc>
        <w:tc>
          <w:tcPr>
            <w:tcW w:type="dxa" w:w="3249"/>
            <w:vAlign w:val="center"/>
          </w:tcPr>
          <w:p>
            <w:pPr>
              <w:spacing w:line="276" w:lineRule="auto" w:before="0" w:after="0"/>
            </w:pPr>
            <w:r/>
            <w:r>
              <w:rPr>
                <w:rFonts w:ascii="Figtree" w:hAnsi="Figtree"/>
                <w:b w:val="0"/>
                <w:i w:val="0"/>
                <w:sz w:val="20"/>
              </w:rPr>
              <w:t>Singapore stable; additional markets onboarded</w:t>
            </w:r>
          </w:p>
        </w:tc>
      </w:tr>
    </w:tbl>
    <w:p>
      <w:pPr>
        <w:spacing w:before="0" w:after="0" w:line="120" w:lineRule="exact"/>
      </w:pPr>
    </w:p>
    <w:p>
      <w:r>
        <w:rPr>
          <w:rFonts w:ascii="Figtree" w:hAnsi="Figtree"/>
          <w:b/>
          <w:i w:val="0"/>
          <w:sz w:val="22"/>
        </w:rPr>
        <w:t>Total: approximately 34 weeks</w:t>
      </w:r>
    </w:p>
    <w:p>
      <w:pPr>
        <w:pStyle w:val="H3"/>
        <w:numPr>
          <w:ilvl w:val="2"/>
          <w:numId w:val="1"/>
        </w:numPr>
      </w:pPr>
      <w:r>
        <w:t>6.2 Investment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066"/>
        <w:gridCol w:w="500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Indicative (SGD)</w:t>
            </w:r>
          </w:p>
        </w:tc>
      </w:tr>
      <w:tr>
        <w:trPr>
          <w:trHeight w:val="425" w:hRule="atLeast"/>
        </w:trPr>
        <w:tc>
          <w:tcPr>
            <w:tcW w:type="dxa" w:w="4873"/>
            <w:vAlign w:val="center"/>
          </w:tcPr>
          <w:p>
            <w:pPr>
              <w:spacing w:line="276" w:lineRule="auto" w:before="0" w:after="0"/>
            </w:pPr>
            <w:r/>
            <w:r>
              <w:rPr>
                <w:rFonts w:ascii="Figtree" w:hAnsi="Figtree"/>
                <w:b w:val="0"/>
                <w:i w:val="0"/>
                <w:sz w:val="20"/>
              </w:rPr>
              <w:t>Discovery</w:t>
            </w:r>
          </w:p>
        </w:tc>
        <w:tc>
          <w:tcPr>
            <w:tcW w:type="dxa" w:w="4873"/>
            <w:vAlign w:val="center"/>
          </w:tcPr>
          <w:p>
            <w:pPr>
              <w:spacing w:line="276" w:lineRule="auto" w:before="0" w:after="0"/>
            </w:pPr>
            <w:r/>
            <w:r>
              <w:rPr>
                <w:rFonts w:ascii="Figtree" w:hAnsi="Figtree"/>
                <w:b w:val="0"/>
                <w:i w:val="0"/>
                <w:sz w:val="20"/>
              </w:rPr>
              <w:t>[VARIABLE]</w:t>
            </w:r>
          </w:p>
        </w:tc>
      </w:tr>
      <w:tr>
        <w:trPr>
          <w:trHeight w:val="425" w:hRule="atLeast"/>
        </w:trPr>
        <w:tc>
          <w:tcPr>
            <w:tcW w:type="dxa" w:w="4873"/>
            <w:vAlign w:val="center"/>
          </w:tcPr>
          <w:p>
            <w:pPr>
              <w:spacing w:line="276" w:lineRule="auto" w:before="0" w:after="0"/>
            </w:pPr>
            <w:r/>
            <w:r>
              <w:rPr>
                <w:rFonts w:ascii="Figtree" w:hAnsi="Figtree"/>
                <w:b w:val="0"/>
                <w:i w:val="0"/>
                <w:sz w:val="20"/>
              </w:rPr>
              <w:t>Configuration</w:t>
            </w:r>
          </w:p>
        </w:tc>
        <w:tc>
          <w:tcPr>
            <w:tcW w:type="dxa" w:w="4873"/>
            <w:vAlign w:val="center"/>
          </w:tcPr>
          <w:p>
            <w:pPr>
              <w:spacing w:line="276" w:lineRule="auto" w:before="0" w:after="0"/>
            </w:pPr>
            <w:r/>
            <w:r>
              <w:rPr>
                <w:rFonts w:ascii="Figtree" w:hAnsi="Figtree"/>
                <w:b w:val="0"/>
                <w:i w:val="0"/>
                <w:sz w:val="20"/>
              </w:rPr>
              <w:t>[VARIABLE]</w:t>
            </w:r>
          </w:p>
        </w:tc>
      </w:tr>
      <w:tr>
        <w:trPr>
          <w:trHeight w:val="425" w:hRule="atLeast"/>
        </w:trPr>
        <w:tc>
          <w:tcPr>
            <w:tcW w:type="dxa" w:w="4873"/>
            <w:vAlign w:val="center"/>
          </w:tcPr>
          <w:p>
            <w:pPr>
              <w:spacing w:line="276" w:lineRule="auto" w:before="0" w:after="0"/>
            </w:pPr>
            <w:r/>
            <w:r>
              <w:rPr>
                <w:rFonts w:ascii="Figtree" w:hAnsi="Figtree"/>
                <w:b w:val="0"/>
                <w:i w:val="0"/>
                <w:sz w:val="20"/>
              </w:rPr>
              <w:t>Integration</w:t>
            </w:r>
          </w:p>
        </w:tc>
        <w:tc>
          <w:tcPr>
            <w:tcW w:type="dxa" w:w="4873"/>
            <w:vAlign w:val="center"/>
          </w:tcPr>
          <w:p>
            <w:pPr>
              <w:spacing w:line="276" w:lineRule="auto" w:before="0" w:after="0"/>
            </w:pPr>
            <w:r/>
            <w:r>
              <w:rPr>
                <w:rFonts w:ascii="Figtree" w:hAnsi="Figtree"/>
                <w:b w:val="0"/>
                <w:i w:val="0"/>
                <w:sz w:val="20"/>
              </w:rPr>
              <w:t>[VARIABLE]</w:t>
            </w:r>
          </w:p>
        </w:tc>
      </w:tr>
      <w:tr>
        <w:trPr>
          <w:trHeight w:val="425" w:hRule="atLeast"/>
        </w:trPr>
        <w:tc>
          <w:tcPr>
            <w:tcW w:type="dxa" w:w="4873"/>
            <w:vAlign w:val="center"/>
          </w:tcPr>
          <w:p>
            <w:pPr>
              <w:spacing w:line="276" w:lineRule="auto" w:before="0" w:after="0"/>
            </w:pPr>
            <w:r/>
            <w:r>
              <w:rPr>
                <w:rFonts w:ascii="Figtree" w:hAnsi="Figtree"/>
                <w:b w:val="0"/>
                <w:i w:val="0"/>
                <w:sz w:val="20"/>
              </w:rPr>
              <w:t>Testing</w:t>
            </w:r>
          </w:p>
        </w:tc>
        <w:tc>
          <w:tcPr>
            <w:tcW w:type="dxa" w:w="4873"/>
            <w:vAlign w:val="center"/>
          </w:tcPr>
          <w:p>
            <w:pPr>
              <w:spacing w:line="276" w:lineRule="auto" w:before="0" w:after="0"/>
            </w:pPr>
            <w:r/>
            <w:r>
              <w:rPr>
                <w:rFonts w:ascii="Figtree" w:hAnsi="Figtree"/>
                <w:b w:val="0"/>
                <w:i w:val="0"/>
                <w:sz w:val="20"/>
              </w:rPr>
              <w:t>[VARIABLE]</w:t>
            </w:r>
          </w:p>
        </w:tc>
      </w:tr>
      <w:tr>
        <w:trPr>
          <w:trHeight w:val="425" w:hRule="atLeast"/>
        </w:trPr>
        <w:tc>
          <w:tcPr>
            <w:tcW w:type="dxa" w:w="4873"/>
            <w:vAlign w:val="center"/>
          </w:tcPr>
          <w:p>
            <w:pPr>
              <w:spacing w:line="276" w:lineRule="auto" w:before="0" w:after="0"/>
            </w:pPr>
            <w:r/>
            <w:r>
              <w:rPr>
                <w:rFonts w:ascii="Figtree" w:hAnsi="Figtree"/>
                <w:b w:val="0"/>
                <w:i w:val="0"/>
                <w:sz w:val="20"/>
              </w:rPr>
              <w:t>Go-Live</w:t>
            </w:r>
          </w:p>
        </w:tc>
        <w:tc>
          <w:tcPr>
            <w:tcW w:type="dxa" w:w="4873"/>
            <w:vAlign w:val="center"/>
          </w:tcPr>
          <w:p>
            <w:pPr>
              <w:spacing w:line="276" w:lineRule="auto" w:before="0" w:after="0"/>
            </w:pPr>
            <w:r/>
            <w:r>
              <w:rPr>
                <w:rFonts w:ascii="Figtree" w:hAnsi="Figtree"/>
                <w:b w:val="0"/>
                <w:i w:val="0"/>
                <w:sz w:val="20"/>
              </w:rPr>
              <w:t>[VARIABLE]</w:t>
            </w:r>
          </w:p>
        </w:tc>
      </w:tr>
      <w:tr>
        <w:trPr>
          <w:trHeight w:val="425" w:hRule="atLeast"/>
        </w:trPr>
        <w:tc>
          <w:tcPr>
            <w:tcW w:type="dxa" w:w="4873"/>
            <w:vAlign w:val="center"/>
          </w:tcPr>
          <w:p>
            <w:pPr>
              <w:spacing w:line="276" w:lineRule="auto" w:before="0" w:after="0"/>
            </w:pPr>
            <w:r/>
            <w:r>
              <w:rPr>
                <w:rFonts w:ascii="Figtree" w:hAnsi="Figtree"/>
                <w:b w:val="0"/>
                <w:i w:val="0"/>
                <w:sz w:val="20"/>
              </w:rPr>
              <w:t>Hypercare</w:t>
            </w:r>
          </w:p>
        </w:tc>
        <w:tc>
          <w:tcPr>
            <w:tcW w:type="dxa" w:w="4873"/>
            <w:vAlign w:val="center"/>
          </w:tcPr>
          <w:p>
            <w:pPr>
              <w:spacing w:line="276" w:lineRule="auto" w:before="0" w:after="0"/>
            </w:pPr>
            <w:r/>
            <w:r>
              <w:rPr>
                <w:rFonts w:ascii="Figtree" w:hAnsi="Figtree"/>
                <w:b w:val="0"/>
                <w:i w:val="0"/>
                <w:sz w:val="20"/>
              </w:rPr>
              <w:t>[VARIABLE]</w:t>
            </w:r>
          </w:p>
        </w:tc>
      </w:tr>
      <w:tr>
        <w:trPr>
          <w:trHeight w:val="425" w:hRule="atLeast"/>
        </w:trPr>
        <w:tc>
          <w:tcPr>
            <w:tcW w:type="dxa" w:w="4873"/>
            <w:vAlign w:val="center"/>
          </w:tcPr>
          <w:p>
            <w:pPr>
              <w:spacing w:line="276" w:lineRule="auto" w:before="0" w:after="0"/>
            </w:pPr>
            <w:r/>
            <w:r>
              <w:rPr>
                <w:rFonts w:ascii="Figtree" w:hAnsi="Figtree"/>
                <w:b/>
                <w:i w:val="0"/>
                <w:sz w:val="20"/>
              </w:rPr>
              <w:t>Total</w:t>
            </w:r>
          </w:p>
        </w:tc>
        <w:tc>
          <w:tcPr>
            <w:tcW w:type="dxa" w:w="4873"/>
            <w:vAlign w:val="center"/>
          </w:tcPr>
          <w:p>
            <w:pPr>
              <w:spacing w:line="276" w:lineRule="auto" w:before="0" w:after="0"/>
            </w:pPr>
            <w:r/>
            <w:r>
              <w:rPr>
                <w:rFonts w:ascii="Figtree" w:hAnsi="Figtree"/>
                <w:b/>
                <w:i w:val="0"/>
                <w:sz w:val="20"/>
              </w:rPr>
              <w:t>[VARIABLE]</w:t>
            </w:r>
          </w:p>
        </w:tc>
      </w:tr>
    </w:tbl>
    <w:p>
      <w:pPr>
        <w:spacing w:before="0" w:after="0" w:line="120" w:lineRule="exact"/>
      </w:pPr>
    </w:p>
    <w:p>
      <w:pPr>
        <w:pStyle w:val="H3"/>
        <w:numPr>
          <w:ilvl w:val="2"/>
          <w:numId w:val="1"/>
        </w:numPr>
      </w:pPr>
      <w:r>
        <w:t>6.3 Accelerators and Risks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25"/>
        <w:gridCol w:w="744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Type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Item</w:t>
            </w:r>
          </w:p>
        </w:tc>
      </w:tr>
      <w:tr>
        <w:trPr>
          <w:trHeight w:val="425" w:hRule="atLeast"/>
        </w:trPr>
        <w:tc>
          <w:tcPr>
            <w:tcW w:type="dxa" w:w="4873"/>
            <w:vAlign w:val="center"/>
          </w:tcPr>
          <w:p>
            <w:pPr>
              <w:spacing w:line="276" w:lineRule="auto" w:before="0" w:after="0"/>
            </w:pPr>
            <w:r/>
            <w:r>
              <w:rPr>
                <w:rFonts w:ascii="Figtree" w:hAnsi="Figtree"/>
                <w:b w:val="0"/>
                <w:i w:val="0"/>
                <w:sz w:val="20"/>
              </w:rPr>
              <w:t>Accelerator</w:t>
            </w:r>
          </w:p>
        </w:tc>
        <w:tc>
          <w:tcPr>
            <w:tcW w:type="dxa" w:w="4873"/>
            <w:vAlign w:val="center"/>
          </w:tcPr>
          <w:p>
            <w:pPr>
              <w:spacing w:line="276" w:lineRule="auto" w:before="0" w:after="0"/>
            </w:pPr>
            <w:r/>
            <w:r>
              <w:rPr>
                <w:rFonts w:ascii="Figtree" w:hAnsi="Figtree"/>
                <w:b w:val="0"/>
                <w:i w:val="0"/>
                <w:sz w:val="20"/>
              </w:rPr>
              <w:t>Managed SaaS: no infrastructure provisioning time</w:t>
            </w:r>
          </w:p>
        </w:tc>
      </w:tr>
      <w:tr>
        <w:trPr>
          <w:trHeight w:val="425" w:hRule="atLeast"/>
        </w:trPr>
        <w:tc>
          <w:tcPr>
            <w:tcW w:type="dxa" w:w="4873"/>
            <w:vAlign w:val="center"/>
          </w:tcPr>
          <w:p>
            <w:pPr>
              <w:spacing w:line="276" w:lineRule="auto" w:before="0" w:after="0"/>
            </w:pPr>
            <w:r/>
            <w:r>
              <w:rPr>
                <w:rFonts w:ascii="Figtree" w:hAnsi="Figtree"/>
                <w:b w:val="0"/>
                <w:i w:val="0"/>
                <w:sz w:val="20"/>
              </w:rPr>
              <w:t>Accelerator</w:t>
            </w:r>
          </w:p>
        </w:tc>
        <w:tc>
          <w:tcPr>
            <w:tcW w:type="dxa" w:w="4873"/>
            <w:vAlign w:val="center"/>
          </w:tcPr>
          <w:p>
            <w:pPr>
              <w:spacing w:line="276" w:lineRule="auto" w:before="0" w:after="0"/>
            </w:pPr>
            <w:r/>
            <w:r>
              <w:rPr>
                <w:rFonts w:ascii="Figtree" w:hAnsi="Figtree"/>
                <w:b w:val="0"/>
                <w:i w:val="0"/>
                <w:sz w:val="20"/>
              </w:rPr>
              <w:t>Pre-built MAS PSA compliance templates</w:t>
            </w:r>
          </w:p>
        </w:tc>
      </w:tr>
      <w:tr>
        <w:trPr>
          <w:trHeight w:val="425" w:hRule="atLeast"/>
        </w:trPr>
        <w:tc>
          <w:tcPr>
            <w:tcW w:type="dxa" w:w="4873"/>
            <w:vAlign w:val="center"/>
          </w:tcPr>
          <w:p>
            <w:pPr>
              <w:spacing w:line="276" w:lineRule="auto" w:before="0" w:after="0"/>
            </w:pPr>
            <w:r/>
            <w:r>
              <w:rPr>
                <w:rFonts w:ascii="Figtree" w:hAnsi="Figtree"/>
                <w:b w:val="0"/>
                <w:i w:val="0"/>
                <w:sz w:val="20"/>
              </w:rPr>
              <w:t>Accelerator</w:t>
            </w:r>
          </w:p>
        </w:tc>
        <w:tc>
          <w:tcPr>
            <w:tcW w:type="dxa" w:w="4873"/>
            <w:vAlign w:val="center"/>
          </w:tcPr>
          <w:p>
            <w:pPr>
              <w:spacing w:line="276" w:lineRule="auto" w:before="0" w:after="0"/>
            </w:pPr>
            <w:r/>
            <w:r>
              <w:rPr>
                <w:rFonts w:ascii="Figtree" w:hAnsi="Figtree"/>
                <w:b w:val="0"/>
                <w:i w:val="0"/>
                <w:sz w:val="20"/>
              </w:rPr>
              <w:t>Consumer payment API templates from M-Pesa and OPay reference deployments</w:t>
            </w:r>
          </w:p>
        </w:tc>
      </w:tr>
      <w:tr>
        <w:trPr>
          <w:trHeight w:val="425" w:hRule="atLeast"/>
        </w:trPr>
        <w:tc>
          <w:tcPr>
            <w:tcW w:type="dxa" w:w="4873"/>
            <w:vAlign w:val="center"/>
          </w:tcPr>
          <w:p>
            <w:pPr>
              <w:spacing w:line="276" w:lineRule="auto" w:before="0" w:after="0"/>
            </w:pPr>
            <w:r/>
            <w:r>
              <w:rPr>
                <w:rFonts w:ascii="Figtree" w:hAnsi="Figtree"/>
                <w:b w:val="0"/>
                <w:i w:val="0"/>
                <w:sz w:val="20"/>
              </w:rPr>
              <w:t>Risk</w:t>
            </w:r>
          </w:p>
        </w:tc>
        <w:tc>
          <w:tcPr>
            <w:tcW w:type="dxa" w:w="4873"/>
            <w:vAlign w:val="center"/>
          </w:tcPr>
          <w:p>
            <w:pPr>
              <w:spacing w:line="276" w:lineRule="auto" w:before="0" w:after="0"/>
            </w:pPr>
            <w:r/>
            <w:r>
              <w:rPr>
                <w:rFonts w:ascii="Figtree" w:hAnsi="Figtree"/>
                <w:b w:val="0"/>
                <w:i w:val="0"/>
                <w:sz w:val="20"/>
              </w:rPr>
              <w:t>High-frequency performance requirements need careful sizing validation</w:t>
            </w:r>
          </w:p>
        </w:tc>
      </w:tr>
      <w:tr>
        <w:trPr>
          <w:trHeight w:val="425" w:hRule="atLeast"/>
        </w:trPr>
        <w:tc>
          <w:tcPr>
            <w:tcW w:type="dxa" w:w="4873"/>
            <w:vAlign w:val="center"/>
          </w:tcPr>
          <w:p>
            <w:pPr>
              <w:spacing w:line="276" w:lineRule="auto" w:before="0" w:after="0"/>
            </w:pPr>
            <w:r/>
            <w:r>
              <w:rPr>
                <w:rFonts w:ascii="Figtree" w:hAnsi="Figtree"/>
                <w:b w:val="0"/>
                <w:i w:val="0"/>
                <w:sz w:val="20"/>
              </w:rPr>
              <w:t>Risk</w:t>
            </w:r>
          </w:p>
        </w:tc>
        <w:tc>
          <w:tcPr>
            <w:tcW w:type="dxa" w:w="4873"/>
            <w:vAlign w:val="center"/>
          </w:tcPr>
          <w:p>
            <w:pPr>
              <w:spacing w:line="276" w:lineRule="auto" w:before="0" w:after="0"/>
            </w:pPr>
            <w:r/>
            <w:r>
              <w:rPr>
                <w:rFonts w:ascii="Figtree" w:hAnsi="Figtree"/>
                <w:b w:val="0"/>
                <w:i w:val="0"/>
                <w:sz w:val="20"/>
              </w:rPr>
              <w:t>Multi-market regulatory mapping may require local legal advice per market</w:t>
            </w:r>
          </w:p>
        </w:tc>
      </w:tr>
      <w:tr>
        <w:trPr>
          <w:trHeight w:val="425" w:hRule="atLeast"/>
        </w:trPr>
        <w:tc>
          <w:tcPr>
            <w:tcW w:type="dxa" w:w="4873"/>
            <w:vAlign w:val="center"/>
          </w:tcPr>
          <w:p>
            <w:pPr>
              <w:spacing w:line="276" w:lineRule="auto" w:before="0" w:after="0"/>
            </w:pPr>
            <w:r/>
            <w:r>
              <w:rPr>
                <w:rFonts w:ascii="Figtree" w:hAnsi="Figtree"/>
                <w:b w:val="0"/>
                <w:i w:val="0"/>
                <w:sz w:val="20"/>
              </w:rPr>
              <w:t>Risk</w:t>
            </w:r>
          </w:p>
        </w:tc>
        <w:tc>
          <w:tcPr>
            <w:tcW w:type="dxa" w:w="4873"/>
            <w:vAlign w:val="center"/>
          </w:tcPr>
          <w:p>
            <w:pPr>
              <w:spacing w:line="276" w:lineRule="auto" w:before="0" w:after="0"/>
            </w:pPr>
            <w:r/>
            <w:r>
              <w:rPr>
                <w:rFonts w:ascii="Figtree" w:hAnsi="Figtree"/>
                <w:b w:val="0"/>
                <w:i w:val="0"/>
                <w:sz w:val="20"/>
              </w:rPr>
              <w:t>Custodial wallet key management for large driver/merchant base</w:t>
            </w:r>
          </w:p>
        </w:tc>
      </w:tr>
    </w:tbl>
    <w:p>
      <w:pPr>
        <w:spacing w:before="0" w:after="0" w:line="120" w:lineRule="exact"/>
      </w:pPr>
    </w:p>
    <w:p>
      <w:pPr>
        <w:pStyle w:val="H3"/>
        <w:numPr>
          <w:ilvl w:val="2"/>
          <w:numId w:val="1"/>
        </w:numPr>
      </w:pPr>
      <w:r>
        <w:t>6.4 Training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343"/>
        <w:gridCol w:w="272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r>
      <w:tr>
        <w:trPr>
          <w:trHeight w:val="425" w:hRule="atLeast"/>
        </w:trPr>
        <w:tc>
          <w:tcPr>
            <w:tcW w:type="dxa" w:w="4873"/>
            <w:vAlign w:val="center"/>
          </w:tcPr>
          <w:p>
            <w:pPr>
              <w:spacing w:line="276" w:lineRule="auto" w:before="0" w:after="0"/>
            </w:pPr>
            <w:r/>
            <w:r>
              <w:rPr>
                <w:rFonts w:ascii="Figtree" w:hAnsi="Figtree"/>
                <w:b w:val="0"/>
                <w:i w:val="0"/>
                <w:sz w:val="20"/>
              </w:rPr>
              <w:t>Platform administrators</w:t>
            </w:r>
          </w:p>
        </w:tc>
        <w:tc>
          <w:tcPr>
            <w:tcW w:type="dxa" w:w="4873"/>
            <w:vAlign w:val="center"/>
          </w:tcPr>
          <w:p>
            <w:pPr>
              <w:spacing w:line="276" w:lineRule="auto" w:before="0" w:after="0"/>
            </w:pPr>
            <w:r/>
            <w:r>
              <w:rPr>
                <w:rFonts w:ascii="Figtree" w:hAnsi="Figtree"/>
                <w:b w:val="0"/>
                <w:i w:val="0"/>
                <w:sz w:val="20"/>
              </w:rPr>
              <w:t>2 days</w:t>
            </w:r>
          </w:p>
        </w:tc>
      </w:tr>
      <w:tr>
        <w:trPr>
          <w:trHeight w:val="425" w:hRule="atLeast"/>
        </w:trPr>
        <w:tc>
          <w:tcPr>
            <w:tcW w:type="dxa" w:w="4873"/>
            <w:vAlign w:val="center"/>
          </w:tcPr>
          <w:p>
            <w:pPr>
              <w:spacing w:line="276" w:lineRule="auto" w:before="0" w:after="0"/>
            </w:pPr>
            <w:r/>
            <w:r>
              <w:rPr>
                <w:rFonts w:ascii="Figtree" w:hAnsi="Figtree"/>
                <w:b w:val="0"/>
                <w:i w:val="0"/>
                <w:sz w:val="20"/>
              </w:rPr>
              <w:t>Payment operations</w:t>
            </w:r>
          </w:p>
        </w:tc>
        <w:tc>
          <w:tcPr>
            <w:tcW w:type="dxa" w:w="4873"/>
            <w:vAlign w:val="center"/>
          </w:tcPr>
          <w:p>
            <w:pPr>
              <w:spacing w:line="276" w:lineRule="auto" w:before="0" w:after="0"/>
            </w:pPr>
            <w:r/>
            <w:r>
              <w:rPr>
                <w:rFonts w:ascii="Figtree" w:hAnsi="Figtree"/>
                <w:b w:val="0"/>
                <w:i w:val="0"/>
                <w:sz w:val="20"/>
              </w:rPr>
              <w:t>1 day</w:t>
            </w:r>
          </w:p>
        </w:tc>
      </w:tr>
      <w:tr>
        <w:trPr>
          <w:trHeight w:val="425" w:hRule="atLeast"/>
        </w:trPr>
        <w:tc>
          <w:tcPr>
            <w:tcW w:type="dxa" w:w="4873"/>
            <w:vAlign w:val="center"/>
          </w:tcPr>
          <w:p>
            <w:pPr>
              <w:spacing w:line="276" w:lineRule="auto" w:before="0" w:after="0"/>
            </w:pPr>
            <w:r/>
            <w:r>
              <w:rPr>
                <w:rFonts w:ascii="Figtree" w:hAnsi="Figtree"/>
                <w:b w:val="0"/>
                <w:i w:val="0"/>
                <w:sz w:val="20"/>
              </w:rPr>
              <w:t>Compliance team</w:t>
            </w:r>
          </w:p>
        </w:tc>
        <w:tc>
          <w:tcPr>
            <w:tcW w:type="dxa" w:w="4873"/>
            <w:vAlign w:val="center"/>
          </w:tcPr>
          <w:p>
            <w:pPr>
              <w:spacing w:line="276" w:lineRule="auto" w:before="0" w:after="0"/>
            </w:pPr>
            <w:r/>
            <w:r>
              <w:rPr>
                <w:rFonts w:ascii="Figtree" w:hAnsi="Figtree"/>
                <w:b w:val="0"/>
                <w:i w:val="0"/>
                <w:sz w:val="20"/>
              </w:rPr>
              <w:t>1 day</w:t>
            </w:r>
          </w:p>
        </w:tc>
      </w:tr>
      <w:tr>
        <w:trPr>
          <w:trHeight w:val="425" w:hRule="atLeast"/>
        </w:trPr>
        <w:tc>
          <w:tcPr>
            <w:tcW w:type="dxa" w:w="4873"/>
            <w:vAlign w:val="center"/>
          </w:tcPr>
          <w:p>
            <w:pPr>
              <w:spacing w:line="276" w:lineRule="auto" w:before="0" w:after="0"/>
            </w:pPr>
            <w:r/>
            <w:r>
              <w:rPr>
                <w:rFonts w:ascii="Figtree" w:hAnsi="Figtree"/>
                <w:b w:val="0"/>
                <w:i w:val="0"/>
                <w:sz w:val="20"/>
              </w:rPr>
              <w:t>Treasury team</w:t>
            </w:r>
          </w:p>
        </w:tc>
        <w:tc>
          <w:tcPr>
            <w:tcW w:type="dxa" w:w="4873"/>
            <w:vAlign w:val="center"/>
          </w:tcPr>
          <w:p>
            <w:pPr>
              <w:spacing w:line="276" w:lineRule="auto" w:before="0" w:after="0"/>
            </w:pPr>
            <w:r/>
            <w:r>
              <w:rPr>
                <w:rFonts w:ascii="Figtree" w:hAnsi="Figtree"/>
                <w:b w:val="0"/>
                <w:i w:val="0"/>
                <w:sz w:val="20"/>
              </w:rPr>
              <w:t>0.5 days</w:t>
            </w:r>
          </w:p>
        </w:tc>
      </w:tr>
      <w:tr>
        <w:trPr>
          <w:trHeight w:val="425" w:hRule="atLeast"/>
        </w:trPr>
        <w:tc>
          <w:tcPr>
            <w:tcW w:type="dxa" w:w="4873"/>
            <w:vAlign w:val="center"/>
          </w:tcPr>
          <w:p>
            <w:pPr>
              <w:spacing w:line="276" w:lineRule="auto" w:before="0" w:after="0"/>
            </w:pPr>
            <w:r/>
            <w:r>
              <w:rPr>
                <w:rFonts w:ascii="Figtree" w:hAnsi="Figtree"/>
                <w:b w:val="0"/>
                <w:i w:val="0"/>
                <w:sz w:val="20"/>
              </w:rPr>
              <w:t>Integration developers</w:t>
            </w:r>
          </w:p>
        </w:tc>
        <w:tc>
          <w:tcPr>
            <w:tcW w:type="dxa" w:w="4873"/>
            <w:vAlign w:val="center"/>
          </w:tcPr>
          <w:p>
            <w:pPr>
              <w:spacing w:line="276" w:lineRule="auto" w:before="0" w:after="0"/>
            </w:pPr>
            <w:r/>
            <w:r>
              <w:rPr>
                <w:rFonts w:ascii="Figtree" w:hAnsi="Figtree"/>
                <w:b w:val="0"/>
                <w:i w:val="0"/>
                <w:sz w:val="20"/>
              </w:rPr>
              <w:t>1.5 days</w:t>
            </w:r>
          </w:p>
        </w:tc>
      </w:tr>
    </w:tbl>
    <w:p>
      <w:pPr>
        <w:spacing w:before="0" w:after="0" w:line="120" w:lineRule="exact"/>
      </w:pPr>
    </w:p>
    <w:p>
      <w:pPr>
        <w:pStyle w:val="H2"/>
        <w:numPr>
          <w:ilvl w:val="1"/>
          <w:numId w:val="1"/>
        </w:numPr>
      </w:pPr>
      <w:r>
        <w:t>7. Commercial Terms</w:t>
      </w:r>
    </w:p>
    <w:p>
      <w:pPr>
        <w:pStyle w:val="H3"/>
        <w:numPr>
          <w:ilvl w:val="2"/>
          <w:numId w:val="1"/>
        </w:numPr>
      </w:pPr>
      <w:r>
        <w:t>7.1 Contract Structure</w:t>
      </w:r>
    </w:p>
    <w:p>
      <w:r>
        <w:rPr>
          <w:rFonts w:ascii="Figtree" w:hAnsi="Figtree"/>
          <w:b w:val="0"/>
          <w:i w:val="0"/>
          <w:sz w:val="22"/>
        </w:rPr>
        <w:t>MSA (with MAS outsourcing addendum), SoW, Support Agreement, DPA (PDPA Singapore + market-specific where required).</w:t>
      </w:r>
    </w:p>
    <w:p>
      <w:pPr>
        <w:pStyle w:val="H3"/>
        <w:numPr>
          <w:ilvl w:val="2"/>
          <w:numId w:val="1"/>
        </w:numPr>
      </w:pPr>
      <w:r>
        <w:t>7.2 Payment Schedule</w:t>
      </w:r>
    </w:p>
    <w:p>
      <w:r>
        <w:rPr>
          <w:rFonts w:ascii="Figtree" w:hAnsi="Figtree"/>
          <w:b w:val="0"/>
          <w:i w:val="0"/>
          <w:sz w:val="22"/>
        </w:rPr>
        <w:t>Implementation: milestone-based (20% contract execution; 20% Discovery; 25% Configuration and Integration; 25% Testing; 10% Go-Live). Annual license and support invoiced annually in advance.</w:t>
      </w:r>
    </w:p>
    <w:p>
      <w:pPr>
        <w:pStyle w:val="H3"/>
        <w:numPr>
          <w:ilvl w:val="2"/>
          <w:numId w:val="1"/>
        </w:numPr>
      </w:pPr>
      <w:r>
        <w:t>7.3 Duration</w:t>
      </w:r>
    </w:p>
    <w:p>
      <w:r>
        <w:rPr>
          <w:rFonts w:ascii="Figtree" w:hAnsi="Figtree"/>
          <w:b w:val="0"/>
          <w:i w:val="0"/>
          <w:sz w:val="22"/>
        </w:rPr>
        <w:t>Initial term: 3 years recommended. License activation from Singapore pilot go-live. Annual renewal thereafter.</w:t>
      </w:r>
    </w:p>
    <w:p>
      <w:pPr>
        <w:pStyle w:val="H3"/>
        <w:numPr>
          <w:ilvl w:val="2"/>
          <w:numId w:val="1"/>
        </w:numPr>
      </w:pPr>
      <w:r>
        <w:t>7.4 IP</w:t>
      </w:r>
    </w:p>
    <w:p>
      <w:r>
        <w:rPr>
          <w:rFonts w:ascii="Figtree" w:hAnsi="Figtree"/>
          <w:b w:val="0"/>
          <w:i w:val="0"/>
          <w:sz w:val="22"/>
        </w:rPr>
        <w:t>DALP platform: SettleMint. Grab Financial payment data, wallet configurations, and compliance rules: Grab Financial. Integration code: joint (negotiable).</w:t>
      </w:r>
    </w:p>
    <w:p>
      <w:pPr>
        <w:pStyle w:val="H3"/>
        <w:numPr>
          <w:ilvl w:val="2"/>
          <w:numId w:val="1"/>
        </w:numPr>
      </w:pPr>
      <w:r>
        <w:t>7.5 Exit</w:t>
      </w:r>
    </w:p>
    <w:p>
      <w:r>
        <w:rPr>
          <w:rFonts w:ascii="Figtree" w:hAnsi="Figtree"/>
          <w:b w:val="0"/>
          <w:i w:val="0"/>
          <w:sz w:val="22"/>
        </w:rPr>
        <w:t>90-day notice. Complete data export. 60-day transition support at agreed rates.</w:t>
      </w:r>
    </w:p>
    <w:p>
      <w:pPr>
        <w:pStyle w:val="H2"/>
        <w:numPr>
          <w:ilvl w:val="1"/>
          <w:numId w:val="1"/>
        </w:numPr>
      </w:pPr>
      <w:r>
        <w:t>8. Total Cost of Ownership</w:t>
      </w:r>
    </w:p>
    <w:p>
      <w:pPr>
        <w:pStyle w:val="H3"/>
        <w:numPr>
          <w:ilvl w:val="2"/>
          <w:numId w:val="1"/>
        </w:numPr>
      </w:pPr>
      <w:r>
        <w:t>8.1 3-Year DALP TCO</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721"/>
        <w:gridCol w:w="1395"/>
        <w:gridCol w:w="1395"/>
        <w:gridCol w:w="1395"/>
        <w:gridCol w:w="1163"/>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0</w:t>
            </w:r>
          </w:p>
        </w:tc>
        <w:tc>
          <w:tcPr>
            <w:tcW w:type="dxa" w:w="1949"/>
            <w:vAlign w:val="center"/>
          </w:tcPr>
          <w:p>
            <w:pPr>
              <w:spacing w:line="276" w:lineRule="auto" w:before="0" w:after="0"/>
            </w:pPr>
            <w:r/>
            <w:r>
              <w:rPr>
                <w:rFonts w:ascii="Figtree" w:hAnsi="Figtree"/>
                <w:b w:val="0"/>
                <w:i w:val="0"/>
                <w:sz w:val="20"/>
              </w:rPr>
              <w:t>0</w:t>
            </w:r>
          </w:p>
        </w:tc>
        <w:tc>
          <w:tcPr>
            <w:tcW w:type="dxa" w:w="1949"/>
            <w:vAlign w:val="center"/>
          </w:tcPr>
          <w:p>
            <w:pPr>
              <w:spacing w:line="276" w:lineRule="auto" w:before="0" w:after="0"/>
            </w:pPr>
            <w:r/>
            <w:r>
              <w:rPr>
                <w:rFonts w:ascii="Figtree" w:hAnsi="Figtree"/>
                <w:b w:val="0"/>
                <w:i w:val="0"/>
                <w:sz w:val="20"/>
              </w:rPr>
              <w:t>[VAR]</w:t>
            </w:r>
          </w:p>
        </w:tc>
      </w:tr>
      <w:tr>
        <w:trPr>
          <w:trHeight w:val="425" w:hRule="atLeast"/>
        </w:trPr>
        <w:tc>
          <w:tcPr>
            <w:tcW w:type="dxa" w:w="1949"/>
            <w:vAlign w:val="center"/>
          </w:tcPr>
          <w:p>
            <w:pPr>
              <w:spacing w:line="276" w:lineRule="auto" w:before="0" w:after="0"/>
            </w:pPr>
            <w:r/>
            <w:r>
              <w:rPr>
                <w:rFonts w:ascii="Figtree" w:hAnsi="Figtree"/>
                <w:b w:val="0"/>
                <w:i w:val="0"/>
                <w:sz w:val="20"/>
              </w:rPr>
              <w:t>Support</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r>
    </w:tbl>
    <w:p>
      <w:pPr>
        <w:spacing w:before="0" w:after="0" w:line="120" w:lineRule="exact"/>
      </w:pPr>
    </w:p>
    <w:p>
      <w:r>
        <w:rPr>
          <w:rFonts w:ascii="Figtree" w:hAnsi="Figtree"/>
          <w:b w:val="0"/>
          <w:i w:val="0"/>
          <w:sz w:val="22"/>
        </w:rPr>
        <w:t>Managed SaaS infrastructure included in license. Regional market infrastructure passed through at cost.</w:t>
      </w:r>
    </w:p>
    <w:p>
      <w:pPr>
        <w:pStyle w:val="H3"/>
        <w:numPr>
          <w:ilvl w:val="2"/>
          <w:numId w:val="1"/>
        </w:numPr>
      </w:pPr>
      <w:r>
        <w:t>8.2 Comparative Analysis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84"/>
        <w:gridCol w:w="1188"/>
        <w:gridCol w:w="2916"/>
        <w:gridCol w:w="248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Build In-House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Payment Platform Vendor</w:t>
            </w:r>
          </w:p>
        </w:tc>
      </w:tr>
      <w:tr>
        <w:trPr>
          <w:trHeight w:val="425" w:hRule="atLeast"/>
        </w:trPr>
        <w:tc>
          <w:tcPr>
            <w:tcW w:type="dxa" w:w="2436"/>
            <w:vAlign w:val="center"/>
          </w:tcPr>
          <w:p>
            <w:pPr>
              <w:spacing w:line="276" w:lineRule="auto" w:before="0" w:after="0"/>
            </w:pPr>
            <w:r/>
            <w:r>
              <w:rPr>
                <w:rFonts w:ascii="Figtree" w:hAnsi="Figtree"/>
                <w:b w:val="0"/>
                <w:i w:val="0"/>
                <w:sz w:val="20"/>
              </w:rPr>
              <w:t>Time to Singapore pilot</w:t>
            </w:r>
          </w:p>
        </w:tc>
        <w:tc>
          <w:tcPr>
            <w:tcW w:type="dxa" w:w="2436"/>
            <w:vAlign w:val="center"/>
          </w:tcPr>
          <w:p>
            <w:pPr>
              <w:spacing w:line="276" w:lineRule="auto" w:before="0" w:after="0"/>
            </w:pPr>
            <w:r/>
            <w:r>
              <w:rPr>
                <w:rFonts w:ascii="Figtree" w:hAnsi="Figtree"/>
                <w:b w:val="0"/>
                <w:i w:val="0"/>
                <w:sz w:val="20"/>
              </w:rPr>
              <w:t>6-7 months</w:t>
            </w:r>
          </w:p>
        </w:tc>
        <w:tc>
          <w:tcPr>
            <w:tcW w:type="dxa" w:w="2436"/>
            <w:vAlign w:val="center"/>
          </w:tcPr>
          <w:p>
            <w:pPr>
              <w:spacing w:line="276" w:lineRule="auto" w:before="0" w:after="0"/>
            </w:pPr>
            <w:r/>
            <w:r>
              <w:rPr>
                <w:rFonts w:ascii="Figtree" w:hAnsi="Figtree"/>
                <w:b w:val="0"/>
                <w:i w:val="0"/>
                <w:sz w:val="20"/>
              </w:rPr>
              <w:t>15-18 months</w:t>
            </w:r>
          </w:p>
        </w:tc>
        <w:tc>
          <w:tcPr>
            <w:tcW w:type="dxa" w:w="2436"/>
            <w:vAlign w:val="center"/>
          </w:tcPr>
          <w:p>
            <w:pPr>
              <w:spacing w:line="276" w:lineRule="auto" w:before="0" w:after="0"/>
            </w:pPr>
            <w:r/>
            <w:r>
              <w:rPr>
                <w:rFonts w:ascii="Figtree" w:hAnsi="Figtree"/>
                <w:b w:val="0"/>
                <w:i w:val="0"/>
                <w:sz w:val="20"/>
              </w:rPr>
              <w:t>8-10 months</w:t>
            </w:r>
          </w:p>
        </w:tc>
      </w:tr>
      <w:tr>
        <w:trPr>
          <w:trHeight w:val="425" w:hRule="atLeast"/>
        </w:trPr>
        <w:tc>
          <w:tcPr>
            <w:tcW w:type="dxa" w:w="2436"/>
            <w:vAlign w:val="center"/>
          </w:tcPr>
          <w:p>
            <w:pPr>
              <w:spacing w:line="276" w:lineRule="auto" w:before="0" w:after="0"/>
            </w:pPr>
            <w:r/>
            <w:r>
              <w:rPr>
                <w:rFonts w:ascii="Figtree" w:hAnsi="Figtree"/>
                <w:b w:val="0"/>
                <w:i w:val="0"/>
                <w:sz w:val="20"/>
              </w:rPr>
              <w:t>Multi-market expansion</w:t>
            </w:r>
          </w:p>
        </w:tc>
        <w:tc>
          <w:tcPr>
            <w:tcW w:type="dxa" w:w="2436"/>
            <w:vAlign w:val="center"/>
          </w:tcPr>
          <w:p>
            <w:pPr>
              <w:spacing w:line="276" w:lineRule="auto" w:before="0" w:after="0"/>
            </w:pPr>
            <w:r/>
            <w:r>
              <w:rPr>
                <w:rFonts w:ascii="Figtree" w:hAnsi="Figtree"/>
                <w:b w:val="0"/>
                <w:i w:val="0"/>
                <w:sz w:val="20"/>
              </w:rPr>
              <w:t>Config only</w:t>
            </w:r>
          </w:p>
        </w:tc>
        <w:tc>
          <w:tcPr>
            <w:tcW w:type="dxa" w:w="2436"/>
            <w:vAlign w:val="center"/>
          </w:tcPr>
          <w:p>
            <w:pPr>
              <w:spacing w:line="276" w:lineRule="auto" w:before="0" w:after="0"/>
            </w:pPr>
            <w:r/>
            <w:r>
              <w:rPr>
                <w:rFonts w:ascii="Figtree" w:hAnsi="Figtree"/>
                <w:b w:val="0"/>
                <w:i w:val="0"/>
                <w:sz w:val="20"/>
              </w:rPr>
              <w:t>Engineering per market</w:t>
            </w:r>
          </w:p>
        </w:tc>
        <w:tc>
          <w:tcPr>
            <w:tcW w:type="dxa" w:w="2436"/>
            <w:vAlign w:val="center"/>
          </w:tcPr>
          <w:p>
            <w:pPr>
              <w:spacing w:line="276" w:lineRule="auto" w:before="0" w:after="0"/>
            </w:pPr>
            <w:r/>
            <w:r>
              <w:rPr>
                <w:rFonts w:ascii="Figtree" w:hAnsi="Figtree"/>
                <w:b w:val="0"/>
                <w:i w:val="0"/>
                <w:sz w:val="20"/>
              </w:rPr>
              <w:t>Varies</w:t>
            </w:r>
          </w:p>
        </w:tc>
      </w:tr>
      <w:tr>
        <w:trPr>
          <w:trHeight w:val="425" w:hRule="atLeast"/>
        </w:trPr>
        <w:tc>
          <w:tcPr>
            <w:tcW w:type="dxa" w:w="2436"/>
            <w:vAlign w:val="center"/>
          </w:tcPr>
          <w:p>
            <w:pPr>
              <w:spacing w:line="276" w:lineRule="auto" w:before="0" w:after="0"/>
            </w:pPr>
            <w:r/>
            <w:r>
              <w:rPr>
                <w:rFonts w:ascii="Figtree" w:hAnsi="Figtree"/>
                <w:b w:val="0"/>
                <w:i w:val="0"/>
                <w:sz w:val="20"/>
              </w:rPr>
              <w:t>Engineering burden</w:t>
            </w:r>
          </w:p>
        </w:tc>
        <w:tc>
          <w:tcPr>
            <w:tcW w:type="dxa" w:w="2436"/>
            <w:vAlign w:val="center"/>
          </w:tcPr>
          <w:p>
            <w:pPr>
              <w:spacing w:line="276" w:lineRule="auto" w:before="0" w:after="0"/>
            </w:pPr>
            <w:r/>
            <w:r>
              <w:rPr>
                <w:rFonts w:ascii="Figtree" w:hAnsi="Figtree"/>
                <w:b w:val="0"/>
                <w:i w:val="0"/>
                <w:sz w:val="20"/>
              </w:rPr>
              <w:t>Minimal</w:t>
            </w:r>
          </w:p>
        </w:tc>
        <w:tc>
          <w:tcPr>
            <w:tcW w:type="dxa" w:w="2436"/>
            <w:vAlign w:val="center"/>
          </w:tcPr>
          <w:p>
            <w:pPr>
              <w:spacing w:line="276" w:lineRule="auto" w:before="0" w:after="0"/>
            </w:pPr>
            <w:r/>
            <w:r>
              <w:rPr>
                <w:rFonts w:ascii="Figtree" w:hAnsi="Figtree"/>
                <w:b w:val="0"/>
                <w:i w:val="0"/>
                <w:sz w:val="20"/>
              </w:rPr>
              <w:t>Very high</w:t>
            </w:r>
          </w:p>
        </w:tc>
        <w:tc>
          <w:tcPr>
            <w:tcW w:type="dxa" w:w="2436"/>
            <w:vAlign w:val="center"/>
          </w:tcPr>
          <w:p>
            <w:pPr>
              <w:spacing w:line="276" w:lineRule="auto" w:before="0" w:after="0"/>
            </w:pPr>
            <w:r/>
            <w:r>
              <w:rPr>
                <w:rFonts w:ascii="Figtree" w:hAnsi="Figtree"/>
                <w:b w:val="0"/>
                <w:i w:val="0"/>
                <w:sz w:val="20"/>
              </w:rPr>
              <w:t>Integration maintenance</w:t>
            </w:r>
          </w:p>
        </w:tc>
      </w:tr>
      <w:tr>
        <w:trPr>
          <w:trHeight w:val="425" w:hRule="atLeast"/>
        </w:trPr>
        <w:tc>
          <w:tcPr>
            <w:tcW w:type="dxa" w:w="2436"/>
            <w:vAlign w:val="center"/>
          </w:tcPr>
          <w:p>
            <w:pPr>
              <w:spacing w:line="276" w:lineRule="auto" w:before="0" w:after="0"/>
            </w:pPr>
            <w:r/>
            <w:r>
              <w:rPr>
                <w:rFonts w:ascii="Figtree" w:hAnsi="Figtree"/>
                <w:b w:val="0"/>
                <w:i w:val="0"/>
                <w:sz w:val="20"/>
              </w:rPr>
              <w:t>Year 3 recurring cost</w:t>
            </w:r>
          </w:p>
        </w:tc>
        <w:tc>
          <w:tcPr>
            <w:tcW w:type="dxa" w:w="2436"/>
            <w:vAlign w:val="center"/>
          </w:tcPr>
          <w:p>
            <w:pPr>
              <w:spacing w:line="276" w:lineRule="auto" w:before="0" w:after="0"/>
            </w:pPr>
            <w:r/>
            <w:r>
              <w:rPr>
                <w:rFonts w:ascii="Figtree" w:hAnsi="Figtree"/>
                <w:b w:val="0"/>
                <w:i w:val="0"/>
                <w:sz w:val="20"/>
              </w:rPr>
              <w:t>Moderate</w:t>
            </w:r>
          </w:p>
        </w:tc>
        <w:tc>
          <w:tcPr>
            <w:tcW w:type="dxa" w:w="2436"/>
            <w:vAlign w:val="center"/>
          </w:tcPr>
          <w:p>
            <w:pPr>
              <w:spacing w:line="276" w:lineRule="auto" w:before="0" w:after="0"/>
            </w:pPr>
            <w:r/>
            <w:r>
              <w:rPr>
                <w:rFonts w:ascii="Figtree" w:hAnsi="Figtree"/>
                <w:b w:val="0"/>
                <w:i w:val="0"/>
                <w:sz w:val="20"/>
              </w:rPr>
              <w:t>Very high (SEA engineering)</w:t>
            </w:r>
          </w:p>
        </w:tc>
        <w:tc>
          <w:tcPr>
            <w:tcW w:type="dxa" w:w="2436"/>
            <w:vAlign w:val="center"/>
          </w:tcPr>
          <w:p>
            <w:pPr>
              <w:spacing w:line="276" w:lineRule="auto" w:before="0" w:after="0"/>
            </w:pPr>
            <w:r/>
            <w:r>
              <w:rPr>
                <w:rFonts w:ascii="Figtree" w:hAnsi="Figtree"/>
                <w:b w:val="0"/>
                <w:i w:val="0"/>
                <w:sz w:val="20"/>
              </w:rPr>
              <w:t>Moderate</w:t>
            </w:r>
          </w:p>
        </w:tc>
      </w:tr>
    </w:tbl>
    <w:p>
      <w:pPr>
        <w:spacing w:before="0" w:after="0" w:line="120" w:lineRule="exact"/>
      </w:pPr>
    </w:p>
    <w:p>
      <w:pPr>
        <w:pStyle w:val="H2"/>
        <w:numPr>
          <w:ilvl w:val="1"/>
          <w:numId w:val="1"/>
        </w:numPr>
      </w:pPr>
      <w:r>
        <w:t>9. Reference Clients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65"/>
        <w:gridCol w:w="5199"/>
        <w:gridCol w:w="110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Outcome</w:t>
            </w:r>
          </w:p>
        </w:tc>
      </w:tr>
      <w:tr>
        <w:trPr>
          <w:trHeight w:val="425" w:hRule="atLeast"/>
        </w:trPr>
        <w:tc>
          <w:tcPr>
            <w:tcW w:type="dxa" w:w="3249"/>
            <w:vAlign w:val="center"/>
          </w:tcPr>
          <w:p>
            <w:pPr>
              <w:spacing w:line="276" w:lineRule="auto" w:before="0" w:after="0"/>
            </w:pPr>
            <w:r/>
            <w:r>
              <w:rPr>
                <w:rFonts w:ascii="Figtree" w:hAnsi="Figtree"/>
                <w:b w:val="0"/>
                <w:i w:val="0"/>
                <w:sz w:val="20"/>
              </w:rPr>
              <w:t>DBS Bank (Singapore)</w:t>
            </w:r>
          </w:p>
        </w:tc>
        <w:tc>
          <w:tcPr>
            <w:tcW w:type="dxa" w:w="3249"/>
            <w:vAlign w:val="center"/>
          </w:tcPr>
          <w:p>
            <w:pPr>
              <w:spacing w:line="276" w:lineRule="auto" w:before="0" w:after="0"/>
            </w:pPr>
            <w:r/>
            <w:r>
              <w:rPr>
                <w:rFonts w:ascii="Figtree" w:hAnsi="Figtree"/>
                <w:b w:val="0"/>
                <w:i w:val="0"/>
                <w:sz w:val="20"/>
              </w:rPr>
              <w:t>Tokenized payment infrastructure, MAS regulated</w:t>
            </w:r>
          </w:p>
        </w:tc>
        <w:tc>
          <w:tcPr>
            <w:tcW w:type="dxa" w:w="3249"/>
            <w:vAlign w:val="center"/>
          </w:tcPr>
          <w:p>
            <w:pPr>
              <w:spacing w:line="276" w:lineRule="auto" w:before="0" w:after="0"/>
            </w:pPr>
            <w:r/>
            <w:r>
              <w:rPr>
                <w:rFonts w:ascii="Figtree" w:hAnsi="Figtree"/>
                <w:b w:val="0"/>
                <w:i w:val="0"/>
                <w:sz w:val="20"/>
              </w:rPr>
              <w:t>Production</w:t>
            </w:r>
          </w:p>
        </w:tc>
      </w:tr>
      <w:tr>
        <w:trPr>
          <w:trHeight w:val="425" w:hRule="atLeast"/>
        </w:trPr>
        <w:tc>
          <w:tcPr>
            <w:tcW w:type="dxa" w:w="3249"/>
            <w:vAlign w:val="center"/>
          </w:tcPr>
          <w:p>
            <w:pPr>
              <w:spacing w:line="276" w:lineRule="auto" w:before="0" w:after="0"/>
            </w:pPr>
            <w:r/>
            <w:r>
              <w:rPr>
                <w:rFonts w:ascii="Figtree" w:hAnsi="Figtree"/>
                <w:b w:val="0"/>
                <w:i w:val="0"/>
                <w:sz w:val="20"/>
              </w:rPr>
              <w:t>M-Pesa Safaricom (Kenya)</w:t>
            </w:r>
          </w:p>
        </w:tc>
        <w:tc>
          <w:tcPr>
            <w:tcW w:type="dxa" w:w="3249"/>
            <w:vAlign w:val="center"/>
          </w:tcPr>
          <w:p>
            <w:pPr>
              <w:spacing w:line="276" w:lineRule="auto" w:before="0" w:after="0"/>
            </w:pPr>
            <w:r/>
            <w:r>
              <w:rPr>
                <w:rFonts w:ascii="Figtree" w:hAnsi="Figtree"/>
                <w:b w:val="0"/>
                <w:i w:val="0"/>
                <w:sz w:val="20"/>
              </w:rPr>
              <w:t>Consumer mobile payment overlay, high volume</w:t>
            </w:r>
          </w:p>
        </w:tc>
        <w:tc>
          <w:tcPr>
            <w:tcW w:type="dxa" w:w="3249"/>
            <w:vAlign w:val="center"/>
          </w:tcPr>
          <w:p>
            <w:pPr>
              <w:spacing w:line="276" w:lineRule="auto" w:before="0" w:after="0"/>
            </w:pPr>
            <w:r/>
            <w:r>
              <w:rPr>
                <w:rFonts w:ascii="Figtree" w:hAnsi="Figtree"/>
                <w:b w:val="0"/>
                <w:i w:val="0"/>
                <w:sz w:val="20"/>
              </w:rPr>
              <w:t>Production</w:t>
            </w:r>
          </w:p>
        </w:tc>
      </w:tr>
      <w:tr>
        <w:trPr>
          <w:trHeight w:val="425" w:hRule="atLeast"/>
        </w:trPr>
        <w:tc>
          <w:tcPr>
            <w:tcW w:type="dxa" w:w="3249"/>
            <w:vAlign w:val="center"/>
          </w:tcPr>
          <w:p>
            <w:pPr>
              <w:spacing w:line="276" w:lineRule="auto" w:before="0" w:after="0"/>
            </w:pPr>
            <w:r/>
            <w:r>
              <w:rPr>
                <w:rFonts w:ascii="Figtree" w:hAnsi="Figtree"/>
                <w:b w:val="0"/>
                <w:i w:val="0"/>
                <w:sz w:val="20"/>
              </w:rPr>
              <w:t>OPay (Nigeria)</w:t>
            </w:r>
          </w:p>
        </w:tc>
        <w:tc>
          <w:tcPr>
            <w:tcW w:type="dxa" w:w="3249"/>
            <w:vAlign w:val="center"/>
          </w:tcPr>
          <w:p>
            <w:pPr>
              <w:spacing w:line="276" w:lineRule="auto" w:before="0" w:after="0"/>
            </w:pPr>
            <w:r/>
            <w:r>
              <w:rPr>
                <w:rFonts w:ascii="Figtree" w:hAnsi="Figtree"/>
                <w:b w:val="0"/>
                <w:i w:val="0"/>
                <w:sz w:val="20"/>
              </w:rPr>
              <w:t>Tokenized wallet and merchant payment ecosystem</w:t>
            </w:r>
          </w:p>
        </w:tc>
        <w:tc>
          <w:tcPr>
            <w:tcW w:type="dxa" w:w="3249"/>
            <w:vAlign w:val="center"/>
          </w:tcPr>
          <w:p>
            <w:pPr>
              <w:spacing w:line="276" w:lineRule="auto" w:before="0" w:after="0"/>
            </w:pPr>
            <w:r/>
            <w:r>
              <w:rPr>
                <w:rFonts w:ascii="Figtree" w:hAnsi="Figtree"/>
                <w:b w:val="0"/>
                <w:i w:val="0"/>
                <w:sz w:val="20"/>
              </w:rPr>
              <w:t>Production</w:t>
            </w:r>
          </w:p>
        </w:tc>
      </w:tr>
      <w:tr>
        <w:trPr>
          <w:trHeight w:val="425" w:hRule="atLeast"/>
        </w:trPr>
        <w:tc>
          <w:tcPr>
            <w:tcW w:type="dxa" w:w="3249"/>
            <w:vAlign w:val="center"/>
          </w:tcPr>
          <w:p>
            <w:pPr>
              <w:spacing w:line="276" w:lineRule="auto" w:before="0" w:after="0"/>
            </w:pPr>
            <w:r/>
            <w:r>
              <w:rPr>
                <w:rFonts w:ascii="Figtree" w:hAnsi="Figtree"/>
                <w:b w:val="0"/>
                <w:i w:val="0"/>
                <w:sz w:val="20"/>
              </w:rPr>
              <w:t>Flutterwave (Pan-Africa)</w:t>
            </w:r>
          </w:p>
        </w:tc>
        <w:tc>
          <w:tcPr>
            <w:tcW w:type="dxa" w:w="3249"/>
            <w:vAlign w:val="center"/>
          </w:tcPr>
          <w:p>
            <w:pPr>
              <w:spacing w:line="276" w:lineRule="auto" w:before="0" w:after="0"/>
            </w:pPr>
            <w:r/>
            <w:r>
              <w:rPr>
                <w:rFonts w:ascii="Figtree" w:hAnsi="Figtree"/>
                <w:b w:val="0"/>
                <w:i w:val="0"/>
                <w:sz w:val="20"/>
              </w:rPr>
              <w:t>Multi-corridor payment settlement</w:t>
            </w:r>
          </w:p>
        </w:tc>
        <w:tc>
          <w:tcPr>
            <w:tcW w:type="dxa" w:w="3249"/>
            <w:vAlign w:val="center"/>
          </w:tcPr>
          <w:p>
            <w:pPr>
              <w:spacing w:line="276" w:lineRule="auto" w:before="0" w:after="0"/>
            </w:pPr>
            <w:r/>
            <w:r>
              <w:rPr>
                <w:rFonts w:ascii="Figtree" w:hAnsi="Figtree"/>
                <w:b w:val="0"/>
                <w:i w:val="0"/>
                <w:sz w:val="20"/>
              </w:rPr>
              <w:t>Production</w:t>
            </w:r>
          </w:p>
        </w:tc>
      </w:tr>
      <w:tr>
        <w:trPr>
          <w:trHeight w:val="425" w:hRule="atLeast"/>
        </w:trPr>
        <w:tc>
          <w:tcPr>
            <w:tcW w:type="dxa" w:w="3249"/>
            <w:vAlign w:val="center"/>
          </w:tcPr>
          <w:p>
            <w:pPr>
              <w:spacing w:line="276" w:lineRule="auto" w:before="0" w:after="0"/>
            </w:pPr>
            <w:r/>
            <w:r>
              <w:rPr>
                <w:rFonts w:ascii="Figtree" w:hAnsi="Figtree"/>
                <w:b w:val="0"/>
                <w:i w:val="0"/>
                <w:sz w:val="20"/>
              </w:rPr>
              <w:t>Chipper Cash (Pan-Africa)</w:t>
            </w:r>
          </w:p>
        </w:tc>
        <w:tc>
          <w:tcPr>
            <w:tcW w:type="dxa" w:w="3249"/>
            <w:vAlign w:val="center"/>
          </w:tcPr>
          <w:p>
            <w:pPr>
              <w:spacing w:line="276" w:lineRule="auto" w:before="0" w:after="0"/>
            </w:pPr>
            <w:r/>
            <w:r>
              <w:rPr>
                <w:rFonts w:ascii="Figtree" w:hAnsi="Figtree"/>
                <w:b w:val="0"/>
                <w:i w:val="0"/>
                <w:sz w:val="20"/>
              </w:rPr>
              <w:t>Consumer cross-border payments</w:t>
            </w:r>
          </w:p>
        </w:tc>
        <w:tc>
          <w:tcPr>
            <w:tcW w:type="dxa" w:w="3249"/>
            <w:vAlign w:val="center"/>
          </w:tcPr>
          <w:p>
            <w:pPr>
              <w:spacing w:line="276" w:lineRule="auto" w:before="0" w:after="0"/>
            </w:pPr>
            <w:r/>
            <w:r>
              <w:rPr>
                <w:rFonts w:ascii="Figtree" w:hAnsi="Figtree"/>
                <w:b w:val="0"/>
                <w:i w:val="0"/>
                <w:sz w:val="20"/>
              </w:rPr>
              <w:t>Production</w:t>
            </w:r>
          </w:p>
        </w:tc>
      </w:tr>
    </w:tbl>
    <w:p>
      <w:pPr>
        <w:spacing w:before="0" w:after="0" w:line="120" w:lineRule="exact"/>
      </w:pPr>
    </w:p>
    <w:p>
      <w:pPr>
        <w:pStyle w:val="H2"/>
        <w:numPr>
          <w:ilvl w:val="1"/>
          <w:numId w:val="1"/>
        </w:numPr>
      </w:pPr>
      <w:r>
        <w:t>10. Next Steps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099"/>
        <w:gridCol w:w="197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Step</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r>
      <w:tr>
        <w:trPr>
          <w:trHeight w:val="425" w:hRule="atLeast"/>
        </w:trPr>
        <w:tc>
          <w:tcPr>
            <w:tcW w:type="dxa" w:w="4873"/>
            <w:vAlign w:val="center"/>
          </w:tcPr>
          <w:p>
            <w:pPr>
              <w:spacing w:line="276" w:lineRule="auto" w:before="0" w:after="0"/>
            </w:pPr>
            <w:r/>
            <w:r>
              <w:rPr>
                <w:rFonts w:ascii="Figtree" w:hAnsi="Figtree"/>
                <w:b w:val="0"/>
                <w:i w:val="0"/>
                <w:sz w:val="20"/>
              </w:rPr>
              <w:t>Proposal review</w:t>
            </w:r>
          </w:p>
        </w:tc>
        <w:tc>
          <w:tcPr>
            <w:tcW w:type="dxa" w:w="4873"/>
            <w:vAlign w:val="center"/>
          </w:tcPr>
          <w:p>
            <w:pPr>
              <w:spacing w:line="276" w:lineRule="auto" w:before="0" w:after="0"/>
            </w:pPr>
            <w:r/>
            <w:r>
              <w:rPr>
                <w:rFonts w:ascii="Figtree" w:hAnsi="Figtree"/>
                <w:b w:val="0"/>
                <w:i w:val="0"/>
                <w:sz w:val="20"/>
              </w:rPr>
              <w:t>Week 1</w:t>
            </w:r>
          </w:p>
        </w:tc>
      </w:tr>
      <w:tr>
        <w:trPr>
          <w:trHeight w:val="425" w:hRule="atLeast"/>
        </w:trPr>
        <w:tc>
          <w:tcPr>
            <w:tcW w:type="dxa" w:w="4873"/>
            <w:vAlign w:val="center"/>
          </w:tcPr>
          <w:p>
            <w:pPr>
              <w:spacing w:line="276" w:lineRule="auto" w:before="0" w:after="0"/>
            </w:pPr>
            <w:r/>
            <w:r>
              <w:rPr>
                <w:rFonts w:ascii="Figtree" w:hAnsi="Figtree"/>
                <w:b w:val="0"/>
                <w:i w:val="0"/>
                <w:sz w:val="20"/>
              </w:rPr>
              <w:t>Market prioritisation workshop</w:t>
            </w:r>
          </w:p>
        </w:tc>
        <w:tc>
          <w:tcPr>
            <w:tcW w:type="dxa" w:w="4873"/>
            <w:vAlign w:val="center"/>
          </w:tcPr>
          <w:p>
            <w:pPr>
              <w:spacing w:line="276" w:lineRule="auto" w:before="0" w:after="0"/>
            </w:pPr>
            <w:r/>
            <w:r>
              <w:rPr>
                <w:rFonts w:ascii="Figtree" w:hAnsi="Figtree"/>
                <w:b w:val="0"/>
                <w:i w:val="0"/>
                <w:sz w:val="20"/>
              </w:rPr>
              <w:t>Week 2</w:t>
            </w:r>
          </w:p>
        </w:tc>
      </w:tr>
      <w:tr>
        <w:trPr>
          <w:trHeight w:val="425" w:hRule="atLeast"/>
        </w:trPr>
        <w:tc>
          <w:tcPr>
            <w:tcW w:type="dxa" w:w="4873"/>
            <w:vAlign w:val="center"/>
          </w:tcPr>
          <w:p>
            <w:pPr>
              <w:spacing w:line="276" w:lineRule="auto" w:before="0" w:after="0"/>
            </w:pPr>
            <w:r/>
            <w:r>
              <w:rPr>
                <w:rFonts w:ascii="Figtree" w:hAnsi="Figtree"/>
                <w:b w:val="0"/>
                <w:i w:val="0"/>
                <w:sz w:val="20"/>
              </w:rPr>
              <w:t>Technical integration review</w:t>
            </w:r>
          </w:p>
        </w:tc>
        <w:tc>
          <w:tcPr>
            <w:tcW w:type="dxa" w:w="4873"/>
            <w:vAlign w:val="center"/>
          </w:tcPr>
          <w:p>
            <w:pPr>
              <w:spacing w:line="276" w:lineRule="auto" w:before="0" w:after="0"/>
            </w:pPr>
            <w:r/>
            <w:r>
              <w:rPr>
                <w:rFonts w:ascii="Figtree" w:hAnsi="Figtree"/>
                <w:b w:val="0"/>
                <w:i w:val="0"/>
                <w:sz w:val="20"/>
              </w:rPr>
              <w:t>Week 3</w:t>
            </w:r>
          </w:p>
        </w:tc>
      </w:tr>
      <w:tr>
        <w:trPr>
          <w:trHeight w:val="425" w:hRule="atLeast"/>
        </w:trPr>
        <w:tc>
          <w:tcPr>
            <w:tcW w:type="dxa" w:w="4873"/>
            <w:vAlign w:val="center"/>
          </w:tcPr>
          <w:p>
            <w:pPr>
              <w:spacing w:line="276" w:lineRule="auto" w:before="0" w:after="0"/>
            </w:pPr>
            <w:r/>
            <w:r>
              <w:rPr>
                <w:rFonts w:ascii="Figtree" w:hAnsi="Figtree"/>
                <w:b w:val="0"/>
                <w:i w:val="0"/>
                <w:sz w:val="20"/>
              </w:rPr>
              <w:t>Commercial validation</w:t>
            </w:r>
          </w:p>
        </w:tc>
        <w:tc>
          <w:tcPr>
            <w:tcW w:type="dxa" w:w="4873"/>
            <w:vAlign w:val="center"/>
          </w:tcPr>
          <w:p>
            <w:pPr>
              <w:spacing w:line="276" w:lineRule="auto" w:before="0" w:after="0"/>
            </w:pPr>
            <w:r/>
            <w:r>
              <w:rPr>
                <w:rFonts w:ascii="Figtree" w:hAnsi="Figtree"/>
                <w:b w:val="0"/>
                <w:i w:val="0"/>
                <w:sz w:val="20"/>
              </w:rPr>
              <w:t>Week 4</w:t>
            </w:r>
          </w:p>
        </w:tc>
      </w:tr>
      <w:tr>
        <w:trPr>
          <w:trHeight w:val="425" w:hRule="atLeast"/>
        </w:trPr>
        <w:tc>
          <w:tcPr>
            <w:tcW w:type="dxa" w:w="4873"/>
            <w:vAlign w:val="center"/>
          </w:tcPr>
          <w:p>
            <w:pPr>
              <w:spacing w:line="276" w:lineRule="auto" w:before="0" w:after="0"/>
            </w:pPr>
            <w:r/>
            <w:r>
              <w:rPr>
                <w:rFonts w:ascii="Figtree" w:hAnsi="Figtree"/>
                <w:b w:val="0"/>
                <w:i w:val="0"/>
                <w:sz w:val="20"/>
              </w:rPr>
              <w:t>Contract drafting</w:t>
            </w:r>
          </w:p>
        </w:tc>
        <w:tc>
          <w:tcPr>
            <w:tcW w:type="dxa" w:w="4873"/>
            <w:vAlign w:val="center"/>
          </w:tcPr>
          <w:p>
            <w:pPr>
              <w:spacing w:line="276" w:lineRule="auto" w:before="0" w:after="0"/>
            </w:pPr>
            <w:r/>
            <w:r>
              <w:rPr>
                <w:rFonts w:ascii="Figtree" w:hAnsi="Figtree"/>
                <w:b w:val="0"/>
                <w:i w:val="0"/>
                <w:sz w:val="20"/>
              </w:rPr>
              <w:t>Week 5</w:t>
            </w:r>
          </w:p>
        </w:tc>
      </w:tr>
      <w:tr>
        <w:trPr>
          <w:trHeight w:val="425" w:hRule="atLeast"/>
        </w:trPr>
        <w:tc>
          <w:tcPr>
            <w:tcW w:type="dxa" w:w="4873"/>
            <w:vAlign w:val="center"/>
          </w:tcPr>
          <w:p>
            <w:pPr>
              <w:spacing w:line="276" w:lineRule="auto" w:before="0" w:after="0"/>
            </w:pPr>
            <w:r/>
            <w:r>
              <w:rPr>
                <w:rFonts w:ascii="Figtree" w:hAnsi="Figtree"/>
                <w:b w:val="0"/>
                <w:i w:val="0"/>
                <w:sz w:val="20"/>
              </w:rPr>
              <w:t>Contract execution</w:t>
            </w:r>
          </w:p>
        </w:tc>
        <w:tc>
          <w:tcPr>
            <w:tcW w:type="dxa" w:w="4873"/>
            <w:vAlign w:val="center"/>
          </w:tcPr>
          <w:p>
            <w:pPr>
              <w:spacing w:line="276" w:lineRule="auto" w:before="0" w:after="0"/>
            </w:pPr>
            <w:r/>
            <w:r>
              <w:rPr>
                <w:rFonts w:ascii="Figtree" w:hAnsi="Figtree"/>
                <w:b w:val="0"/>
                <w:i w:val="0"/>
                <w:sz w:val="20"/>
              </w:rPr>
              <w:t>Week 7</w:t>
            </w:r>
          </w:p>
        </w:tc>
      </w:tr>
      <w:tr>
        <w:trPr>
          <w:trHeight w:val="425" w:hRule="atLeast"/>
        </w:trPr>
        <w:tc>
          <w:tcPr>
            <w:tcW w:type="dxa" w:w="4873"/>
            <w:vAlign w:val="center"/>
          </w:tcPr>
          <w:p>
            <w:pPr>
              <w:spacing w:line="276" w:lineRule="auto" w:before="0" w:after="0"/>
            </w:pPr>
            <w:r/>
            <w:r>
              <w:rPr>
                <w:rFonts w:ascii="Figtree" w:hAnsi="Figtree"/>
                <w:b w:val="0"/>
                <w:i w:val="0"/>
                <w:sz w:val="20"/>
              </w:rPr>
              <w:t>Programme mobilisation</w:t>
            </w:r>
          </w:p>
        </w:tc>
        <w:tc>
          <w:tcPr>
            <w:tcW w:type="dxa" w:w="4873"/>
            <w:vAlign w:val="center"/>
          </w:tcPr>
          <w:p>
            <w:pPr>
              <w:spacing w:line="276" w:lineRule="auto" w:before="0" w:after="0"/>
            </w:pPr>
            <w:r/>
            <w:r>
              <w:rPr>
                <w:rFonts w:ascii="Figtree" w:hAnsi="Figtree"/>
                <w:b w:val="0"/>
                <w:i w:val="0"/>
                <w:sz w:val="20"/>
              </w:rPr>
              <w:t>Week 8</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