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Commercial Overview</w:t>
          </w:r>
          <w:r>
            <w:tab/>
          </w:r>
          <w:r>
            <w:t xml:space="preserve">5</w:t>
          </w:r>
        </w:p>
        <w:p>
          <w:pPr>
            <w:pStyle w:val="TOC3"/>
            <w:tabs>
              <w:tab w:val="right" w:leader="dot" w:pos="9072"/>
            </w:tabs>
          </w:pPr>
          <w:r>
            <w:t xml:space="preserve">Recommended Commercial Model</w:t>
          </w:r>
          <w:r>
            <w:tab/>
          </w:r>
          <w:r>
            <w:t xml:space="preserve">6</w:t>
          </w:r>
        </w:p>
        <w:p>
          <w:pPr>
            <w:pStyle w:val="TOC3"/>
            <w:tabs>
              <w:tab w:val="right" w:leader="dot" w:pos="9072"/>
            </w:tabs>
          </w:pPr>
          <w:r>
            <w:t xml:space="preserve">Investment Summary</w:t>
          </w:r>
          <w:r>
            <w:tab/>
          </w:r>
          <w:r>
            <w:t xml:space="preserve">7</w:t>
          </w:r>
        </w:p>
        <w:p>
          <w:pPr>
            <w:pStyle w:val="TOC3"/>
            <w:tabs>
              <w:tab w:val="right" w:leader="dot" w:pos="9072"/>
            </w:tabs>
          </w:pPr>
          <w:r>
            <w:t xml:space="preserve">Decision Rationale</w:t>
          </w:r>
          <w:r>
            <w:tab/>
          </w:r>
          <w:r>
            <w:t xml:space="preserve">8</w:t>
          </w:r>
        </w:p>
        <w:p>
          <w:pPr>
            <w:pStyle w:val="TOC2"/>
            <w:tabs>
              <w:tab w:val="right" w:leader="dot" w:pos="9072"/>
            </w:tabs>
          </w:pPr>
          <w:r>
            <w:t xml:space="preserve">Investment Rationale</w:t>
          </w:r>
          <w:r>
            <w:tab/>
          </w:r>
          <w:r>
            <w:t xml:space="preserve">9</w:t>
          </w:r>
        </w:p>
        <w:p>
          <w:pPr>
            <w:pStyle w:val="TOC3"/>
            <w:tabs>
              <w:tab w:val="right" w:leader="dot" w:pos="9072"/>
            </w:tabs>
          </w:pPr>
          <w:r>
            <w:t xml:space="preserve">Current-State Cost Analysis</w:t>
          </w:r>
          <w:r>
            <w:tab/>
          </w:r>
          <w:r>
            <w:t xml:space="preserve">10</w:t>
          </w:r>
        </w:p>
        <w:p>
          <w:pPr>
            <w:pStyle w:val="TOC3"/>
            <w:tabs>
              <w:tab w:val="right" w:leader="dot" w:pos="9072"/>
            </w:tabs>
          </w:pPr>
          <w:r>
            <w:t xml:space="preserve">DALP Economic Advantage</w:t>
          </w:r>
          <w:r>
            <w:tab/>
          </w:r>
          <w:r>
            <w:t xml:space="preserve">11</w:t>
          </w:r>
        </w:p>
        <w:p>
          <w:pPr>
            <w:pStyle w:val="TOC3"/>
            <w:tabs>
              <w:tab w:val="right" w:leader="dot" w:pos="9072"/>
            </w:tabs>
          </w:pPr>
          <w:r>
            <w:t xml:space="preserve">ROI Framework</w:t>
          </w:r>
          <w:r>
            <w:tab/>
          </w:r>
          <w:r>
            <w:t xml:space="preserve">12</w:t>
          </w:r>
        </w:p>
        <w:p>
          <w:pPr>
            <w:pStyle w:val="TOC2"/>
            <w:tabs>
              <w:tab w:val="right" w:leader="dot" w:pos="9072"/>
            </w:tabs>
          </w:pPr>
          <w:r>
            <w:t xml:space="preserve">Licensing and Pricing Structure</w:t>
          </w:r>
          <w:r>
            <w:tab/>
          </w:r>
          <w:r>
            <w:t xml:space="preserve">13</w:t>
          </w:r>
        </w:p>
        <w:p>
          <w:pPr>
            <w:pStyle w:val="TOC3"/>
            <w:tabs>
              <w:tab w:val="right" w:leader="dot" w:pos="9072"/>
            </w:tabs>
          </w:pPr>
          <w:r>
            <w:t xml:space="preserve">Platform Licensing</w:t>
          </w:r>
          <w:r>
            <w:tab/>
          </w:r>
          <w:r>
            <w:t xml:space="preserve">14</w:t>
          </w:r>
        </w:p>
        <w:p>
          <w:pPr>
            <w:pStyle w:val="TOC3"/>
            <w:tabs>
              <w:tab w:val="right" w:leader="dot" w:pos="9072"/>
            </w:tabs>
          </w:pPr>
          <w:r>
            <w:t xml:space="preserve">What's Included in Platform License</w:t>
          </w:r>
          <w:r>
            <w:tab/>
          </w:r>
          <w:r>
            <w:t xml:space="preserve">15</w:t>
          </w:r>
        </w:p>
        <w:p>
          <w:pPr>
            <w:pStyle w:val="TOC3"/>
            <w:tabs>
              <w:tab w:val="right" w:leader="dot" w:pos="9072"/>
            </w:tabs>
          </w:pPr>
          <w:r>
            <w:t xml:space="preserve">Licensing Terms</w:t>
          </w:r>
          <w:r>
            <w:tab/>
          </w:r>
          <w:r>
            <w:t xml:space="preserve">16</w:t>
          </w:r>
        </w:p>
        <w:p>
          <w:pPr>
            <w:pStyle w:val="TOC2"/>
            <w:tabs>
              <w:tab w:val="right" w:leader="dot" w:pos="9072"/>
            </w:tabs>
          </w:pPr>
          <w:r>
            <w:t xml:space="preserve">Implementation Cost Framework</w:t>
          </w:r>
          <w:r>
            <w:tab/>
          </w:r>
          <w:r>
            <w:t xml:space="preserve">17</w:t>
          </w:r>
        </w:p>
        <w:p>
          <w:pPr>
            <w:pStyle w:val="TOC3"/>
            <w:tabs>
              <w:tab w:val="right" w:leader="dot" w:pos="9072"/>
            </w:tabs>
          </w:pPr>
          <w:r>
            <w:t xml:space="preserve">Implementation Approach</w:t>
          </w:r>
          <w:r>
            <w:tab/>
          </w:r>
          <w:r>
            <w:t xml:space="preserve">18</w:t>
          </w:r>
        </w:p>
        <w:p>
          <w:pPr>
            <w:pStyle w:val="TOC3"/>
            <w:tabs>
              <w:tab w:val="right" w:leader="dot" w:pos="9072"/>
            </w:tabs>
          </w:pPr>
          <w:r>
            <w:t xml:space="preserve">Implementation Cost Components</w:t>
          </w:r>
          <w:r>
            <w:tab/>
          </w:r>
          <w:r>
            <w:t xml:space="preserve">19</w:t>
          </w:r>
        </w:p>
        <w:p>
          <w:pPr>
            <w:pStyle w:val="TOC3"/>
            <w:tabs>
              <w:tab w:val="right" w:leader="dot" w:pos="9072"/>
            </w:tabs>
          </w:pPr>
          <w:r>
            <w:t xml:space="preserve">Implementation Assumptions</w:t>
          </w:r>
          <w:r>
            <w:tab/>
          </w:r>
          <w:r>
            <w:t xml:space="preserve">20</w:t>
          </w:r>
        </w:p>
        <w:p>
          <w:pPr>
            <w:pStyle w:val="TOC3"/>
            <w:tabs>
              <w:tab w:val="right" w:leader="dot" w:pos="9072"/>
            </w:tabs>
          </w:pPr>
          <w:r>
            <w:t xml:space="preserve">Change Control</w:t>
          </w:r>
          <w:r>
            <w:tab/>
          </w:r>
          <w:r>
            <w:t xml:space="preserve">21</w:t>
          </w:r>
        </w:p>
        <w:p>
          <w:pPr>
            <w:pStyle w:val="TOC2"/>
            <w:tabs>
              <w:tab w:val="right" w:leader="dot" w:pos="9072"/>
            </w:tabs>
          </w:pPr>
          <w:r>
            <w:t xml:space="preserve">Support and Maintenance</w:t>
          </w:r>
          <w:r>
            <w:tab/>
          </w:r>
          <w:r>
            <w:t xml:space="preserve">22</w:t>
          </w:r>
        </w:p>
        <w:p>
          <w:pPr>
            <w:pStyle w:val="TOC3"/>
            <w:tabs>
              <w:tab w:val="right" w:leader="dot" w:pos="9072"/>
            </w:tabs>
          </w:pPr>
          <w:r>
            <w:t xml:space="preserve">Support Tier Options</w:t>
          </w:r>
          <w:r>
            <w:tab/>
          </w:r>
          <w:r>
            <w:t xml:space="preserve">23</w:t>
          </w:r>
        </w:p>
        <w:p>
          <w:pPr>
            <w:pStyle w:val="TOC3"/>
            <w:tabs>
              <w:tab w:val="right" w:leader="dot" w:pos="9072"/>
            </w:tabs>
          </w:pPr>
          <w:r>
            <w:t xml:space="preserve">Ongoing Costs</w:t>
          </w:r>
          <w:r>
            <w:tab/>
          </w:r>
          <w:r>
            <w:t xml:space="preserve">24</w:t>
          </w:r>
        </w:p>
        <w:p>
          <w:pPr>
            <w:pStyle w:val="TOC3"/>
            <w:tabs>
              <w:tab w:val="right" w:leader="dot" w:pos="9072"/>
            </w:tabs>
          </w:pPr>
          <w:r>
            <w:t xml:space="preserve">Support Services Included</w:t>
          </w:r>
          <w:r>
            <w:tab/>
          </w:r>
          <w:r>
            <w:t xml:space="preserve">25</w:t>
          </w:r>
        </w:p>
        <w:p>
          <w:pPr>
            <w:pStyle w:val="TOC2"/>
            <w:tabs>
              <w:tab w:val="right" w:leader="dot" w:pos="9072"/>
            </w:tabs>
          </w:pPr>
          <w:r>
            <w:t xml:space="preserve">Total Cost of Ownership</w:t>
          </w:r>
          <w:r>
            <w:tab/>
          </w:r>
          <w:r>
            <w:t xml:space="preserve">26</w:t>
          </w:r>
        </w:p>
        <w:p>
          <w:pPr>
            <w:pStyle w:val="TOC3"/>
            <w:tabs>
              <w:tab w:val="right" w:leader="dot" w:pos="9072"/>
            </w:tabs>
          </w:pPr>
          <w:r>
            <w:t xml:space="preserve">3-Year TCO Projection</w:t>
          </w:r>
          <w:r>
            <w:tab/>
          </w:r>
          <w:r>
            <w:t xml:space="preserve">27</w:t>
          </w:r>
        </w:p>
        <w:p>
          <w:pPr>
            <w:pStyle w:val="TOC3"/>
            <w:tabs>
              <w:tab w:val="right" w:leader="dot" w:pos="9072"/>
            </w:tabs>
          </w:pPr>
          <w:r>
            <w:t xml:space="preserve">TCO Assumptions</w:t>
          </w:r>
          <w:r>
            <w:tab/>
          </w:r>
          <w:r>
            <w:t xml:space="preserve">28</w:t>
          </w:r>
        </w:p>
        <w:p>
          <w:pPr>
            <w:pStyle w:val="TOC2"/>
            <w:tabs>
              <w:tab w:val="right" w:leader="dot" w:pos="9072"/>
            </w:tabs>
          </w:pPr>
          <w:r>
            <w:t xml:space="preserve">Commercial Terms and Conditions</w:t>
          </w:r>
          <w:r>
            <w:tab/>
          </w:r>
          <w:r>
            <w:t xml:space="preserve">29</w:t>
          </w:r>
        </w:p>
        <w:p>
          <w:pPr>
            <w:pStyle w:val="TOC3"/>
            <w:tabs>
              <w:tab w:val="right" w:leader="dot" w:pos="9072"/>
            </w:tabs>
          </w:pPr>
          <w:r>
            <w:t xml:space="preserve">Contract Structure</w:t>
          </w:r>
          <w:r>
            <w:tab/>
          </w:r>
          <w:r>
            <w:t xml:space="preserve">30</w:t>
          </w:r>
        </w:p>
        <w:p>
          <w:pPr>
            <w:pStyle w:val="TOC3"/>
            <w:tabs>
              <w:tab w:val="right" w:leader="dot" w:pos="9072"/>
            </w:tabs>
          </w:pPr>
          <w:r>
            <w:t xml:space="preserve">Pricing Validity</w:t>
          </w:r>
          <w:r>
            <w:tab/>
          </w:r>
          <w:r>
            <w:t xml:space="preserve">31</w:t>
          </w:r>
        </w:p>
        <w:p>
          <w:pPr>
            <w:pStyle w:val="TOC3"/>
            <w:tabs>
              <w:tab w:val="right" w:leader="dot" w:pos="9072"/>
            </w:tabs>
          </w:pPr>
          <w:r>
            <w:t xml:space="preserve">Payment Terms</w:t>
          </w:r>
          <w:r>
            <w:tab/>
          </w:r>
          <w:r>
            <w:t xml:space="preserve">32</w:t>
          </w:r>
        </w:p>
        <w:p>
          <w:pPr>
            <w:pStyle w:val="TOC3"/>
            <w:tabs>
              <w:tab w:val="right" w:leader="dot" w:pos="9072"/>
            </w:tabs>
          </w:pPr>
          <w:r>
            <w:t xml:space="preserve">Escrow and Security</w:t>
          </w:r>
          <w:r>
            <w:tab/>
          </w:r>
          <w:r>
            <w:t xml:space="preserve">33</w:t>
          </w:r>
        </w:p>
        <w:p>
          <w:pPr>
            <w:pStyle w:val="TOC2"/>
            <w:tabs>
              <w:tab w:val="right" w:leader="dot" w:pos="9072"/>
            </w:tabs>
          </w:pPr>
          <w:r>
            <w:t xml:space="preserve">Value Analysis and ROI Framework</w:t>
          </w:r>
          <w:r>
            <w:tab/>
          </w:r>
          <w:r>
            <w:t xml:space="preserve">34</w:t>
          </w:r>
        </w:p>
        <w:p>
          <w:pPr>
            <w:pStyle w:val="TOC3"/>
            <w:tabs>
              <w:tab w:val="right" w:leader="dot" w:pos="9072"/>
            </w:tabs>
          </w:pPr>
          <w:r>
            <w:t xml:space="preserve">Strategic Value</w:t>
          </w:r>
          <w:r>
            <w:tab/>
          </w:r>
          <w:r>
            <w:t xml:space="preserve">35</w:t>
          </w:r>
        </w:p>
        <w:p>
          <w:pPr>
            <w:pStyle w:val="TOC3"/>
            <w:tabs>
              <w:tab w:val="right" w:leader="dot" w:pos="9072"/>
            </w:tabs>
          </w:pPr>
          <w:r>
            <w:t xml:space="preserve">Risk Mitigation</w:t>
          </w:r>
          <w:r>
            <w:tab/>
          </w:r>
          <w:r>
            <w:t xml:space="preserve">36</w:t>
          </w:r>
        </w:p>
        <w:p>
          <w:pPr>
            <w:pStyle w:val="TOC3"/>
            <w:tabs>
              <w:tab w:val="right" w:leader="dot" w:pos="9072"/>
            </w:tabs>
          </w:pPr>
          <w:r>
            <w:t xml:space="preserve">Recommendation Summary</w:t>
          </w:r>
          <w:r>
            <w:tab/>
          </w:r>
          <w:r>
            <w:t xml:space="preserve">37</w:t>
          </w:r>
        </w:p>
        <w:p>
          <w:pPr>
            <w:pStyle w:val="TOC2"/>
            <w:tabs>
              <w:tab w:val="right" w:leader="dot" w:pos="9072"/>
            </w:tabs>
          </w:pPr>
          <w:r>
            <w:t xml:space="preserve">Next Steps</w:t>
          </w:r>
          <w:r>
            <w:tab/>
          </w:r>
          <w:r>
            <w:t xml:space="preserve">38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6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Development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KfW</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KFW-RFP-DIGITAL-DEVELOPMENT-BONDS-202603</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Rationale</w:t>
      </w:r>
    </w:p>
    <w:p>
      <w:pPr>
        <w:pStyle w:val="ListParagraph"/>
        <w:numPr>
          <w:ilvl w:val="0"/>
          <w:numId w:val="4"/>
        </w:numPr>
      </w:pPr>
      <w:r>
        <w:rPr>
          <w:rFonts w:ascii="Figtree" w:hAnsi="Figtree"/>
          <w:b w:val="0"/>
          <w:i w:val="0"/>
          <w:sz w:val="22"/>
        </w:rPr>
        <w:t>Licensing and Pricing Structure</w:t>
      </w:r>
    </w:p>
    <w:p>
      <w:pPr>
        <w:pStyle w:val="ListParagraph"/>
        <w:numPr>
          <w:ilvl w:val="0"/>
          <w:numId w:val="4"/>
        </w:numPr>
      </w:pPr>
      <w:r>
        <w:rPr>
          <w:rFonts w:ascii="Figtree" w:hAnsi="Figtree"/>
          <w:b w:val="0"/>
          <w:i w:val="0"/>
          <w:sz w:val="22"/>
        </w:rPr>
        <w:t>Implementation Cost Framework</w:t>
      </w:r>
    </w:p>
    <w:p>
      <w:pPr>
        <w:pStyle w:val="ListParagraph"/>
        <w:numPr>
          <w:ilvl w:val="0"/>
          <w:numId w:val="4"/>
        </w:numPr>
      </w:pPr>
      <w:r>
        <w:rPr>
          <w:rFonts w:ascii="Figtree" w:hAnsi="Figtree"/>
          <w:b w:val="0"/>
          <w:i w:val="0"/>
          <w:sz w:val="22"/>
        </w:rPr>
        <w:t>Support and Maintenance</w:t>
      </w:r>
    </w:p>
    <w:p>
      <w:pPr>
        <w:pStyle w:val="ListParagraph"/>
        <w:numPr>
          <w:ilvl w:val="0"/>
          <w:numId w:val="4"/>
        </w:numPr>
      </w:pPr>
      <w:r>
        <w:rPr>
          <w:rFonts w:ascii="Figtree" w:hAnsi="Figtree"/>
          <w:b w:val="0"/>
          <w:i w:val="0"/>
          <w:sz w:val="22"/>
        </w:rPr>
        <w:t>Total Cost of Ownership</w:t>
      </w:r>
    </w:p>
    <w:p>
      <w:pPr>
        <w:pStyle w:val="ListParagraph"/>
        <w:numPr>
          <w:ilvl w:val="0"/>
          <w:numId w:val="4"/>
        </w:numPr>
      </w:pPr>
      <w:r>
        <w:rPr>
          <w:rFonts w:ascii="Figtree" w:hAnsi="Figtree"/>
          <w:b w:val="0"/>
          <w:i w:val="0"/>
          <w:sz w:val="22"/>
        </w:rPr>
        <w:t>Commercial Terms and Conditions</w:t>
      </w:r>
    </w:p>
    <w:p>
      <w:pPr>
        <w:pStyle w:val="ListParagraph"/>
        <w:numPr>
          <w:ilvl w:val="0"/>
          <w:numId w:val="4"/>
        </w:numPr>
      </w:pPr>
      <w:r>
        <w:rPr>
          <w:rFonts w:ascii="Figtree" w:hAnsi="Figtree"/>
          <w:b w:val="0"/>
          <w:i w:val="0"/>
          <w:sz w:val="22"/>
        </w:rPr>
        <w:t>Value Analysis and ROI Framework</w:t>
      </w:r>
    </w:p>
    <w:p>
      <w:r>
        <w:br w:type="page"/>
      </w:r>
    </w:p>
    <w:p>
      <w:pPr>
        <w:pStyle w:val="H2"/>
        <w:numPr>
          <w:ilvl w:val="1"/>
          <w:numId w:val="1"/>
        </w:numPr>
      </w:pPr>
      <w:r>
        <w:t>Executive Summary</w:t>
      </w:r>
    </w:p>
    <w:p>
      <w:pPr>
        <w:pStyle w:val="H3"/>
        <w:numPr>
          <w:ilvl w:val="2"/>
          <w:numId w:val="1"/>
        </w:numPr>
      </w:pPr>
      <w:r>
        <w:t>Commercial Overview</w:t>
      </w:r>
    </w:p>
    <w:p>
      <w:r>
        <w:rPr>
          <w:rFonts w:ascii="Figtree" w:hAnsi="Figtree"/>
          <w:b w:val="0"/>
          <w:i w:val="0"/>
          <w:sz w:val="22"/>
        </w:rPr>
        <w:t>SettleMint proposes a comprehensive Digital Asset Lifecycle Platform (DALP) deployment to support KfW's digital development bonds programme. The commercial framework is designed for German federal institution requirements, with predictable annual licensing, transparent implementation pricing, and tiered support options matched to production operational needs.</w:t>
      </w:r>
    </w:p>
    <w:p>
      <w:pPr>
        <w:pStyle w:val="H3"/>
        <w:numPr>
          <w:ilvl w:val="2"/>
          <w:numId w:val="1"/>
        </w:numPr>
      </w:pPr>
      <w:r>
        <w:t>Recommended Commercial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29"/>
        <w:gridCol w:w="57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4873"/>
            <w:vAlign w:val="center"/>
          </w:tcPr>
          <w:p>
            <w:pPr>
              <w:spacing w:line="276" w:lineRule="auto" w:before="0" w:after="0"/>
            </w:pPr>
            <w:r/>
            <w:r>
              <w:rPr>
                <w:rFonts w:ascii="Figtree" w:hAnsi="Figtree"/>
                <w:b/>
                <w:i w:val="0"/>
                <w:sz w:val="20"/>
              </w:rPr>
              <w:t>Platform Tier</w:t>
            </w:r>
          </w:p>
        </w:tc>
        <w:tc>
          <w:tcPr>
            <w:tcW w:type="dxa" w:w="4873"/>
            <w:vAlign w:val="center"/>
          </w:tcPr>
          <w:p>
            <w:pPr>
              <w:spacing w:line="276" w:lineRule="auto" w:before="0" w:after="0"/>
            </w:pPr>
            <w:r/>
            <w:r>
              <w:rPr>
                <w:rFonts w:ascii="Figtree" w:hAnsi="Figtree"/>
                <w:b w:val="0"/>
                <w:i w:val="0"/>
                <w:sz w:val="20"/>
              </w:rPr>
              <w:t>Enterprise</w:t>
            </w:r>
          </w:p>
        </w:tc>
      </w:tr>
      <w:tr>
        <w:trPr>
          <w:trHeight w:val="425" w:hRule="atLeast"/>
        </w:trPr>
        <w:tc>
          <w:tcPr>
            <w:tcW w:type="dxa" w:w="4873"/>
            <w:vAlign w:val="center"/>
          </w:tcPr>
          <w:p>
            <w:pPr>
              <w:spacing w:line="276" w:lineRule="auto" w:before="0" w:after="0"/>
            </w:pPr>
            <w:r/>
            <w:r>
              <w:rPr>
                <w:rFonts w:ascii="Figtree" w:hAnsi="Figtree"/>
                <w:b/>
                <w:i w:val="0"/>
                <w:sz w:val="20"/>
              </w:rPr>
              <w:t>Deployment Model</w:t>
            </w:r>
          </w:p>
        </w:tc>
        <w:tc>
          <w:tcPr>
            <w:tcW w:type="dxa" w:w="4873"/>
            <w:vAlign w:val="center"/>
          </w:tcPr>
          <w:p>
            <w:pPr>
              <w:spacing w:line="276" w:lineRule="auto" w:before="0" w:after="0"/>
            </w:pPr>
            <w:r/>
            <w:r>
              <w:rPr>
                <w:rFonts w:ascii="Figtree" w:hAnsi="Figtree"/>
                <w:b w:val="0"/>
                <w:i w:val="0"/>
                <w:sz w:val="20"/>
              </w:rPr>
              <w:t>Dedicated Cloud (AWS eu-central-1, Frankfurt)</w:t>
            </w:r>
          </w:p>
        </w:tc>
      </w:tr>
      <w:tr>
        <w:trPr>
          <w:trHeight w:val="425" w:hRule="atLeast"/>
        </w:trPr>
        <w:tc>
          <w:tcPr>
            <w:tcW w:type="dxa" w:w="4873"/>
            <w:vAlign w:val="center"/>
          </w:tcPr>
          <w:p>
            <w:pPr>
              <w:spacing w:line="276" w:lineRule="auto" w:before="0" w:after="0"/>
            </w:pPr>
            <w:r/>
            <w:r>
              <w:rPr>
                <w:rFonts w:ascii="Figtree" w:hAnsi="Figtree"/>
                <w:b/>
                <w:i w:val="0"/>
                <w:sz w:val="20"/>
              </w:rPr>
              <w:t>Support Tier</w:t>
            </w:r>
          </w:p>
        </w:tc>
        <w:tc>
          <w:tcPr>
            <w:tcW w:type="dxa" w:w="4873"/>
            <w:vAlign w:val="center"/>
          </w:tcPr>
          <w:p>
            <w:pPr>
              <w:spacing w:line="276" w:lineRule="auto" w:before="0" w:after="0"/>
            </w:pPr>
            <w:r/>
            <w:r>
              <w:rPr>
                <w:rFonts w:ascii="Figtree" w:hAnsi="Figtree"/>
                <w:b w:val="0"/>
                <w:i w:val="0"/>
                <w:sz w:val="20"/>
              </w:rPr>
              <w:t>Premium</w:t>
            </w:r>
          </w:p>
        </w:tc>
      </w:tr>
      <w:tr>
        <w:trPr>
          <w:trHeight w:val="425" w:hRule="atLeast"/>
        </w:trPr>
        <w:tc>
          <w:tcPr>
            <w:tcW w:type="dxa" w:w="4873"/>
            <w:vAlign w:val="center"/>
          </w:tcPr>
          <w:p>
            <w:pPr>
              <w:spacing w:line="276" w:lineRule="auto" w:before="0" w:after="0"/>
            </w:pPr>
            <w:r/>
            <w:r>
              <w:rPr>
                <w:rFonts w:ascii="Figtree" w:hAnsi="Figtree"/>
                <w:b/>
                <w:i w:val="0"/>
                <w:sz w:val="20"/>
              </w:rPr>
              <w:t>Implementation Scope</w:t>
            </w:r>
          </w:p>
        </w:tc>
        <w:tc>
          <w:tcPr>
            <w:tcW w:type="dxa" w:w="4873"/>
            <w:vAlign w:val="center"/>
          </w:tcPr>
          <w:p>
            <w:pPr>
              <w:spacing w:line="276" w:lineRule="auto" w:before="0" w:after="0"/>
            </w:pPr>
            <w:r/>
            <w:r>
              <w:rPr>
                <w:rFonts w:ascii="Figtree" w:hAnsi="Figtree"/>
                <w:b w:val="0"/>
                <w:i w:val="0"/>
                <w:sz w:val="20"/>
              </w:rPr>
              <w:t>Full deployment with integrations</w:t>
            </w:r>
          </w:p>
        </w:tc>
      </w:tr>
      <w:tr>
        <w:trPr>
          <w:trHeight w:val="425" w:hRule="atLeast"/>
        </w:trPr>
        <w:tc>
          <w:tcPr>
            <w:tcW w:type="dxa" w:w="4873"/>
            <w:vAlign w:val="center"/>
          </w:tcPr>
          <w:p>
            <w:pPr>
              <w:spacing w:line="276" w:lineRule="auto" w:before="0" w:after="0"/>
            </w:pPr>
            <w:r/>
            <w:r>
              <w:rPr>
                <w:rFonts w:ascii="Figtree" w:hAnsi="Figtree"/>
                <w:b/>
                <w:i w:val="0"/>
                <w:sz w:val="20"/>
              </w:rPr>
              <w:t>Contract Term</w:t>
            </w:r>
          </w:p>
        </w:tc>
        <w:tc>
          <w:tcPr>
            <w:tcW w:type="dxa" w:w="4873"/>
            <w:vAlign w:val="center"/>
          </w:tcPr>
          <w:p>
            <w:pPr>
              <w:spacing w:line="276" w:lineRule="auto" w:before="0" w:after="0"/>
            </w:pPr>
            <w:r/>
            <w:r>
              <w:rPr>
                <w:rFonts w:ascii="Figtree" w:hAnsi="Figtree"/>
                <w:b w:val="0"/>
                <w:i w:val="0"/>
                <w:sz w:val="20"/>
              </w:rPr>
              <w:t>3-year initial with annual renewal option</w:t>
            </w:r>
          </w:p>
        </w:tc>
      </w:tr>
    </w:tbl>
    <w:p>
      <w:pPr>
        <w:spacing w:before="0" w:after="0" w:line="120" w:lineRule="exact"/>
      </w:pPr>
    </w:p>
    <w:p>
      <w:pPr>
        <w:pStyle w:val="H3"/>
        <w:numPr>
          <w:ilvl w:val="2"/>
          <w:numId w:val="1"/>
        </w:numPr>
      </w:pPr>
      <w:r>
        <w:t>Investment Summary</w:t>
      </w:r>
    </w:p>
    <w:p>
      <w:r>
        <w:rPr>
          <w:rFonts w:ascii="Figtree" w:hAnsi="Figtree"/>
          <w:b w:val="0"/>
          <w:i w:val="0"/>
          <w:sz w:val="22"/>
        </w:rPr>
        <w:t>The recommended commercial structure delivers:</w:t>
      </w:r>
    </w:p>
    <w:p>
      <w:pPr>
        <w:pStyle w:val="ListParagraph"/>
        <w:numPr>
          <w:ilvl w:val="0"/>
          <w:numId w:val="4"/>
        </w:numPr>
      </w:pPr>
      <w:r>
        <w:rPr>
          <w:rFonts w:ascii="Figtree" w:hAnsi="Figtree"/>
          <w:b/>
          <w:i w:val="0"/>
          <w:sz w:val="22"/>
        </w:rPr>
        <w:t>Predictable annual licensing</w:t>
      </w:r>
      <w:r>
        <w:rPr>
          <w:rFonts w:ascii="Figtree" w:hAnsi="Figtree"/>
          <w:b w:val="0"/>
          <w:i w:val="0"/>
          <w:sz w:val="22"/>
        </w:rPr>
        <w:t>: No per-transaction or per-token fees, enabling unlimited scaling</w:t>
      </w:r>
    </w:p>
    <w:p>
      <w:pPr>
        <w:pStyle w:val="ListParagraph"/>
        <w:numPr>
          <w:ilvl w:val="0"/>
          <w:numId w:val="4"/>
        </w:numPr>
      </w:pPr>
      <w:r>
        <w:rPr>
          <w:rFonts w:ascii="Figtree" w:hAnsi="Figtree"/>
          <w:b/>
          <w:i w:val="0"/>
          <w:sz w:val="22"/>
        </w:rPr>
        <w:t>Transparent implementation costs</w:t>
      </w:r>
      <w:r>
        <w:rPr>
          <w:rFonts w:ascii="Figtree" w:hAnsi="Figtree"/>
          <w:b w:val="0"/>
          <w:i w:val="0"/>
          <w:sz w:val="22"/>
        </w:rPr>
        <w:t>: Fixed-price implementation with defined phases and deliverables</w:t>
      </w:r>
    </w:p>
    <w:p>
      <w:pPr>
        <w:pStyle w:val="ListParagraph"/>
        <w:numPr>
          <w:ilvl w:val="0"/>
          <w:numId w:val="4"/>
        </w:numPr>
      </w:pPr>
      <w:r>
        <w:rPr>
          <w:rFonts w:ascii="Figtree" w:hAnsi="Figtree"/>
          <w:b/>
          <w:i w:val="0"/>
          <w:sz w:val="22"/>
        </w:rPr>
        <w:t>Tiered support</w:t>
      </w:r>
      <w:r>
        <w:rPr>
          <w:rFonts w:ascii="Figtree" w:hAnsi="Figtree"/>
          <w:b w:val="0"/>
          <w:i w:val="0"/>
          <w:sz w:val="22"/>
        </w:rPr>
        <w:t>: Premium support with 12x7 coverage, dedicated engineer access, and priority issue resolution</w:t>
      </w:r>
    </w:p>
    <w:p>
      <w:pPr>
        <w:pStyle w:val="ListParagraph"/>
        <w:numPr>
          <w:ilvl w:val="0"/>
          <w:numId w:val="4"/>
        </w:numPr>
      </w:pPr>
      <w:r>
        <w:rPr>
          <w:rFonts w:ascii="Figtree" w:hAnsi="Figtree"/>
          <w:b/>
          <w:i w:val="0"/>
          <w:sz w:val="22"/>
        </w:rPr>
        <w:t>Total first-year investment</w:t>
      </w:r>
      <w:r>
        <w:rPr>
          <w:rFonts w:ascii="Figtree" w:hAnsi="Figtree"/>
          <w:b w:val="0"/>
          <w:i w:val="0"/>
          <w:sz w:val="22"/>
        </w:rPr>
        <w:t>: [To be finalized based on scope validation]</w:t>
      </w:r>
    </w:p>
    <w:p>
      <w:pPr>
        <w:pStyle w:val="H3"/>
        <w:numPr>
          <w:ilvl w:val="2"/>
          <w:numId w:val="1"/>
        </w:numPr>
      </w:pPr>
      <w:r>
        <w:t>Decision Rationale</w:t>
      </w:r>
    </w:p>
    <w:p>
      <w:r>
        <w:rPr>
          <w:rFonts w:ascii="Figtree" w:hAnsi="Figtree"/>
          <w:b w:val="0"/>
          <w:i w:val="0"/>
          <w:sz w:val="22"/>
        </w:rPr>
        <w:t>The recommended Enterprise tier provides KfW with:</w:t>
      </w:r>
    </w:p>
    <w:p>
      <w:pPr>
        <w:pStyle w:val="ListParagraph"/>
        <w:numPr>
          <w:ilvl w:val="0"/>
          <w:numId w:val="4"/>
        </w:numPr>
      </w:pPr>
      <w:r>
        <w:rPr>
          <w:rFonts w:ascii="Figtree" w:hAnsi="Figtree"/>
          <w:b w:val="0"/>
          <w:i w:val="0"/>
          <w:sz w:val="22"/>
        </w:rPr>
        <w:t>Multi-environment deployment (development, staging, production) for controlled release management</w:t>
      </w:r>
    </w:p>
    <w:p>
      <w:pPr>
        <w:pStyle w:val="ListParagraph"/>
        <w:numPr>
          <w:ilvl w:val="0"/>
          <w:numId w:val="4"/>
        </w:numPr>
      </w:pPr>
      <w:r>
        <w:rPr>
          <w:rFonts w:ascii="Figtree" w:hAnsi="Figtree"/>
          <w:b w:val="0"/>
          <w:i w:val="0"/>
          <w:sz w:val="22"/>
        </w:rPr>
        <w:t>Multi-network capability for future expansion beyond initial Hyperledger Besu deployment</w:t>
      </w:r>
    </w:p>
    <w:p>
      <w:pPr>
        <w:pStyle w:val="ListParagraph"/>
        <w:numPr>
          <w:ilvl w:val="0"/>
          <w:numId w:val="4"/>
        </w:numPr>
      </w:pPr>
      <w:r>
        <w:rPr>
          <w:rFonts w:ascii="Figtree" w:hAnsi="Figtree"/>
          <w:b w:val="0"/>
          <w:i w:val="0"/>
          <w:sz w:val="22"/>
        </w:rPr>
        <w:t>Full custody integration flexibility for DFNS and Fireblocks</w:t>
      </w:r>
    </w:p>
    <w:p>
      <w:pPr>
        <w:pStyle w:val="ListParagraph"/>
        <w:numPr>
          <w:ilvl w:val="0"/>
          <w:numId w:val="4"/>
        </w:numPr>
      </w:pPr>
      <w:r>
        <w:rPr>
          <w:rFonts w:ascii="Figtree" w:hAnsi="Figtree"/>
          <w:b w:val="0"/>
          <w:i w:val="0"/>
          <w:sz w:val="22"/>
        </w:rPr>
        <w:t>Premium support with responsive coverage matching German banking hours</w:t>
      </w:r>
    </w:p>
    <w:p>
      <w:pPr>
        <w:pStyle w:val="ListParagraph"/>
        <w:numPr>
          <w:ilvl w:val="0"/>
          <w:numId w:val="4"/>
        </w:numPr>
      </w:pPr>
      <w:r>
        <w:rPr>
          <w:rFonts w:ascii="Figtree" w:hAnsi="Figtree"/>
          <w:b w:val="0"/>
          <w:i w:val="0"/>
          <w:sz w:val="22"/>
        </w:rPr>
        <w:t>Dedicated integration support during critical onboarding phase</w:t>
      </w:r>
    </w:p>
    <w:p>
      <w:r>
        <w:br w:type="page"/>
      </w:r>
    </w:p>
    <w:p>
      <w:pPr>
        <w:pStyle w:val="H2"/>
        <w:numPr>
          <w:ilvl w:val="1"/>
          <w:numId w:val="1"/>
        </w:numPr>
      </w:pPr>
      <w:r>
        <w:t>Investment Rationale</w:t>
      </w:r>
    </w:p>
    <w:p>
      <w:pPr>
        <w:pStyle w:val="H3"/>
        <w:numPr>
          <w:ilvl w:val="2"/>
          <w:numId w:val="1"/>
        </w:numPr>
      </w:pPr>
      <w:r>
        <w:t>Current-State Cost Analysis</w:t>
      </w:r>
    </w:p>
    <w:p>
      <w:r>
        <w:rPr>
          <w:rFonts w:ascii="Figtree" w:hAnsi="Figtree"/>
          <w:b w:val="0"/>
          <w:i w:val="0"/>
          <w:sz w:val="22"/>
        </w:rPr>
        <w:t>KfW's current approach to digital bond issuance involves multiple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1"/>
        <w:gridCol w:w="2608"/>
        <w:gridCol w:w="40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Annual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[To be provided by KfW]</w:t>
            </w:r>
          </w:p>
        </w:tc>
        <w:tc>
          <w:tcPr>
            <w:tcW w:type="dxa" w:w="3249"/>
            <w:vAlign w:val="center"/>
          </w:tcPr>
          <w:p>
            <w:pPr>
              <w:spacing w:line="276" w:lineRule="auto" w:before="0" w:after="0"/>
            </w:pPr>
            <w:r/>
            <w:r>
              <w:rPr>
                <w:rFonts w:ascii="Figtree" w:hAnsi="Figtree"/>
                <w:b w:val="0"/>
                <w:i w:val="0"/>
                <w:sz w:val="20"/>
              </w:rPr>
              <w:t>Internal development team allocation</w:t>
            </w:r>
          </w:p>
        </w:tc>
      </w:tr>
      <w:tr>
        <w:trPr>
          <w:trHeight w:val="425" w:hRule="atLeast"/>
        </w:trPr>
        <w:tc>
          <w:tcPr>
            <w:tcW w:type="dxa" w:w="3249"/>
            <w:vAlign w:val="center"/>
          </w:tcPr>
          <w:p>
            <w:pPr>
              <w:spacing w:line="276" w:lineRule="auto" w:before="0" w:after="0"/>
            </w:pPr>
            <w:r/>
            <w:r>
              <w:rPr>
                <w:rFonts w:ascii="Figtree" w:hAnsi="Figtree"/>
                <w:b w:val="0"/>
                <w:i w:val="0"/>
                <w:sz w:val="20"/>
              </w:rPr>
              <w:t>Third-party licensing</w:t>
            </w:r>
          </w:p>
        </w:tc>
        <w:tc>
          <w:tcPr>
            <w:tcW w:type="dxa" w:w="3249"/>
            <w:vAlign w:val="center"/>
          </w:tcPr>
          <w:p>
            <w:pPr>
              <w:spacing w:line="276" w:lineRule="auto" w:before="0" w:after="0"/>
            </w:pPr>
            <w:r/>
            <w:r>
              <w:rPr>
                <w:rFonts w:ascii="Figtree" w:hAnsi="Figtree"/>
                <w:b w:val="0"/>
                <w:i w:val="0"/>
                <w:sz w:val="20"/>
              </w:rPr>
              <w:t>[To be provided by KfW]</w:t>
            </w:r>
          </w:p>
        </w:tc>
        <w:tc>
          <w:tcPr>
            <w:tcW w:type="dxa" w:w="3249"/>
            <w:vAlign w:val="center"/>
          </w:tcPr>
          <w:p>
            <w:pPr>
              <w:spacing w:line="276" w:lineRule="auto" w:before="0" w:after="0"/>
            </w:pPr>
            <w:r/>
            <w:r>
              <w:rPr>
                <w:rFonts w:ascii="Figtree" w:hAnsi="Figtree"/>
                <w:b w:val="0"/>
                <w:i w:val="0"/>
                <w:sz w:val="20"/>
              </w:rPr>
              <w:t>Multiple vendor contracts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effort</w:t>
            </w:r>
          </w:p>
        </w:tc>
        <w:tc>
          <w:tcPr>
            <w:tcW w:type="dxa" w:w="3249"/>
            <w:vAlign w:val="center"/>
          </w:tcPr>
          <w:p>
            <w:pPr>
              <w:spacing w:line="276" w:lineRule="auto" w:before="0" w:after="0"/>
            </w:pPr>
            <w:r/>
            <w:r>
              <w:rPr>
                <w:rFonts w:ascii="Figtree" w:hAnsi="Figtree"/>
                <w:b w:val="0"/>
                <w:i w:val="0"/>
                <w:sz w:val="20"/>
              </w:rPr>
              <w:t>[To be provided by KfW]</w:t>
            </w:r>
          </w:p>
        </w:tc>
        <w:tc>
          <w:tcPr>
            <w:tcW w:type="dxa" w:w="3249"/>
            <w:vAlign w:val="center"/>
          </w:tcPr>
          <w:p>
            <w:pPr>
              <w:spacing w:line="276" w:lineRule="auto" w:before="0" w:after="0"/>
            </w:pPr>
            <w:r/>
            <w:r>
              <w:rPr>
                <w:rFonts w:ascii="Figtree" w:hAnsi="Figtree"/>
                <w:b w:val="0"/>
                <w:i w:val="0"/>
                <w:sz w:val="20"/>
              </w:rPr>
              <w:t>Point-to-point connections</w:t>
            </w:r>
          </w:p>
        </w:tc>
      </w:tr>
      <w:tr>
        <w:trPr>
          <w:trHeight w:val="425" w:hRule="atLeast"/>
        </w:trPr>
        <w:tc>
          <w:tcPr>
            <w:tcW w:type="dxa" w:w="3249"/>
            <w:vAlign w:val="center"/>
          </w:tcPr>
          <w:p>
            <w:pPr>
              <w:spacing w:line="276" w:lineRule="auto" w:before="0" w:after="0"/>
            </w:pPr>
            <w:r/>
            <w:r>
              <w:rPr>
                <w:rFonts w:ascii="Figtree" w:hAnsi="Figtree"/>
                <w:b w:val="0"/>
                <w:i w:val="0"/>
                <w:sz w:val="20"/>
              </w:rPr>
              <w:t>Operational overhead</w:t>
            </w:r>
          </w:p>
        </w:tc>
        <w:tc>
          <w:tcPr>
            <w:tcW w:type="dxa" w:w="3249"/>
            <w:vAlign w:val="center"/>
          </w:tcPr>
          <w:p>
            <w:pPr>
              <w:spacing w:line="276" w:lineRule="auto" w:before="0" w:after="0"/>
            </w:pPr>
            <w:r/>
            <w:r>
              <w:rPr>
                <w:rFonts w:ascii="Figtree" w:hAnsi="Figtree"/>
                <w:b w:val="0"/>
                <w:i w:val="0"/>
                <w:sz w:val="20"/>
              </w:rPr>
              <w:t>[To be provided by KfW]</w:t>
            </w:r>
          </w:p>
        </w:tc>
        <w:tc>
          <w:tcPr>
            <w:tcW w:type="dxa" w:w="3249"/>
            <w:vAlign w:val="center"/>
          </w:tcPr>
          <w:p>
            <w:pPr>
              <w:spacing w:line="276" w:lineRule="auto" w:before="0" w:after="0"/>
            </w:pPr>
            <w:r/>
            <w:r>
              <w:rPr>
                <w:rFonts w:ascii="Figtree" w:hAnsi="Figtree"/>
                <w:b w:val="0"/>
                <w:i w:val="0"/>
                <w:sz w:val="20"/>
              </w:rPr>
              <w:t>Manual reconciliation, reporting</w:t>
            </w:r>
          </w:p>
        </w:tc>
      </w:tr>
      <w:tr>
        <w:trPr>
          <w:trHeight w:val="425" w:hRule="atLeast"/>
        </w:trPr>
        <w:tc>
          <w:tcPr>
            <w:tcW w:type="dxa" w:w="3249"/>
            <w:vAlign w:val="center"/>
          </w:tcPr>
          <w:p>
            <w:pPr>
              <w:spacing w:line="276" w:lineRule="auto" w:before="0" w:after="0"/>
            </w:pPr>
            <w:r/>
            <w:r>
              <w:rPr>
                <w:rFonts w:ascii="Figtree" w:hAnsi="Figtree"/>
                <w:b w:val="0"/>
                <w:i w:val="0"/>
                <w:sz w:val="20"/>
              </w:rPr>
              <w:t>Compliance tooling</w:t>
            </w:r>
          </w:p>
        </w:tc>
        <w:tc>
          <w:tcPr>
            <w:tcW w:type="dxa" w:w="3249"/>
            <w:vAlign w:val="center"/>
          </w:tcPr>
          <w:p>
            <w:pPr>
              <w:spacing w:line="276" w:lineRule="auto" w:before="0" w:after="0"/>
            </w:pPr>
            <w:r/>
            <w:r>
              <w:rPr>
                <w:rFonts w:ascii="Figtree" w:hAnsi="Figtree"/>
                <w:b w:val="0"/>
                <w:i w:val="0"/>
                <w:sz w:val="20"/>
              </w:rPr>
              <w:t>[To be provided by KfW]</w:t>
            </w:r>
          </w:p>
        </w:tc>
        <w:tc>
          <w:tcPr>
            <w:tcW w:type="dxa" w:w="3249"/>
            <w:vAlign w:val="center"/>
          </w:tcPr>
          <w:p>
            <w:pPr>
              <w:spacing w:line="276" w:lineRule="auto" w:before="0" w:after="0"/>
            </w:pPr>
            <w:r/>
            <w:r>
              <w:rPr>
                <w:rFonts w:ascii="Figtree" w:hAnsi="Figtree"/>
                <w:b w:val="0"/>
                <w:i w:val="0"/>
                <w:sz w:val="20"/>
              </w:rPr>
              <w:t>Regulatory reporting solutions</w:t>
            </w:r>
          </w:p>
        </w:tc>
      </w:tr>
    </w:tbl>
    <w:p>
      <w:pPr>
        <w:spacing w:before="0" w:after="0" w:line="120" w:lineRule="exact"/>
      </w:pPr>
    </w:p>
    <w:p>
      <w:pPr>
        <w:pStyle w:val="H3"/>
        <w:numPr>
          <w:ilvl w:val="2"/>
          <w:numId w:val="1"/>
        </w:numPr>
      </w:pPr>
      <w:r>
        <w:t>DALP Economic Advantage</w:t>
      </w:r>
    </w:p>
    <w:p>
      <w:r>
        <w:rPr>
          <w:rFonts w:ascii="Figtree" w:hAnsi="Figtree"/>
          <w:b w:val="0"/>
          <w:i w:val="0"/>
          <w:sz w:val="22"/>
        </w:rPr>
        <w:t>DALP transforms the cost structure through:</w:t>
      </w:r>
    </w:p>
    <w:p>
      <w:r>
        <w:rPr>
          <w:rFonts w:ascii="Figtree" w:hAnsi="Figtree"/>
          <w:b/>
          <w:i w:val="0"/>
          <w:sz w:val="22"/>
        </w:rPr>
        <w:t>Platform consolidation</w:t>
      </w:r>
      <w:r>
        <w:rPr>
          <w:rFonts w:ascii="Figtree" w:hAnsi="Figtree"/>
          <w:b w:val="0"/>
          <w:i w:val="0"/>
          <w:sz w:val="22"/>
        </w:rPr>
        <w:t>: Single platform replacing multiple point solutions, reducing vendor management overhead and integration complexity.</w:t>
      </w:r>
    </w:p>
    <w:p>
      <w:r>
        <w:rPr>
          <w:rFonts w:ascii="Figtree" w:hAnsi="Figtree"/>
          <w:b/>
          <w:i w:val="0"/>
          <w:sz w:val="22"/>
        </w:rPr>
        <w:t>Operational efficiency</w:t>
      </w:r>
      <w:r>
        <w:rPr>
          <w:rFonts w:ascii="Figtree" w:hAnsi="Figtree"/>
          <w:b w:val="0"/>
          <w:i w:val="0"/>
          <w:sz w:val="22"/>
        </w:rPr>
        <w:t>: Automated lifecycle management, compliance enforcement, and settlement processing reduce manual operational burden.</w:t>
      </w:r>
    </w:p>
    <w:p>
      <w:r>
        <w:rPr>
          <w:rFonts w:ascii="Figtree" w:hAnsi="Figtree"/>
          <w:b/>
          <w:i w:val="0"/>
          <w:sz w:val="22"/>
        </w:rPr>
        <w:t>Scalability</w:t>
      </w:r>
      <w:r>
        <w:rPr>
          <w:rFonts w:ascii="Figtree" w:hAnsi="Figtree"/>
          <w:b w:val="0"/>
          <w:i w:val="0"/>
          <w:sz w:val="22"/>
        </w:rPr>
        <w:t>: Unlimited transaction and token operations within annual licensing, removing growth penalties.</w:t>
      </w:r>
    </w:p>
    <w:p>
      <w:r>
        <w:rPr>
          <w:rFonts w:ascii="Figtree" w:hAnsi="Figtree"/>
          <w:b/>
          <w:i w:val="0"/>
          <w:sz w:val="22"/>
        </w:rPr>
        <w:t>Compliance automation</w:t>
      </w:r>
      <w:r>
        <w:rPr>
          <w:rFonts w:ascii="Figtree" w:hAnsi="Figtree"/>
          <w:b w:val="0"/>
          <w:i w:val="0"/>
          <w:sz w:val="22"/>
        </w:rPr>
        <w:t>: Built-in compliance modules eliminate custom compliance development and maintenance.</w:t>
      </w:r>
    </w:p>
    <w:p>
      <w:pPr>
        <w:pStyle w:val="H3"/>
        <w:numPr>
          <w:ilvl w:val="2"/>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5"/>
        <w:gridCol w:w="1544"/>
        <w:gridCol w:w="49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Development cost avoidance</w:t>
            </w:r>
          </w:p>
        </w:tc>
        <w:tc>
          <w:tcPr>
            <w:tcW w:type="dxa" w:w="3249"/>
            <w:vAlign w:val="center"/>
          </w:tcPr>
          <w:p>
            <w:pPr>
              <w:spacing w:line="276" w:lineRule="auto" w:before="0" w:after="0"/>
            </w:pPr>
            <w:r/>
            <w:r>
              <w:rPr>
                <w:rFonts w:ascii="Figtree" w:hAnsi="Figtree"/>
                <w:b w:val="0"/>
                <w:i w:val="0"/>
                <w:sz w:val="20"/>
              </w:rPr>
              <w:t>[TBD]</w:t>
            </w:r>
          </w:p>
        </w:tc>
        <w:tc>
          <w:tcPr>
            <w:tcW w:type="dxa" w:w="3249"/>
            <w:vAlign w:val="center"/>
          </w:tcPr>
          <w:p>
            <w:pPr>
              <w:spacing w:line="276" w:lineRule="auto" w:before="0" w:after="0"/>
            </w:pPr>
            <w:r/>
            <w:r>
              <w:rPr>
                <w:rFonts w:ascii="Figtree" w:hAnsi="Figtree"/>
                <w:b w:val="0"/>
                <w:i w:val="0"/>
                <w:sz w:val="20"/>
              </w:rPr>
              <w:t>Internal build vs. platform licensing comparison</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[TBD]</w:t>
            </w:r>
          </w:p>
        </w:tc>
        <w:tc>
          <w:tcPr>
            <w:tcW w:type="dxa" w:w="3249"/>
            <w:vAlign w:val="center"/>
          </w:tcPr>
          <w:p>
            <w:pPr>
              <w:spacing w:line="276" w:lineRule="auto" w:before="0" w:after="0"/>
            </w:pPr>
            <w:r/>
            <w:r>
              <w:rPr>
                <w:rFonts w:ascii="Figtree" w:hAnsi="Figtree"/>
                <w:b w:val="0"/>
                <w:i w:val="0"/>
                <w:sz w:val="20"/>
              </w:rPr>
              <w:t>Automation of manual processes</w:t>
            </w:r>
          </w:p>
        </w:tc>
      </w:tr>
      <w:tr>
        <w:trPr>
          <w:trHeight w:val="425" w:hRule="atLeast"/>
        </w:trPr>
        <w:tc>
          <w:tcPr>
            <w:tcW w:type="dxa" w:w="3249"/>
            <w:vAlign w:val="center"/>
          </w:tcPr>
          <w:p>
            <w:pPr>
              <w:spacing w:line="276" w:lineRule="auto" w:before="0" w:after="0"/>
            </w:pPr>
            <w:r/>
            <w:r>
              <w:rPr>
                <w:rFonts w:ascii="Figtree" w:hAnsi="Figtree"/>
                <w:b w:val="0"/>
                <w:i w:val="0"/>
                <w:sz w:val="20"/>
              </w:rPr>
              <w:t>Time-to-market acceleration</w:t>
            </w:r>
          </w:p>
        </w:tc>
        <w:tc>
          <w:tcPr>
            <w:tcW w:type="dxa" w:w="3249"/>
            <w:vAlign w:val="center"/>
          </w:tcPr>
          <w:p>
            <w:pPr>
              <w:spacing w:line="276" w:lineRule="auto" w:before="0" w:after="0"/>
            </w:pPr>
            <w:r/>
            <w:r>
              <w:rPr>
                <w:rFonts w:ascii="Figtree" w:hAnsi="Figtree"/>
                <w:b w:val="0"/>
                <w:i w:val="0"/>
                <w:sz w:val="20"/>
              </w:rPr>
              <w:t>[TBD]</w:t>
            </w:r>
          </w:p>
        </w:tc>
        <w:tc>
          <w:tcPr>
            <w:tcW w:type="dxa" w:w="3249"/>
            <w:vAlign w:val="center"/>
          </w:tcPr>
          <w:p>
            <w:pPr>
              <w:spacing w:line="276" w:lineRule="auto" w:before="0" w:after="0"/>
            </w:pPr>
            <w:r/>
            <w:r>
              <w:rPr>
                <w:rFonts w:ascii="Figtree" w:hAnsi="Figtree"/>
                <w:b w:val="0"/>
                <w:i w:val="0"/>
                <w:sz w:val="20"/>
              </w:rPr>
              <w:t>Production-readiness vs. custom development</w:t>
            </w:r>
          </w:p>
        </w:tc>
      </w:tr>
      <w:tr>
        <w:trPr>
          <w:trHeight w:val="425" w:hRule="atLeast"/>
        </w:trPr>
        <w:tc>
          <w:tcPr>
            <w:tcW w:type="dxa" w:w="3249"/>
            <w:vAlign w:val="center"/>
          </w:tcPr>
          <w:p>
            <w:pPr>
              <w:spacing w:line="276" w:lineRule="auto" w:before="0" w:after="0"/>
            </w:pPr>
            <w:r/>
            <w:r>
              <w:rPr>
                <w:rFonts w:ascii="Figtree" w:hAnsi="Figtree"/>
                <w:b w:val="0"/>
                <w:i w:val="0"/>
                <w:sz w:val="20"/>
              </w:rPr>
              <w:t>Regulatory compliance</w:t>
            </w:r>
          </w:p>
        </w:tc>
        <w:tc>
          <w:tcPr>
            <w:tcW w:type="dxa" w:w="3249"/>
            <w:vAlign w:val="center"/>
          </w:tcPr>
          <w:p>
            <w:pPr>
              <w:spacing w:line="276" w:lineRule="auto" w:before="0" w:after="0"/>
            </w:pPr>
            <w:r/>
            <w:r>
              <w:rPr>
                <w:rFonts w:ascii="Figtree" w:hAnsi="Figtree"/>
                <w:b w:val="0"/>
                <w:i w:val="0"/>
                <w:sz w:val="20"/>
              </w:rPr>
              <w:t>[TBD]</w:t>
            </w:r>
          </w:p>
        </w:tc>
        <w:tc>
          <w:tcPr>
            <w:tcW w:type="dxa" w:w="3249"/>
            <w:vAlign w:val="center"/>
          </w:tcPr>
          <w:p>
            <w:pPr>
              <w:spacing w:line="276" w:lineRule="auto" w:before="0" w:after="0"/>
            </w:pPr>
            <w:r/>
            <w:r>
              <w:rPr>
                <w:rFonts w:ascii="Figtree" w:hAnsi="Figtree"/>
                <w:b w:val="0"/>
                <w:i w:val="0"/>
                <w:sz w:val="20"/>
              </w:rPr>
              <w:t>Pre-built compliance modules vs. custom development</w:t>
            </w:r>
          </w:p>
        </w:tc>
      </w:tr>
    </w:tbl>
    <w:p>
      <w:pPr>
        <w:spacing w:before="0" w:after="0" w:line="120" w:lineRule="exact"/>
      </w:pPr>
    </w:p>
    <w:p>
      <w:r>
        <w:br w:type="page"/>
      </w:r>
    </w:p>
    <w:p>
      <w:pPr>
        <w:pStyle w:val="H2"/>
        <w:numPr>
          <w:ilvl w:val="1"/>
          <w:numId w:val="1"/>
        </w:numPr>
      </w:pPr>
      <w:r>
        <w:t>Licensing and Pricing Structure</w:t>
      </w:r>
    </w:p>
    <w:p>
      <w:pPr>
        <w:pStyle w:val="H3"/>
        <w:numPr>
          <w:ilvl w:val="2"/>
          <w:numId w:val="1"/>
        </w:numPr>
      </w:pPr>
      <w:r>
        <w:t>Platform Licensing</w:t>
      </w:r>
    </w:p>
    <w:p>
      <w:r>
        <w:rPr>
          <w:rFonts w:ascii="Figtree" w:hAnsi="Figtree"/>
          <w:b w:val="0"/>
          <w:i w:val="0"/>
          <w:sz w:val="22"/>
        </w:rPr>
        <w:t>DALP licensing follows a tiered model based on deployment complexity, not usage volume: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2"/>
        <w:gridCol w:w="5523"/>
        <w:gridCol w:w="19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 Fee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Single environment, single network, single custody</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Multiple environments, multi-network, multi-custody</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Unlimited scope, dedicated resources</w:t>
            </w:r>
          </w:p>
        </w:tc>
        <w:tc>
          <w:tcPr>
            <w:tcW w:type="dxa" w:w="3249"/>
            <w:vAlign w:val="center"/>
          </w:tcPr>
          <w:p>
            <w:pPr>
              <w:spacing w:line="276" w:lineRule="auto" w:before="0" w:after="0"/>
            </w:pPr>
            <w:r/>
            <w:r>
              <w:rPr>
                <w:rFonts w:ascii="Figtree" w:hAnsi="Figtree"/>
                <w:b w:val="0"/>
                <w:i w:val="0"/>
                <w:sz w:val="20"/>
              </w:rPr>
              <w:t>[TBD]</w:t>
            </w:r>
          </w:p>
        </w:tc>
      </w:tr>
    </w:tbl>
    <w:p>
      <w:pPr>
        <w:spacing w:before="0" w:after="0" w:line="120" w:lineRule="exact"/>
      </w:pPr>
    </w:p>
    <w:p>
      <w:r>
        <w:rPr>
          <w:rFonts w:ascii="Figtree" w:hAnsi="Figtree"/>
          <w:b/>
          <w:i w:val="0"/>
          <w:sz w:val="22"/>
        </w:rPr>
        <w:t>Recommended: Enterprise Tier</w:t>
      </w:r>
      <w:r>
        <w:rPr>
          <w:rFonts w:ascii="Figtree" w:hAnsi="Figtree"/>
          <w:b w:val="0"/>
          <w:i w:val="0"/>
          <w:sz w:val="22"/>
        </w:rPr>
        <w:t xml:space="preserve"> — Provides KfW with production-grade deployment flexibility and future expansion capability.</w:t>
      </w:r>
    </w:p>
    <w:p>
      <w:pPr>
        <w:pStyle w:val="H3"/>
        <w:numPr>
          <w:ilvl w:val="2"/>
          <w:numId w:val="1"/>
        </w:numPr>
      </w:pPr>
      <w:r>
        <w:t>What's Included in Platform License</w:t>
      </w:r>
    </w:p>
    <w:p>
      <w:pPr>
        <w:pStyle w:val="ListParagraph"/>
        <w:numPr>
          <w:ilvl w:val="0"/>
          <w:numId w:val="4"/>
        </w:numPr>
      </w:pPr>
      <w:r>
        <w:rPr>
          <w:rFonts w:ascii="Figtree" w:hAnsi="Figtree"/>
          <w:b w:val="0"/>
          <w:i w:val="0"/>
          <w:sz w:val="22"/>
        </w:rPr>
        <w:t>Full DALP platform capabilities (all 5 lifecycle pillars)</w:t>
      </w:r>
    </w:p>
    <w:p>
      <w:pPr>
        <w:pStyle w:val="ListParagraph"/>
        <w:numPr>
          <w:ilvl w:val="0"/>
          <w:numId w:val="4"/>
        </w:numPr>
      </w:pPr>
      <w:r>
        <w:rPr>
          <w:rFonts w:ascii="Figtree" w:hAnsi="Figtree"/>
          <w:b w:val="0"/>
          <w:i w:val="0"/>
          <w:sz w:val="22"/>
        </w:rPr>
        <w:t>All 7 asset classes plus configurable tokens</w:t>
      </w:r>
    </w:p>
    <w:p>
      <w:pPr>
        <w:pStyle w:val="ListParagraph"/>
        <w:numPr>
          <w:ilvl w:val="0"/>
          <w:numId w:val="4"/>
        </w:numPr>
      </w:pPr>
      <w:r>
        <w:rPr>
          <w:rFonts w:ascii="Figtree" w:hAnsi="Figtree"/>
          <w:b w:val="0"/>
          <w:i w:val="0"/>
          <w:sz w:val="22"/>
        </w:rPr>
        <w:t>All 18 compliance module types</w:t>
      </w:r>
    </w:p>
    <w:p>
      <w:pPr>
        <w:pStyle w:val="ListParagraph"/>
        <w:numPr>
          <w:ilvl w:val="0"/>
          <w:numId w:val="4"/>
        </w:numPr>
      </w:pPr>
      <w:r>
        <w:rPr>
          <w:rFonts w:ascii="Figtree" w:hAnsi="Figtree"/>
          <w:b w:val="0"/>
          <w:i w:val="0"/>
          <w:sz w:val="22"/>
        </w:rPr>
        <w:t>Complete API surface (REST, SDK, CLI)</w:t>
      </w:r>
    </w:p>
    <w:p>
      <w:pPr>
        <w:pStyle w:val="ListParagraph"/>
        <w:numPr>
          <w:ilvl w:val="0"/>
          <w:numId w:val="4"/>
        </w:numPr>
      </w:pPr>
      <w:r>
        <w:rPr>
          <w:rFonts w:ascii="Figtree" w:hAnsi="Figtree"/>
          <w:b w:val="0"/>
          <w:i w:val="0"/>
          <w:sz w:val="22"/>
        </w:rPr>
        <w:t>All addon capabilities (vault, XvP, token sales, airdrops, yield)</w:t>
      </w:r>
    </w:p>
    <w:p>
      <w:pPr>
        <w:pStyle w:val="ListParagraph"/>
        <w:numPr>
          <w:ilvl w:val="0"/>
          <w:numId w:val="4"/>
        </w:numPr>
      </w:pPr>
      <w:r>
        <w:rPr>
          <w:rFonts w:ascii="Figtree" w:hAnsi="Figtree"/>
          <w:b w:val="0"/>
          <w:i w:val="0"/>
          <w:sz w:val="22"/>
        </w:rPr>
        <w:t>Observability stack with pre-built dashboards</w:t>
      </w:r>
    </w:p>
    <w:p>
      <w:pPr>
        <w:pStyle w:val="ListParagraph"/>
        <w:numPr>
          <w:ilvl w:val="0"/>
          <w:numId w:val="4"/>
        </w:numPr>
      </w:pPr>
      <w:r>
        <w:rPr>
          <w:rFonts w:ascii="Figtree" w:hAnsi="Figtree"/>
          <w:b w:val="0"/>
          <w:i w:val="0"/>
          <w:sz w:val="22"/>
        </w:rPr>
        <w:t>Platform updates during license term</w:t>
      </w:r>
    </w:p>
    <w:p>
      <w:pPr>
        <w:pStyle w:val="H3"/>
        <w:numPr>
          <w:ilvl w:val="2"/>
          <w:numId w:val="1"/>
        </w:numPr>
      </w:pPr>
      <w:r>
        <w:t>Licensing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12"/>
        <w:gridCol w:w="56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Billing frequency</w:t>
            </w:r>
          </w:p>
        </w:tc>
        <w:tc>
          <w:tcPr>
            <w:tcW w:type="dxa" w:w="4873"/>
            <w:vAlign w:val="center"/>
          </w:tcPr>
          <w:p>
            <w:pPr>
              <w:spacing w:line="276" w:lineRule="auto" w:before="0" w:after="0"/>
            </w:pPr>
            <w:r/>
            <w:r>
              <w:rPr>
                <w:rFonts w:ascii="Figtree" w:hAnsi="Figtree"/>
                <w:b w:val="0"/>
                <w:i w:val="0"/>
                <w:sz w:val="20"/>
              </w:rPr>
              <w:t>Annual, prepaid</w:t>
            </w:r>
          </w:p>
        </w:tc>
      </w:tr>
      <w:tr>
        <w:trPr>
          <w:trHeight w:val="425" w:hRule="atLeast"/>
        </w:trPr>
        <w:tc>
          <w:tcPr>
            <w:tcW w:type="dxa" w:w="4873"/>
            <w:vAlign w:val="center"/>
          </w:tcPr>
          <w:p>
            <w:pPr>
              <w:spacing w:line="276" w:lineRule="auto" w:before="0" w:after="0"/>
            </w:pPr>
            <w:r/>
            <w:r>
              <w:rPr>
                <w:rFonts w:ascii="Figtree" w:hAnsi="Figtree"/>
                <w:b w:val="0"/>
                <w:i w:val="0"/>
                <w:sz w:val="20"/>
              </w:rPr>
              <w:t>Contract length</w:t>
            </w:r>
          </w:p>
        </w:tc>
        <w:tc>
          <w:tcPr>
            <w:tcW w:type="dxa" w:w="4873"/>
            <w:vAlign w:val="center"/>
          </w:tcPr>
          <w:p>
            <w:pPr>
              <w:spacing w:line="276" w:lineRule="auto" w:before="0" w:after="0"/>
            </w:pPr>
            <w:r/>
            <w:r>
              <w:rPr>
                <w:rFonts w:ascii="Figtree" w:hAnsi="Figtree"/>
                <w:b w:val="0"/>
                <w:i w:val="0"/>
                <w:sz w:val="20"/>
              </w:rPr>
              <w:t>3-year initial, annual renewal</w:t>
            </w:r>
          </w:p>
        </w:tc>
      </w:tr>
      <w:tr>
        <w:trPr>
          <w:trHeight w:val="425" w:hRule="atLeast"/>
        </w:trPr>
        <w:tc>
          <w:tcPr>
            <w:tcW w:type="dxa" w:w="4873"/>
            <w:vAlign w:val="center"/>
          </w:tcPr>
          <w:p>
            <w:pPr>
              <w:spacing w:line="276" w:lineRule="auto" w:before="0" w:after="0"/>
            </w:pPr>
            <w:r/>
            <w:r>
              <w:rPr>
                <w:rFonts w:ascii="Figtree" w:hAnsi="Figtree"/>
                <w:b w:val="0"/>
                <w:i w:val="0"/>
                <w:sz w:val="20"/>
              </w:rPr>
              <w:t>Payment terms</w:t>
            </w:r>
          </w:p>
        </w:tc>
        <w:tc>
          <w:tcPr>
            <w:tcW w:type="dxa" w:w="4873"/>
            <w:vAlign w:val="center"/>
          </w:tcPr>
          <w:p>
            <w:pPr>
              <w:spacing w:line="276" w:lineRule="auto" w:before="0" w:after="0"/>
            </w:pPr>
            <w:r/>
            <w:r>
              <w:rPr>
                <w:rFonts w:ascii="Figtree" w:hAnsi="Figtree"/>
                <w:b w:val="0"/>
                <w:i w:val="0"/>
                <w:sz w:val="20"/>
              </w:rPr>
              <w:t>Net 30 from invoice</w:t>
            </w:r>
          </w:p>
        </w:tc>
      </w:tr>
      <w:tr>
        <w:trPr>
          <w:trHeight w:val="425" w:hRule="atLeast"/>
        </w:trPr>
        <w:tc>
          <w:tcPr>
            <w:tcW w:type="dxa" w:w="4873"/>
            <w:vAlign w:val="center"/>
          </w:tcPr>
          <w:p>
            <w:pPr>
              <w:spacing w:line="276" w:lineRule="auto" w:before="0" w:after="0"/>
            </w:pPr>
            <w:r/>
            <w:r>
              <w:rPr>
                <w:rFonts w:ascii="Figtree" w:hAnsi="Figtree"/>
                <w:b w:val="0"/>
                <w:i w:val="0"/>
                <w:sz w:val="20"/>
              </w:rPr>
              <w:t>Price validity</w:t>
            </w:r>
          </w:p>
        </w:tc>
        <w:tc>
          <w:tcPr>
            <w:tcW w:type="dxa" w:w="4873"/>
            <w:vAlign w:val="center"/>
          </w:tcPr>
          <w:p>
            <w:pPr>
              <w:spacing w:line="276" w:lineRule="auto" w:before="0" w:after="0"/>
            </w:pPr>
            <w:r/>
            <w:r>
              <w:rPr>
                <w:rFonts w:ascii="Figtree" w:hAnsi="Figtree"/>
                <w:b w:val="0"/>
                <w:i w:val="0"/>
                <w:sz w:val="20"/>
              </w:rPr>
              <w:t>90 days from proposal date</w:t>
            </w:r>
          </w:p>
        </w:tc>
      </w:tr>
      <w:tr>
        <w:trPr>
          <w:trHeight w:val="425" w:hRule="atLeast"/>
        </w:trPr>
        <w:tc>
          <w:tcPr>
            <w:tcW w:type="dxa" w:w="4873"/>
            <w:vAlign w:val="center"/>
          </w:tcPr>
          <w:p>
            <w:pPr>
              <w:spacing w:line="276" w:lineRule="auto" w:before="0" w:after="0"/>
            </w:pPr>
            <w:r/>
            <w:r>
              <w:rPr>
                <w:rFonts w:ascii="Figtree" w:hAnsi="Figtree"/>
                <w:b w:val="0"/>
                <w:i w:val="0"/>
                <w:sz w:val="20"/>
              </w:rPr>
              <w:t>Annual escalator</w:t>
            </w:r>
          </w:p>
        </w:tc>
        <w:tc>
          <w:tcPr>
            <w:tcW w:type="dxa" w:w="4873"/>
            <w:vAlign w:val="center"/>
          </w:tcPr>
          <w:p>
            <w:pPr>
              <w:spacing w:line="276" w:lineRule="auto" w:before="0" w:after="0"/>
            </w:pPr>
            <w:r/>
            <w:r>
              <w:rPr>
                <w:rFonts w:ascii="Figtree" w:hAnsi="Figtree"/>
                <w:b w:val="0"/>
                <w:i w:val="0"/>
                <w:sz w:val="20"/>
              </w:rPr>
              <w:t>[TBD]% per year</w:t>
            </w:r>
          </w:p>
        </w:tc>
      </w:tr>
    </w:tbl>
    <w:p>
      <w:pPr>
        <w:spacing w:before="0" w:after="0" w:line="120" w:lineRule="exact"/>
      </w:pPr>
    </w:p>
    <w:p>
      <w:r>
        <w:br w:type="page"/>
      </w:r>
    </w:p>
    <w:p>
      <w:pPr>
        <w:pStyle w:val="H2"/>
        <w:numPr>
          <w:ilvl w:val="1"/>
          <w:numId w:val="1"/>
        </w:numPr>
      </w:pPr>
      <w:r>
        <w:t>Implementation Cost Framework</w:t>
      </w:r>
    </w:p>
    <w:p>
      <w:pPr>
        <w:pStyle w:val="H3"/>
        <w:numPr>
          <w:ilvl w:val="2"/>
          <w:numId w:val="1"/>
        </w:numPr>
      </w:pPr>
      <w:r>
        <w:t>Implementation Approach</w:t>
      </w:r>
    </w:p>
    <w:p>
      <w:r>
        <w:rPr>
          <w:rFonts w:ascii="Figtree" w:hAnsi="Figtree"/>
          <w:b w:val="0"/>
          <w:i w:val="0"/>
          <w:sz w:val="22"/>
        </w:rPr>
        <w:t>SettleMint recommends a 19-week implementation following the structured methodology: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3"/>
        <w:gridCol w:w="1845"/>
        <w:gridCol w:w="4305"/>
        <w:gridCol w:w="15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[TBD]</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Foundation and Setup</w:t>
            </w:r>
          </w:p>
        </w:tc>
        <w:tc>
          <w:tcPr>
            <w:tcW w:type="dxa" w:w="2436"/>
            <w:vAlign w:val="center"/>
          </w:tcPr>
          <w:p>
            <w:pPr>
              <w:spacing w:line="276" w:lineRule="auto" w:before="0" w:after="0"/>
            </w:pPr>
            <w:r/>
            <w:r>
              <w:rPr>
                <w:rFonts w:ascii="Figtree" w:hAnsi="Figtree"/>
                <w:b w:val="0"/>
                <w:i w:val="0"/>
                <w:sz w:val="20"/>
              </w:rPr>
              <w:t>[TBD]</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Configuration and Compliance</w:t>
            </w:r>
          </w:p>
        </w:tc>
        <w:tc>
          <w:tcPr>
            <w:tcW w:type="dxa" w:w="2436"/>
            <w:vAlign w:val="center"/>
          </w:tcPr>
          <w:p>
            <w:pPr>
              <w:spacing w:line="276" w:lineRule="auto" w:before="0" w:after="0"/>
            </w:pPr>
            <w:r/>
            <w:r>
              <w:rPr>
                <w:rFonts w:ascii="Figtree" w:hAnsi="Figtree"/>
                <w:b w:val="0"/>
                <w:i w:val="0"/>
                <w:sz w:val="20"/>
              </w:rPr>
              <w:t>[TBD]</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Integration and Testing</w:t>
            </w:r>
          </w:p>
        </w:tc>
        <w:tc>
          <w:tcPr>
            <w:tcW w:type="dxa" w:w="2436"/>
            <w:vAlign w:val="center"/>
          </w:tcPr>
          <w:p>
            <w:pPr>
              <w:spacing w:line="276" w:lineRule="auto" w:before="0" w:after="0"/>
            </w:pPr>
            <w:r/>
            <w:r>
              <w:rPr>
                <w:rFonts w:ascii="Figtree" w:hAnsi="Figtree"/>
                <w:b w:val="0"/>
                <w:i w:val="0"/>
                <w:sz w:val="20"/>
              </w:rPr>
              <w:t>[TBD]</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Go-Live and Hypercare</w:t>
            </w:r>
          </w:p>
        </w:tc>
        <w:tc>
          <w:tcPr>
            <w:tcW w:type="dxa" w:w="2436"/>
            <w:vAlign w:val="center"/>
          </w:tcPr>
          <w:p>
            <w:pPr>
              <w:spacing w:line="276" w:lineRule="auto" w:before="0" w:after="0"/>
            </w:pPr>
            <w:r/>
            <w:r>
              <w:rPr>
                <w:rFonts w:ascii="Figtree" w:hAnsi="Figtree"/>
                <w:b w:val="0"/>
                <w:i w:val="0"/>
                <w:sz w:val="20"/>
              </w:rPr>
              <w:t>[TBD]</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[TBD]</w:t>
            </w:r>
          </w:p>
        </w:tc>
      </w:tr>
    </w:tbl>
    <w:p>
      <w:pPr>
        <w:spacing w:before="0" w:after="0" w:line="120" w:lineRule="exact"/>
      </w:pPr>
    </w:p>
    <w:p>
      <w:pPr>
        <w:pStyle w:val="H3"/>
        <w:numPr>
          <w:ilvl w:val="2"/>
          <w:numId w:val="1"/>
        </w:numPr>
      </w:pPr>
      <w:r>
        <w:t>Implementation Cost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4884"/>
        <w:gridCol w:w="11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Architecture</w:t>
            </w:r>
          </w:p>
        </w:tc>
        <w:tc>
          <w:tcPr>
            <w:tcW w:type="dxa" w:w="3249"/>
            <w:vAlign w:val="center"/>
          </w:tcPr>
          <w:p>
            <w:pPr>
              <w:spacing w:line="276" w:lineRule="auto" w:before="0" w:after="0"/>
            </w:pPr>
            <w:r/>
            <w:r>
              <w:rPr>
                <w:rFonts w:ascii="Figtree" w:hAnsi="Figtree"/>
                <w:b w:val="0"/>
                <w:i w:val="0"/>
                <w:sz w:val="20"/>
              </w:rPr>
              <w:t>Requirements analysis, architecture design</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Environment Provisioning</w:t>
            </w:r>
          </w:p>
        </w:tc>
        <w:tc>
          <w:tcPr>
            <w:tcW w:type="dxa" w:w="3249"/>
            <w:vAlign w:val="center"/>
          </w:tcPr>
          <w:p>
            <w:pPr>
              <w:spacing w:line="276" w:lineRule="auto" w:before="0" w:after="0"/>
            </w:pPr>
            <w:r/>
            <w:r>
              <w:rPr>
                <w:rFonts w:ascii="Figtree" w:hAnsi="Figtree"/>
                <w:b w:val="0"/>
                <w:i w:val="0"/>
                <w:sz w:val="20"/>
              </w:rPr>
              <w:t>Development, staging, production setup</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Network Configuration</w:t>
            </w:r>
          </w:p>
        </w:tc>
        <w:tc>
          <w:tcPr>
            <w:tcW w:type="dxa" w:w="3249"/>
            <w:vAlign w:val="center"/>
          </w:tcPr>
          <w:p>
            <w:pPr>
              <w:spacing w:line="276" w:lineRule="auto" w:before="0" w:after="0"/>
            </w:pPr>
            <w:r/>
            <w:r>
              <w:rPr>
                <w:rFonts w:ascii="Figtree" w:hAnsi="Figtree"/>
                <w:b w:val="0"/>
                <w:i w:val="0"/>
                <w:sz w:val="20"/>
              </w:rPr>
              <w:t>Hyperledger Besu deployment</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Asset Configuration</w:t>
            </w:r>
          </w:p>
        </w:tc>
        <w:tc>
          <w:tcPr>
            <w:tcW w:type="dxa" w:w="3249"/>
            <w:vAlign w:val="center"/>
          </w:tcPr>
          <w:p>
            <w:pPr>
              <w:spacing w:line="276" w:lineRule="auto" w:before="0" w:after="0"/>
            </w:pPr>
            <w:r/>
            <w:r>
              <w:rPr>
                <w:rFonts w:ascii="Figtree" w:hAnsi="Figtree"/>
                <w:b w:val="0"/>
                <w:i w:val="0"/>
                <w:sz w:val="20"/>
              </w:rPr>
              <w:t>Bond asset setup and testing</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w:t>
            </w:r>
          </w:p>
        </w:tc>
        <w:tc>
          <w:tcPr>
            <w:tcW w:type="dxa" w:w="3249"/>
            <w:vAlign w:val="center"/>
          </w:tcPr>
          <w:p>
            <w:pPr>
              <w:spacing w:line="276" w:lineRule="auto" w:before="0" w:after="0"/>
            </w:pPr>
            <w:r/>
            <w:r>
              <w:rPr>
                <w:rFonts w:ascii="Figtree" w:hAnsi="Figtree"/>
                <w:b w:val="0"/>
                <w:i w:val="0"/>
                <w:sz w:val="20"/>
              </w:rPr>
              <w:t>MiCA/eWpG compliance modules</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Core banking, custody, reporting</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Functional, security, performance, UAT</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Go-Live Support</w:t>
            </w:r>
          </w:p>
        </w:tc>
        <w:tc>
          <w:tcPr>
            <w:tcW w:type="dxa" w:w="3249"/>
            <w:vAlign w:val="center"/>
          </w:tcPr>
          <w:p>
            <w:pPr>
              <w:spacing w:line="276" w:lineRule="auto" w:before="0" w:after="0"/>
            </w:pPr>
            <w:r/>
            <w:r>
              <w:rPr>
                <w:rFonts w:ascii="Figtree" w:hAnsi="Figtree"/>
                <w:b w:val="0"/>
                <w:i w:val="0"/>
                <w:sz w:val="20"/>
              </w:rPr>
              <w:t>Production deployment and stabilization</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Knowledge Transfer</w:t>
            </w:r>
          </w:p>
        </w:tc>
        <w:tc>
          <w:tcPr>
            <w:tcW w:type="dxa" w:w="3249"/>
            <w:vAlign w:val="center"/>
          </w:tcPr>
          <w:p>
            <w:pPr>
              <w:spacing w:line="276" w:lineRule="auto" w:before="0" w:after="0"/>
            </w:pPr>
            <w:r/>
            <w:r>
              <w:rPr>
                <w:rFonts w:ascii="Figtree" w:hAnsi="Figtree"/>
                <w:b w:val="0"/>
                <w:i w:val="0"/>
                <w:sz w:val="20"/>
              </w:rPr>
              <w:t>Training and documentation</w:t>
            </w:r>
          </w:p>
        </w:tc>
        <w:tc>
          <w:tcPr>
            <w:tcW w:type="dxa" w:w="3249"/>
            <w:vAlign w:val="center"/>
          </w:tcPr>
          <w:p>
            <w:pPr>
              <w:spacing w:line="276" w:lineRule="auto" w:before="0" w:after="0"/>
            </w:pPr>
            <w:r/>
            <w:r>
              <w:rPr>
                <w:rFonts w:ascii="Figtree" w:hAnsi="Figtree"/>
                <w:b w:val="0"/>
                <w:i w:val="0"/>
                <w:sz w:val="20"/>
              </w:rPr>
              <w:t>[TBD]</w:t>
            </w:r>
          </w:p>
        </w:tc>
      </w:tr>
    </w:tbl>
    <w:p>
      <w:pPr>
        <w:spacing w:before="0" w:after="0" w:line="120" w:lineRule="exact"/>
      </w:pPr>
    </w:p>
    <w:p>
      <w:pPr>
        <w:pStyle w:val="H3"/>
        <w:numPr>
          <w:ilvl w:val="2"/>
          <w:numId w:val="1"/>
        </w:numPr>
      </w:pPr>
      <w:r>
        <w:t>Implementation Assumptions</w:t>
      </w:r>
    </w:p>
    <w:p>
      <w:pPr>
        <w:pStyle w:val="ListParagraph"/>
        <w:numPr>
          <w:ilvl w:val="0"/>
          <w:numId w:val="4"/>
        </w:numPr>
      </w:pPr>
      <w:r>
        <w:rPr>
          <w:rFonts w:ascii="Figtree" w:hAnsi="Figtree"/>
          <w:b w:val="0"/>
          <w:i w:val="0"/>
          <w:sz w:val="22"/>
        </w:rPr>
        <w:t>Single asset class (bonds) in initial deployment</w:t>
      </w:r>
    </w:p>
    <w:p>
      <w:pPr>
        <w:pStyle w:val="ListParagraph"/>
        <w:numPr>
          <w:ilvl w:val="0"/>
          <w:numId w:val="4"/>
        </w:numPr>
      </w:pPr>
      <w:r>
        <w:rPr>
          <w:rFonts w:ascii="Figtree" w:hAnsi="Figtree"/>
          <w:b w:val="0"/>
          <w:i w:val="0"/>
          <w:sz w:val="22"/>
        </w:rPr>
        <w:t>One blockchain network (Hyperledger Besu) in production</w:t>
      </w:r>
    </w:p>
    <w:p>
      <w:pPr>
        <w:pStyle w:val="ListParagraph"/>
        <w:numPr>
          <w:ilvl w:val="0"/>
          <w:numId w:val="4"/>
        </w:numPr>
      </w:pPr>
      <w:r>
        <w:rPr>
          <w:rFonts w:ascii="Figtree" w:hAnsi="Figtree"/>
          <w:b w:val="0"/>
          <w:i w:val="0"/>
          <w:sz w:val="22"/>
        </w:rPr>
        <w:t>One custody provider integration</w:t>
      </w:r>
    </w:p>
    <w:p>
      <w:pPr>
        <w:pStyle w:val="ListParagraph"/>
        <w:numPr>
          <w:ilvl w:val="0"/>
          <w:numId w:val="4"/>
        </w:numPr>
      </w:pPr>
      <w:r>
        <w:rPr>
          <w:rFonts w:ascii="Figtree" w:hAnsi="Figtree"/>
          <w:b w:val="0"/>
          <w:i w:val="0"/>
          <w:sz w:val="22"/>
        </w:rPr>
        <w:t>Standard compliance configuration for German jurisdiction</w:t>
      </w:r>
    </w:p>
    <w:p>
      <w:pPr>
        <w:pStyle w:val="ListParagraph"/>
        <w:numPr>
          <w:ilvl w:val="0"/>
          <w:numId w:val="4"/>
        </w:numPr>
      </w:pPr>
      <w:r>
        <w:rPr>
          <w:rFonts w:ascii="Figtree" w:hAnsi="Figtree"/>
          <w:b w:val="0"/>
          <w:i w:val="0"/>
          <w:sz w:val="22"/>
        </w:rPr>
        <w:t>KfW provides timely access to integration endpoints</w:t>
      </w:r>
    </w:p>
    <w:p>
      <w:pPr>
        <w:pStyle w:val="ListParagraph"/>
        <w:numPr>
          <w:ilvl w:val="0"/>
          <w:numId w:val="4"/>
        </w:numPr>
      </w:pPr>
      <w:r>
        <w:rPr>
          <w:rFonts w:ascii="Figtree" w:hAnsi="Figtree"/>
          <w:b w:val="0"/>
          <w:i w:val="0"/>
          <w:sz w:val="22"/>
        </w:rPr>
        <w:t>KfW provides designated project resources per RACI</w:t>
      </w:r>
    </w:p>
    <w:p>
      <w:pPr>
        <w:pStyle w:val="H3"/>
        <w:numPr>
          <w:ilvl w:val="2"/>
          <w:numId w:val="1"/>
        </w:numPr>
      </w:pPr>
      <w:r>
        <w:t>Change Control</w:t>
      </w:r>
    </w:p>
    <w:p>
      <w:r>
        <w:rPr>
          <w:rFonts w:ascii="Figtree" w:hAnsi="Figtree"/>
          <w:b w:val="0"/>
          <w:i w:val="0"/>
          <w:sz w:val="22"/>
        </w:rPr>
        <w:t>Implementation changes are managed through a formal change control process:</w:t>
      </w:r>
    </w:p>
    <w:p>
      <w:pPr>
        <w:pStyle w:val="ListParagraph"/>
        <w:numPr>
          <w:ilvl w:val="0"/>
          <w:numId w:val="6"/>
        </w:numPr>
      </w:pPr>
      <w:r>
        <w:rPr>
          <w:rFonts w:ascii="Figtree" w:hAnsi="Figtree"/>
          <w:b w:val="0"/>
          <w:i w:val="0"/>
          <w:sz w:val="22"/>
        </w:rPr>
        <w:t>Change request submission with impact assessment</w:t>
      </w:r>
    </w:p>
    <w:p>
      <w:pPr>
        <w:pStyle w:val="ListParagraph"/>
        <w:numPr>
          <w:ilvl w:val="0"/>
          <w:numId w:val="6"/>
        </w:numPr>
      </w:pPr>
      <w:r>
        <w:rPr>
          <w:rFonts w:ascii="Figtree" w:hAnsi="Figtree"/>
          <w:b w:val="0"/>
          <w:i w:val="0"/>
          <w:sz w:val="22"/>
        </w:rPr>
        <w:t>Joint review within 5 business days</w:t>
      </w:r>
    </w:p>
    <w:p>
      <w:pPr>
        <w:pStyle w:val="ListParagraph"/>
        <w:numPr>
          <w:ilvl w:val="0"/>
          <w:numId w:val="6"/>
        </w:numPr>
      </w:pPr>
      <w:r>
        <w:rPr>
          <w:rFonts w:ascii="Figtree" w:hAnsi="Figtree"/>
          <w:b w:val="0"/>
          <w:i w:val="0"/>
          <w:sz w:val="22"/>
        </w:rPr>
        <w:t>Approval or deferral decision</w:t>
      </w:r>
    </w:p>
    <w:p>
      <w:pPr>
        <w:pStyle w:val="ListParagraph"/>
        <w:numPr>
          <w:ilvl w:val="0"/>
          <w:numId w:val="6"/>
        </w:numPr>
      </w:pPr>
      <w:r>
        <w:rPr>
          <w:rFonts w:ascii="Figtree" w:hAnsi="Figtree"/>
          <w:b w:val="0"/>
          <w:i w:val="0"/>
          <w:sz w:val="22"/>
        </w:rPr>
        <w:t>Implementation plan update if approved</w:t>
      </w:r>
    </w:p>
    <w:p>
      <w:r>
        <w:br w:type="page"/>
      </w:r>
    </w:p>
    <w:p>
      <w:pPr>
        <w:pStyle w:val="H2"/>
        <w:numPr>
          <w:ilvl w:val="1"/>
          <w:numId w:val="1"/>
        </w:numPr>
      </w:pPr>
      <w:r>
        <w:t>Support and Maintenance</w:t>
      </w:r>
    </w:p>
    <w:p>
      <w:pPr>
        <w:pStyle w:val="H3"/>
        <w:numPr>
          <w:ilvl w:val="2"/>
          <w:numId w:val="1"/>
        </w:numPr>
      </w:pPr>
      <w:r>
        <w:t>Support Tier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2"/>
        <w:gridCol w:w="2199"/>
        <w:gridCol w:w="3390"/>
        <w:gridCol w:w="16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 (8x5)</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(12x7)</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(24x7)</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09:00-18:00 CET, Mon-Fri</w:t>
            </w:r>
          </w:p>
        </w:tc>
        <w:tc>
          <w:tcPr>
            <w:tcW w:type="dxa" w:w="2436"/>
            <w:vAlign w:val="center"/>
          </w:tcPr>
          <w:p>
            <w:pPr>
              <w:spacing w:line="276" w:lineRule="auto" w:before="0" w:after="0"/>
            </w:pPr>
            <w:r/>
            <w:r>
              <w:rPr>
                <w:rFonts w:ascii="Figtree" w:hAnsi="Figtree"/>
                <w:b w:val="0"/>
                <w:i w:val="0"/>
                <w:sz w:val="20"/>
              </w:rPr>
              <w:t>07:00-22:00 CET, Mon-Fri + P1 weekend</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 time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 phone</w:t>
            </w:r>
          </w:p>
        </w:tc>
        <w:tc>
          <w:tcPr>
            <w:tcW w:type="dxa" w:w="2436"/>
            <w:vAlign w:val="center"/>
          </w:tcPr>
          <w:p>
            <w:pPr>
              <w:spacing w:line="276" w:lineRule="auto" w:before="0" w:after="0"/>
            </w:pPr>
            <w:r/>
            <w:r>
              <w:rPr>
                <w:rFonts w:ascii="Figtree" w:hAnsi="Figtree"/>
                <w:b w:val="0"/>
                <w:i w:val="0"/>
                <w:sz w:val="20"/>
              </w:rPr>
              <w:t>+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Assigned engineer</w:t>
            </w:r>
          </w:p>
        </w:tc>
        <w:tc>
          <w:tcPr>
            <w:tcW w:type="dxa" w:w="2436"/>
            <w:vAlign w:val="center"/>
          </w:tcPr>
          <w:p>
            <w:pPr>
              <w:spacing w:line="276" w:lineRule="auto" w:before="0" w:after="0"/>
            </w:pPr>
            <w:r/>
            <w:r>
              <w:rPr>
                <w:rFonts w:ascii="Figtree" w:hAnsi="Figtree"/>
                <w:b w:val="0"/>
                <w:i w:val="0"/>
                <w:sz w:val="20"/>
              </w:rPr>
              <w:t>Shared pool</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Release cadence</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Architecture reviews</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Quarterly</w:t>
            </w:r>
          </w:p>
        </w:tc>
      </w:tr>
    </w:tbl>
    <w:p>
      <w:pPr>
        <w:spacing w:before="0" w:after="0" w:line="120" w:lineRule="exact"/>
      </w:pPr>
    </w:p>
    <w:p>
      <w:r>
        <w:rPr>
          <w:rFonts w:ascii="Figtree" w:hAnsi="Figtree"/>
          <w:b/>
          <w:i w:val="0"/>
          <w:sz w:val="22"/>
        </w:rPr>
        <w:t>Recommended: Premium Tier</w:t>
      </w:r>
      <w:r>
        <w:rPr>
          <w:rFonts w:ascii="Figtree" w:hAnsi="Figtree"/>
          <w:b w:val="0"/>
          <w:i w:val="0"/>
          <w:sz w:val="22"/>
        </w:rPr>
        <w:t xml:space="preserve"> — Matches KfW's operational hours with extended coverage and priority support.</w:t>
      </w:r>
    </w:p>
    <w:p>
      <w:pPr>
        <w:pStyle w:val="H3"/>
        <w:numPr>
          <w:ilvl w:val="2"/>
          <w:numId w:val="1"/>
        </w:numPr>
      </w:pPr>
      <w:r>
        <w:t>Ongoing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[TBD]</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w:t>
            </w:r>
          </w:p>
        </w:tc>
        <w:tc>
          <w:tcPr>
            <w:tcW w:type="dxa" w:w="4873"/>
            <w:vAlign w:val="center"/>
          </w:tcPr>
          <w:p>
            <w:pPr>
              <w:spacing w:line="276" w:lineRule="auto" w:before="0" w:after="0"/>
            </w:pPr>
            <w:r/>
            <w:r>
              <w:rPr>
                <w:rFonts w:ascii="Figtree" w:hAnsi="Figtree"/>
                <w:b w:val="0"/>
                <w:i w:val="0"/>
                <w:sz w:val="20"/>
              </w:rPr>
              <w:t>[TBD]</w:t>
            </w:r>
          </w:p>
        </w:tc>
      </w:tr>
      <w:tr>
        <w:trPr>
          <w:trHeight w:val="425" w:hRule="atLeast"/>
        </w:trPr>
        <w:tc>
          <w:tcPr>
            <w:tcW w:type="dxa" w:w="4873"/>
            <w:vAlign w:val="center"/>
          </w:tcPr>
          <w:p>
            <w:pPr>
              <w:spacing w:line="276" w:lineRule="auto" w:before="0" w:after="0"/>
            </w:pPr>
            <w:r/>
            <w:r>
              <w:rPr>
                <w:rFonts w:ascii="Figtree" w:hAnsi="Figtree"/>
                <w:b w:val="0"/>
                <w:i w:val="0"/>
                <w:sz w:val="20"/>
              </w:rPr>
              <w:t>Environment hosting (development)</w:t>
            </w:r>
          </w:p>
        </w:tc>
        <w:tc>
          <w:tcPr>
            <w:tcW w:type="dxa" w:w="4873"/>
            <w:vAlign w:val="center"/>
          </w:tcPr>
          <w:p>
            <w:pPr>
              <w:spacing w:line="276" w:lineRule="auto" w:before="0" w:after="0"/>
            </w:pPr>
            <w:r/>
            <w:r>
              <w:rPr>
                <w:rFonts w:ascii="Figtree" w:hAnsi="Figtree"/>
                <w:b w:val="0"/>
                <w:i w:val="0"/>
                <w:sz w:val="20"/>
              </w:rPr>
              <w:t>[TBD]</w:t>
            </w:r>
          </w:p>
        </w:tc>
      </w:tr>
      <w:tr>
        <w:trPr>
          <w:trHeight w:val="425" w:hRule="atLeast"/>
        </w:trPr>
        <w:tc>
          <w:tcPr>
            <w:tcW w:type="dxa" w:w="4873"/>
            <w:vAlign w:val="center"/>
          </w:tcPr>
          <w:p>
            <w:pPr>
              <w:spacing w:line="276" w:lineRule="auto" w:before="0" w:after="0"/>
            </w:pPr>
            <w:r/>
            <w:r>
              <w:rPr>
                <w:rFonts w:ascii="Figtree" w:hAnsi="Figtree"/>
                <w:b w:val="0"/>
                <w:i w:val="0"/>
                <w:sz w:val="20"/>
              </w:rPr>
              <w:t>Environment hosting (production)</w:t>
            </w:r>
          </w:p>
        </w:tc>
        <w:tc>
          <w:tcPr>
            <w:tcW w:type="dxa" w:w="4873"/>
            <w:vAlign w:val="center"/>
          </w:tcPr>
          <w:p>
            <w:pPr>
              <w:spacing w:line="276" w:lineRule="auto" w:before="0" w:after="0"/>
            </w:pPr>
            <w:r/>
            <w:r>
              <w:rPr>
                <w:rFonts w:ascii="Figtree" w:hAnsi="Figtree"/>
                <w:b w:val="0"/>
                <w:i w:val="0"/>
                <w:sz w:val="20"/>
              </w:rPr>
              <w:t>[TBD]</w:t>
            </w:r>
          </w:p>
        </w:tc>
      </w:tr>
      <w:tr>
        <w:trPr>
          <w:trHeight w:val="425" w:hRule="atLeast"/>
        </w:trPr>
        <w:tc>
          <w:tcPr>
            <w:tcW w:type="dxa" w:w="4873"/>
            <w:vAlign w:val="center"/>
          </w:tcPr>
          <w:p>
            <w:pPr>
              <w:spacing w:line="276" w:lineRule="auto" w:before="0" w:after="0"/>
            </w:pPr>
            <w:r/>
            <w:r>
              <w:rPr>
                <w:rFonts w:ascii="Figtree" w:hAnsi="Figtree"/>
                <w:b/>
                <w:i w:val="0"/>
                <w:sz w:val="20"/>
              </w:rPr>
              <w:t>Total Annual</w:t>
            </w:r>
          </w:p>
        </w:tc>
        <w:tc>
          <w:tcPr>
            <w:tcW w:type="dxa" w:w="4873"/>
            <w:vAlign w:val="center"/>
          </w:tcPr>
          <w:p>
            <w:pPr>
              <w:spacing w:line="276" w:lineRule="auto" w:before="0" w:after="0"/>
            </w:pPr>
            <w:r/>
            <w:r>
              <w:rPr>
                <w:rFonts w:ascii="Figtree" w:hAnsi="Figtree"/>
                <w:b/>
                <w:i w:val="0"/>
                <w:sz w:val="20"/>
              </w:rPr>
              <w:t>[TBD]</w:t>
            </w:r>
          </w:p>
        </w:tc>
      </w:tr>
    </w:tbl>
    <w:p>
      <w:pPr>
        <w:spacing w:before="0" w:after="0" w:line="120" w:lineRule="exact"/>
      </w:pPr>
    </w:p>
    <w:p>
      <w:pPr>
        <w:pStyle w:val="H3"/>
        <w:numPr>
          <w:ilvl w:val="2"/>
          <w:numId w:val="1"/>
        </w:numPr>
      </w:pPr>
      <w:r>
        <w:t>Support Services Included</w:t>
      </w:r>
    </w:p>
    <w:p>
      <w:pPr>
        <w:pStyle w:val="ListParagraph"/>
        <w:numPr>
          <w:ilvl w:val="0"/>
          <w:numId w:val="4"/>
        </w:numPr>
      </w:pPr>
      <w:r>
        <w:rPr>
          <w:rFonts w:ascii="Figtree" w:hAnsi="Figtree"/>
          <w:b w:val="0"/>
          <w:i w:val="0"/>
          <w:sz w:val="22"/>
        </w:rPr>
        <w:t>Platform monitoring and issue resolution</w:t>
      </w:r>
    </w:p>
    <w:p>
      <w:pPr>
        <w:pStyle w:val="ListParagraph"/>
        <w:numPr>
          <w:ilvl w:val="0"/>
          <w:numId w:val="4"/>
        </w:numPr>
      </w:pPr>
      <w:r>
        <w:rPr>
          <w:rFonts w:ascii="Figtree" w:hAnsi="Figtree"/>
          <w:b w:val="0"/>
          <w:i w:val="0"/>
          <w:sz w:val="22"/>
        </w:rPr>
        <w:t>Security patch management</w:t>
      </w:r>
    </w:p>
    <w:p>
      <w:pPr>
        <w:pStyle w:val="ListParagraph"/>
        <w:numPr>
          <w:ilvl w:val="0"/>
          <w:numId w:val="4"/>
        </w:numPr>
      </w:pPr>
      <w:r>
        <w:rPr>
          <w:rFonts w:ascii="Figtree" w:hAnsi="Figtree"/>
          <w:b w:val="0"/>
          <w:i w:val="0"/>
          <w:sz w:val="22"/>
        </w:rPr>
        <w:t>Platform updates and new releases</w:t>
      </w:r>
    </w:p>
    <w:p>
      <w:pPr>
        <w:pStyle w:val="ListParagraph"/>
        <w:numPr>
          <w:ilvl w:val="0"/>
          <w:numId w:val="4"/>
        </w:numPr>
      </w:pPr>
      <w:r>
        <w:rPr>
          <w:rFonts w:ascii="Figtree" w:hAnsi="Figtree"/>
          <w:b w:val="0"/>
          <w:i w:val="0"/>
          <w:sz w:val="22"/>
        </w:rPr>
        <w:t>Integration troubleshooting</w:t>
      </w:r>
    </w:p>
    <w:p>
      <w:pPr>
        <w:pStyle w:val="ListParagraph"/>
        <w:numPr>
          <w:ilvl w:val="0"/>
          <w:numId w:val="4"/>
        </w:numPr>
      </w:pPr>
      <w:r>
        <w:rPr>
          <w:rFonts w:ascii="Figtree" w:hAnsi="Figtree"/>
          <w:b w:val="0"/>
          <w:i w:val="0"/>
          <w:sz w:val="22"/>
        </w:rPr>
        <w:t>Compliance module updates for regulatory changes</w:t>
      </w:r>
    </w:p>
    <w:p>
      <w:pPr>
        <w:pStyle w:val="ListParagraph"/>
        <w:numPr>
          <w:ilvl w:val="0"/>
          <w:numId w:val="4"/>
        </w:numPr>
      </w:pPr>
      <w:r>
        <w:rPr>
          <w:rFonts w:ascii="Figtree" w:hAnsi="Figtree"/>
          <w:b w:val="0"/>
          <w:i w:val="0"/>
          <w:sz w:val="22"/>
        </w:rPr>
        <w:t>Access to knowledge base and documentation</w:t>
      </w:r>
    </w:p>
    <w:p>
      <w:r>
        <w:br w:type="page"/>
      </w:r>
    </w:p>
    <w:p>
      <w:pPr>
        <w:pStyle w:val="H2"/>
        <w:numPr>
          <w:ilvl w:val="1"/>
          <w:numId w:val="1"/>
        </w:numPr>
      </w:pPr>
      <w:r>
        <w:t>Total Cost of Ownership</w:t>
      </w:r>
    </w:p>
    <w:p>
      <w:pPr>
        <w:pStyle w:val="H3"/>
        <w:numPr>
          <w:ilvl w:val="2"/>
          <w:numId w:val="1"/>
        </w:numPr>
      </w:pPr>
      <w:r>
        <w:t>3-Year TCO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3"/>
        <w:gridCol w:w="1383"/>
        <w:gridCol w:w="2152"/>
        <w:gridCol w:w="1383"/>
        <w:gridCol w:w="1383"/>
        <w:gridCol w:w="138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Hosting</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r>
    </w:tbl>
    <w:p>
      <w:pPr>
        <w:spacing w:before="0" w:after="0" w:line="120" w:lineRule="exact"/>
      </w:pPr>
    </w:p>
    <w:p>
      <w:pPr>
        <w:pStyle w:val="H3"/>
        <w:numPr>
          <w:ilvl w:val="2"/>
          <w:numId w:val="1"/>
        </w:numPr>
      </w:pPr>
      <w:r>
        <w:t>TCO Assumptions</w:t>
      </w:r>
    </w:p>
    <w:p>
      <w:pPr>
        <w:pStyle w:val="ListParagraph"/>
        <w:numPr>
          <w:ilvl w:val="0"/>
          <w:numId w:val="4"/>
        </w:numPr>
      </w:pPr>
      <w:r>
        <w:rPr>
          <w:rFonts w:ascii="Figtree" w:hAnsi="Figtree"/>
          <w:b w:val="0"/>
          <w:i w:val="0"/>
          <w:sz w:val="22"/>
        </w:rPr>
        <w:t>Three-year contract term</w:t>
      </w:r>
    </w:p>
    <w:p>
      <w:pPr>
        <w:pStyle w:val="ListParagraph"/>
        <w:numPr>
          <w:ilvl w:val="0"/>
          <w:numId w:val="4"/>
        </w:numPr>
      </w:pPr>
      <w:r>
        <w:rPr>
          <w:rFonts w:ascii="Figtree" w:hAnsi="Figtree"/>
          <w:b w:val="0"/>
          <w:i w:val="0"/>
          <w:sz w:val="22"/>
        </w:rPr>
        <w:t>Enterprise tier platform license</w:t>
      </w:r>
    </w:p>
    <w:p>
      <w:pPr>
        <w:pStyle w:val="ListParagraph"/>
        <w:numPr>
          <w:ilvl w:val="0"/>
          <w:numId w:val="4"/>
        </w:numPr>
      </w:pPr>
      <w:r>
        <w:rPr>
          <w:rFonts w:ascii="Figtree" w:hAnsi="Figtree"/>
          <w:b w:val="0"/>
          <w:i w:val="0"/>
          <w:sz w:val="22"/>
        </w:rPr>
        <w:t>Premium support tier</w:t>
      </w:r>
    </w:p>
    <w:p>
      <w:pPr>
        <w:pStyle w:val="ListParagraph"/>
        <w:numPr>
          <w:ilvl w:val="0"/>
          <w:numId w:val="4"/>
        </w:numPr>
      </w:pPr>
      <w:r>
        <w:rPr>
          <w:rFonts w:ascii="Figtree" w:hAnsi="Figtree"/>
          <w:b w:val="0"/>
          <w:i w:val="0"/>
          <w:sz w:val="22"/>
        </w:rPr>
        <w:t>Dedicated cloud deployment (AWS eu-central-1)</w:t>
      </w:r>
    </w:p>
    <w:p>
      <w:pPr>
        <w:pStyle w:val="ListParagraph"/>
        <w:numPr>
          <w:ilvl w:val="0"/>
          <w:numId w:val="4"/>
        </w:numPr>
      </w:pPr>
      <w:r>
        <w:rPr>
          <w:rFonts w:ascii="Figtree" w:hAnsi="Figtree"/>
          <w:b w:val="0"/>
          <w:i w:val="0"/>
          <w:sz w:val="22"/>
        </w:rPr>
        <w:t>No additional asset classes in Year 1</w:t>
      </w:r>
    </w:p>
    <w:p>
      <w:pPr>
        <w:pStyle w:val="ListParagraph"/>
        <w:numPr>
          <w:ilvl w:val="0"/>
          <w:numId w:val="4"/>
        </w:numPr>
      </w:pPr>
      <w:r>
        <w:rPr>
          <w:rFonts w:ascii="Figtree" w:hAnsi="Figtree"/>
          <w:b w:val="0"/>
          <w:i w:val="0"/>
          <w:sz w:val="22"/>
        </w:rPr>
        <w:t>Standard pricing escalation</w:t>
      </w:r>
    </w:p>
    <w:p>
      <w:r>
        <w:br w:type="page"/>
      </w:r>
    </w:p>
    <w:p>
      <w:pPr>
        <w:pStyle w:val="H2"/>
        <w:numPr>
          <w:ilvl w:val="1"/>
          <w:numId w:val="1"/>
        </w:numPr>
      </w:pPr>
      <w:r>
        <w:t>Commercial Terms and Conditions</w:t>
      </w:r>
    </w:p>
    <w:p>
      <w:pPr>
        <w:pStyle w:val="H3"/>
        <w:numPr>
          <w:ilvl w:val="2"/>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82"/>
        <w:gridCol w:w="43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Annual licensing terms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Statement of Work</w:t>
            </w:r>
          </w:p>
        </w:tc>
        <w:tc>
          <w:tcPr>
            <w:tcW w:type="dxa" w:w="4873"/>
            <w:vAlign w:val="center"/>
          </w:tcPr>
          <w:p>
            <w:pPr>
              <w:spacing w:line="276" w:lineRule="auto" w:before="0" w:after="0"/>
            </w:pPr>
            <w:r/>
            <w:r>
              <w:rPr>
                <w:rFonts w:ascii="Figtree" w:hAnsi="Figtree"/>
                <w:b w:val="0"/>
                <w:i w:val="0"/>
                <w:sz w:val="20"/>
              </w:rPr>
              <w:t>Project scope and deliverables</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 Agreement</w:t>
            </w:r>
          </w:p>
        </w:tc>
        <w:tc>
          <w:tcPr>
            <w:tcW w:type="dxa" w:w="4873"/>
            <w:vAlign w:val="center"/>
          </w:tcPr>
          <w:p>
            <w:pPr>
              <w:spacing w:line="276" w:lineRule="auto" w:before="0" w:after="0"/>
            </w:pPr>
            <w:r/>
            <w:r>
              <w:rPr>
                <w:rFonts w:ascii="Figtree" w:hAnsi="Figtree"/>
                <w:b w:val="0"/>
                <w:i w:val="0"/>
                <w:sz w:val="20"/>
              </w:rPr>
              <w:t>Support tier terms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GDPR compliance</w:t>
            </w:r>
          </w:p>
        </w:tc>
      </w:tr>
    </w:tbl>
    <w:p>
      <w:pPr>
        <w:spacing w:before="0" w:after="0" w:line="120" w:lineRule="exact"/>
      </w:pPr>
    </w:p>
    <w:p>
      <w:pPr>
        <w:pStyle w:val="H3"/>
        <w:numPr>
          <w:ilvl w:val="2"/>
          <w:numId w:val="1"/>
        </w:numPr>
      </w:pPr>
      <w:r>
        <w:t>Pricing Validity</w:t>
      </w:r>
    </w:p>
    <w:p>
      <w:r>
        <w:rPr>
          <w:rFonts w:ascii="Figtree" w:hAnsi="Figtree"/>
          <w:b w:val="0"/>
          <w:i w:val="0"/>
          <w:sz w:val="22"/>
        </w:rPr>
        <w:t>Pricing in this proposal is valid for 90 days from the date of this document. After this period, pricing may be subject to adjustment based on scope validation and current exchange rates.</w:t>
      </w:r>
    </w:p>
    <w:p>
      <w:pPr>
        <w:pStyle w:val="H3"/>
        <w:numPr>
          <w:ilvl w:val="2"/>
          <w:numId w:val="1"/>
        </w:numPr>
      </w:pPr>
      <w:r>
        <w:t>Payment Terms</w:t>
      </w:r>
    </w:p>
    <w:p>
      <w:pPr>
        <w:pStyle w:val="ListParagraph"/>
        <w:numPr>
          <w:ilvl w:val="0"/>
          <w:numId w:val="4"/>
        </w:numPr>
      </w:pPr>
      <w:r>
        <w:rPr>
          <w:rFonts w:ascii="Figtree" w:hAnsi="Figtree"/>
          <w:b w:val="0"/>
          <w:i w:val="0"/>
          <w:sz w:val="22"/>
        </w:rPr>
        <w:t>Implementation: 30% upon contract signature, 40% at Phase 3 completion, 30% upon go-live</w:t>
      </w:r>
    </w:p>
    <w:p>
      <w:pPr>
        <w:pStyle w:val="ListParagraph"/>
        <w:numPr>
          <w:ilvl w:val="0"/>
          <w:numId w:val="4"/>
        </w:numPr>
      </w:pPr>
      <w:r>
        <w:rPr>
          <w:rFonts w:ascii="Figtree" w:hAnsi="Figtree"/>
          <w:b w:val="0"/>
          <w:i w:val="0"/>
          <w:sz w:val="22"/>
        </w:rPr>
        <w:t>Annual license: Prepaid annually</w:t>
      </w:r>
    </w:p>
    <w:p>
      <w:pPr>
        <w:pStyle w:val="ListParagraph"/>
        <w:numPr>
          <w:ilvl w:val="0"/>
          <w:numId w:val="4"/>
        </w:numPr>
      </w:pPr>
      <w:r>
        <w:rPr>
          <w:rFonts w:ascii="Figtree" w:hAnsi="Figtree"/>
          <w:b w:val="0"/>
          <w:i w:val="0"/>
          <w:sz w:val="22"/>
        </w:rPr>
        <w:t>Support: Prepaid quarterly</w:t>
      </w:r>
    </w:p>
    <w:p>
      <w:pPr>
        <w:pStyle w:val="ListParagraph"/>
        <w:numPr>
          <w:ilvl w:val="0"/>
          <w:numId w:val="4"/>
        </w:numPr>
      </w:pPr>
      <w:r>
        <w:rPr>
          <w:rFonts w:ascii="Figtree" w:hAnsi="Figtree"/>
          <w:b w:val="0"/>
          <w:i w:val="0"/>
          <w:sz w:val="22"/>
        </w:rPr>
        <w:t>Payment terms: Net 30 from invoice</w:t>
      </w:r>
    </w:p>
    <w:p>
      <w:pPr>
        <w:pStyle w:val="H3"/>
        <w:numPr>
          <w:ilvl w:val="2"/>
          <w:numId w:val="1"/>
        </w:numPr>
      </w:pPr>
      <w:r>
        <w:t>Escrow and Security</w:t>
      </w:r>
    </w:p>
    <w:p>
      <w:pPr>
        <w:pStyle w:val="ListParagraph"/>
        <w:numPr>
          <w:ilvl w:val="0"/>
          <w:numId w:val="4"/>
        </w:numPr>
      </w:pPr>
      <w:r>
        <w:rPr>
          <w:rFonts w:ascii="Figtree" w:hAnsi="Figtree"/>
          <w:b w:val="0"/>
          <w:i w:val="0"/>
          <w:sz w:val="22"/>
        </w:rPr>
        <w:t>Source code escrow available upon request (Enterprise and Sovereign tiers)</w:t>
      </w:r>
    </w:p>
    <w:p>
      <w:pPr>
        <w:pStyle w:val="ListParagraph"/>
        <w:numPr>
          <w:ilvl w:val="0"/>
          <w:numId w:val="4"/>
        </w:numPr>
      </w:pPr>
      <w:r>
        <w:rPr>
          <w:rFonts w:ascii="Figtree" w:hAnsi="Figtree"/>
          <w:b w:val="0"/>
          <w:i w:val="0"/>
          <w:sz w:val="22"/>
        </w:rPr>
        <w:t>Security assessments: KfW may conduct vendor security review prior to contract execution</w:t>
      </w:r>
    </w:p>
    <w:p>
      <w:r>
        <w:br w:type="page"/>
      </w:r>
    </w:p>
    <w:p>
      <w:pPr>
        <w:pStyle w:val="H2"/>
        <w:numPr>
          <w:ilvl w:val="1"/>
          <w:numId w:val="1"/>
        </w:numPr>
      </w:pPr>
      <w:r>
        <w:t>Value Analysis and ROI Framework</w:t>
      </w:r>
    </w:p>
    <w:p>
      <w:pPr>
        <w:pStyle w:val="H3"/>
        <w:numPr>
          <w:ilvl w:val="2"/>
          <w:numId w:val="1"/>
        </w:numPr>
      </w:pPr>
      <w:r>
        <w:t>Strategic Value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4"/>
        <w:gridCol w:w="608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Production readiness</w:t>
            </w:r>
          </w:p>
        </w:tc>
        <w:tc>
          <w:tcPr>
            <w:tcW w:type="dxa" w:w="4873"/>
            <w:vAlign w:val="center"/>
          </w:tcPr>
          <w:p>
            <w:pPr>
              <w:spacing w:line="276" w:lineRule="auto" w:before="0" w:after="0"/>
            </w:pPr>
            <w:r/>
            <w:r>
              <w:rPr>
                <w:rFonts w:ascii="Figtree" w:hAnsi="Figtree"/>
                <w:b w:val="0"/>
                <w:i w:val="0"/>
                <w:sz w:val="20"/>
              </w:rPr>
              <w:t>Proven platform with institutional references</w:t>
            </w:r>
          </w:p>
        </w:tc>
      </w:tr>
      <w:tr>
        <w:trPr>
          <w:trHeight w:val="425" w:hRule="atLeast"/>
        </w:trPr>
        <w:tc>
          <w:tcPr>
            <w:tcW w:type="dxa" w:w="4873"/>
            <w:vAlign w:val="center"/>
          </w:tcPr>
          <w:p>
            <w:pPr>
              <w:spacing w:line="276" w:lineRule="auto" w:before="0" w:after="0"/>
            </w:pPr>
            <w:r/>
            <w:r>
              <w:rPr>
                <w:rFonts w:ascii="Figtree" w:hAnsi="Figtree"/>
                <w:b w:val="0"/>
                <w:i w:val="0"/>
                <w:sz w:val="20"/>
              </w:rPr>
              <w:t>Regulatory alignment</w:t>
            </w:r>
          </w:p>
        </w:tc>
        <w:tc>
          <w:tcPr>
            <w:tcW w:type="dxa" w:w="4873"/>
            <w:vAlign w:val="center"/>
          </w:tcPr>
          <w:p>
            <w:pPr>
              <w:spacing w:line="276" w:lineRule="auto" w:before="0" w:after="0"/>
            </w:pPr>
            <w:r/>
            <w:r>
              <w:rPr>
                <w:rFonts w:ascii="Figtree" w:hAnsi="Figtree"/>
                <w:b w:val="0"/>
                <w:i w:val="0"/>
                <w:sz w:val="20"/>
              </w:rPr>
              <w:t>Pre-built MiCA/eWpG compliance modules</w:t>
            </w:r>
          </w:p>
        </w:tc>
      </w:tr>
      <w:tr>
        <w:trPr>
          <w:trHeight w:val="425" w:hRule="atLeast"/>
        </w:trPr>
        <w:tc>
          <w:tcPr>
            <w:tcW w:type="dxa" w:w="4873"/>
            <w:vAlign w:val="center"/>
          </w:tcPr>
          <w:p>
            <w:pPr>
              <w:spacing w:line="276" w:lineRule="auto" w:before="0" w:after="0"/>
            </w:pPr>
            <w:r/>
            <w:r>
              <w:rPr>
                <w:rFonts w:ascii="Figtree" w:hAnsi="Figtree"/>
                <w:b w:val="0"/>
                <w:i w:val="0"/>
                <w:sz w:val="20"/>
              </w:rPr>
              <w:t>Operational control</w:t>
            </w:r>
          </w:p>
        </w:tc>
        <w:tc>
          <w:tcPr>
            <w:tcW w:type="dxa" w:w="4873"/>
            <w:vAlign w:val="center"/>
          </w:tcPr>
          <w:p>
            <w:pPr>
              <w:spacing w:line="276" w:lineRule="auto" w:before="0" w:after="0"/>
            </w:pPr>
            <w:r/>
            <w:r>
              <w:rPr>
                <w:rFonts w:ascii="Figtree" w:hAnsi="Figtree"/>
                <w:b w:val="0"/>
                <w:i w:val="0"/>
                <w:sz w:val="20"/>
              </w:rPr>
              <w:t>Full audit trails for federal audit requirements</w:t>
            </w:r>
          </w:p>
        </w:tc>
      </w:tr>
      <w:tr>
        <w:trPr>
          <w:trHeight w:val="425" w:hRule="atLeast"/>
        </w:trPr>
        <w:tc>
          <w:tcPr>
            <w:tcW w:type="dxa" w:w="4873"/>
            <w:vAlign w:val="center"/>
          </w:tcPr>
          <w:p>
            <w:pPr>
              <w:spacing w:line="276" w:lineRule="auto" w:before="0" w:after="0"/>
            </w:pPr>
            <w:r/>
            <w:r>
              <w:rPr>
                <w:rFonts w:ascii="Figtree" w:hAnsi="Figtree"/>
                <w:b w:val="0"/>
                <w:i w:val="0"/>
                <w:sz w:val="20"/>
              </w:rPr>
              <w:t>Future scalability</w:t>
            </w:r>
          </w:p>
        </w:tc>
        <w:tc>
          <w:tcPr>
            <w:tcW w:type="dxa" w:w="4873"/>
            <w:vAlign w:val="center"/>
          </w:tcPr>
          <w:p>
            <w:pPr>
              <w:spacing w:line="276" w:lineRule="auto" w:before="0" w:after="0"/>
            </w:pPr>
            <w:r/>
            <w:r>
              <w:rPr>
                <w:rFonts w:ascii="Figtree" w:hAnsi="Figtree"/>
                <w:b w:val="0"/>
                <w:i w:val="0"/>
                <w:sz w:val="20"/>
              </w:rPr>
              <w:t>Multi-asset, multi-network capability</w:t>
            </w:r>
          </w:p>
        </w:tc>
      </w:tr>
    </w:tbl>
    <w:p>
      <w:pPr>
        <w:spacing w:before="0" w:after="0" w:line="120" w:lineRule="exact"/>
      </w:pPr>
    </w:p>
    <w:p>
      <w:pPr>
        <w:pStyle w:val="H3"/>
        <w:numPr>
          <w:ilvl w:val="2"/>
          <w:numId w:val="1"/>
        </w:numPr>
      </w:pPr>
      <w:r>
        <w:t>Risk Mitigation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9"/>
        <w:gridCol w:w="63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4873"/>
            <w:vAlign w:val="center"/>
          </w:tcPr>
          <w:p>
            <w:pPr>
              <w:spacing w:line="276" w:lineRule="auto" w:before="0" w:after="0"/>
            </w:pPr>
            <w:r/>
            <w:r>
              <w:rPr>
                <w:rFonts w:ascii="Figtree" w:hAnsi="Figtree"/>
                <w:b w:val="0"/>
                <w:i w:val="0"/>
                <w:sz w:val="20"/>
              </w:rPr>
              <w:t>Technology risk</w:t>
            </w:r>
          </w:p>
        </w:tc>
        <w:tc>
          <w:tcPr>
            <w:tcW w:type="dxa" w:w="4873"/>
            <w:vAlign w:val="center"/>
          </w:tcPr>
          <w:p>
            <w:pPr>
              <w:spacing w:line="276" w:lineRule="auto" w:before="0" w:after="0"/>
            </w:pPr>
            <w:r/>
            <w:r>
              <w:rPr>
                <w:rFonts w:ascii="Figtree" w:hAnsi="Figtree"/>
                <w:b w:val="0"/>
                <w:i w:val="0"/>
                <w:sz w:val="20"/>
              </w:rPr>
              <w:t>Proven platform with production deployments</w:t>
            </w:r>
          </w:p>
        </w:tc>
      </w:tr>
      <w:tr>
        <w:trPr>
          <w:trHeight w:val="425" w:hRule="atLeast"/>
        </w:trPr>
        <w:tc>
          <w:tcPr>
            <w:tcW w:type="dxa" w:w="4873"/>
            <w:vAlign w:val="center"/>
          </w:tcPr>
          <w:p>
            <w:pPr>
              <w:spacing w:line="276" w:lineRule="auto" w:before="0" w:after="0"/>
            </w:pPr>
            <w:r/>
            <w:r>
              <w:rPr>
                <w:rFonts w:ascii="Figtree" w:hAnsi="Figtree"/>
                <w:b w:val="0"/>
                <w:i w:val="0"/>
                <w:sz w:val="20"/>
              </w:rPr>
              <w:t>Integration risk</w:t>
            </w:r>
          </w:p>
        </w:tc>
        <w:tc>
          <w:tcPr>
            <w:tcW w:type="dxa" w:w="4873"/>
            <w:vAlign w:val="center"/>
          </w:tcPr>
          <w:p>
            <w:pPr>
              <w:spacing w:line="276" w:lineRule="auto" w:before="0" w:after="0"/>
            </w:pPr>
            <w:r/>
            <w:r>
              <w:rPr>
                <w:rFonts w:ascii="Figtree" w:hAnsi="Figtree"/>
                <w:b w:val="0"/>
                <w:i w:val="0"/>
                <w:sz w:val="20"/>
              </w:rPr>
              <w:t>Structured methodology with clear phases</w:t>
            </w:r>
          </w:p>
        </w:tc>
      </w:tr>
      <w:tr>
        <w:trPr>
          <w:trHeight w:val="425" w:hRule="atLeast"/>
        </w:trPr>
        <w:tc>
          <w:tcPr>
            <w:tcW w:type="dxa" w:w="4873"/>
            <w:vAlign w:val="center"/>
          </w:tcPr>
          <w:p>
            <w:pPr>
              <w:spacing w:line="276" w:lineRule="auto" w:before="0" w:after="0"/>
            </w:pPr>
            <w:r/>
            <w:r>
              <w:rPr>
                <w:rFonts w:ascii="Figtree" w:hAnsi="Figtree"/>
                <w:b w:val="0"/>
                <w:i w:val="0"/>
                <w:sz w:val="20"/>
              </w:rPr>
              <w:t>Operational risk</w:t>
            </w:r>
          </w:p>
        </w:tc>
        <w:tc>
          <w:tcPr>
            <w:tcW w:type="dxa" w:w="4873"/>
            <w:vAlign w:val="center"/>
          </w:tcPr>
          <w:p>
            <w:pPr>
              <w:spacing w:line="276" w:lineRule="auto" w:before="0" w:after="0"/>
            </w:pPr>
            <w:r/>
            <w:r>
              <w:rPr>
                <w:rFonts w:ascii="Figtree" w:hAnsi="Figtree"/>
                <w:b w:val="0"/>
                <w:i w:val="0"/>
                <w:sz w:val="20"/>
              </w:rPr>
              <w:t>Comprehensive training and knowledge transfer</w:t>
            </w:r>
          </w:p>
        </w:tc>
      </w:tr>
      <w:tr>
        <w:trPr>
          <w:trHeight w:val="425" w:hRule="atLeast"/>
        </w:trPr>
        <w:tc>
          <w:tcPr>
            <w:tcW w:type="dxa" w:w="4873"/>
            <w:vAlign w:val="center"/>
          </w:tcPr>
          <w:p>
            <w:pPr>
              <w:spacing w:line="276" w:lineRule="auto" w:before="0" w:after="0"/>
            </w:pPr>
            <w:r/>
            <w:r>
              <w:rPr>
                <w:rFonts w:ascii="Figtree" w:hAnsi="Figtree"/>
                <w:b w:val="0"/>
                <w:i w:val="0"/>
                <w:sz w:val="20"/>
              </w:rPr>
              <w:t>Regulatory risk</w:t>
            </w:r>
          </w:p>
        </w:tc>
        <w:tc>
          <w:tcPr>
            <w:tcW w:type="dxa" w:w="4873"/>
            <w:vAlign w:val="center"/>
          </w:tcPr>
          <w:p>
            <w:pPr>
              <w:spacing w:line="276" w:lineRule="auto" w:before="0" w:after="0"/>
            </w:pPr>
            <w:r/>
            <w:r>
              <w:rPr>
                <w:rFonts w:ascii="Figtree" w:hAnsi="Figtree"/>
                <w:b w:val="0"/>
                <w:i w:val="0"/>
                <w:sz w:val="20"/>
              </w:rPr>
              <w:t>Pre-built compliance modules</w:t>
            </w:r>
          </w:p>
        </w:tc>
      </w:tr>
    </w:tbl>
    <w:p>
      <w:pPr>
        <w:spacing w:before="0" w:after="0" w:line="120" w:lineRule="exact"/>
      </w:pPr>
    </w:p>
    <w:p>
      <w:pPr>
        <w:pStyle w:val="H3"/>
        <w:numPr>
          <w:ilvl w:val="2"/>
          <w:numId w:val="1"/>
        </w:numPr>
      </w:pPr>
      <w:r>
        <w:t>Recommendation Summary</w:t>
      </w:r>
    </w:p>
    <w:p>
      <w:r>
        <w:rPr>
          <w:rFonts w:ascii="Figtree" w:hAnsi="Figtree"/>
          <w:b w:val="0"/>
          <w:i w:val="0"/>
          <w:sz w:val="22"/>
        </w:rPr>
        <w:t>SettleMint recommends proceeding with the Enterprise tier deployment based on:</w:t>
      </w:r>
    </w:p>
    <w:p>
      <w:pPr>
        <w:pStyle w:val="ListParagraph"/>
        <w:numPr>
          <w:ilvl w:val="0"/>
          <w:numId w:val="7"/>
        </w:numPr>
      </w:pPr>
      <w:r>
        <w:rPr>
          <w:rFonts w:ascii="Figtree" w:hAnsi="Figtree"/>
          <w:b w:val="0"/>
          <w:i w:val="0"/>
          <w:sz w:val="22"/>
        </w:rPr>
        <w:t>KfW's requirement for production-grade infrastructure</w:t>
      </w:r>
    </w:p>
    <w:p>
      <w:pPr>
        <w:pStyle w:val="ListParagraph"/>
        <w:numPr>
          <w:ilvl w:val="0"/>
          <w:numId w:val="7"/>
        </w:numPr>
      </w:pPr>
      <w:r>
        <w:rPr>
          <w:rFonts w:ascii="Figtree" w:hAnsi="Figtree"/>
          <w:b w:val="0"/>
          <w:i w:val="0"/>
          <w:sz w:val="22"/>
        </w:rPr>
        <w:t>Need for multi-environment deployment flexibility</w:t>
      </w:r>
    </w:p>
    <w:p>
      <w:pPr>
        <w:pStyle w:val="ListParagraph"/>
        <w:numPr>
          <w:ilvl w:val="0"/>
          <w:numId w:val="7"/>
        </w:numPr>
      </w:pPr>
      <w:r>
        <w:rPr>
          <w:rFonts w:ascii="Figtree" w:hAnsi="Figtree"/>
          <w:b w:val="0"/>
          <w:i w:val="0"/>
          <w:sz w:val="22"/>
        </w:rPr>
        <w:t>Future expansion capability beyond initial bond issuance</w:t>
      </w:r>
    </w:p>
    <w:p>
      <w:pPr>
        <w:pStyle w:val="ListParagraph"/>
        <w:numPr>
          <w:ilvl w:val="0"/>
          <w:numId w:val="7"/>
        </w:numPr>
      </w:pPr>
      <w:r>
        <w:rPr>
          <w:rFonts w:ascii="Figtree" w:hAnsi="Figtree"/>
          <w:b w:val="0"/>
          <w:i w:val="0"/>
          <w:sz w:val="22"/>
        </w:rPr>
        <w:t>Premium support matching German banking operational hours</w:t>
      </w:r>
    </w:p>
    <w:p>
      <w:pPr>
        <w:pStyle w:val="ListParagraph"/>
        <w:numPr>
          <w:ilvl w:val="0"/>
          <w:numId w:val="7"/>
        </w:numPr>
      </w:pPr>
      <w:r>
        <w:rPr>
          <w:rFonts w:ascii="Figtree" w:hAnsi="Figtree"/>
          <w:b w:val="0"/>
          <w:i w:val="0"/>
          <w:sz w:val="22"/>
        </w:rPr>
        <w:t>Total cost of ownership competitive with alternative approaches</w:t>
      </w:r>
    </w:p>
    <w:p>
      <w:r>
        <w:br w:type="page"/>
      </w:r>
    </w:p>
    <w:p>
      <w:pPr>
        <w:pStyle w:val="H2"/>
        <w:numPr>
          <w:ilvl w:val="1"/>
          <w:numId w:val="1"/>
        </w:numPr>
      </w:pPr>
      <w:r>
        <w:t>Next Steps</w:t>
      </w:r>
    </w:p>
    <w:p>
      <w:r>
        <w:rPr>
          <w:rFonts w:ascii="Figtree" w:hAnsi="Figtree"/>
          <w:b w:val="0"/>
          <w:i w:val="0"/>
          <w:sz w:val="22"/>
        </w:rPr>
        <w:t>To finalize commercial terms, SettleMint proposes:</w:t>
      </w:r>
    </w:p>
    <w:p>
      <w:pPr>
        <w:pStyle w:val="ListParagraph"/>
        <w:numPr>
          <w:ilvl w:val="0"/>
          <w:numId w:val="8"/>
        </w:numPr>
      </w:pPr>
      <w:r>
        <w:rPr>
          <w:rFonts w:ascii="Figtree" w:hAnsi="Figtree"/>
          <w:b/>
          <w:i w:val="0"/>
          <w:sz w:val="22"/>
        </w:rPr>
        <w:t>Commercial validation workshop</w:t>
      </w:r>
      <w:r>
        <w:rPr>
          <w:rFonts w:ascii="Figtree" w:hAnsi="Figtree"/>
          <w:b w:val="0"/>
          <w:i w:val="0"/>
          <w:sz w:val="22"/>
        </w:rPr>
        <w:t>: Detailed scope discussion to finalize pricing</w:t>
      </w:r>
    </w:p>
    <w:p>
      <w:pPr>
        <w:pStyle w:val="ListParagraph"/>
        <w:numPr>
          <w:ilvl w:val="0"/>
          <w:numId w:val="8"/>
        </w:numPr>
      </w:pPr>
      <w:r>
        <w:rPr>
          <w:rFonts w:ascii="Figtree" w:hAnsi="Figtree"/>
          <w:b/>
          <w:i w:val="0"/>
          <w:sz w:val="22"/>
        </w:rPr>
        <w:t>Reference call</w:t>
      </w:r>
      <w:r>
        <w:rPr>
          <w:rFonts w:ascii="Figtree" w:hAnsi="Figtree"/>
          <w:b w:val="0"/>
          <w:i w:val="0"/>
          <w:sz w:val="22"/>
        </w:rPr>
        <w:t>: Discussion with existing European bank deployment</w:t>
      </w:r>
    </w:p>
    <w:p>
      <w:pPr>
        <w:pStyle w:val="ListParagraph"/>
        <w:numPr>
          <w:ilvl w:val="0"/>
          <w:numId w:val="8"/>
        </w:numPr>
      </w:pPr>
      <w:r>
        <w:rPr>
          <w:rFonts w:ascii="Figtree" w:hAnsi="Figtree"/>
          <w:b/>
          <w:i w:val="0"/>
          <w:sz w:val="22"/>
        </w:rPr>
        <w:t>Security assessment</w:t>
      </w:r>
      <w:r>
        <w:rPr>
          <w:rFonts w:ascii="Figtree" w:hAnsi="Figtree"/>
          <w:b w:val="0"/>
          <w:i w:val="0"/>
          <w:sz w:val="22"/>
        </w:rPr>
        <w:t>: KfW vendor security questionnaire completion</w:t>
      </w:r>
    </w:p>
    <w:p>
      <w:pPr>
        <w:pStyle w:val="ListParagraph"/>
        <w:numPr>
          <w:ilvl w:val="0"/>
          <w:numId w:val="8"/>
        </w:numPr>
      </w:pPr>
      <w:r>
        <w:rPr>
          <w:rFonts w:ascii="Figtree" w:hAnsi="Figtree"/>
          <w:b/>
          <w:i w:val="0"/>
          <w:sz w:val="22"/>
        </w:rPr>
        <w:t>Contract negotiation</w:t>
      </w:r>
      <w:r>
        <w:rPr>
          <w:rFonts w:ascii="Figtree" w:hAnsi="Figtree"/>
          <w:b w:val="0"/>
          <w:i w:val="0"/>
          <w:sz w:val="22"/>
        </w:rPr>
        <w:t>: Legal review of standard terms</w:t>
      </w:r>
    </w:p>
    <w:p>
      <w:r>
        <w:br w:type="page"/>
      </w:r>
    </w:p>
    <w:p>
      <w:r>
        <w:rPr>
          <w:rFonts w:ascii="Figtree" w:hAnsi="Figtree"/>
          <w:b w:val="0"/>
          <w:i/>
          <w:sz w:val="22"/>
        </w:rPr>
        <w:t>End of Commercial Proposal</w:t>
      </w:r>
    </w:p>
    <w:p>
      <w:r>
        <w:rPr>
          <w:rFonts w:ascii="Figtree" w:hAnsi="Figtree"/>
          <w:b/>
          <w:i w:val="0"/>
          <w:sz w:val="22"/>
        </w:rPr>
        <w:t>Document Control</w:t>
      </w:r>
    </w:p>
    <w:p>
      <w:pPr>
        <w:pStyle w:val="ListParagraph"/>
        <w:numPr>
          <w:ilvl w:val="0"/>
          <w:numId w:val="4"/>
        </w:numPr>
      </w:pPr>
      <w:r>
        <w:rPr>
          <w:rFonts w:ascii="Figtree" w:hAnsi="Figtree"/>
          <w:b w:val="0"/>
          <w:i w:val="0"/>
          <w:sz w:val="22"/>
        </w:rPr>
        <w:t>Version: 1.0</w:t>
      </w:r>
    </w:p>
    <w:p>
      <w:pPr>
        <w:pStyle w:val="ListParagraph"/>
        <w:numPr>
          <w:ilvl w:val="0"/>
          <w:numId w:val="4"/>
        </w:numPr>
      </w:pPr>
      <w:r>
        <w:rPr>
          <w:rFonts w:ascii="Figtree" w:hAnsi="Figtree"/>
          <w:b w:val="0"/>
          <w:i w:val="0"/>
          <w:sz w:val="22"/>
        </w:rPr>
        <w:t>Date: March 2026</w:t>
      </w:r>
    </w:p>
    <w:p>
      <w:pPr>
        <w:pStyle w:val="ListParagraph"/>
        <w:numPr>
          <w:ilvl w:val="0"/>
          <w:numId w:val="4"/>
        </w:numPr>
      </w:pPr>
      <w:r>
        <w:rPr>
          <w:rFonts w:ascii="Figtree" w:hAnsi="Figtree"/>
          <w:b w:val="0"/>
          <w:i w:val="0"/>
          <w:sz w:val="22"/>
        </w:rPr>
        <w:t>Classification: Confidential</w:t>
      </w:r>
    </w:p>
    <w:p>
      <w:pPr>
        <w:pStyle w:val="ListParagraph"/>
        <w:numPr>
          <w:ilvl w:val="0"/>
          <w:numId w:val="4"/>
        </w:numPr>
      </w:pPr>
      <w:r>
        <w:rPr>
          <w:rFonts w:ascii="Figtree" w:hAnsi="Figtree"/>
          <w:b w:val="0"/>
          <w:i w:val="0"/>
          <w:sz w:val="22"/>
        </w:rPr>
        <w:t>Prepared by: SettleMint NV</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