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2"/>
            <w:tabs>
              <w:tab w:val="right" w:leader="dot" w:pos="9072"/>
            </w:tabs>
          </w:pPr>
          <w:r>
            <w:t xml:space="preserve">2. Licensing Model</w:t>
          </w:r>
          <w:r>
            <w:tab/>
          </w:r>
          <w:r>
            <w:t xml:space="preserve">5</w:t>
          </w:r>
        </w:p>
        <w:p>
          <w:pPr>
            <w:pStyle w:val="TOC3"/>
            <w:tabs>
              <w:tab w:val="right" w:leader="dot" w:pos="9072"/>
            </w:tabs>
          </w:pPr>
          <w:r>
            <w:t xml:space="preserve">2.1 Platform License Structure</w:t>
          </w:r>
          <w:r>
            <w:tab/>
          </w:r>
          <w:r>
            <w:t xml:space="preserve">6</w:t>
          </w:r>
        </w:p>
        <w:p>
          <w:pPr>
            <w:pStyle w:val="TOC3"/>
            <w:tabs>
              <w:tab w:val="right" w:leader="dot" w:pos="9072"/>
            </w:tabs>
          </w:pPr>
          <w:r>
            <w:t xml:space="preserve">2.2 License Tiers</w:t>
          </w:r>
          <w:r>
            <w:tab/>
          </w:r>
          <w:r>
            <w:t xml:space="preserve">7</w:t>
          </w:r>
        </w:p>
        <w:p>
          <w:pPr>
            <w:pStyle w:val="TOC3"/>
            <w:tabs>
              <w:tab w:val="right" w:leader="dot" w:pos="9072"/>
            </w:tabs>
          </w:pPr>
          <w:r>
            <w:t xml:space="preserve">2.3 Deployment Model</w:t>
          </w:r>
          <w:r>
            <w:tab/>
          </w:r>
          <w:r>
            <w:t xml:space="preserve">8</w:t>
          </w:r>
        </w:p>
        <w:p>
          <w:pPr>
            <w:pStyle w:val="TOC2"/>
            <w:tabs>
              <w:tab w:val="right" w:leader="dot" w:pos="9072"/>
            </w:tabs>
          </w:pPr>
          <w:r>
            <w:t xml:space="preserve">3. Recommended Tier</w:t>
          </w:r>
          <w:r>
            <w:tab/>
          </w:r>
          <w:r>
            <w:t xml:space="preserve">9</w:t>
          </w:r>
        </w:p>
        <w:p>
          <w:pPr>
            <w:pStyle w:val="TOC3"/>
            <w:tabs>
              <w:tab w:val="right" w:leader="dot" w:pos="9072"/>
            </w:tabs>
          </w:pPr>
          <w:r>
            <w:t xml:space="preserve">3.1 Enterprise Tier Justification</w:t>
          </w:r>
          <w:r>
            <w:tab/>
          </w:r>
          <w:r>
            <w:t xml:space="preserve">10</w:t>
          </w:r>
        </w:p>
        <w:p>
          <w:pPr>
            <w:pStyle w:val="TOC3"/>
            <w:tabs>
              <w:tab w:val="right" w:leader="dot" w:pos="9072"/>
            </w:tabs>
          </w:pPr>
          <w:r>
            <w:t xml:space="preserve">3.2 Enterprise SLA Summary</w:t>
          </w:r>
          <w:r>
            <w:tab/>
          </w:r>
          <w:r>
            <w:t xml:space="preserve">11</w:t>
          </w:r>
        </w:p>
        <w:p>
          <w:pPr>
            <w:pStyle w:val="TOC2"/>
            <w:tabs>
              <w:tab w:val="right" w:leader="dot" w:pos="9072"/>
            </w:tabs>
          </w:pPr>
          <w:r>
            <w:t xml:space="preserve">4. Implementation Services Pricing</w:t>
          </w:r>
          <w:r>
            <w:tab/>
          </w:r>
          <w:r>
            <w:t xml:space="preserve">12</w:t>
          </w:r>
        </w:p>
        <w:p>
          <w:pPr>
            <w:pStyle w:val="TOC3"/>
            <w:tabs>
              <w:tab w:val="right" w:leader="dot" w:pos="9072"/>
            </w:tabs>
          </w:pPr>
          <w:r>
            <w:t xml:space="preserve">4.1 Fixed-Price Implementation</w:t>
          </w:r>
          <w:r>
            <w:tab/>
          </w:r>
          <w:r>
            <w:t xml:space="preserve">13</w:t>
          </w:r>
        </w:p>
        <w:p>
          <w:pPr>
            <w:pStyle w:val="TOC3"/>
            <w:tabs>
              <w:tab w:val="right" w:leader="dot" w:pos="9072"/>
            </w:tabs>
          </w:pPr>
          <w:r>
            <w:t xml:space="preserve">4.2 Payment Schedule (Implementation)</w:t>
          </w:r>
          <w:r>
            <w:tab/>
          </w:r>
          <w:r>
            <w:t xml:space="preserve">14</w:t>
          </w:r>
        </w:p>
        <w:p>
          <w:pPr>
            <w:pStyle w:val="TOC3"/>
            <w:tabs>
              <w:tab w:val="right" w:leader="dot" w:pos="9072"/>
            </w:tabs>
          </w:pPr>
          <w:r>
            <w:t xml:space="preserve">4.3 Change Request Process</w:t>
          </w:r>
          <w:r>
            <w:tab/>
          </w:r>
          <w:r>
            <w:t xml:space="preserve">15</w:t>
          </w:r>
        </w:p>
        <w:p>
          <w:pPr>
            <w:pStyle w:val="TOC3"/>
            <w:tabs>
              <w:tab w:val="right" w:leader="dot" w:pos="9072"/>
            </w:tabs>
          </w:pPr>
          <w:r>
            <w:t xml:space="preserve">4.4 Travel and Expenses</w:t>
          </w:r>
          <w:r>
            <w:tab/>
          </w:r>
          <w:r>
            <w:t xml:space="preserve">16</w:t>
          </w:r>
        </w:p>
        <w:p>
          <w:pPr>
            <w:pStyle w:val="TOC2"/>
            <w:tabs>
              <w:tab w:val="right" w:leader="dot" w:pos="9072"/>
            </w:tabs>
          </w:pPr>
          <w:r>
            <w:t xml:space="preserve">5. Support Tier</w:t>
          </w:r>
          <w:r>
            <w:tab/>
          </w:r>
          <w:r>
            <w:t xml:space="preserve">17</w:t>
          </w:r>
        </w:p>
        <w:p>
          <w:pPr>
            <w:pStyle w:val="TOC3"/>
            <w:tabs>
              <w:tab w:val="right" w:leader="dot" w:pos="9072"/>
            </w:tabs>
          </w:pPr>
          <w:r>
            <w:t xml:space="preserve">5.1 Enterprise Support Pricing</w:t>
          </w:r>
          <w:r>
            <w:tab/>
          </w:r>
          <w:r>
            <w:t xml:space="preserve">18</w:t>
          </w:r>
        </w:p>
        <w:p>
          <w:pPr>
            <w:pStyle w:val="TOC3"/>
            <w:tabs>
              <w:tab w:val="right" w:leader="dot" w:pos="9072"/>
            </w:tabs>
          </w:pPr>
          <w:r>
            <w:t xml:space="preserve">5.2 Hypercare Period</w:t>
          </w:r>
          <w:r>
            <w:tab/>
          </w:r>
          <w:r>
            <w:t xml:space="preserve">19</w:t>
          </w:r>
        </w:p>
        <w:p>
          <w:pPr>
            <w:pStyle w:val="TOC2"/>
            <w:tabs>
              <w:tab w:val="right" w:leader="dot" w:pos="9072"/>
            </w:tabs>
          </w:pPr>
          <w:r>
            <w:t xml:space="preserve">6. Environment Costs</w:t>
          </w:r>
          <w:r>
            <w:tab/>
          </w:r>
          <w:r>
            <w:t xml:space="preserve">20</w:t>
          </w:r>
        </w:p>
        <w:p>
          <w:pPr>
            <w:pStyle w:val="TOC3"/>
            <w:tabs>
              <w:tab w:val="right" w:leader="dot" w:pos="9072"/>
            </w:tabs>
          </w:pPr>
          <w:r>
            <w:t xml:space="preserve">6.1 Infrastructure Sizing (Indicative)</w:t>
          </w:r>
          <w:r>
            <w:tab/>
          </w:r>
          <w:r>
            <w:t xml:space="preserve">21</w:t>
          </w:r>
        </w:p>
        <w:p>
          <w:pPr>
            <w:pStyle w:val="TOC3"/>
            <w:tabs>
              <w:tab w:val="right" w:leader="dot" w:pos="9072"/>
            </w:tabs>
          </w:pPr>
          <w:r>
            <w:t xml:space="preserve">6.2 Software Dependencies</w:t>
          </w:r>
          <w:r>
            <w:tab/>
          </w:r>
          <w:r>
            <w:t xml:space="preserve">22</w:t>
          </w:r>
        </w:p>
        <w:p>
          <w:pPr>
            <w:pStyle w:val="TOC2"/>
            <w:tabs>
              <w:tab w:val="right" w:leader="dot" w:pos="9072"/>
            </w:tabs>
          </w:pPr>
          <w:r>
            <w:t xml:space="preserve">7. Three-Year TCO Analysis</w:t>
          </w:r>
          <w:r>
            <w:tab/>
          </w:r>
          <w:r>
            <w:t xml:space="preserve">23</w:t>
          </w:r>
        </w:p>
        <w:p>
          <w:pPr>
            <w:pStyle w:val="TOC3"/>
            <w:tabs>
              <w:tab w:val="right" w:leader="dot" w:pos="9072"/>
            </w:tabs>
          </w:pPr>
          <w:r>
            <w:t xml:space="preserve">7.1 TCO Summary</w:t>
          </w:r>
          <w:r>
            <w:tab/>
          </w:r>
          <w:r>
            <w:t xml:space="preserve">24</w:t>
          </w:r>
        </w:p>
        <w:p>
          <w:pPr>
            <w:pStyle w:val="TOC3"/>
            <w:tabs>
              <w:tab w:val="right" w:leader="dot" w:pos="9072"/>
            </w:tabs>
          </w:pPr>
          <w:r>
            <w:t xml:space="preserve">7.2 TCO Assumptions</w:t>
          </w:r>
          <w:r>
            <w:tab/>
          </w:r>
          <w:r>
            <w:t xml:space="preserve">25</w:t>
          </w:r>
        </w:p>
        <w:p>
          <w:pPr>
            <w:pStyle w:val="TOC3"/>
            <w:tabs>
              <w:tab w:val="right" w:leader="dot" w:pos="9072"/>
            </w:tabs>
          </w:pPr>
          <w:r>
            <w:t xml:space="preserve">7.3 Cost Comparison Basis</w:t>
          </w:r>
          <w:r>
            <w:tab/>
          </w:r>
          <w:r>
            <w:t xml:space="preserve">26</w:t>
          </w:r>
        </w:p>
        <w:p>
          <w:pPr>
            <w:pStyle w:val="TOC2"/>
            <w:tabs>
              <w:tab w:val="right" w:leader="dot" w:pos="9072"/>
            </w:tabs>
          </w:pPr>
          <w:r>
            <w:t xml:space="preserve">8. ROI Analysis</w:t>
          </w:r>
          <w:r>
            <w:tab/>
          </w:r>
          <w:r>
            <w:t xml:space="preserve">27</w:t>
          </w:r>
        </w:p>
        <w:p>
          <w:pPr>
            <w:pStyle w:val="TOC3"/>
            <w:tabs>
              <w:tab w:val="right" w:leader="dot" w:pos="9072"/>
            </w:tabs>
          </w:pPr>
          <w:r>
            <w:t xml:space="preserve">8.1 Value Drivers</w:t>
          </w:r>
          <w:r>
            <w:tab/>
          </w:r>
          <w:r>
            <w:t xml:space="preserve">28</w:t>
          </w:r>
        </w:p>
        <w:p>
          <w:pPr>
            <w:pStyle w:val="TOC3"/>
            <w:tabs>
              <w:tab w:val="right" w:leader="dot" w:pos="9072"/>
            </w:tabs>
          </w:pPr>
          <w:r>
            <w:t xml:space="preserve">8.2 Indicative ROI Framework</w:t>
          </w:r>
          <w:r>
            <w:tab/>
          </w:r>
          <w:r>
            <w:t xml:space="preserve">29</w:t>
          </w:r>
        </w:p>
        <w:p>
          <w:pPr>
            <w:pStyle w:val="TOC3"/>
            <w:tabs>
              <w:tab w:val="right" w:leader="dot" w:pos="9072"/>
            </w:tabs>
          </w:pPr>
          <w:r>
            <w:t xml:space="preserve">8.3 Indicative ROI Illustration</w:t>
          </w:r>
          <w:r>
            <w:tab/>
          </w:r>
          <w:r>
            <w:t xml:space="preserve">30</w:t>
          </w:r>
        </w:p>
        <w:p>
          <w:pPr>
            <w:pStyle w:val="TOC2"/>
            <w:tabs>
              <w:tab w:val="right" w:leader="dot" w:pos="9072"/>
            </w:tabs>
          </w:pPr>
          <w:r>
            <w:t xml:space="preserve">9. Payment Terms</w:t>
          </w:r>
          <w:r>
            <w:tab/>
          </w:r>
          <w:r>
            <w:t xml:space="preserve">31</w:t>
          </w:r>
        </w:p>
        <w:p>
          <w:pPr>
            <w:pStyle w:val="TOC3"/>
            <w:tabs>
              <w:tab w:val="right" w:leader="dot" w:pos="9072"/>
            </w:tabs>
          </w:pPr>
          <w:r>
            <w:t xml:space="preserve">9.1 Standard Terms</w:t>
          </w:r>
          <w:r>
            <w:tab/>
          </w:r>
          <w:r>
            <w:t xml:space="preserve">32</w:t>
          </w:r>
        </w:p>
        <w:p>
          <w:pPr>
            <w:pStyle w:val="TOC3"/>
            <w:tabs>
              <w:tab w:val="right" w:leader="dot" w:pos="9072"/>
            </w:tabs>
          </w:pPr>
          <w:r>
            <w:t xml:space="preserve">9.2 Annual License Renewal</w:t>
          </w:r>
          <w:r>
            <w:tab/>
          </w:r>
          <w:r>
            <w:t xml:space="preserve">33</w:t>
          </w:r>
        </w:p>
        <w:p>
          <w:pPr>
            <w:pStyle w:val="TOC3"/>
            <w:tabs>
              <w:tab w:val="right" w:leader="dot" w:pos="9072"/>
            </w:tabs>
          </w:pPr>
          <w:r>
            <w:t xml:space="preserve">9.3 Multi-Year Discount</w:t>
          </w:r>
          <w:r>
            <w:tab/>
          </w:r>
          <w:r>
            <w:t xml:space="preserve">34</w:t>
          </w:r>
        </w:p>
        <w:p>
          <w:pPr>
            <w:pStyle w:val="TOC2"/>
            <w:tabs>
              <w:tab w:val="right" w:leader="dot" w:pos="9072"/>
            </w:tabs>
          </w:pPr>
          <w:r>
            <w:t xml:space="preserve">10. Optional Items</w:t>
          </w:r>
          <w:r>
            <w:tab/>
          </w:r>
          <w:r>
            <w:t xml:space="preserve">35</w:t>
          </w:r>
        </w:p>
        <w:p>
          <w:pPr>
            <w:pStyle w:val="TOC3"/>
            <w:tabs>
              <w:tab w:val="right" w:leader="dot" w:pos="9072"/>
            </w:tabs>
          </w:pPr>
          <w:r>
            <w:t xml:space="preserve">10.1 Available Optional Additions</w:t>
          </w:r>
          <w:r>
            <w:tab/>
          </w:r>
          <w:r>
            <w:t xml:space="preserve">36</w:t>
          </w:r>
        </w:p>
        <w:p>
          <w:pPr>
            <w:pStyle w:val="TOC3"/>
            <w:tabs>
              <w:tab w:val="right" w:leader="dot" w:pos="9072"/>
            </w:tabs>
          </w:pPr>
          <w:r>
            <w:t xml:space="preserve">10.2 Excluded Items</w:t>
          </w:r>
          <w:r>
            <w:tab/>
          </w:r>
          <w:r>
            <w:t xml:space="preserve">37</w:t>
          </w:r>
        </w:p>
        <w:p>
          <w:pPr>
            <w:pStyle w:val="TOC2"/>
            <w:tabs>
              <w:tab w:val="right" w:leader="dot" w:pos="9072"/>
            </w:tabs>
          </w:pPr>
          <w:r>
            <w:t xml:space="preserve">11. Third-Party Costs</w:t>
          </w:r>
          <w:r>
            <w:tab/>
          </w:r>
          <w:r>
            <w:t xml:space="preserve">38</w:t>
          </w:r>
        </w:p>
        <w:p>
          <w:pPr>
            <w:pStyle w:val="TOC3"/>
            <w:tabs>
              <w:tab w:val="right" w:leader="dot" w:pos="9072"/>
            </w:tabs>
          </w:pPr>
          <w:r>
            <w:t xml:space="preserve">11.1 Costs Outside SettleMint Scope</w:t>
          </w:r>
          <w:r>
            <w:tab/>
          </w:r>
          <w:r>
            <w:t xml:space="preserve">39</w:t>
          </w:r>
        </w:p>
        <w:p>
          <w:pPr>
            <w:pStyle w:val="TOC2"/>
            <w:tabs>
              <w:tab w:val="right" w:leader="dot" w:pos="9072"/>
            </w:tabs>
          </w:pPr>
          <w:r>
            <w:t xml:space="preserve">12. Commercial Assumptions Register</w:t>
          </w:r>
          <w:r>
            <w:tab/>
          </w:r>
          <w:r>
            <w:t xml:space="preserve">40</w:t>
          </w:r>
        </w:p>
        <w:p>
          <w:pPr>
            <w:pStyle w:val="TOC2"/>
            <w:tabs>
              <w:tab w:val="right" w:leader="dot" w:pos="9072"/>
            </w:tabs>
          </w:pPr>
          <w:r>
            <w:t xml:space="preserve">13. Contractual Baseline</w:t>
          </w:r>
          <w:r>
            <w:tab/>
          </w:r>
          <w:r>
            <w:t xml:space="preserve">41</w:t>
          </w:r>
        </w:p>
        <w:p>
          <w:pPr>
            <w:pStyle w:val="TOC3"/>
            <w:tabs>
              <w:tab w:val="right" w:leader="dot" w:pos="9072"/>
            </w:tabs>
          </w:pPr>
          <w:r>
            <w:t xml:space="preserve">13.1 Standard Contract Structure</w:t>
          </w:r>
          <w:r>
            <w:tab/>
          </w:r>
          <w:r>
            <w:t xml:space="preserve">42</w:t>
          </w:r>
        </w:p>
        <w:p>
          <w:pPr>
            <w:pStyle w:val="TOC3"/>
            <w:tabs>
              <w:tab w:val="right" w:leader="dot" w:pos="9072"/>
            </w:tabs>
          </w:pPr>
          <w:r>
            <w:t xml:space="preserve">13.2 Key Commercial Terms</w:t>
          </w:r>
          <w:r>
            <w:tab/>
          </w:r>
          <w:r>
            <w:t xml:space="preserve">43</w:t>
          </w:r>
        </w:p>
        <w:p>
          <w:pPr>
            <w:pStyle w:val="TOC3"/>
            <w:tabs>
              <w:tab w:val="right" w:leader="dot" w:pos="9072"/>
            </w:tabs>
          </w:pPr>
          <w:r>
            <w:t xml:space="preserve">13.3 Data Protection</w:t>
          </w:r>
          <w:r>
            <w:tab/>
          </w:r>
          <w:r>
            <w:t xml:space="preserve">44</w:t>
          </w:r>
        </w:p>
        <w:p>
          <w:pPr>
            <w:pStyle w:val="TOC3"/>
            <w:tabs>
              <w:tab w:val="right" w:leader="dot" w:pos="9072"/>
            </w:tabs>
          </w:pPr>
          <w:r>
            <w:t xml:space="preserve">13.4 Intellectual Property</w:t>
          </w:r>
          <w:r>
            <w:tab/>
          </w:r>
          <w:r>
            <w:t xml:space="preserve">45</w:t>
          </w:r>
        </w:p>
        <w:p>
          <w:pPr>
            <w:pStyle w:val="TOC3"/>
            <w:tabs>
              <w:tab w:val="right" w:leader="dot" w:pos="9072"/>
            </w:tabs>
          </w:pPr>
          <w:r>
            <w:t xml:space="preserve">13.5 Acceptance Criteria Framework</w:t>
          </w:r>
          <w:r>
            <w:tab/>
          </w:r>
          <w:r>
            <w:t xml:space="preserve">46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London Stock Exchange Group (LSEG)</w:t>
      </w:r>
    </w:p>
    <w:p>
      <w:r>
        <w:rPr>
          <w:rFonts w:ascii="Figtree" w:hAnsi="Figtree"/>
          <w:b/>
          <w:i w:val="0"/>
          <w:sz w:val="22"/>
        </w:rPr>
        <w:t>Document Title:</w:t>
      </w:r>
      <w:r>
        <w:rPr>
          <w:rFonts w:ascii="Figtree" w:hAnsi="Figtree"/>
          <w:b w:val="0"/>
          <w:i w:val="0"/>
          <w:sz w:val="22"/>
        </w:rPr>
        <w:t xml:space="preserve"> Commercial Proposal — Digital Asset Marketplace Platform</w:t>
      </w:r>
    </w:p>
    <w:p>
      <w:r>
        <w:rPr>
          <w:rFonts w:ascii="Figtree" w:hAnsi="Figtree"/>
          <w:b/>
          <w:i w:val="0"/>
          <w:sz w:val="22"/>
        </w:rPr>
        <w:t>RFP Reference:</w:t>
      </w:r>
      <w:r>
        <w:rPr>
          <w:rFonts w:ascii="Figtree" w:hAnsi="Figtree"/>
          <w:b w:val="0"/>
          <w:i w:val="0"/>
          <w:sz w:val="22"/>
        </w:rPr>
        <w:t xml:space="preserve"> LSEG-RFP-DIGITAL-ASSET-MARKETPLACE-PLATFORM-202603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1.1 (Post Review 1)</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Recommended Tier</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Support Tier</w:t>
      </w:r>
    </w:p>
    <w:p>
      <w:pPr>
        <w:pStyle w:val="ListParagraph"/>
        <w:numPr>
          <w:ilvl w:val="0"/>
          <w:numId w:val="6"/>
        </w:numPr>
      </w:pPr>
      <w:r>
        <w:rPr>
          <w:rFonts w:ascii="Figtree" w:hAnsi="Figtree"/>
          <w:b w:val="0"/>
          <w:i w:val="0"/>
          <w:sz w:val="22"/>
        </w:rPr>
        <w:t>Environment Costs</w:t>
      </w:r>
    </w:p>
    <w:p>
      <w:pPr>
        <w:pStyle w:val="ListParagraph"/>
        <w:numPr>
          <w:ilvl w:val="0"/>
          <w:numId w:val="6"/>
        </w:numPr>
      </w:pPr>
      <w:r>
        <w:rPr>
          <w:rFonts w:ascii="Figtree" w:hAnsi="Figtree"/>
          <w:b w:val="0"/>
          <w:i w:val="0"/>
          <w:sz w:val="22"/>
        </w:rPr>
        <w:t>Three-Year TCO Analysis</w:t>
      </w:r>
    </w:p>
    <w:p>
      <w:pPr>
        <w:pStyle w:val="ListParagraph"/>
        <w:numPr>
          <w:ilvl w:val="0"/>
          <w:numId w:val="6"/>
        </w:numPr>
      </w:pPr>
      <w:r>
        <w:rPr>
          <w:rFonts w:ascii="Figtree" w:hAnsi="Figtree"/>
          <w:b w:val="0"/>
          <w:i w:val="0"/>
          <w:sz w:val="22"/>
        </w:rPr>
        <w:t>ROI Analysis</w:t>
      </w:r>
    </w:p>
    <w:p>
      <w:pPr>
        <w:pStyle w:val="ListParagraph"/>
        <w:numPr>
          <w:ilvl w:val="0"/>
          <w:numId w:val="6"/>
        </w:numPr>
      </w:pPr>
      <w:r>
        <w:rPr>
          <w:rFonts w:ascii="Figtree" w:hAnsi="Figtree"/>
          <w:b w:val="0"/>
          <w:i w:val="0"/>
          <w:sz w:val="22"/>
        </w:rPr>
        <w:t>Payment Terms</w:t>
      </w:r>
    </w:p>
    <w:p>
      <w:pPr>
        <w:pStyle w:val="ListParagraph"/>
        <w:numPr>
          <w:ilvl w:val="0"/>
          <w:numId w:val="6"/>
        </w:numPr>
      </w:pPr>
      <w:r>
        <w:rPr>
          <w:rFonts w:ascii="Figtree" w:hAnsi="Figtree"/>
          <w:b w:val="0"/>
          <w:i w:val="0"/>
          <w:sz w:val="22"/>
        </w:rPr>
        <w:t>Optional Items</w:t>
      </w:r>
    </w:p>
    <w:p>
      <w:pPr>
        <w:pStyle w:val="ListParagraph"/>
        <w:numPr>
          <w:ilvl w:val="0"/>
          <w:numId w:val="6"/>
        </w:numPr>
      </w:pPr>
      <w:r>
        <w:rPr>
          <w:rFonts w:ascii="Figtree" w:hAnsi="Figtree"/>
          <w:b w:val="0"/>
          <w:i w:val="0"/>
          <w:sz w:val="22"/>
        </w:rPr>
        <w:t>Third-Party Costs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Contractual Baseline</w:t>
      </w:r>
    </w:p>
    <w:p>
      <w:r>
        <w:br w:type="page"/>
      </w:r>
    </w:p>
    <w:p>
      <w:pPr>
        <w:pStyle w:val="H2"/>
        <w:numPr>
          <w:ilvl w:val="1"/>
          <w:numId w:val="1"/>
        </w:numPr>
      </w:pPr>
      <w:r>
        <w:t>1. Executive Summary</w:t>
      </w:r>
    </w:p>
    <w:p>
      <w:r>
        <w:rPr>
          <w:rFonts w:ascii="Figtree" w:hAnsi="Figtree"/>
          <w:b w:val="0"/>
          <w:i w:val="0"/>
          <w:sz w:val="22"/>
        </w:rPr>
        <w:t>This commercial proposal sets out the pricing, licensing, and contractual framework for SettleMint's Digital Asset Lifecycle Platform (DALP) deployment in support of LSEG's Digital Asset Marketplace Platform programme under the UK Digital Securities Sandbox.</w:t>
      </w:r>
    </w:p>
    <w:p>
      <w:r>
        <w:rPr>
          <w:rFonts w:ascii="Figtree" w:hAnsi="Figtree"/>
          <w:b w:val="0"/>
          <w:i w:val="0"/>
          <w:sz w:val="22"/>
        </w:rPr>
        <w:t>LSEG's programme represents a foundational infrastructure investment rather than a discretionary technology upgrade. The platform will underpin a regulated marketplace for tokenized securities, operating under the FCA's DSS framework and subject to the Bank of England's Operational Resilience rules. The commercial structure reflects this reality: DALP is offered as a platform license with predictable annual costs, not per-transaction pricing that creates margin uncertainty at scale.</w:t>
      </w:r>
    </w:p>
    <w:p>
      <w:r>
        <w:rPr>
          <w:rFonts w:ascii="Figtree" w:hAnsi="Figtree"/>
          <w:b w:val="0"/>
          <w:i w:val="0"/>
          <w:sz w:val="22"/>
        </w:rPr>
        <w:t>The recommended structure for LSEG comprises:</w:t>
      </w:r>
    </w:p>
    <w:p>
      <w:pPr>
        <w:pStyle w:val="ListParagraph"/>
        <w:numPr>
          <w:ilvl w:val="0"/>
          <w:numId w:val="4"/>
        </w:numPr>
      </w:pPr>
      <w:r>
        <w:rPr>
          <w:rFonts w:ascii="Figtree" w:hAnsi="Figtree"/>
          <w:b/>
          <w:i w:val="0"/>
          <w:sz w:val="22"/>
        </w:rPr>
        <w:t>DALP Enterprise Platform License:</w:t>
      </w:r>
      <w:r>
        <w:rPr>
          <w:rFonts w:ascii="Figtree" w:hAnsi="Figtree"/>
          <w:b w:val="0"/>
          <w:i w:val="0"/>
          <w:sz w:val="22"/>
        </w:rPr>
        <w:t xml:space="preserve"> Annual subscription covering all asset classes, all 18 compliance modules, full API access, and unlimited participants</w:t>
      </w:r>
    </w:p>
    <w:p>
      <w:pPr>
        <w:pStyle w:val="ListParagraph"/>
        <w:numPr>
          <w:ilvl w:val="0"/>
          <w:numId w:val="4"/>
        </w:numPr>
      </w:pPr>
      <w:r>
        <w:rPr>
          <w:rFonts w:ascii="Figtree" w:hAnsi="Figtree"/>
          <w:b/>
          <w:i w:val="0"/>
          <w:sz w:val="22"/>
        </w:rPr>
        <w:t>Implementation Services:</w:t>
      </w:r>
      <w:r>
        <w:rPr>
          <w:rFonts w:ascii="Figtree" w:hAnsi="Figtree"/>
          <w:b w:val="0"/>
          <w:i w:val="0"/>
          <w:sz w:val="22"/>
        </w:rPr>
        <w:t xml:space="preserve"> Fixed-price 19-week delivery programme, phased and milestone-gated</w:t>
      </w:r>
    </w:p>
    <w:p>
      <w:pPr>
        <w:pStyle w:val="ListParagraph"/>
        <w:numPr>
          <w:ilvl w:val="0"/>
          <w:numId w:val="4"/>
        </w:numPr>
      </w:pPr>
      <w:r>
        <w:rPr>
          <w:rFonts w:ascii="Figtree" w:hAnsi="Figtree"/>
          <w:b/>
          <w:i w:val="0"/>
          <w:sz w:val="22"/>
        </w:rPr>
        <w:t>Enterprise Support SLA:</w:t>
      </w:r>
      <w:r>
        <w:rPr>
          <w:rFonts w:ascii="Figtree" w:hAnsi="Figtree"/>
          <w:b w:val="0"/>
          <w:i w:val="0"/>
          <w:sz w:val="22"/>
        </w:rPr>
        <w:t xml:space="preserve"> 99.99% uptime, 24/7/365 coverage, named engineer, war-room P1 escalation</w:t>
      </w:r>
    </w:p>
    <w:p>
      <w:r>
        <w:rPr>
          <w:rFonts w:ascii="Figtree" w:hAnsi="Figtree"/>
          <w:b w:val="0"/>
          <w:i w:val="0"/>
          <w:sz w:val="22"/>
        </w:rPr>
        <w:t>All pricing figures in this proposal are marked [CLIENT-SPECIFIC] and will be confirmed in the formal commercial submission following completion of the technical evaluation phase. The structure, terms, and assumptions set out here reflect SettleMint's standard enterprise engagement model for Tier 1 FMI operators.</w:t>
      </w:r>
    </w:p>
    <w:p>
      <w:r>
        <w:rPr>
          <w:rFonts w:ascii="Figtree" w:hAnsi="Figtree"/>
          <w:b/>
          <w:i w:val="0"/>
          <w:sz w:val="22"/>
        </w:rPr>
        <w:t>Three-year total cost of ownership</w:t>
      </w:r>
      <w:r>
        <w:rPr>
          <w:rFonts w:ascii="Figtree" w:hAnsi="Figtree"/>
          <w:b w:val="0"/>
          <w:i w:val="0"/>
          <w:sz w:val="22"/>
        </w:rPr>
        <w:t xml:space="preserve"> is structured to provide LSEG with full cost predictability: implementation services are fixed-price; platform licensing and support fees are fixed for the initial contract term; infrastructure costs are scoped based on confirmed deployment architecture.</w:t>
      </w:r>
    </w:p>
    <w:p>
      <w:r>
        <w:br w:type="page"/>
      </w:r>
    </w:p>
    <w:p>
      <w:pPr>
        <w:pStyle w:val="H2"/>
        <w:numPr>
          <w:ilvl w:val="1"/>
          <w:numId w:val="1"/>
        </w:numPr>
      </w:pPr>
      <w:r>
        <w:t>2. Licensing Model</w:t>
      </w:r>
    </w:p>
    <w:p>
      <w:pPr>
        <w:pStyle w:val="H3"/>
        <w:numPr>
          <w:ilvl w:val="2"/>
          <w:numId w:val="1"/>
        </w:numPr>
      </w:pPr>
      <w:r>
        <w:t>2.1 Platform License Structure</w:t>
      </w:r>
    </w:p>
    <w:p>
      <w:r>
        <w:rPr>
          <w:rFonts w:ascii="Figtree" w:hAnsi="Figtree"/>
          <w:b w:val="0"/>
          <w:i w:val="0"/>
          <w:sz w:val="22"/>
        </w:rPr>
        <w:t>DALP is licensed as an annual platform subscription. The subscription model provides: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637"/>
        <w:gridCol w:w="143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All asset classes (equities, bonds, funds, structured products)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All 18 compliance modules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Full REST API (OpenAPI 3.1)</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TypeScript SDK</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Unlimited token types and asset contracts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Unlimited participants (with applicable KYC/AML costs on LSEG)</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Asset Console (operator UI)</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 and event streaming</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 addon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Feeds System</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Standard observability dashboards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Software updates and security patches</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r>
        <w:rPr>
          <w:rFonts w:ascii="Figtree" w:hAnsi="Figtree"/>
          <w:b/>
          <w:i w:val="0"/>
          <w:sz w:val="22"/>
        </w:rPr>
        <w:t>No per-transaction fees.</w:t>
      </w:r>
      <w:r>
        <w:rPr>
          <w:rFonts w:ascii="Figtree" w:hAnsi="Figtree"/>
          <w:b w:val="0"/>
          <w:i w:val="0"/>
          <w:sz w:val="22"/>
        </w:rPr>
        <w:t xml:space="preserve"> LSEG pays a fixed annual license fee regardless of transaction volume, settlement count, or number of active participants. This eliminates commercial uncertainty as the platform scales.</w:t>
      </w:r>
    </w:p>
    <w:p>
      <w:pPr>
        <w:pStyle w:val="H3"/>
        <w:numPr>
          <w:ilvl w:val="2"/>
          <w:numId w:val="1"/>
        </w:numPr>
      </w:pPr>
      <w:r>
        <w:t>2.2 License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72"/>
        <w:gridCol w:w="5127"/>
        <w:gridCol w:w="19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Uptime SLA</w:t>
            </w:r>
          </w:p>
        </w:tc>
      </w:tr>
      <w:tr>
        <w:trPr>
          <w:trHeight w:val="425" w:hRule="atLeast"/>
        </w:trPr>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Pilot/development</w:t>
            </w:r>
          </w:p>
        </w:tc>
        <w:tc>
          <w:tcPr>
            <w:tcW w:type="dxa" w:w="3249"/>
            <w:vAlign w:val="center"/>
          </w:tcPr>
          <w:p>
            <w:pPr>
              <w:spacing w:line="276" w:lineRule="auto" w:before="0" w:after="0"/>
            </w:pPr>
            <w:r/>
            <w:r>
              <w:rPr>
                <w:rFonts w:ascii="Figtree" w:hAnsi="Figtree"/>
                <w:b w:val="0"/>
                <w:i w:val="0"/>
                <w:sz w:val="20"/>
              </w:rPr>
              <w:t>99.9%</w:t>
            </w:r>
          </w:p>
        </w:tc>
      </w:tr>
      <w:tr>
        <w:trPr>
          <w:trHeight w:val="425" w:hRule="atLeast"/>
        </w:trPr>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Production FMI</w:t>
            </w:r>
          </w:p>
        </w:tc>
        <w:tc>
          <w:tcPr>
            <w:tcW w:type="dxa" w:w="3249"/>
            <w:vAlign w:val="center"/>
          </w:tcPr>
          <w:p>
            <w:pPr>
              <w:spacing w:line="276" w:lineRule="auto" w:before="0" w:after="0"/>
            </w:pPr>
            <w:r/>
            <w:r>
              <w:rPr>
                <w:rFonts w:ascii="Figtree" w:hAnsi="Figtree"/>
                <w:b w:val="0"/>
                <w:i w:val="0"/>
                <w:sz w:val="20"/>
              </w:rPr>
              <w:t>99.95%</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Systemically important FMI</w:t>
            </w:r>
          </w:p>
        </w:tc>
        <w:tc>
          <w:tcPr>
            <w:tcW w:type="dxa" w:w="3249"/>
            <w:vAlign w:val="center"/>
          </w:tcPr>
          <w:p>
            <w:pPr>
              <w:spacing w:line="276" w:lineRule="auto" w:before="0" w:after="0"/>
            </w:pPr>
            <w:r/>
            <w:r>
              <w:rPr>
                <w:rFonts w:ascii="Figtree" w:hAnsi="Figtree"/>
                <w:b w:val="0"/>
                <w:i w:val="0"/>
                <w:sz w:val="20"/>
              </w:rPr>
              <w:t>99.99%</w:t>
            </w:r>
          </w:p>
        </w:tc>
      </w:tr>
    </w:tbl>
    <w:p>
      <w:pPr>
        <w:spacing w:before="0" w:after="0" w:line="120" w:lineRule="exact"/>
      </w:pPr>
    </w:p>
    <w:p>
      <w:r>
        <w:rPr>
          <w:rFonts w:ascii="Figtree" w:hAnsi="Figtree"/>
          <w:b w:val="0"/>
          <w:i w:val="0"/>
          <w:sz w:val="22"/>
        </w:rPr>
        <w:t xml:space="preserve">SettleMint recommends the </w:t>
      </w:r>
      <w:r>
        <w:rPr>
          <w:rFonts w:ascii="Figtree" w:hAnsi="Figtree"/>
          <w:b/>
          <w:i w:val="0"/>
          <w:sz w:val="22"/>
        </w:rPr>
        <w:t>Enterprise</w:t>
      </w:r>
      <w:r>
        <w:rPr>
          <w:rFonts w:ascii="Figtree" w:hAnsi="Figtree"/>
          <w:b w:val="0"/>
          <w:i w:val="0"/>
          <w:sz w:val="22"/>
        </w:rPr>
        <w:t xml:space="preserve"> license tier for LSEG, consistent with LSEG's FMI status and Operational Resilience obligations.</w:t>
      </w:r>
    </w:p>
    <w:p>
      <w:pPr>
        <w:pStyle w:val="H3"/>
        <w:numPr>
          <w:ilvl w:val="2"/>
          <w:numId w:val="1"/>
        </w:numPr>
      </w:pPr>
      <w:r>
        <w:t>2.3 Deployment Model</w:t>
      </w:r>
    </w:p>
    <w:p>
      <w:r>
        <w:rPr>
          <w:rFonts w:ascii="Figtree" w:hAnsi="Figtree"/>
          <w:b w:val="0"/>
          <w:i w:val="0"/>
          <w:sz w:val="22"/>
        </w:rPr>
        <w:t xml:space="preserve">LSEG's deployment is </w:t>
      </w:r>
      <w:r>
        <w:rPr>
          <w:rFonts w:ascii="Figtree" w:hAnsi="Figtree"/>
          <w:b/>
          <w:i w:val="0"/>
          <w:sz w:val="22"/>
        </w:rPr>
        <w:t>Private Cloud (On-Premises compatible)</w:t>
      </w:r>
      <w:r>
        <w:rPr>
          <w:rFonts w:ascii="Figtree" w:hAnsi="Figtree"/>
          <w:b w:val="0"/>
          <w:i w:val="0"/>
          <w:sz w:val="22"/>
        </w:rPr>
        <w:t xml:space="preserve"> within LSEG-controlled UK data centres. The platform is delivered as a Helm/Kubernetes deployment package with:</w:t>
      </w:r>
    </w:p>
    <w:p>
      <w:pPr>
        <w:pStyle w:val="ListParagraph"/>
        <w:numPr>
          <w:ilvl w:val="0"/>
          <w:numId w:val="4"/>
        </w:numPr>
      </w:pPr>
      <w:r>
        <w:rPr>
          <w:rFonts w:ascii="Figtree" w:hAnsi="Figtree"/>
          <w:b w:val="0"/>
          <w:i w:val="0"/>
          <w:sz w:val="22"/>
        </w:rPr>
        <w:t>Full source-available deployment configuration</w:t>
      </w:r>
    </w:p>
    <w:p>
      <w:pPr>
        <w:pStyle w:val="ListParagraph"/>
        <w:numPr>
          <w:ilvl w:val="0"/>
          <w:numId w:val="4"/>
        </w:numPr>
      </w:pPr>
      <w:r>
        <w:rPr>
          <w:rFonts w:ascii="Figtree" w:hAnsi="Figtree"/>
          <w:b w:val="0"/>
          <w:i w:val="0"/>
          <w:sz w:val="22"/>
        </w:rPr>
        <w:t>LSEG-controlled infrastructure (no data leaves LSEG's environment)</w:t>
      </w:r>
    </w:p>
    <w:p>
      <w:pPr>
        <w:pStyle w:val="ListParagraph"/>
        <w:numPr>
          <w:ilvl w:val="0"/>
          <w:numId w:val="4"/>
        </w:numPr>
      </w:pPr>
      <w:r>
        <w:rPr>
          <w:rFonts w:ascii="Figtree" w:hAnsi="Figtree"/>
          <w:b w:val="0"/>
          <w:i w:val="0"/>
          <w:sz w:val="22"/>
        </w:rPr>
        <w:t>SettleMint-managed software updates delivered as versioned container images</w:t>
      </w:r>
    </w:p>
    <w:p>
      <w:pPr>
        <w:pStyle w:val="ListParagraph"/>
        <w:numPr>
          <w:ilvl w:val="0"/>
          <w:numId w:val="4"/>
        </w:numPr>
      </w:pPr>
      <w:r>
        <w:rPr>
          <w:rFonts w:ascii="Figtree" w:hAnsi="Figtree"/>
          <w:b w:val="0"/>
          <w:i w:val="0"/>
          <w:sz w:val="22"/>
        </w:rPr>
        <w:t>LSEG retains infrastructure control; SettleMint provides platform support</w:t>
      </w:r>
    </w:p>
    <w:p>
      <w:r>
        <w:br w:type="page"/>
      </w:r>
    </w:p>
    <w:p>
      <w:pPr>
        <w:pStyle w:val="H2"/>
        <w:numPr>
          <w:ilvl w:val="1"/>
          <w:numId w:val="1"/>
        </w:numPr>
      </w:pPr>
      <w:r>
        <w:t>3. Recommended Tier</w:t>
      </w:r>
    </w:p>
    <w:p>
      <w:pPr>
        <w:pStyle w:val="H3"/>
        <w:numPr>
          <w:ilvl w:val="2"/>
          <w:numId w:val="1"/>
        </w:numPr>
      </w:pPr>
      <w:r>
        <w:t>3.1 Enterprise Tier Justification</w:t>
      </w:r>
    </w:p>
    <w:p>
      <w:r>
        <w:rPr>
          <w:rFonts w:ascii="Figtree" w:hAnsi="Figtree"/>
          <w:b w:val="0"/>
          <w:i w:val="0"/>
          <w:sz w:val="22"/>
        </w:rPr>
        <w:t>LSEG qualifies for and requires the Enterprise tier on all dimensions:</w:t>
      </w:r>
    </w:p>
    <w:p>
      <w:r>
        <w:rPr>
          <w:rFonts w:ascii="Figtree" w:hAnsi="Figtree"/>
          <w:b/>
          <w:i w:val="0"/>
          <w:sz w:val="22"/>
        </w:rPr>
        <w:t>Regulatory obligation:</w:t>
      </w:r>
      <w:r>
        <w:rPr>
          <w:rFonts w:ascii="Figtree" w:hAnsi="Figtree"/>
          <w:b w:val="0"/>
          <w:i w:val="0"/>
          <w:sz w:val="22"/>
        </w:rPr>
        <w:t xml:space="preserve"> The FCA Operational Resilience rules require LSEG to demonstrate impact tolerance mapping and recovery time objectives for all Important Business Services. A sub-99.99% platform SLA is incompatible with LSEG's regulatory commitments.</w:t>
      </w:r>
    </w:p>
    <w:p>
      <w:r>
        <w:rPr>
          <w:rFonts w:ascii="Figtree" w:hAnsi="Figtree"/>
          <w:b/>
          <w:i w:val="0"/>
          <w:sz w:val="22"/>
        </w:rPr>
        <w:t>Market hours:</w:t>
      </w:r>
      <w:r>
        <w:rPr>
          <w:rFonts w:ascii="Figtree" w:hAnsi="Figtree"/>
          <w:b w:val="0"/>
          <w:i w:val="0"/>
          <w:sz w:val="22"/>
        </w:rPr>
        <w:t xml:space="preserve"> LSEG operates regulated markets with defined trading hours. Platform unavailability during trading hours constitutes a notifiable operational incident under DSS and FCA reporting requirements. Enterprise SLA's zero planned maintenance during trading hours provision is mandatory.</w:t>
      </w:r>
    </w:p>
    <w:p>
      <w:r>
        <w:rPr>
          <w:rFonts w:ascii="Figtree" w:hAnsi="Figtree"/>
          <w:b/>
          <w:i w:val="0"/>
          <w:sz w:val="22"/>
        </w:rPr>
        <w:t>Systemic importance:</w:t>
      </w:r>
      <w:r>
        <w:rPr>
          <w:rFonts w:ascii="Figtree" w:hAnsi="Figtree"/>
          <w:b w:val="0"/>
          <w:i w:val="0"/>
          <w:sz w:val="22"/>
        </w:rPr>
        <w:t xml:space="preserve"> As a Recognised Investment Exchange, LSEG's marketplace infrastructure is systemically significant. The Enterprise war-room P1 escalation model, with direct CTO access, reflects the seriousness with which SettleMint treats availability obligations for FMI operators.</w:t>
      </w:r>
    </w:p>
    <w:p>
      <w:r>
        <w:rPr>
          <w:rFonts w:ascii="Figtree" w:hAnsi="Figtree"/>
          <w:b/>
          <w:i w:val="0"/>
          <w:sz w:val="22"/>
        </w:rPr>
        <w:t>Dedicated resourcing:</w:t>
      </w:r>
      <w:r>
        <w:rPr>
          <w:rFonts w:ascii="Figtree" w:hAnsi="Figtree"/>
          <w:b w:val="0"/>
          <w:i w:val="0"/>
          <w:sz w:val="22"/>
        </w:rPr>
        <w:t xml:space="preserve"> LSEG's platform complexity, including multi-asset support, DSS regulatory requirements, and integration with multiple LSEG systems, requires a named engineer with deep institutional knowledge of the specific deployment. This is only available under Enterprise.</w:t>
      </w:r>
    </w:p>
    <w:p>
      <w:pPr>
        <w:pStyle w:val="H3"/>
        <w:numPr>
          <w:ilvl w:val="2"/>
          <w:numId w:val="1"/>
        </w:numPr>
      </w:pPr>
      <w:r>
        <w:t>3.2 Enterprise SLA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95"/>
        <w:gridCol w:w="567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Commitment</w:t>
            </w:r>
          </w:p>
        </w:tc>
      </w:tr>
      <w:tr>
        <w:trPr>
          <w:trHeight w:val="425" w:hRule="atLeast"/>
        </w:trPr>
        <w:tc>
          <w:tcPr>
            <w:tcW w:type="dxa" w:w="4873"/>
            <w:vAlign w:val="center"/>
          </w:tcPr>
          <w:p>
            <w:pPr>
              <w:spacing w:line="276" w:lineRule="auto" w:before="0" w:after="0"/>
            </w:pPr>
            <w:r/>
            <w:r>
              <w:rPr>
                <w:rFonts w:ascii="Figtree" w:hAnsi="Figtree"/>
                <w:b w:val="0"/>
                <w:i w:val="0"/>
                <w:sz w:val="20"/>
              </w:rPr>
              <w:t>Annual 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P1 acknowledgement</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P2 acknowledgement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P3 acknowledgement</w:t>
            </w:r>
          </w:p>
        </w:tc>
        <w:tc>
          <w:tcPr>
            <w:tcW w:type="dxa" w:w="4873"/>
            <w:vAlign w:val="center"/>
          </w:tcPr>
          <w:p>
            <w:pPr>
              <w:spacing w:line="276" w:lineRule="auto" w:before="0" w:after="0"/>
            </w:pPr>
            <w:r/>
            <w:r>
              <w:rPr>
                <w:rFonts w:ascii="Figtree" w:hAnsi="Figtree"/>
                <w:b w:val="0"/>
                <w:i w:val="0"/>
                <w:sz w:val="20"/>
              </w:rPr>
              <w:t>8 business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Planned maintenance</w:t>
            </w:r>
          </w:p>
        </w:tc>
        <w:tc>
          <w:tcPr>
            <w:tcW w:type="dxa" w:w="4873"/>
            <w:vAlign w:val="center"/>
          </w:tcPr>
          <w:p>
            <w:pPr>
              <w:spacing w:line="276" w:lineRule="auto" w:before="0" w:after="0"/>
            </w:pPr>
            <w:r/>
            <w:r>
              <w:rPr>
                <w:rFonts w:ascii="Figtree" w:hAnsi="Figtree"/>
                <w:b w:val="0"/>
                <w:i w:val="0"/>
                <w:sz w:val="20"/>
              </w:rPr>
              <w:t>Pre-agreed windows only, zero during trading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Slack channel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Named engineer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P1 escalation</w:t>
            </w:r>
          </w:p>
        </w:tc>
        <w:tc>
          <w:tcPr>
            <w:tcW w:type="dxa" w:w="4873"/>
            <w:vAlign w:val="center"/>
          </w:tcPr>
          <w:p>
            <w:pPr>
              <w:spacing w:line="276" w:lineRule="auto" w:before="0" w:after="0"/>
            </w:pPr>
            <w:r/>
            <w:r>
              <w:rPr>
                <w:rFonts w:ascii="Figtree" w:hAnsi="Figtree"/>
                <w:b w:val="0"/>
                <w:i w:val="0"/>
                <w:sz w:val="20"/>
              </w:rPr>
              <w:t>War-room with SettleMint CTO</w:t>
            </w:r>
          </w:p>
        </w:tc>
      </w:tr>
      <w:tr>
        <w:trPr>
          <w:trHeight w:val="425" w:hRule="atLeast"/>
        </w:trPr>
        <w:tc>
          <w:tcPr>
            <w:tcW w:type="dxa" w:w="4873"/>
            <w:vAlign w:val="center"/>
          </w:tcPr>
          <w:p>
            <w:pPr>
              <w:spacing w:line="276" w:lineRule="auto" w:before="0" w:after="0"/>
            </w:pPr>
            <w:r/>
            <w:r>
              <w:rPr>
                <w:rFonts w:ascii="Figtree" w:hAnsi="Figtree"/>
                <w:b w:val="0"/>
                <w:i w:val="0"/>
                <w:sz w:val="20"/>
              </w:rPr>
              <w:t>Quarterly service reviews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Annual DR test participation</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r>
        <w:br w:type="page"/>
      </w:r>
    </w:p>
    <w:p>
      <w:pPr>
        <w:pStyle w:val="H2"/>
        <w:numPr>
          <w:ilvl w:val="1"/>
          <w:numId w:val="1"/>
        </w:numPr>
      </w:pPr>
      <w:r>
        <w:t>4. Implementation Services Pricing</w:t>
      </w:r>
    </w:p>
    <w:p>
      <w:pPr>
        <w:pStyle w:val="H3"/>
        <w:numPr>
          <w:ilvl w:val="2"/>
          <w:numId w:val="1"/>
        </w:numPr>
      </w:pPr>
      <w:r>
        <w:t>4.1 Fixed-Price Implementation</w:t>
      </w:r>
    </w:p>
    <w:p>
      <w:r>
        <w:rPr>
          <w:rFonts w:ascii="Figtree" w:hAnsi="Figtree"/>
          <w:b w:val="0"/>
          <w:i w:val="0"/>
          <w:sz w:val="22"/>
        </w:rPr>
        <w:t>SettleMint delivers implementation as a fixed-price engagement. LSEG is protected against cost overruns arising from platform complexity or SettleMint resource estimates.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0"/>
        <w:gridCol w:w="761"/>
        <w:gridCol w:w="4948"/>
        <w:gridCol w:w="133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Price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validation, architecture design, integration planning</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Infrastructure provisioning, Besu network deployment, core platform deployment</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Asset templates, compliance modules, participant workflows, market models</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 and Testing</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API integrations, surveillance, UAT, load testing, penetration testing</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 and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DSS registration support, phased onboarding, hypercare monitoring</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i w:val="0"/>
                <w:sz w:val="20"/>
              </w:rPr>
              <w:t>Total Implementation</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Fixed-price, milestone-gated</w:t>
            </w:r>
          </w:p>
        </w:tc>
        <w:tc>
          <w:tcPr>
            <w:tcW w:type="dxa" w:w="2436"/>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4.2 Payment Schedule (Implementation)</w:t>
      </w:r>
    </w:p>
    <w:p>
      <w:r>
        <w:rPr>
          <w:rFonts w:ascii="Figtree" w:hAnsi="Figtree"/>
          <w:b w:val="0"/>
          <w:i w:val="0"/>
          <w:sz w:val="22"/>
        </w:rPr>
        <w:t>Implementation fees are milestone-gated: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8"/>
        <w:gridCol w:w="4536"/>
        <w:gridCol w:w="141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 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Proportion</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Programme commencement</w:t>
            </w:r>
          </w:p>
        </w:tc>
        <w:tc>
          <w:tcPr>
            <w:tcW w:type="dxa" w:w="3249"/>
            <w:vAlign w:val="center"/>
          </w:tcPr>
          <w:p>
            <w:pPr>
              <w:spacing w:line="276" w:lineRule="auto" w:before="0" w:after="0"/>
            </w:pPr>
            <w:r/>
            <w:r>
              <w:rPr>
                <w:rFonts w:ascii="Figtree" w:hAnsi="Figtree"/>
                <w:b w:val="0"/>
                <w:i w:val="0"/>
                <w:sz w:val="20"/>
              </w:rPr>
              <w:t>25%</w:t>
            </w:r>
          </w:p>
        </w:tc>
      </w:tr>
      <w:tr>
        <w:trPr>
          <w:trHeight w:val="425" w:hRule="atLeast"/>
        </w:trPr>
        <w:tc>
          <w:tcPr>
            <w:tcW w:type="dxa" w:w="3249"/>
            <w:vAlign w:val="center"/>
          </w:tcPr>
          <w:p>
            <w:pPr>
              <w:spacing w:line="276" w:lineRule="auto" w:before="0" w:after="0"/>
            </w:pPr>
            <w:r/>
            <w:r>
              <w:rPr>
                <w:rFonts w:ascii="Figtree" w:hAnsi="Figtree"/>
                <w:b w:val="0"/>
                <w:i w:val="0"/>
                <w:sz w:val="20"/>
              </w:rPr>
              <w:t>Foundation sign-off</w:t>
            </w:r>
          </w:p>
        </w:tc>
        <w:tc>
          <w:tcPr>
            <w:tcW w:type="dxa" w:w="3249"/>
            <w:vAlign w:val="center"/>
          </w:tcPr>
          <w:p>
            <w:pPr>
              <w:spacing w:line="276" w:lineRule="auto" w:before="0" w:after="0"/>
            </w:pPr>
            <w:r/>
            <w:r>
              <w:rPr>
                <w:rFonts w:ascii="Figtree" w:hAnsi="Figtree"/>
                <w:b w:val="0"/>
                <w:i w:val="0"/>
                <w:sz w:val="20"/>
              </w:rPr>
              <w:t>Infrastructure and network live</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sign-off</w:t>
            </w:r>
          </w:p>
        </w:tc>
        <w:tc>
          <w:tcPr>
            <w:tcW w:type="dxa" w:w="3249"/>
            <w:vAlign w:val="center"/>
          </w:tcPr>
          <w:p>
            <w:pPr>
              <w:spacing w:line="276" w:lineRule="auto" w:before="0" w:after="0"/>
            </w:pPr>
            <w:r/>
            <w:r>
              <w:rPr>
                <w:rFonts w:ascii="Figtree" w:hAnsi="Figtree"/>
                <w:b w:val="0"/>
                <w:i w:val="0"/>
                <w:sz w:val="20"/>
              </w:rPr>
              <w:t>Compliance officer review passed</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UAT sign-off</w:t>
            </w:r>
          </w:p>
        </w:tc>
        <w:tc>
          <w:tcPr>
            <w:tcW w:type="dxa" w:w="3249"/>
            <w:vAlign w:val="center"/>
          </w:tcPr>
          <w:p>
            <w:pPr>
              <w:spacing w:line="276" w:lineRule="auto" w:before="0" w:after="0"/>
            </w:pPr>
            <w:r/>
            <w:r>
              <w:rPr>
                <w:rFonts w:ascii="Figtree" w:hAnsi="Figtree"/>
                <w:b w:val="0"/>
                <w:i w:val="0"/>
                <w:sz w:val="20"/>
              </w:rPr>
              <w:t>Acceptance testing complete</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Go-Live certificate</w:t>
            </w:r>
          </w:p>
        </w:tc>
        <w:tc>
          <w:tcPr>
            <w:tcW w:type="dxa" w:w="3249"/>
            <w:vAlign w:val="center"/>
          </w:tcPr>
          <w:p>
            <w:pPr>
              <w:spacing w:line="276" w:lineRule="auto" w:before="0" w:after="0"/>
            </w:pPr>
            <w:r/>
            <w:r>
              <w:rPr>
                <w:rFonts w:ascii="Figtree" w:hAnsi="Figtree"/>
                <w:b w:val="0"/>
                <w:i w:val="0"/>
                <w:sz w:val="20"/>
              </w:rPr>
              <w:t>Production platform operational</w:t>
            </w:r>
          </w:p>
        </w:tc>
        <w:tc>
          <w:tcPr>
            <w:tcW w:type="dxa" w:w="3249"/>
            <w:vAlign w:val="center"/>
          </w:tcPr>
          <w:p>
            <w:pPr>
              <w:spacing w:line="276" w:lineRule="auto" w:before="0" w:after="0"/>
            </w:pPr>
            <w:r/>
            <w:r>
              <w:rPr>
                <w:rFonts w:ascii="Figtree" w:hAnsi="Figtree"/>
                <w:b w:val="0"/>
                <w:i w:val="0"/>
                <w:sz w:val="20"/>
              </w:rPr>
              <w:t>15%</w:t>
            </w:r>
          </w:p>
        </w:tc>
      </w:tr>
    </w:tbl>
    <w:p>
      <w:pPr>
        <w:spacing w:before="0" w:after="0" w:line="120" w:lineRule="exact"/>
      </w:pPr>
    </w:p>
    <w:p>
      <w:pPr>
        <w:pStyle w:val="H3"/>
        <w:numPr>
          <w:ilvl w:val="2"/>
          <w:numId w:val="1"/>
        </w:numPr>
      </w:pPr>
      <w:r>
        <w:t>4.3 Change Request Process</w:t>
      </w:r>
    </w:p>
    <w:p>
      <w:r>
        <w:rPr>
          <w:rFonts w:ascii="Figtree" w:hAnsi="Figtree"/>
          <w:b w:val="0"/>
          <w:i w:val="0"/>
          <w:sz w:val="22"/>
        </w:rPr>
        <w:t>Scope changes during implementation are managed via formal change requests:</w:t>
      </w:r>
    </w:p>
    <w:p>
      <w:pPr>
        <w:pStyle w:val="ListParagraph"/>
        <w:numPr>
          <w:ilvl w:val="0"/>
          <w:numId w:val="4"/>
        </w:numPr>
      </w:pPr>
      <w:r>
        <w:rPr>
          <w:rFonts w:ascii="Figtree" w:hAnsi="Figtree"/>
          <w:b w:val="0"/>
          <w:i w:val="0"/>
          <w:sz w:val="22"/>
        </w:rPr>
        <w:t>Minor changes (parameter adjustments, additional compliance module configuration): absorbed within existing phase budget</w:t>
      </w:r>
    </w:p>
    <w:p>
      <w:pPr>
        <w:pStyle w:val="ListParagraph"/>
        <w:numPr>
          <w:ilvl w:val="0"/>
          <w:numId w:val="4"/>
        </w:numPr>
      </w:pPr>
      <w:r>
        <w:rPr>
          <w:rFonts w:ascii="Figtree" w:hAnsi="Figtree"/>
          <w:b w:val="0"/>
          <w:i w:val="0"/>
          <w:sz w:val="22"/>
        </w:rPr>
        <w:t>Material changes (new integration scope, additional asset classes beyond initial configuration, extended testing): priced via change request, approved by both parties before execution</w:t>
      </w:r>
    </w:p>
    <w:p>
      <w:pPr>
        <w:pStyle w:val="ListParagraph"/>
        <w:numPr>
          <w:ilvl w:val="0"/>
          <w:numId w:val="4"/>
        </w:numPr>
      </w:pPr>
      <w:r>
        <w:rPr>
          <w:rFonts w:ascii="Figtree" w:hAnsi="Figtree"/>
          <w:b w:val="0"/>
          <w:i w:val="0"/>
          <w:sz w:val="22"/>
        </w:rPr>
        <w:t>Programme suspension and restart: re-mobilisation fee applies, quantum to be agreed</w:t>
      </w:r>
    </w:p>
    <w:p>
      <w:pPr>
        <w:pStyle w:val="H3"/>
        <w:numPr>
          <w:ilvl w:val="2"/>
          <w:numId w:val="1"/>
        </w:numPr>
      </w:pPr>
      <w:r>
        <w:t>4.4 Travel and Expenses</w:t>
      </w:r>
    </w:p>
    <w:p>
      <w:r>
        <w:rPr>
          <w:rFonts w:ascii="Figtree" w:hAnsi="Figtree"/>
          <w:b w:val="0"/>
          <w:i w:val="0"/>
          <w:sz w:val="22"/>
        </w:rPr>
        <w:t>Reasonable travel and accommodation expenses for on-site work at LSEG premises are invoiced at cost, with LSEG approval for individual items above [CLIENT-SPECIFIC] threshold. Remote-first delivery model minimises on-site requirements; on-site presence is planned for Discovery workshops, Go-Live, and quarterly reviews.</w:t>
      </w:r>
    </w:p>
    <w:p>
      <w:r>
        <w:br w:type="page"/>
      </w:r>
    </w:p>
    <w:p>
      <w:pPr>
        <w:pStyle w:val="H2"/>
        <w:numPr>
          <w:ilvl w:val="1"/>
          <w:numId w:val="1"/>
        </w:numPr>
      </w:pPr>
      <w:r>
        <w:t>5. Support Tier</w:t>
      </w:r>
    </w:p>
    <w:p>
      <w:pPr>
        <w:pStyle w:val="H3"/>
        <w:numPr>
          <w:ilvl w:val="2"/>
          <w:numId w:val="1"/>
        </w:numPr>
      </w:pPr>
      <w:r>
        <w:t>5.1 Enterprise Support Pricing</w:t>
      </w:r>
    </w:p>
    <w:p>
      <w:r>
        <w:rPr>
          <w:rFonts w:ascii="Figtree" w:hAnsi="Figtree"/>
          <w:b w:val="0"/>
          <w:i w:val="0"/>
          <w:sz w:val="22"/>
        </w:rPr>
        <w:t>Enterprise support is priced as an annual fee, included within the Enterprise platform license bundle.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443"/>
        <w:gridCol w:w="36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4873"/>
            <w:vAlign w:val="center"/>
          </w:tcPr>
          <w:p>
            <w:pPr>
              <w:spacing w:line="276" w:lineRule="auto" w:before="0" w:after="0"/>
            </w:pPr>
            <w:r/>
            <w:r>
              <w:rPr>
                <w:rFonts w:ascii="Figtree" w:hAnsi="Figtree"/>
                <w:b w:val="0"/>
                <w:i w:val="0"/>
                <w:sz w:val="20"/>
              </w:rPr>
              <w:t>Enterprise platform license (all features)</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SLA</w:t>
            </w:r>
          </w:p>
        </w:tc>
        <w:tc>
          <w:tcPr>
            <w:tcW w:type="dxa" w:w="4873"/>
            <w:vAlign w:val="center"/>
          </w:tcPr>
          <w:p>
            <w:pPr>
              <w:spacing w:line="276" w:lineRule="auto" w:before="0" w:after="0"/>
            </w:pPr>
            <w:r/>
            <w:r>
              <w:rPr>
                <w:rFonts w:ascii="Figtree" w:hAnsi="Figtree"/>
                <w:b w:val="0"/>
                <w:i w:val="0"/>
                <w:sz w:val="20"/>
              </w:rPr>
              <w:t>Included in platform license</w:t>
            </w:r>
          </w:p>
        </w:tc>
      </w:tr>
      <w:tr>
        <w:trPr>
          <w:trHeight w:val="425" w:hRule="atLeast"/>
        </w:trPr>
        <w:tc>
          <w:tcPr>
            <w:tcW w:type="dxa" w:w="4873"/>
            <w:vAlign w:val="center"/>
          </w:tcPr>
          <w:p>
            <w:pPr>
              <w:spacing w:line="276" w:lineRule="auto" w:before="0" w:after="0"/>
            </w:pPr>
            <w:r/>
            <w:r>
              <w:rPr>
                <w:rFonts w:ascii="Figtree" w:hAnsi="Figtree"/>
                <w:b w:val="0"/>
                <w:i w:val="0"/>
                <w:sz w:val="20"/>
              </w:rPr>
              <w:t>Named engineer (dedicated to LSEG)</w:t>
            </w:r>
          </w:p>
        </w:tc>
        <w:tc>
          <w:tcPr>
            <w:tcW w:type="dxa" w:w="4873"/>
            <w:vAlign w:val="center"/>
          </w:tcPr>
          <w:p>
            <w:pPr>
              <w:spacing w:line="276" w:lineRule="auto" w:before="0" w:after="0"/>
            </w:pPr>
            <w:r/>
            <w:r>
              <w:rPr>
                <w:rFonts w:ascii="Figtree" w:hAnsi="Figtree"/>
                <w:b w:val="0"/>
                <w:i w:val="0"/>
                <w:sz w:val="20"/>
              </w:rPr>
              <w:t>Included in platform license</w:t>
            </w:r>
          </w:p>
        </w:tc>
      </w:tr>
      <w:tr>
        <w:trPr>
          <w:trHeight w:val="425" w:hRule="atLeast"/>
        </w:trPr>
        <w:tc>
          <w:tcPr>
            <w:tcW w:type="dxa" w:w="4873"/>
            <w:vAlign w:val="center"/>
          </w:tcPr>
          <w:p>
            <w:pPr>
              <w:spacing w:line="276" w:lineRule="auto" w:before="0" w:after="0"/>
            </w:pPr>
            <w:r/>
            <w:r>
              <w:rPr>
                <w:rFonts w:ascii="Figtree" w:hAnsi="Figtree"/>
                <w:b w:val="0"/>
                <w:i w:val="0"/>
                <w:sz w:val="20"/>
              </w:rPr>
              <w:t>Quarterly service reviews</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Annual DR test participation</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r>
        <w:rPr>
          <w:rFonts w:ascii="Figtree" w:hAnsi="Figtree"/>
          <w:b w:val="0"/>
          <w:i w:val="0"/>
          <w:sz w:val="22"/>
        </w:rPr>
        <w:t>Enterprise support commences at Go-Live and is priced for the initial 3-year term. Support renewal pricing is fixed for the initial term with a capped escalation mechanism thereafter.</w:t>
      </w:r>
    </w:p>
    <w:p>
      <w:pPr>
        <w:pStyle w:val="H3"/>
        <w:numPr>
          <w:ilvl w:val="2"/>
          <w:numId w:val="1"/>
        </w:numPr>
      </w:pPr>
      <w:r>
        <w:t>5.2 Hypercare Period</w:t>
      </w:r>
    </w:p>
    <w:p>
      <w:r>
        <w:rPr>
          <w:rFonts w:ascii="Figtree" w:hAnsi="Figtree"/>
          <w:b w:val="0"/>
          <w:i w:val="0"/>
          <w:sz w:val="22"/>
        </w:rPr>
        <w:t>The 6-week hypercare period within Phase 5 is included in the implementation fixed price. Hypercare provides:</w:t>
      </w:r>
    </w:p>
    <w:p>
      <w:pPr>
        <w:pStyle w:val="ListParagraph"/>
        <w:numPr>
          <w:ilvl w:val="0"/>
          <w:numId w:val="4"/>
        </w:numPr>
      </w:pPr>
      <w:r>
        <w:rPr>
          <w:rFonts w:ascii="Figtree" w:hAnsi="Figtree"/>
          <w:b w:val="0"/>
          <w:i w:val="0"/>
          <w:sz w:val="22"/>
        </w:rPr>
        <w:t>24/7 named engineer monitoring during hypercare window</w:t>
      </w:r>
    </w:p>
    <w:p>
      <w:pPr>
        <w:pStyle w:val="ListParagraph"/>
        <w:numPr>
          <w:ilvl w:val="0"/>
          <w:numId w:val="4"/>
        </w:numPr>
      </w:pPr>
      <w:r>
        <w:rPr>
          <w:rFonts w:ascii="Figtree" w:hAnsi="Figtree"/>
          <w:b w:val="0"/>
          <w:i w:val="0"/>
          <w:sz w:val="22"/>
        </w:rPr>
        <w:t>Immediate response to any production issues</w:t>
      </w:r>
    </w:p>
    <w:p>
      <w:pPr>
        <w:pStyle w:val="ListParagraph"/>
        <w:numPr>
          <w:ilvl w:val="0"/>
          <w:numId w:val="4"/>
        </w:numPr>
      </w:pPr>
      <w:r>
        <w:rPr>
          <w:rFonts w:ascii="Figtree" w:hAnsi="Figtree"/>
          <w:b w:val="0"/>
          <w:i w:val="0"/>
          <w:sz w:val="22"/>
        </w:rPr>
        <w:t>Daily status calls with LSEG operations team</w:t>
      </w:r>
    </w:p>
    <w:p>
      <w:pPr>
        <w:pStyle w:val="ListParagraph"/>
        <w:numPr>
          <w:ilvl w:val="0"/>
          <w:numId w:val="4"/>
        </w:numPr>
      </w:pPr>
      <w:r>
        <w:rPr>
          <w:rFonts w:ascii="Figtree" w:hAnsi="Figtree"/>
          <w:b w:val="0"/>
          <w:i w:val="0"/>
          <w:sz w:val="22"/>
        </w:rPr>
        <w:t>Transition briefing to post-hypercare support model at week 6</w:t>
      </w:r>
    </w:p>
    <w:p>
      <w:r>
        <w:rPr>
          <w:rFonts w:ascii="Figtree" w:hAnsi="Figtree"/>
          <w:b w:val="0"/>
          <w:i w:val="0"/>
          <w:sz w:val="22"/>
        </w:rPr>
        <w:t>Hypercare can be extended beyond 6 weeks at a weekly extension rate of [CLIENT-SPECIFIC] if LSEG requires additional stabilisation time before transitioning to standard Enterprise SLA.</w:t>
      </w:r>
    </w:p>
    <w:p>
      <w:r>
        <w:br w:type="page"/>
      </w:r>
    </w:p>
    <w:p>
      <w:pPr>
        <w:pStyle w:val="H2"/>
        <w:numPr>
          <w:ilvl w:val="1"/>
          <w:numId w:val="1"/>
        </w:numPr>
      </w:pPr>
      <w:r>
        <w:t>6. Environment Costs</w:t>
      </w:r>
    </w:p>
    <w:p>
      <w:pPr>
        <w:pStyle w:val="H3"/>
        <w:numPr>
          <w:ilvl w:val="2"/>
          <w:numId w:val="1"/>
        </w:numPr>
      </w:pPr>
      <w:r>
        <w:t>6.1 Infrastructure Sizing (Indicative)</w:t>
      </w:r>
    </w:p>
    <w:p>
      <w:r>
        <w:rPr>
          <w:rFonts w:ascii="Figtree" w:hAnsi="Figtree"/>
          <w:b w:val="0"/>
          <w:i w:val="0"/>
          <w:sz w:val="22"/>
        </w:rPr>
        <w:t>The following environment configuration is recommended for LSEG's marketplace platform. Infrastructure costs are LSEG's responsibility as the platform is deployed within LSEG-controlled data centres.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05"/>
        <w:gridCol w:w="2167"/>
        <w:gridCol w:w="3211"/>
        <w:gridCol w:w="208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Nodes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25" w:hRule="atLeast"/>
        </w:trPr>
        <w:tc>
          <w:tcPr>
            <w:tcW w:type="dxa" w:w="2436"/>
            <w:vAlign w:val="center"/>
          </w:tcPr>
          <w:p>
            <w:pPr>
              <w:spacing w:line="276" w:lineRule="auto" w:before="0" w:after="0"/>
            </w:pPr>
            <w:r/>
            <w:r>
              <w:rPr>
                <w:rFonts w:ascii="Figtree" w:hAnsi="Figtree"/>
                <w:b w:val="0"/>
                <w:i w:val="0"/>
                <w:sz w:val="20"/>
              </w:rPr>
              <w:t>Production Primary</w:t>
            </w:r>
          </w:p>
        </w:tc>
        <w:tc>
          <w:tcPr>
            <w:tcW w:type="dxa" w:w="2436"/>
            <w:vAlign w:val="center"/>
          </w:tcPr>
          <w:p>
            <w:pPr>
              <w:spacing w:line="276" w:lineRule="auto" w:before="0" w:after="0"/>
            </w:pPr>
            <w:r/>
            <w:r>
              <w:rPr>
                <w:rFonts w:ascii="Figtree" w:hAnsi="Figtree"/>
                <w:b w:val="0"/>
                <w:i w:val="0"/>
                <w:sz w:val="20"/>
              </w:rPr>
              <w:t>Live trading</w:t>
            </w:r>
          </w:p>
        </w:tc>
        <w:tc>
          <w:tcPr>
            <w:tcW w:type="dxa" w:w="2436"/>
            <w:vAlign w:val="center"/>
          </w:tcPr>
          <w:p>
            <w:pPr>
              <w:spacing w:line="276" w:lineRule="auto" w:before="0" w:after="0"/>
            </w:pPr>
            <w:r/>
            <w:r>
              <w:rPr>
                <w:rFonts w:ascii="Figtree" w:hAnsi="Figtree"/>
                <w:b w:val="0"/>
                <w:i w:val="0"/>
                <w:sz w:val="20"/>
              </w:rPr>
              <w:t>2 app + 2 Besu validators + 1 DB primary</w:t>
            </w:r>
          </w:p>
        </w:tc>
        <w:tc>
          <w:tcPr>
            <w:tcW w:type="dxa" w:w="2436"/>
            <w:vAlign w:val="center"/>
          </w:tcPr>
          <w:p>
            <w:pPr>
              <w:spacing w:line="276" w:lineRule="auto" w:before="0" w:after="0"/>
            </w:pPr>
            <w:r/>
            <w:r>
              <w:rPr>
                <w:rFonts w:ascii="Figtree" w:hAnsi="Figtree"/>
                <w:b w:val="0"/>
                <w:i w:val="0"/>
                <w:sz w:val="20"/>
              </w:rPr>
              <w:t>8 vCPU / 32GB RAM per node</w:t>
            </w:r>
          </w:p>
        </w:tc>
      </w:tr>
      <w:tr>
        <w:trPr>
          <w:trHeight w:val="425" w:hRule="atLeast"/>
        </w:trPr>
        <w:tc>
          <w:tcPr>
            <w:tcW w:type="dxa" w:w="2436"/>
            <w:vAlign w:val="center"/>
          </w:tcPr>
          <w:p>
            <w:pPr>
              <w:spacing w:line="276" w:lineRule="auto" w:before="0" w:after="0"/>
            </w:pPr>
            <w:r/>
            <w:r>
              <w:rPr>
                <w:rFonts w:ascii="Figtree" w:hAnsi="Figtree"/>
                <w:b w:val="0"/>
                <w:i w:val="0"/>
                <w:sz w:val="20"/>
              </w:rPr>
              <w:t>Production Secondary</w:t>
            </w:r>
          </w:p>
        </w:tc>
        <w:tc>
          <w:tcPr>
            <w:tcW w:type="dxa" w:w="2436"/>
            <w:vAlign w:val="center"/>
          </w:tcPr>
          <w:p>
            <w:pPr>
              <w:spacing w:line="276" w:lineRule="auto" w:before="0" w:after="0"/>
            </w:pPr>
            <w:r/>
            <w:r>
              <w:rPr>
                <w:rFonts w:ascii="Figtree" w:hAnsi="Figtree"/>
                <w:b w:val="0"/>
                <w:i w:val="0"/>
                <w:sz w:val="20"/>
              </w:rPr>
              <w:t>HA failover</w:t>
            </w:r>
          </w:p>
        </w:tc>
        <w:tc>
          <w:tcPr>
            <w:tcW w:type="dxa" w:w="2436"/>
            <w:vAlign w:val="center"/>
          </w:tcPr>
          <w:p>
            <w:pPr>
              <w:spacing w:line="276" w:lineRule="auto" w:before="0" w:after="0"/>
            </w:pPr>
            <w:r/>
            <w:r>
              <w:rPr>
                <w:rFonts w:ascii="Figtree" w:hAnsi="Figtree"/>
                <w:b w:val="0"/>
                <w:i w:val="0"/>
                <w:sz w:val="20"/>
              </w:rPr>
              <w:t>1 app + 2 Besu validators + 1 DB replica</w:t>
            </w:r>
          </w:p>
        </w:tc>
        <w:tc>
          <w:tcPr>
            <w:tcW w:type="dxa" w:w="2436"/>
            <w:vAlign w:val="center"/>
          </w:tcPr>
          <w:p>
            <w:pPr>
              <w:spacing w:line="276" w:lineRule="auto" w:before="0" w:after="0"/>
            </w:pPr>
            <w:r/>
            <w:r>
              <w:rPr>
                <w:rFonts w:ascii="Figtree" w:hAnsi="Figtree"/>
                <w:b w:val="0"/>
                <w:i w:val="0"/>
                <w:sz w:val="20"/>
              </w:rPr>
              <w:t>8 vCPU / 32GB RAM per node</w:t>
            </w:r>
          </w:p>
        </w:tc>
      </w:tr>
      <w:tr>
        <w:trPr>
          <w:trHeight w:val="425" w:hRule="atLeast"/>
        </w:trPr>
        <w:tc>
          <w:tcPr>
            <w:tcW w:type="dxa" w:w="2436"/>
            <w:vAlign w:val="center"/>
          </w:tcPr>
          <w:p>
            <w:pPr>
              <w:spacing w:line="276" w:lineRule="auto" w:before="0" w:after="0"/>
            </w:pPr>
            <w:r/>
            <w:r>
              <w:rPr>
                <w:rFonts w:ascii="Figtree" w:hAnsi="Figtree"/>
                <w:b w:val="0"/>
                <w:i w:val="0"/>
                <w:sz w:val="20"/>
              </w:rPr>
              <w:t>Staging</w:t>
            </w:r>
          </w:p>
        </w:tc>
        <w:tc>
          <w:tcPr>
            <w:tcW w:type="dxa" w:w="2436"/>
            <w:vAlign w:val="center"/>
          </w:tcPr>
          <w:p>
            <w:pPr>
              <w:spacing w:line="276" w:lineRule="auto" w:before="0" w:after="0"/>
            </w:pPr>
            <w:r/>
            <w:r>
              <w:rPr>
                <w:rFonts w:ascii="Figtree" w:hAnsi="Figtree"/>
                <w:b w:val="0"/>
                <w:i w:val="0"/>
                <w:sz w:val="20"/>
              </w:rPr>
              <w:t>Pre-production testing</w:t>
            </w:r>
          </w:p>
        </w:tc>
        <w:tc>
          <w:tcPr>
            <w:tcW w:type="dxa" w:w="2436"/>
            <w:vAlign w:val="center"/>
          </w:tcPr>
          <w:p>
            <w:pPr>
              <w:spacing w:line="276" w:lineRule="auto" w:before="0" w:after="0"/>
            </w:pPr>
            <w:r/>
            <w:r>
              <w:rPr>
                <w:rFonts w:ascii="Figtree" w:hAnsi="Figtree"/>
                <w:b w:val="0"/>
                <w:i w:val="0"/>
                <w:sz w:val="20"/>
              </w:rPr>
              <w:t>1 app + 2 Besu validators + 1 DB</w:t>
            </w:r>
          </w:p>
        </w:tc>
        <w:tc>
          <w:tcPr>
            <w:tcW w:type="dxa" w:w="2436"/>
            <w:vAlign w:val="center"/>
          </w:tcPr>
          <w:p>
            <w:pPr>
              <w:spacing w:line="276" w:lineRule="auto" w:before="0" w:after="0"/>
            </w:pPr>
            <w:r/>
            <w:r>
              <w:rPr>
                <w:rFonts w:ascii="Figtree" w:hAnsi="Figtree"/>
                <w:b w:val="0"/>
                <w:i w:val="0"/>
                <w:sz w:val="20"/>
              </w:rPr>
              <w:t>4 vCPU / 16GB RAM per node</w:t>
            </w:r>
          </w:p>
        </w:tc>
      </w:tr>
      <w:tr>
        <w:trPr>
          <w:trHeight w:val="425" w:hRule="atLeast"/>
        </w:trPr>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Development and integration</w:t>
            </w:r>
          </w:p>
        </w:tc>
        <w:tc>
          <w:tcPr>
            <w:tcW w:type="dxa" w:w="2436"/>
            <w:vAlign w:val="center"/>
          </w:tcPr>
          <w:p>
            <w:pPr>
              <w:spacing w:line="276" w:lineRule="auto" w:before="0" w:after="0"/>
            </w:pPr>
            <w:r/>
            <w:r>
              <w:rPr>
                <w:rFonts w:ascii="Figtree" w:hAnsi="Figtree"/>
                <w:b w:val="0"/>
                <w:i w:val="0"/>
                <w:sz w:val="20"/>
              </w:rPr>
              <w:t>1 app + 1 Besu node + 1 DB</w:t>
            </w:r>
          </w:p>
        </w:tc>
        <w:tc>
          <w:tcPr>
            <w:tcW w:type="dxa" w:w="2436"/>
            <w:vAlign w:val="center"/>
          </w:tcPr>
          <w:p>
            <w:pPr>
              <w:spacing w:line="276" w:lineRule="auto" w:before="0" w:after="0"/>
            </w:pPr>
            <w:r/>
            <w:r>
              <w:rPr>
                <w:rFonts w:ascii="Figtree" w:hAnsi="Figtree"/>
                <w:b w:val="0"/>
                <w:i w:val="0"/>
                <w:sz w:val="20"/>
              </w:rPr>
              <w:t>4 vCPU / 8GB RAM per node</w:t>
            </w:r>
          </w:p>
        </w:tc>
      </w:tr>
      <w:tr>
        <w:trPr>
          <w:trHeight w:val="425" w:hRule="atLeast"/>
        </w:trPr>
        <w:tc>
          <w:tcPr>
            <w:tcW w:type="dxa" w:w="2436"/>
            <w:vAlign w:val="center"/>
          </w:tcPr>
          <w:p>
            <w:pPr>
              <w:spacing w:line="276" w:lineRule="auto" w:before="0" w:after="0"/>
            </w:pPr>
            <w:r/>
            <w:r>
              <w:rPr>
                <w:rFonts w:ascii="Figtree" w:hAnsi="Figtree"/>
                <w:b w:val="0"/>
                <w:i w:val="0"/>
                <w:sz w:val="20"/>
              </w:rPr>
              <w:t>HSM</w:t>
            </w:r>
          </w:p>
        </w:tc>
        <w:tc>
          <w:tcPr>
            <w:tcW w:type="dxa" w:w="2436"/>
            <w:vAlign w:val="center"/>
          </w:tcPr>
          <w:p>
            <w:pPr>
              <w:spacing w:line="276" w:lineRule="auto" w:before="0" w:after="0"/>
            </w:pPr>
            <w:r/>
            <w:r>
              <w:rPr>
                <w:rFonts w:ascii="Figtree" w:hAnsi="Figtree"/>
                <w:b w:val="0"/>
                <w:i w:val="0"/>
                <w:sz w:val="20"/>
              </w:rPr>
              <w:t>Key management (Production)</w:t>
            </w:r>
          </w:p>
        </w:tc>
        <w:tc>
          <w:tcPr>
            <w:tcW w:type="dxa" w:w="2436"/>
            <w:vAlign w:val="center"/>
          </w:tcPr>
          <w:p>
            <w:pPr>
              <w:spacing w:line="276" w:lineRule="auto" w:before="0" w:after="0"/>
            </w:pPr>
            <w:r/>
            <w:r>
              <w:rPr>
                <w:rFonts w:ascii="Figtree" w:hAnsi="Figtree"/>
                <w:b w:val="0"/>
                <w:i w:val="0"/>
                <w:sz w:val="20"/>
              </w:rPr>
              <w:t>1 primary + 1 secondary</w:t>
            </w:r>
          </w:p>
        </w:tc>
        <w:tc>
          <w:tcPr>
            <w:tcW w:type="dxa" w:w="2436"/>
            <w:vAlign w:val="center"/>
          </w:tcPr>
          <w:p>
            <w:pPr>
              <w:spacing w:line="276" w:lineRule="auto" w:before="0" w:after="0"/>
            </w:pPr>
            <w:r/>
            <w:r>
              <w:rPr>
                <w:rFonts w:ascii="Figtree" w:hAnsi="Figtree"/>
                <w:b w:val="0"/>
                <w:i w:val="0"/>
                <w:sz w:val="20"/>
              </w:rPr>
              <w:t>Hardware appliance</w:t>
            </w:r>
          </w:p>
        </w:tc>
      </w:tr>
    </w:tbl>
    <w:p>
      <w:pPr>
        <w:spacing w:before="0" w:after="0" w:line="120" w:lineRule="exact"/>
      </w:pPr>
    </w:p>
    <w:p>
      <w:pPr>
        <w:pStyle w:val="H3"/>
        <w:numPr>
          <w:ilvl w:val="2"/>
          <w:numId w:val="1"/>
        </w:numPr>
      </w:pPr>
      <w:r>
        <w:t>6.2 Software Dependencies</w:t>
      </w:r>
    </w:p>
    <w:p>
      <w:r>
        <w:rPr>
          <w:rFonts w:ascii="Figtree" w:hAnsi="Figtree"/>
          <w:b w:val="0"/>
          <w:i w:val="0"/>
          <w:sz w:val="22"/>
        </w:rPr>
        <w:t>The following third-party software is required and is LSEG's responsibility unless otherwise agreed: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96"/>
        <w:gridCol w:w="3533"/>
        <w:gridCol w:w="334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Software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r>
      <w:tr>
        <w:trPr>
          <w:trHeight w:val="425" w:hRule="atLeast"/>
        </w:trPr>
        <w:tc>
          <w:tcPr>
            <w:tcW w:type="dxa" w:w="3249"/>
            <w:vAlign w:val="center"/>
          </w:tcPr>
          <w:p>
            <w:pPr>
              <w:spacing w:line="276" w:lineRule="auto" w:before="0" w:after="0"/>
            </w:pPr>
            <w:r/>
            <w:r>
              <w:rPr>
                <w:rFonts w:ascii="Figtree" w:hAnsi="Figtree"/>
                <w:b w:val="0"/>
                <w:i w:val="0"/>
                <w:sz w:val="20"/>
              </w:rPr>
              <w:t>Container orchestration</w:t>
            </w:r>
          </w:p>
        </w:tc>
        <w:tc>
          <w:tcPr>
            <w:tcW w:type="dxa" w:w="3249"/>
            <w:vAlign w:val="center"/>
          </w:tcPr>
          <w:p>
            <w:pPr>
              <w:spacing w:line="276" w:lineRule="auto" w:before="0" w:after="0"/>
            </w:pPr>
            <w:r/>
            <w:r>
              <w:rPr>
                <w:rFonts w:ascii="Figtree" w:hAnsi="Figtree"/>
                <w:b w:val="0"/>
                <w:i w:val="0"/>
                <w:sz w:val="20"/>
              </w:rPr>
              <w:t>Kubernetes</w:t>
            </w:r>
          </w:p>
        </w:tc>
        <w:tc>
          <w:tcPr>
            <w:tcW w:type="dxa" w:w="3249"/>
            <w:vAlign w:val="center"/>
          </w:tcPr>
          <w:p>
            <w:pPr>
              <w:spacing w:line="276" w:lineRule="auto" w:before="0" w:after="0"/>
            </w:pPr>
            <w:r/>
            <w:r>
              <w:rPr>
                <w:rFonts w:ascii="Figtree" w:hAnsi="Figtree"/>
                <w:b w:val="0"/>
                <w:i w:val="0"/>
                <w:sz w:val="20"/>
              </w:rPr>
              <w:t>Open source (LSEG operates)</w:t>
            </w:r>
          </w:p>
        </w:tc>
      </w:tr>
      <w:tr>
        <w:trPr>
          <w:trHeight w:val="425" w:hRule="atLeast"/>
        </w:trPr>
        <w:tc>
          <w:tcPr>
            <w:tcW w:type="dxa" w:w="3249"/>
            <w:vAlign w:val="center"/>
          </w:tcPr>
          <w:p>
            <w:pPr>
              <w:spacing w:line="276" w:lineRule="auto" w:before="0" w:after="0"/>
            </w:pPr>
            <w:r/>
            <w:r>
              <w:rPr>
                <w:rFonts w:ascii="Figtree" w:hAnsi="Figtree"/>
                <w:b w:val="0"/>
                <w:i w:val="0"/>
                <w:sz w:val="20"/>
              </w:rPr>
              <w:t>Blockchain client</w:t>
            </w:r>
          </w:p>
        </w:tc>
        <w:tc>
          <w:tcPr>
            <w:tcW w:type="dxa" w:w="3249"/>
            <w:vAlign w:val="center"/>
          </w:tcPr>
          <w:p>
            <w:pPr>
              <w:spacing w:line="276" w:lineRule="auto" w:before="0" w:after="0"/>
            </w:pPr>
            <w:r/>
            <w:r>
              <w:rPr>
                <w:rFonts w:ascii="Figtree" w:hAnsi="Figtree"/>
                <w:b w:val="0"/>
                <w:i w:val="0"/>
                <w:sz w:val="20"/>
              </w:rPr>
              <w:t>Hyperledger Besu</w:t>
            </w:r>
          </w:p>
        </w:tc>
        <w:tc>
          <w:tcPr>
            <w:tcW w:type="dxa" w:w="3249"/>
            <w:vAlign w:val="center"/>
          </w:tcPr>
          <w:p>
            <w:pPr>
              <w:spacing w:line="276" w:lineRule="auto" w:before="0" w:after="0"/>
            </w:pPr>
            <w:r/>
            <w:r>
              <w:rPr>
                <w:rFonts w:ascii="Figtree" w:hAnsi="Figtree"/>
                <w:b w:val="0"/>
                <w:i w:val="0"/>
                <w:sz w:val="20"/>
              </w:rPr>
              <w:t>Apache 2.0 (open source)</w:t>
            </w:r>
          </w:p>
        </w:tc>
      </w:tr>
      <w:tr>
        <w:trPr>
          <w:trHeight w:val="425" w:hRule="atLeast"/>
        </w:trPr>
        <w:tc>
          <w:tcPr>
            <w:tcW w:type="dxa" w:w="3249"/>
            <w:vAlign w:val="center"/>
          </w:tcPr>
          <w:p>
            <w:pPr>
              <w:spacing w:line="276" w:lineRule="auto" w:before="0" w:after="0"/>
            </w:pPr>
            <w:r/>
            <w:r>
              <w:rPr>
                <w:rFonts w:ascii="Figtree" w:hAnsi="Figtree"/>
                <w:b w:val="0"/>
                <w:i w:val="0"/>
                <w:sz w:val="20"/>
              </w:rPr>
              <w:t>Database</w:t>
            </w:r>
          </w:p>
        </w:tc>
        <w:tc>
          <w:tcPr>
            <w:tcW w:type="dxa" w:w="3249"/>
            <w:vAlign w:val="center"/>
          </w:tcPr>
          <w:p>
            <w:pPr>
              <w:spacing w:line="276" w:lineRule="auto" w:before="0" w:after="0"/>
            </w:pPr>
            <w:r/>
            <w:r>
              <w:rPr>
                <w:rFonts w:ascii="Figtree" w:hAnsi="Figtree"/>
                <w:b w:val="0"/>
                <w:i w:val="0"/>
                <w:sz w:val="20"/>
              </w:rPr>
              <w:t>PostgreSQL</w:t>
            </w:r>
          </w:p>
        </w:tc>
        <w:tc>
          <w:tcPr>
            <w:tcW w:type="dxa" w:w="3249"/>
            <w:vAlign w:val="center"/>
          </w:tcPr>
          <w:p>
            <w:pPr>
              <w:spacing w:line="276" w:lineRule="auto" w:before="0" w:after="0"/>
            </w:pPr>
            <w:r/>
            <w:r>
              <w:rPr>
                <w:rFonts w:ascii="Figtree" w:hAnsi="Figtree"/>
                <w:b w:val="0"/>
                <w:i w:val="0"/>
                <w:sz w:val="20"/>
              </w:rPr>
              <w:t>Open source</w:t>
            </w:r>
          </w:p>
        </w:tc>
      </w:tr>
      <w:tr>
        <w:trPr>
          <w:trHeight w:val="425" w:hRule="atLeast"/>
        </w:trPr>
        <w:tc>
          <w:tcPr>
            <w:tcW w:type="dxa" w:w="3249"/>
            <w:vAlign w:val="center"/>
          </w:tcPr>
          <w:p>
            <w:pPr>
              <w:spacing w:line="276" w:lineRule="auto" w:before="0" w:after="0"/>
            </w:pPr>
            <w:r/>
            <w:r>
              <w:rPr>
                <w:rFonts w:ascii="Figtree" w:hAnsi="Figtree"/>
                <w:b w:val="0"/>
                <w:i w:val="0"/>
                <w:sz w:val="20"/>
              </w:rPr>
              <w:t>Observability</w:t>
            </w:r>
          </w:p>
        </w:tc>
        <w:tc>
          <w:tcPr>
            <w:tcW w:type="dxa" w:w="3249"/>
            <w:vAlign w:val="center"/>
          </w:tcPr>
          <w:p>
            <w:pPr>
              <w:spacing w:line="276" w:lineRule="auto" w:before="0" w:after="0"/>
            </w:pPr>
            <w:r/>
            <w:r>
              <w:rPr>
                <w:rFonts w:ascii="Figtree" w:hAnsi="Figtree"/>
                <w:b w:val="0"/>
                <w:i w:val="0"/>
                <w:sz w:val="20"/>
              </w:rPr>
              <w:t>Grafana, VictoriaMetrics, Loki, Tempo</w:t>
            </w:r>
          </w:p>
        </w:tc>
        <w:tc>
          <w:tcPr>
            <w:tcW w:type="dxa" w:w="3249"/>
            <w:vAlign w:val="center"/>
          </w:tcPr>
          <w:p>
            <w:pPr>
              <w:spacing w:line="276" w:lineRule="auto" w:before="0" w:after="0"/>
            </w:pPr>
            <w:r/>
            <w:r>
              <w:rPr>
                <w:rFonts w:ascii="Figtree" w:hAnsi="Figtree"/>
                <w:b w:val="0"/>
                <w:i w:val="0"/>
                <w:sz w:val="20"/>
              </w:rPr>
              <w:t>Open source (SettleMint-configured)</w:t>
            </w:r>
          </w:p>
        </w:tc>
      </w:tr>
      <w:tr>
        <w:trPr>
          <w:trHeight w:val="425" w:hRule="atLeast"/>
        </w:trPr>
        <w:tc>
          <w:tcPr>
            <w:tcW w:type="dxa" w:w="3249"/>
            <w:vAlign w:val="center"/>
          </w:tcPr>
          <w:p>
            <w:pPr>
              <w:spacing w:line="276" w:lineRule="auto" w:before="0" w:after="0"/>
            </w:pPr>
            <w:r/>
            <w:r>
              <w:rPr>
                <w:rFonts w:ascii="Figtree" w:hAnsi="Figtree"/>
                <w:b w:val="0"/>
                <w:i w:val="0"/>
                <w:sz w:val="20"/>
              </w:rPr>
              <w:t>Load balancer</w:t>
            </w:r>
          </w:p>
        </w:tc>
        <w:tc>
          <w:tcPr>
            <w:tcW w:type="dxa" w:w="3249"/>
            <w:vAlign w:val="center"/>
          </w:tcPr>
          <w:p>
            <w:pPr>
              <w:spacing w:line="276" w:lineRule="auto" w:before="0" w:after="0"/>
            </w:pPr>
            <w:r/>
            <w:r>
              <w:rPr>
                <w:rFonts w:ascii="Figtree" w:hAnsi="Figtree"/>
                <w:b w:val="0"/>
                <w:i w:val="0"/>
                <w:sz w:val="20"/>
              </w:rPr>
              <w:t>NGINX or HAProxy</w:t>
            </w:r>
          </w:p>
        </w:tc>
        <w:tc>
          <w:tcPr>
            <w:tcW w:type="dxa" w:w="3249"/>
            <w:vAlign w:val="center"/>
          </w:tcPr>
          <w:p>
            <w:pPr>
              <w:spacing w:line="276" w:lineRule="auto" w:before="0" w:after="0"/>
            </w:pPr>
            <w:r/>
            <w:r>
              <w:rPr>
                <w:rFonts w:ascii="Figtree" w:hAnsi="Figtree"/>
                <w:b w:val="0"/>
                <w:i w:val="0"/>
                <w:sz w:val="20"/>
              </w:rPr>
              <w:t>Open source</w:t>
            </w:r>
          </w:p>
        </w:tc>
      </w:tr>
    </w:tbl>
    <w:p>
      <w:pPr>
        <w:spacing w:before="0" w:after="0" w:line="120" w:lineRule="exact"/>
      </w:pPr>
    </w:p>
    <w:p>
      <w:r>
        <w:br w:type="page"/>
      </w:r>
    </w:p>
    <w:p>
      <w:pPr>
        <w:pStyle w:val="H2"/>
        <w:numPr>
          <w:ilvl w:val="1"/>
          <w:numId w:val="1"/>
        </w:numPr>
      </w:pPr>
      <w:r>
        <w:t>7. Three-Year TCO Analysis</w:t>
      </w:r>
    </w:p>
    <w:p>
      <w:pPr>
        <w:pStyle w:val="H3"/>
        <w:numPr>
          <w:ilvl w:val="2"/>
          <w:numId w:val="1"/>
        </w:numPr>
      </w:pPr>
      <w:r>
        <w:t>7.1 TCO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1512"/>
        <w:gridCol w:w="1512"/>
        <w:gridCol w:w="1512"/>
        <w:gridCol w:w="151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 (one-time)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(LSEG responsibility, est.)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Third-party audit (smart contract)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Optional training and workshops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7.2 TCO Assumptions</w:t>
      </w:r>
    </w:p>
    <w:p>
      <w:pPr>
        <w:pStyle w:val="ListParagraph"/>
        <w:numPr>
          <w:ilvl w:val="0"/>
          <w:numId w:val="4"/>
        </w:numPr>
      </w:pPr>
      <w:r>
        <w:rPr>
          <w:rFonts w:ascii="Figtree" w:hAnsi="Figtree"/>
          <w:b w:val="0"/>
          <w:i w:val="0"/>
          <w:sz w:val="22"/>
        </w:rPr>
        <w:t>Implementation services are one-time costs incurred in Year 1</w:t>
      </w:r>
    </w:p>
    <w:p>
      <w:pPr>
        <w:pStyle w:val="ListParagraph"/>
        <w:numPr>
          <w:ilvl w:val="0"/>
          <w:numId w:val="4"/>
        </w:numPr>
      </w:pPr>
      <w:r>
        <w:rPr>
          <w:rFonts w:ascii="Figtree" w:hAnsi="Figtree"/>
          <w:b w:val="0"/>
          <w:i w:val="0"/>
          <w:sz w:val="22"/>
        </w:rPr>
        <w:t>Platform license fees are fixed for the 3-year initial term</w:t>
      </w:r>
    </w:p>
    <w:p>
      <w:pPr>
        <w:pStyle w:val="ListParagraph"/>
        <w:numPr>
          <w:ilvl w:val="0"/>
          <w:numId w:val="4"/>
        </w:numPr>
      </w:pPr>
      <w:r>
        <w:rPr>
          <w:rFonts w:ascii="Figtree" w:hAnsi="Figtree"/>
          <w:b w:val="0"/>
          <w:i w:val="0"/>
          <w:sz w:val="22"/>
        </w:rPr>
        <w:t>Infrastructure costs are indicative based on the sizing in Section 6.1; actual costs depend on LSEG's data centre unit rates</w:t>
      </w:r>
    </w:p>
    <w:p>
      <w:pPr>
        <w:pStyle w:val="ListParagraph"/>
        <w:numPr>
          <w:ilvl w:val="0"/>
          <w:numId w:val="4"/>
        </w:numPr>
      </w:pPr>
      <w:r>
        <w:rPr>
          <w:rFonts w:ascii="Figtree" w:hAnsi="Figtree"/>
          <w:b w:val="0"/>
          <w:i w:val="0"/>
          <w:sz w:val="22"/>
        </w:rPr>
        <w:t>Smart contract audit in Year 1 (pre-production), with optional Year 3 re-audit for major upgrades</w:t>
      </w:r>
    </w:p>
    <w:p>
      <w:pPr>
        <w:pStyle w:val="ListParagraph"/>
        <w:numPr>
          <w:ilvl w:val="0"/>
          <w:numId w:val="4"/>
        </w:numPr>
      </w:pPr>
      <w:r>
        <w:rPr>
          <w:rFonts w:ascii="Figtree" w:hAnsi="Figtree"/>
          <w:b w:val="0"/>
          <w:i w:val="0"/>
          <w:sz w:val="22"/>
        </w:rPr>
        <w:t>No per-transaction fees at any volume level</w:t>
      </w:r>
    </w:p>
    <w:p>
      <w:pPr>
        <w:pStyle w:val="ListParagraph"/>
        <w:numPr>
          <w:ilvl w:val="0"/>
          <w:numId w:val="4"/>
        </w:numPr>
      </w:pPr>
      <w:r>
        <w:rPr>
          <w:rFonts w:ascii="Figtree" w:hAnsi="Figtree"/>
          <w:b w:val="0"/>
          <w:i w:val="0"/>
          <w:sz w:val="22"/>
        </w:rPr>
        <w:t>Annual license fee escalation for Year 4+ is capped at [CLIENT-SPECIFIC]% above the Year 3 rate</w:t>
      </w:r>
    </w:p>
    <w:p>
      <w:pPr>
        <w:pStyle w:val="H3"/>
        <w:numPr>
          <w:ilvl w:val="2"/>
          <w:numId w:val="1"/>
        </w:numPr>
      </w:pPr>
      <w:r>
        <w:t>7.3 Cost Comparison Basis</w:t>
      </w:r>
    </w:p>
    <w:p>
      <w:r>
        <w:rPr>
          <w:rFonts w:ascii="Figtree" w:hAnsi="Figtree"/>
          <w:b w:val="0"/>
          <w:i w:val="0"/>
          <w:sz w:val="22"/>
        </w:rPr>
        <w:t>SettleMint's platform license model provides cost predictability that per-transaction or per-seat models do not. For an exchange-scale deployment expected to process thousands of transactions per day, per-transaction pricing structures would generate costs that scale with business success rather than with platform costs. The flat license model aligns SettleMint's commercial interests with LSEG's business growth.</w:t>
      </w:r>
    </w:p>
    <w:p>
      <w:r>
        <w:br w:type="page"/>
      </w:r>
    </w:p>
    <w:p>
      <w:pPr>
        <w:pStyle w:val="H2"/>
        <w:numPr>
          <w:ilvl w:val="1"/>
          <w:numId w:val="1"/>
        </w:numPr>
      </w:pPr>
      <w:r>
        <w:t>8. ROI Analysis</w:t>
      </w:r>
    </w:p>
    <w:p>
      <w:pPr>
        <w:pStyle w:val="H3"/>
        <w:numPr>
          <w:ilvl w:val="2"/>
          <w:numId w:val="1"/>
        </w:numPr>
      </w:pPr>
      <w:r>
        <w:t>8.1 Value Drivers</w:t>
      </w:r>
    </w:p>
    <w:p>
      <w:r>
        <w:rPr>
          <w:rFonts w:ascii="Figtree" w:hAnsi="Figtree"/>
          <w:b w:val="0"/>
          <w:i w:val="0"/>
          <w:sz w:val="22"/>
        </w:rPr>
        <w:t>The DALP platform generates return for LSEG across four value dimensions:</w:t>
      </w:r>
    </w:p>
    <w:p>
      <w:r>
        <w:rPr>
          <w:rFonts w:ascii="Figtree" w:hAnsi="Figtree"/>
          <w:b/>
          <w:i w:val="0"/>
          <w:sz w:val="22"/>
        </w:rPr>
        <w:t>Operational efficiency:</w:t>
      </w:r>
    </w:p>
    <w:p>
      <w:pPr>
        <w:pStyle w:val="ListParagraph"/>
        <w:numPr>
          <w:ilvl w:val="0"/>
          <w:numId w:val="4"/>
        </w:numPr>
      </w:pPr>
      <w:r>
        <w:rPr>
          <w:rFonts w:ascii="Figtree" w:hAnsi="Figtree"/>
          <w:b w:val="0"/>
          <w:i w:val="0"/>
          <w:sz w:val="22"/>
        </w:rPr>
        <w:t>Automated compliance enforcement eliminates manual pre-settlement compliance checks</w:t>
      </w:r>
    </w:p>
    <w:p>
      <w:pPr>
        <w:pStyle w:val="ListParagraph"/>
        <w:numPr>
          <w:ilvl w:val="0"/>
          <w:numId w:val="4"/>
        </w:numPr>
      </w:pPr>
      <w:r>
        <w:rPr>
          <w:rFonts w:ascii="Figtree" w:hAnsi="Figtree"/>
          <w:b w:val="0"/>
          <w:i w:val="0"/>
          <w:sz w:val="22"/>
        </w:rPr>
        <w:t>Automated corporate action processing reduces operational headcount requirements</w:t>
      </w:r>
    </w:p>
    <w:p>
      <w:pPr>
        <w:pStyle w:val="ListParagraph"/>
        <w:numPr>
          <w:ilvl w:val="0"/>
          <w:numId w:val="4"/>
        </w:numPr>
      </w:pPr>
      <w:r>
        <w:rPr>
          <w:rFonts w:ascii="Figtree" w:hAnsi="Figtree"/>
          <w:b w:val="0"/>
          <w:i w:val="0"/>
          <w:sz w:val="22"/>
        </w:rPr>
        <w:t>T+0 DvP settlement eliminates settlement risk capital requirements for the bilateral model</w:t>
      </w:r>
    </w:p>
    <w:p>
      <w:pPr>
        <w:pStyle w:val="ListParagraph"/>
        <w:numPr>
          <w:ilvl w:val="0"/>
          <w:numId w:val="4"/>
        </w:numPr>
      </w:pPr>
      <w:r>
        <w:rPr>
          <w:rFonts w:ascii="Figtree" w:hAnsi="Figtree"/>
          <w:b w:val="0"/>
          <w:i w:val="0"/>
          <w:sz w:val="22"/>
        </w:rPr>
        <w:t>Real-time audit trail reduces regulatory reporting preparation time</w:t>
      </w:r>
    </w:p>
    <w:p>
      <w:r>
        <w:rPr>
          <w:rFonts w:ascii="Figtree" w:hAnsi="Figtree"/>
          <w:b/>
          <w:i w:val="0"/>
          <w:sz w:val="22"/>
        </w:rPr>
        <w:t>Revenue enablement:</w:t>
      </w:r>
    </w:p>
    <w:p>
      <w:pPr>
        <w:pStyle w:val="ListParagraph"/>
        <w:numPr>
          <w:ilvl w:val="0"/>
          <w:numId w:val="4"/>
        </w:numPr>
      </w:pPr>
      <w:r>
        <w:rPr>
          <w:rFonts w:ascii="Figtree" w:hAnsi="Figtree"/>
          <w:b w:val="0"/>
          <w:i w:val="0"/>
          <w:sz w:val="22"/>
        </w:rPr>
        <w:t>Digital Securities Sandbox participation positions LSEG as a first-mover in UK digital securities</w:t>
      </w:r>
    </w:p>
    <w:p>
      <w:pPr>
        <w:pStyle w:val="ListParagraph"/>
        <w:numPr>
          <w:ilvl w:val="0"/>
          <w:numId w:val="4"/>
        </w:numPr>
      </w:pPr>
      <w:r>
        <w:rPr>
          <w:rFonts w:ascii="Figtree" w:hAnsi="Figtree"/>
          <w:b w:val="0"/>
          <w:i w:val="0"/>
          <w:sz w:val="22"/>
        </w:rPr>
        <w:t>New asset classes (tokenized bonds, funds, structured products) expand addressable market</w:t>
      </w:r>
    </w:p>
    <w:p>
      <w:pPr>
        <w:pStyle w:val="ListParagraph"/>
        <w:numPr>
          <w:ilvl w:val="0"/>
          <w:numId w:val="4"/>
        </w:numPr>
      </w:pPr>
      <w:r>
        <w:rPr>
          <w:rFonts w:ascii="Figtree" w:hAnsi="Figtree"/>
          <w:b w:val="0"/>
          <w:i w:val="0"/>
          <w:sz w:val="22"/>
        </w:rPr>
        <w:t>International issuer access via digital asset infrastructure extends LSEG's issuer base</w:t>
      </w:r>
    </w:p>
    <w:p>
      <w:pPr>
        <w:pStyle w:val="ListParagraph"/>
        <w:numPr>
          <w:ilvl w:val="0"/>
          <w:numId w:val="4"/>
        </w:numPr>
      </w:pPr>
      <w:r>
        <w:rPr>
          <w:rFonts w:ascii="Figtree" w:hAnsi="Figtree"/>
          <w:b w:val="0"/>
          <w:i w:val="0"/>
          <w:sz w:val="22"/>
        </w:rPr>
        <w:t>Platform fee income from digital securities trading adds a new revenue stream</w:t>
      </w:r>
    </w:p>
    <w:p>
      <w:r>
        <w:rPr>
          <w:rFonts w:ascii="Figtree" w:hAnsi="Figtree"/>
          <w:b/>
          <w:i w:val="0"/>
          <w:sz w:val="22"/>
        </w:rPr>
        <w:t>Risk reduction:</w:t>
      </w:r>
    </w:p>
    <w:p>
      <w:pPr>
        <w:pStyle w:val="ListParagraph"/>
        <w:numPr>
          <w:ilvl w:val="0"/>
          <w:numId w:val="4"/>
        </w:numPr>
      </w:pPr>
      <w:r>
        <w:rPr>
          <w:rFonts w:ascii="Figtree" w:hAnsi="Figtree"/>
          <w:b w:val="0"/>
          <w:i w:val="0"/>
          <w:sz w:val="22"/>
        </w:rPr>
        <w:t>On-chain compliance enforcement reduces the risk of non-compliant transfers settling</w:t>
      </w:r>
    </w:p>
    <w:p>
      <w:pPr>
        <w:pStyle w:val="ListParagraph"/>
        <w:numPr>
          <w:ilvl w:val="0"/>
          <w:numId w:val="4"/>
        </w:numPr>
      </w:pPr>
      <w:r>
        <w:rPr>
          <w:rFonts w:ascii="Figtree" w:hAnsi="Figtree"/>
          <w:b w:val="0"/>
          <w:i w:val="0"/>
          <w:sz w:val="22"/>
        </w:rPr>
        <w:t>Immutable audit trail reduces regulatory investigation risk and potential enforcement costs</w:t>
      </w:r>
    </w:p>
    <w:p>
      <w:pPr>
        <w:pStyle w:val="ListParagraph"/>
        <w:numPr>
          <w:ilvl w:val="0"/>
          <w:numId w:val="4"/>
        </w:numPr>
      </w:pPr>
      <w:r>
        <w:rPr>
          <w:rFonts w:ascii="Figtree" w:hAnsi="Figtree"/>
          <w:b w:val="0"/>
          <w:i w:val="0"/>
          <w:sz w:val="22"/>
        </w:rPr>
        <w:t>HA deployment with 99.99% SLA reduces the risk of trading-hours outages and associated regulatory notifications</w:t>
      </w:r>
    </w:p>
    <w:p>
      <w:r>
        <w:rPr>
          <w:rFonts w:ascii="Figtree" w:hAnsi="Figtree"/>
          <w:b/>
          <w:i w:val="0"/>
          <w:sz w:val="22"/>
        </w:rPr>
        <w:t>Competitive positioning:</w:t>
      </w:r>
    </w:p>
    <w:p>
      <w:pPr>
        <w:pStyle w:val="ListParagraph"/>
        <w:numPr>
          <w:ilvl w:val="0"/>
          <w:numId w:val="4"/>
        </w:numPr>
      </w:pPr>
      <w:r>
        <w:rPr>
          <w:rFonts w:ascii="Figtree" w:hAnsi="Figtree"/>
          <w:b w:val="0"/>
          <w:i w:val="0"/>
          <w:sz w:val="22"/>
        </w:rPr>
        <w:t>First regulated tokenized securities marketplace in the UK under the DSS framework creates significant first-mover advantage</w:t>
      </w:r>
    </w:p>
    <w:p>
      <w:pPr>
        <w:pStyle w:val="ListParagraph"/>
        <w:numPr>
          <w:ilvl w:val="0"/>
          <w:numId w:val="4"/>
        </w:numPr>
      </w:pPr>
      <w:r>
        <w:rPr>
          <w:rFonts w:ascii="Figtree" w:hAnsi="Figtree"/>
          <w:b w:val="0"/>
          <w:i w:val="0"/>
          <w:sz w:val="22"/>
        </w:rPr>
        <w:t>Digital asset infrastructure capability reduces dependence on external settlement infrastructure</w:t>
      </w:r>
    </w:p>
    <w:p>
      <w:pPr>
        <w:pStyle w:val="ListParagraph"/>
        <w:numPr>
          <w:ilvl w:val="0"/>
          <w:numId w:val="4"/>
        </w:numPr>
      </w:pPr>
      <w:r>
        <w:rPr>
          <w:rFonts w:ascii="Figtree" w:hAnsi="Figtree"/>
          <w:b w:val="0"/>
          <w:i w:val="0"/>
          <w:sz w:val="22"/>
        </w:rPr>
        <w:t>Establishes LSEG as the reference venue for digital securities in the UK, attracting issuers and participants</w:t>
      </w:r>
    </w:p>
    <w:p>
      <w:pPr>
        <w:pStyle w:val="H3"/>
        <w:numPr>
          <w:ilvl w:val="2"/>
          <w:numId w:val="1"/>
        </w:numPr>
      </w:pPr>
      <w:r>
        <w:t>8.2 Indicative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57"/>
        <w:gridCol w:w="5247"/>
        <w:gridCol w:w="106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Quantification Basis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Time Horizon</w:t>
            </w:r>
          </w:p>
        </w:tc>
      </w:tr>
      <w:tr>
        <w:trPr>
          <w:trHeight w:val="425" w:hRule="atLeast"/>
        </w:trPr>
        <w:tc>
          <w:tcPr>
            <w:tcW w:type="dxa" w:w="3249"/>
            <w:vAlign w:val="center"/>
          </w:tcPr>
          <w:p>
            <w:pPr>
              <w:spacing w:line="276" w:lineRule="auto" w:before="0" w:after="0"/>
            </w:pPr>
            <w:r/>
            <w:r>
              <w:rPr>
                <w:rFonts w:ascii="Figtree" w:hAnsi="Figtree"/>
                <w:b w:val="0"/>
                <w:i w:val="0"/>
                <w:sz w:val="20"/>
              </w:rPr>
              <w:t>Operational cost reduction</w:t>
            </w:r>
          </w:p>
        </w:tc>
        <w:tc>
          <w:tcPr>
            <w:tcW w:type="dxa" w:w="3249"/>
            <w:vAlign w:val="center"/>
          </w:tcPr>
          <w:p>
            <w:pPr>
              <w:spacing w:line="276" w:lineRule="auto" w:before="0" w:after="0"/>
            </w:pPr>
            <w:r/>
            <w:r>
              <w:rPr>
                <w:rFonts w:ascii="Figtree" w:hAnsi="Figtree"/>
                <w:b w:val="0"/>
                <w:i w:val="0"/>
                <w:sz w:val="20"/>
              </w:rPr>
              <w:t>Headcount equivalent for automated processes</w:t>
            </w:r>
          </w:p>
        </w:tc>
        <w:tc>
          <w:tcPr>
            <w:tcW w:type="dxa" w:w="3249"/>
            <w:vAlign w:val="center"/>
          </w:tcPr>
          <w:p>
            <w:pPr>
              <w:spacing w:line="276" w:lineRule="auto" w:before="0" w:after="0"/>
            </w:pPr>
            <w:r/>
            <w:r>
              <w:rPr>
                <w:rFonts w:ascii="Figtree" w:hAnsi="Figtree"/>
                <w:b w:val="0"/>
                <w:i w:val="0"/>
                <w:sz w:val="20"/>
              </w:rPr>
              <w:t>Year 1+</w:t>
            </w:r>
          </w:p>
        </w:tc>
      </w:tr>
      <w:tr>
        <w:trPr>
          <w:trHeight w:val="425" w:hRule="atLeast"/>
        </w:trPr>
        <w:tc>
          <w:tcPr>
            <w:tcW w:type="dxa" w:w="3249"/>
            <w:vAlign w:val="center"/>
          </w:tcPr>
          <w:p>
            <w:pPr>
              <w:spacing w:line="276" w:lineRule="auto" w:before="0" w:after="0"/>
            </w:pPr>
            <w:r/>
            <w:r>
              <w:rPr>
                <w:rFonts w:ascii="Figtree" w:hAnsi="Figtree"/>
                <w:b w:val="0"/>
                <w:i w:val="0"/>
                <w:sz w:val="20"/>
              </w:rPr>
              <w:t>Settlement risk capital release</w:t>
            </w:r>
          </w:p>
        </w:tc>
        <w:tc>
          <w:tcPr>
            <w:tcW w:type="dxa" w:w="3249"/>
            <w:vAlign w:val="center"/>
          </w:tcPr>
          <w:p>
            <w:pPr>
              <w:spacing w:line="276" w:lineRule="auto" w:before="0" w:after="0"/>
            </w:pPr>
            <w:r/>
            <w:r>
              <w:rPr>
                <w:rFonts w:ascii="Figtree" w:hAnsi="Figtree"/>
                <w:b w:val="0"/>
                <w:i w:val="0"/>
                <w:sz w:val="20"/>
              </w:rPr>
              <w:t>Basel III SA-CCR capital calculation on bilateral exposures</w:t>
            </w:r>
          </w:p>
        </w:tc>
        <w:tc>
          <w:tcPr>
            <w:tcW w:type="dxa" w:w="3249"/>
            <w:vAlign w:val="center"/>
          </w:tcPr>
          <w:p>
            <w:pPr>
              <w:spacing w:line="276" w:lineRule="auto" w:before="0" w:after="0"/>
            </w:pPr>
            <w:r/>
            <w:r>
              <w:rPr>
                <w:rFonts w:ascii="Figtree" w:hAnsi="Figtree"/>
                <w:b w:val="0"/>
                <w:i w:val="0"/>
                <w:sz w:val="20"/>
              </w:rPr>
              <w:t>Year 1</w:t>
            </w:r>
          </w:p>
        </w:tc>
      </w:tr>
      <w:tr>
        <w:trPr>
          <w:trHeight w:val="425" w:hRule="atLeast"/>
        </w:trPr>
        <w:tc>
          <w:tcPr>
            <w:tcW w:type="dxa" w:w="3249"/>
            <w:vAlign w:val="center"/>
          </w:tcPr>
          <w:p>
            <w:pPr>
              <w:spacing w:line="276" w:lineRule="auto" w:before="0" w:after="0"/>
            </w:pPr>
            <w:r/>
            <w:r>
              <w:rPr>
                <w:rFonts w:ascii="Figtree" w:hAnsi="Figtree"/>
                <w:b w:val="0"/>
                <w:i w:val="0"/>
                <w:sz w:val="20"/>
              </w:rPr>
              <w:t>New revenue streams</w:t>
            </w:r>
          </w:p>
        </w:tc>
        <w:tc>
          <w:tcPr>
            <w:tcW w:type="dxa" w:w="3249"/>
            <w:vAlign w:val="center"/>
          </w:tcPr>
          <w:p>
            <w:pPr>
              <w:spacing w:line="276" w:lineRule="auto" w:before="0" w:after="0"/>
            </w:pPr>
            <w:r/>
            <w:r>
              <w:rPr>
                <w:rFonts w:ascii="Figtree" w:hAnsi="Figtree"/>
                <w:b w:val="0"/>
                <w:i w:val="0"/>
                <w:sz w:val="20"/>
              </w:rPr>
              <w:t>DSS platform fee income on projected transaction volumes</w:t>
            </w:r>
          </w:p>
        </w:tc>
        <w:tc>
          <w:tcPr>
            <w:tcW w:type="dxa" w:w="3249"/>
            <w:vAlign w:val="center"/>
          </w:tcPr>
          <w:p>
            <w:pPr>
              <w:spacing w:line="276" w:lineRule="auto" w:before="0" w:after="0"/>
            </w:pPr>
            <w:r/>
            <w:r>
              <w:rPr>
                <w:rFonts w:ascii="Figtree" w:hAnsi="Figtree"/>
                <w:b w:val="0"/>
                <w:i w:val="0"/>
                <w:sz w:val="20"/>
              </w:rPr>
              <w:t>Year 2+</w:t>
            </w:r>
          </w:p>
        </w:tc>
      </w:tr>
      <w:tr>
        <w:trPr>
          <w:trHeight w:val="425" w:hRule="atLeast"/>
        </w:trPr>
        <w:tc>
          <w:tcPr>
            <w:tcW w:type="dxa" w:w="3249"/>
            <w:vAlign w:val="center"/>
          </w:tcPr>
          <w:p>
            <w:pPr>
              <w:spacing w:line="276" w:lineRule="auto" w:before="0" w:after="0"/>
            </w:pPr>
            <w:r/>
            <w:r>
              <w:rPr>
                <w:rFonts w:ascii="Figtree" w:hAnsi="Figtree"/>
                <w:b w:val="0"/>
                <w:i w:val="0"/>
                <w:sz w:val="20"/>
              </w:rPr>
              <w:t>Regulatory penalty avoidance</w:t>
            </w:r>
          </w:p>
        </w:tc>
        <w:tc>
          <w:tcPr>
            <w:tcW w:type="dxa" w:w="3249"/>
            <w:vAlign w:val="center"/>
          </w:tcPr>
          <w:p>
            <w:pPr>
              <w:spacing w:line="276" w:lineRule="auto" w:before="0" w:after="0"/>
            </w:pPr>
            <w:r/>
            <w:r>
              <w:rPr>
                <w:rFonts w:ascii="Figtree" w:hAnsi="Figtree"/>
                <w:b w:val="0"/>
                <w:i w:val="0"/>
                <w:sz w:val="20"/>
              </w:rPr>
              <w:t>Expected value reduction in non-compliance incidents</w:t>
            </w:r>
          </w:p>
        </w:tc>
        <w:tc>
          <w:tcPr>
            <w:tcW w:type="dxa" w:w="3249"/>
            <w:vAlign w:val="center"/>
          </w:tcPr>
          <w:p>
            <w:pPr>
              <w:spacing w:line="276" w:lineRule="auto" w:before="0" w:after="0"/>
            </w:pPr>
            <w:r/>
            <w:r>
              <w:rPr>
                <w:rFonts w:ascii="Figtree" w:hAnsi="Figtree"/>
                <w:b w:val="0"/>
                <w:i w:val="0"/>
                <w:sz w:val="20"/>
              </w:rPr>
              <w:t>Ongoing</w:t>
            </w:r>
          </w:p>
        </w:tc>
      </w:tr>
      <w:tr>
        <w:trPr>
          <w:trHeight w:val="425" w:hRule="atLeast"/>
        </w:trPr>
        <w:tc>
          <w:tcPr>
            <w:tcW w:type="dxa" w:w="3249"/>
            <w:vAlign w:val="center"/>
          </w:tcPr>
          <w:p>
            <w:pPr>
              <w:spacing w:line="276" w:lineRule="auto" w:before="0" w:after="0"/>
            </w:pPr>
            <w:r/>
            <w:r>
              <w:rPr>
                <w:rFonts w:ascii="Figtree" w:hAnsi="Figtree"/>
                <w:b w:val="0"/>
                <w:i w:val="0"/>
                <w:sz w:val="20"/>
              </w:rPr>
              <w:t>Market share capture</w:t>
            </w:r>
          </w:p>
        </w:tc>
        <w:tc>
          <w:tcPr>
            <w:tcW w:type="dxa" w:w="3249"/>
            <w:vAlign w:val="center"/>
          </w:tcPr>
          <w:p>
            <w:pPr>
              <w:spacing w:line="276" w:lineRule="auto" w:before="0" w:after="0"/>
            </w:pPr>
            <w:r/>
            <w:r>
              <w:rPr>
                <w:rFonts w:ascii="Figtree" w:hAnsi="Figtree"/>
                <w:b w:val="0"/>
                <w:i w:val="0"/>
                <w:sz w:val="20"/>
              </w:rPr>
              <w:t>Premium pricing for digital securities vs traditional</w:t>
            </w:r>
          </w:p>
        </w:tc>
        <w:tc>
          <w:tcPr>
            <w:tcW w:type="dxa" w:w="3249"/>
            <w:vAlign w:val="center"/>
          </w:tcPr>
          <w:p>
            <w:pPr>
              <w:spacing w:line="276" w:lineRule="auto" w:before="0" w:after="0"/>
            </w:pPr>
            <w:r/>
            <w:r>
              <w:rPr>
                <w:rFonts w:ascii="Figtree" w:hAnsi="Figtree"/>
                <w:b w:val="0"/>
                <w:i w:val="0"/>
                <w:sz w:val="20"/>
              </w:rPr>
              <w:t>Year 2+</w:t>
            </w:r>
          </w:p>
        </w:tc>
      </w:tr>
    </w:tbl>
    <w:p>
      <w:pPr>
        <w:spacing w:before="0" w:after="0" w:line="120" w:lineRule="exact"/>
      </w:pPr>
    </w:p>
    <w:p>
      <w:r>
        <w:rPr>
          <w:rFonts w:ascii="Figtree" w:hAnsi="Figtree"/>
          <w:b w:val="0"/>
          <w:i w:val="0"/>
          <w:sz w:val="22"/>
        </w:rPr>
        <w:t>SettleMint will work with LSEG's finance team during the Discovery phase to quantify these value drivers against LSEG's specific cost base and revenue projections, producing a programme-specific business case.</w:t>
      </w:r>
    </w:p>
    <w:p>
      <w:pPr>
        <w:pStyle w:val="H3"/>
        <w:numPr>
          <w:ilvl w:val="2"/>
          <w:numId w:val="1"/>
        </w:numPr>
      </w:pPr>
      <w:r>
        <w:t>8.3 Indicative ROI Illustration</w:t>
      </w:r>
    </w:p>
    <w:p>
      <w:r>
        <w:rPr>
          <w:rFonts w:ascii="Figtree" w:hAnsi="Figtree"/>
          <w:b w:val="0"/>
          <w:i w:val="0"/>
          <w:sz w:val="22"/>
        </w:rPr>
        <w:t>The following example uses assumed figures (clearly labelled as indicative) to illustrate the ROI calculation methodology. LSEG-specific numbers will be developed jointly during Discovery.</w:t>
      </w:r>
    </w:p>
    <w:p>
      <w:r>
        <w:rPr>
          <w:rFonts w:ascii="Figtree" w:hAnsi="Figtree"/>
          <w:b/>
          <w:i w:val="0"/>
          <w:sz w:val="22"/>
        </w:rPr>
        <w:t>Assumptions (indicative only):</w:t>
      </w:r>
    </w:p>
    <w:p>
      <w:pPr>
        <w:pStyle w:val="ListParagraph"/>
        <w:numPr>
          <w:ilvl w:val="0"/>
          <w:numId w:val="4"/>
        </w:numPr>
      </w:pPr>
      <w:r>
        <w:rPr>
          <w:rFonts w:ascii="Figtree" w:hAnsi="Figtree"/>
          <w:b w:val="0"/>
          <w:i w:val="0"/>
          <w:sz w:val="22"/>
        </w:rPr>
        <w:t>Annual operational cost saving from automated compliance and corporate actions: £2.5M</w:t>
      </w:r>
    </w:p>
    <w:p>
      <w:pPr>
        <w:pStyle w:val="ListParagraph"/>
        <w:numPr>
          <w:ilvl w:val="0"/>
          <w:numId w:val="4"/>
        </w:numPr>
      </w:pPr>
      <w:r>
        <w:rPr>
          <w:rFonts w:ascii="Figtree" w:hAnsi="Figtree"/>
          <w:b w:val="0"/>
          <w:i w:val="0"/>
          <w:sz w:val="22"/>
        </w:rPr>
        <w:t>Settlement risk capital release (bilateral model, £500M average daily exposure, 8% capital charge): £40M capital freed</w:t>
      </w:r>
    </w:p>
    <w:p>
      <w:pPr>
        <w:pStyle w:val="ListParagraph"/>
        <w:numPr>
          <w:ilvl w:val="0"/>
          <w:numId w:val="4"/>
        </w:numPr>
      </w:pPr>
      <w:r>
        <w:rPr>
          <w:rFonts w:ascii="Figtree" w:hAnsi="Figtree"/>
          <w:b w:val="0"/>
          <w:i w:val="0"/>
          <w:sz w:val="22"/>
        </w:rPr>
        <w:t>Annual cost of capital on released capital at 10%: £4.0M per annum</w:t>
      </w:r>
    </w:p>
    <w:p>
      <w:pPr>
        <w:pStyle w:val="ListParagraph"/>
        <w:numPr>
          <w:ilvl w:val="0"/>
          <w:numId w:val="4"/>
        </w:numPr>
      </w:pPr>
      <w:r>
        <w:rPr>
          <w:rFonts w:ascii="Figtree" w:hAnsi="Figtree"/>
          <w:b w:val="0"/>
          <w:i w:val="0"/>
          <w:sz w:val="22"/>
        </w:rPr>
        <w:t>DSS platform fee income on projected £1B annual transaction volume at 2bps: £2.0M per annum</w:t>
      </w:r>
    </w:p>
    <w:p>
      <w:pPr>
        <w:pStyle w:val="ListParagraph"/>
        <w:numPr>
          <w:ilvl w:val="0"/>
          <w:numId w:val="4"/>
        </w:numPr>
      </w:pPr>
      <w:r>
        <w:rPr>
          <w:rFonts w:ascii="Figtree" w:hAnsi="Figtree"/>
          <w:b w:val="0"/>
          <w:i w:val="0"/>
          <w:sz w:val="22"/>
        </w:rPr>
        <w:t>Year 1 total value: £8.5M gross (net of implementation cost: [CLIENT-SPECIFIC])</w:t>
      </w:r>
    </w:p>
    <w:p>
      <w:pPr>
        <w:pStyle w:val="ListParagraph"/>
        <w:numPr>
          <w:ilvl w:val="0"/>
          <w:numId w:val="4"/>
        </w:numPr>
      </w:pPr>
      <w:r>
        <w:rPr>
          <w:rFonts w:ascii="Figtree" w:hAnsi="Figtree"/>
          <w:b w:val="0"/>
          <w:i w:val="0"/>
          <w:sz w:val="22"/>
        </w:rPr>
        <w:t>Year 2 total value: £8.5M gross (full year, no implementation cost)</w:t>
      </w:r>
    </w:p>
    <w:p>
      <w:pPr>
        <w:pStyle w:val="ListParagraph"/>
        <w:numPr>
          <w:ilvl w:val="0"/>
          <w:numId w:val="4"/>
        </w:numPr>
      </w:pPr>
      <w:r>
        <w:rPr>
          <w:rFonts w:ascii="Figtree" w:hAnsi="Figtree"/>
          <w:b w:val="0"/>
          <w:i w:val="0"/>
          <w:sz w:val="22"/>
        </w:rPr>
        <w:t>Year 3 total value: £9.5M gross (revenue growth assumed)</w:t>
      </w:r>
    </w:p>
    <w:p>
      <w:pPr>
        <w:pStyle w:val="ListParagraph"/>
        <w:numPr>
          <w:ilvl w:val="0"/>
          <w:numId w:val="4"/>
        </w:numPr>
      </w:pPr>
      <w:r>
        <w:rPr>
          <w:rFonts w:ascii="Figtree" w:hAnsi="Figtree"/>
          <w:b w:val="0"/>
          <w:i w:val="0"/>
          <w:sz w:val="22"/>
        </w:rPr>
        <w:t>3-year gross value: £26.5M</w:t>
      </w:r>
    </w:p>
    <w:p>
      <w:r>
        <w:rPr>
          <w:rFonts w:ascii="Figtree" w:hAnsi="Figtree"/>
          <w:b w:val="0"/>
          <w:i w:val="0"/>
          <w:sz w:val="22"/>
        </w:rPr>
        <w:t>Against a 3-year TCO of [CLIENT-SPECIFIC], this indicative illustration generates a positive ROI in Year 1 and a substantial 3-year return. SettleMint's commitment is to validate or improve these figures against LSEG's actual numbers during Discovery.</w:t>
      </w:r>
    </w:p>
    <w:p>
      <w:r>
        <w:br w:type="page"/>
      </w:r>
    </w:p>
    <w:p>
      <w:pPr>
        <w:pStyle w:val="H2"/>
        <w:numPr>
          <w:ilvl w:val="1"/>
          <w:numId w:val="1"/>
        </w:numPr>
      </w:pPr>
      <w:r>
        <w:t>9. Payment Terms</w:t>
      </w:r>
    </w:p>
    <w:p>
      <w:pPr>
        <w:pStyle w:val="H3"/>
        <w:numPr>
          <w:ilvl w:val="2"/>
          <w:numId w:val="1"/>
        </w:numPr>
      </w:pPr>
      <w:r>
        <w:t>9.1 Standard Terms</w:t>
      </w:r>
    </w:p>
    <w:p>
      <w:pPr>
        <w:pStyle w:val="ListParagraph"/>
        <w:numPr>
          <w:ilvl w:val="0"/>
          <w:numId w:val="4"/>
        </w:numPr>
      </w:pPr>
      <w:r>
        <w:rPr>
          <w:rFonts w:ascii="Figtree" w:hAnsi="Figtree"/>
          <w:b/>
          <w:i w:val="0"/>
          <w:sz w:val="22"/>
        </w:rPr>
        <w:t>Invoice timing:</w:t>
      </w:r>
      <w:r>
        <w:rPr>
          <w:rFonts w:ascii="Figtree" w:hAnsi="Figtree"/>
          <w:b w:val="0"/>
          <w:i w:val="0"/>
          <w:sz w:val="22"/>
        </w:rPr>
        <w:t xml:space="preserve"> Invoices issued at each milestone trigger event</w:t>
      </w:r>
    </w:p>
    <w:p>
      <w:pPr>
        <w:pStyle w:val="ListParagraph"/>
        <w:numPr>
          <w:ilvl w:val="0"/>
          <w:numId w:val="4"/>
        </w:numPr>
      </w:pPr>
      <w:r>
        <w:rPr>
          <w:rFonts w:ascii="Figtree" w:hAnsi="Figtree"/>
          <w:b/>
          <w:i w:val="0"/>
          <w:sz w:val="22"/>
        </w:rPr>
        <w:t>Payment terms:</w:t>
      </w:r>
      <w:r>
        <w:rPr>
          <w:rFonts w:ascii="Figtree" w:hAnsi="Figtree"/>
          <w:b w:val="0"/>
          <w:i w:val="0"/>
          <w:sz w:val="22"/>
        </w:rPr>
        <w:t xml:space="preserve"> Net 30 days from invoice date</w:t>
      </w:r>
    </w:p>
    <w:p>
      <w:pPr>
        <w:pStyle w:val="ListParagraph"/>
        <w:numPr>
          <w:ilvl w:val="0"/>
          <w:numId w:val="4"/>
        </w:numPr>
      </w:pPr>
      <w:r>
        <w:rPr>
          <w:rFonts w:ascii="Figtree" w:hAnsi="Figtree"/>
          <w:b/>
          <w:i w:val="0"/>
          <w:sz w:val="22"/>
        </w:rPr>
        <w:t>Currency:</w:t>
      </w:r>
      <w:r>
        <w:rPr>
          <w:rFonts w:ascii="Figtree" w:hAnsi="Figtree"/>
          <w:b w:val="0"/>
          <w:i w:val="0"/>
          <w:sz w:val="22"/>
        </w:rPr>
        <w:t xml:space="preserve"> GBP for all UK-domiciled entities</w:t>
      </w:r>
    </w:p>
    <w:p>
      <w:pPr>
        <w:pStyle w:val="ListParagraph"/>
        <w:numPr>
          <w:ilvl w:val="0"/>
          <w:numId w:val="4"/>
        </w:numPr>
      </w:pPr>
      <w:r>
        <w:rPr>
          <w:rFonts w:ascii="Figtree" w:hAnsi="Figtree"/>
          <w:b/>
          <w:i w:val="0"/>
          <w:sz w:val="22"/>
        </w:rPr>
        <w:t>Late payment:</w:t>
      </w:r>
      <w:r>
        <w:rPr>
          <w:rFonts w:ascii="Figtree" w:hAnsi="Figtree"/>
          <w:b w:val="0"/>
          <w:i w:val="0"/>
          <w:sz w:val="22"/>
        </w:rPr>
        <w:t xml:space="preserve"> Statutory interest per the Late Payment of Commercial Debts (Interest) Act 1998</w:t>
      </w:r>
    </w:p>
    <w:p>
      <w:pPr>
        <w:pStyle w:val="ListParagraph"/>
        <w:numPr>
          <w:ilvl w:val="0"/>
          <w:numId w:val="4"/>
        </w:numPr>
      </w:pPr>
      <w:r>
        <w:rPr>
          <w:rFonts w:ascii="Figtree" w:hAnsi="Figtree"/>
          <w:b/>
          <w:i w:val="0"/>
          <w:sz w:val="22"/>
        </w:rPr>
        <w:t>VAT:</w:t>
      </w:r>
      <w:r>
        <w:rPr>
          <w:rFonts w:ascii="Figtree" w:hAnsi="Figtree"/>
          <w:b w:val="0"/>
          <w:i w:val="0"/>
          <w:sz w:val="22"/>
        </w:rPr>
        <w:t xml:space="preserve"> UK VAT applicable at the standard rate where applicable; reverse charge mechanism applies for cross-border B2B transactions</w:t>
      </w:r>
    </w:p>
    <w:p>
      <w:pPr>
        <w:pStyle w:val="H3"/>
        <w:numPr>
          <w:ilvl w:val="2"/>
          <w:numId w:val="1"/>
        </w:numPr>
      </w:pPr>
      <w:r>
        <w:t>9.2 Annual License Renewal</w:t>
      </w:r>
    </w:p>
    <w:p>
      <w:pPr>
        <w:pStyle w:val="ListParagraph"/>
        <w:numPr>
          <w:ilvl w:val="0"/>
          <w:numId w:val="4"/>
        </w:numPr>
      </w:pPr>
      <w:r>
        <w:rPr>
          <w:rFonts w:ascii="Figtree" w:hAnsi="Figtree"/>
          <w:b w:val="0"/>
          <w:i w:val="0"/>
          <w:sz w:val="22"/>
        </w:rPr>
        <w:t>Annual platform license fees are invoiced 60 days before the renewal date</w:t>
      </w:r>
    </w:p>
    <w:p>
      <w:pPr>
        <w:pStyle w:val="ListParagraph"/>
        <w:numPr>
          <w:ilvl w:val="0"/>
          <w:numId w:val="4"/>
        </w:numPr>
      </w:pPr>
      <w:r>
        <w:rPr>
          <w:rFonts w:ascii="Figtree" w:hAnsi="Figtree"/>
          <w:b w:val="0"/>
          <w:i w:val="0"/>
          <w:sz w:val="22"/>
        </w:rPr>
        <w:t>Payment is due 30 days before the renewal date to ensure service continuity</w:t>
      </w:r>
    </w:p>
    <w:p>
      <w:pPr>
        <w:pStyle w:val="ListParagraph"/>
        <w:numPr>
          <w:ilvl w:val="0"/>
          <w:numId w:val="4"/>
        </w:numPr>
      </w:pPr>
      <w:r>
        <w:rPr>
          <w:rFonts w:ascii="Figtree" w:hAnsi="Figtree"/>
          <w:b w:val="0"/>
          <w:i w:val="0"/>
          <w:sz w:val="22"/>
        </w:rPr>
        <w:t>LSEG may provide written notice of non-renewal no later than 90 days before the renewal date</w:t>
      </w:r>
    </w:p>
    <w:p>
      <w:pPr>
        <w:pStyle w:val="H3"/>
        <w:numPr>
          <w:ilvl w:val="2"/>
          <w:numId w:val="1"/>
        </w:numPr>
      </w:pPr>
      <w:r>
        <w:t>9.3 Multi-Year Discount</w:t>
      </w:r>
    </w:p>
    <w:p>
      <w:r>
        <w:rPr>
          <w:rFonts w:ascii="Figtree" w:hAnsi="Figtree"/>
          <w:b w:val="0"/>
          <w:i w:val="0"/>
          <w:sz w:val="22"/>
        </w:rPr>
        <w:t>LSEG may elect to pay the platform license fee for multiple years in advance in exchange for a discount: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06"/>
        <w:gridCol w:w="466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Prepayment 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Discount</w:t>
            </w:r>
          </w:p>
        </w:tc>
      </w:tr>
      <w:tr>
        <w:trPr>
          <w:trHeight w:val="425" w:hRule="atLeast"/>
        </w:trPr>
        <w:tc>
          <w:tcPr>
            <w:tcW w:type="dxa" w:w="4873"/>
            <w:vAlign w:val="center"/>
          </w:tcPr>
          <w:p>
            <w:pPr>
              <w:spacing w:line="276" w:lineRule="auto" w:before="0" w:after="0"/>
            </w:pPr>
            <w:r/>
            <w:r>
              <w:rPr>
                <w:rFonts w:ascii="Figtree" w:hAnsi="Figtree"/>
                <w:b w:val="0"/>
                <w:i w:val="0"/>
                <w:sz w:val="20"/>
              </w:rPr>
              <w:t>Annual (standard)</w:t>
            </w:r>
          </w:p>
        </w:tc>
        <w:tc>
          <w:tcPr>
            <w:tcW w:type="dxa" w:w="4873"/>
            <w:vAlign w:val="center"/>
          </w:tcPr>
          <w:p>
            <w:pPr>
              <w:spacing w:line="276" w:lineRule="auto" w:before="0" w:after="0"/>
            </w:pPr>
            <w:r/>
            <w:r>
              <w:rPr>
                <w:rFonts w:ascii="Figtree" w:hAnsi="Figtree"/>
                <w:b w:val="0"/>
                <w:i w:val="0"/>
                <w:sz w:val="20"/>
              </w:rPr>
              <w:t>None</w:t>
            </w:r>
          </w:p>
        </w:tc>
      </w:tr>
      <w:tr>
        <w:trPr>
          <w:trHeight w:val="425" w:hRule="atLeast"/>
        </w:trPr>
        <w:tc>
          <w:tcPr>
            <w:tcW w:type="dxa" w:w="4873"/>
            <w:vAlign w:val="center"/>
          </w:tcPr>
          <w:p>
            <w:pPr>
              <w:spacing w:line="276" w:lineRule="auto" w:before="0" w:after="0"/>
            </w:pPr>
            <w:r/>
            <w:r>
              <w:rPr>
                <w:rFonts w:ascii="Figtree" w:hAnsi="Figtree"/>
                <w:b w:val="0"/>
                <w:i w:val="0"/>
                <w:sz w:val="20"/>
              </w:rPr>
              <w:t>2-year prepayment</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3-year prepayment</w:t>
            </w:r>
          </w:p>
        </w:tc>
        <w:tc>
          <w:tcPr>
            <w:tcW w:type="dxa" w:w="4873"/>
            <w:vAlign w:val="center"/>
          </w:tcPr>
          <w:p>
            <w:pPr>
              <w:spacing w:line="276" w:lineRule="auto" w:before="0" w:after="0"/>
            </w:pPr>
            <w:r/>
            <w:r>
              <w:rPr>
                <w:rFonts w:ascii="Figtree" w:hAnsi="Figtree"/>
                <w:b w:val="0"/>
                <w:i w:val="0"/>
                <w:sz w:val="20"/>
              </w:rPr>
              <w:t>[CLIENT-SPECIFIC]%</w:t>
            </w:r>
          </w:p>
        </w:tc>
      </w:tr>
    </w:tbl>
    <w:p>
      <w:pPr>
        <w:spacing w:before="0" w:after="0" w:line="120" w:lineRule="exact"/>
      </w:pPr>
    </w:p>
    <w:p>
      <w:r>
        <w:br w:type="page"/>
      </w:r>
    </w:p>
    <w:p>
      <w:pPr>
        <w:pStyle w:val="H2"/>
        <w:numPr>
          <w:ilvl w:val="1"/>
          <w:numId w:val="1"/>
        </w:numPr>
      </w:pPr>
      <w:r>
        <w:t>10. Optional Items</w:t>
      </w:r>
    </w:p>
    <w:p>
      <w:pPr>
        <w:pStyle w:val="H3"/>
        <w:numPr>
          <w:ilvl w:val="2"/>
          <w:numId w:val="1"/>
        </w:numPr>
      </w:pPr>
      <w:r>
        <w:t>10.1 Available Optional Additions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92"/>
        <w:gridCol w:w="4503"/>
        <w:gridCol w:w="26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Pricing Basis</w:t>
            </w:r>
          </w:p>
        </w:tc>
      </w:tr>
      <w:tr>
        <w:trPr>
          <w:trHeight w:val="425" w:hRule="atLeast"/>
        </w:trPr>
        <w:tc>
          <w:tcPr>
            <w:tcW w:type="dxa" w:w="3249"/>
            <w:vAlign w:val="center"/>
          </w:tcPr>
          <w:p>
            <w:pPr>
              <w:spacing w:line="276" w:lineRule="auto" w:before="0" w:after="0"/>
            </w:pPr>
            <w:r/>
            <w:r>
              <w:rPr>
                <w:rFonts w:ascii="Figtree" w:hAnsi="Figtree"/>
                <w:b w:val="0"/>
                <w:i w:val="0"/>
                <w:sz w:val="20"/>
              </w:rPr>
              <w:t>Additional training workshops</w:t>
            </w:r>
          </w:p>
        </w:tc>
        <w:tc>
          <w:tcPr>
            <w:tcW w:type="dxa" w:w="3249"/>
            <w:vAlign w:val="center"/>
          </w:tcPr>
          <w:p>
            <w:pPr>
              <w:spacing w:line="276" w:lineRule="auto" w:before="0" w:after="0"/>
            </w:pPr>
            <w:r/>
            <w:r>
              <w:rPr>
                <w:rFonts w:ascii="Figtree" w:hAnsi="Figtree"/>
                <w:b w:val="0"/>
                <w:i w:val="0"/>
                <w:sz w:val="20"/>
              </w:rPr>
              <w:t>Beyond the standard training programme included in implementation</w:t>
            </w:r>
          </w:p>
        </w:tc>
        <w:tc>
          <w:tcPr>
            <w:tcW w:type="dxa" w:w="3249"/>
            <w:vAlign w:val="center"/>
          </w:tcPr>
          <w:p>
            <w:pPr>
              <w:spacing w:line="276" w:lineRule="auto" w:before="0" w:after="0"/>
            </w:pPr>
            <w:r/>
            <w:r>
              <w:rPr>
                <w:rFonts w:ascii="Figtree" w:hAnsi="Figtree"/>
                <w:b w:val="0"/>
                <w:i w:val="0"/>
                <w:sz w:val="20"/>
              </w:rPr>
              <w:t>Per-day rate: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re-audit</w:t>
            </w:r>
          </w:p>
        </w:tc>
        <w:tc>
          <w:tcPr>
            <w:tcW w:type="dxa" w:w="3249"/>
            <w:vAlign w:val="center"/>
          </w:tcPr>
          <w:p>
            <w:pPr>
              <w:spacing w:line="276" w:lineRule="auto" w:before="0" w:after="0"/>
            </w:pPr>
            <w:r/>
            <w:r>
              <w:rPr>
                <w:rFonts w:ascii="Figtree" w:hAnsi="Figtree"/>
                <w:b w:val="0"/>
                <w:i w:val="0"/>
                <w:sz w:val="20"/>
              </w:rPr>
              <w:t>Additional third-party security audit for major configuration changes</w:t>
            </w:r>
          </w:p>
        </w:tc>
        <w:tc>
          <w:tcPr>
            <w:tcW w:type="dxa" w:w="3249"/>
            <w:vAlign w:val="center"/>
          </w:tcPr>
          <w:p>
            <w:pPr>
              <w:spacing w:line="276" w:lineRule="auto" w:before="0" w:after="0"/>
            </w:pPr>
            <w:r/>
            <w:r>
              <w:rPr>
                <w:rFonts w:ascii="Figtree" w:hAnsi="Figtree"/>
                <w:b w:val="0"/>
                <w:i w:val="0"/>
                <w:sz w:val="20"/>
              </w:rPr>
              <w:t>Pass-through at cost +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extension</w:t>
            </w:r>
          </w:p>
        </w:tc>
        <w:tc>
          <w:tcPr>
            <w:tcW w:type="dxa" w:w="3249"/>
            <w:vAlign w:val="center"/>
          </w:tcPr>
          <w:p>
            <w:pPr>
              <w:spacing w:line="276" w:lineRule="auto" w:before="0" w:after="0"/>
            </w:pPr>
            <w:r/>
            <w:r>
              <w:rPr>
                <w:rFonts w:ascii="Figtree" w:hAnsi="Figtree"/>
                <w:b w:val="0"/>
                <w:i w:val="0"/>
                <w:sz w:val="20"/>
              </w:rPr>
              <w:t>Additional delivery phases beyond the 19-week baseline</w:t>
            </w:r>
          </w:p>
        </w:tc>
        <w:tc>
          <w:tcPr>
            <w:tcW w:type="dxa" w:w="3249"/>
            <w:vAlign w:val="center"/>
          </w:tcPr>
          <w:p>
            <w:pPr>
              <w:spacing w:line="276" w:lineRule="auto" w:before="0" w:after="0"/>
            </w:pPr>
            <w:r/>
            <w:r>
              <w:rPr>
                <w:rFonts w:ascii="Figtree" w:hAnsi="Figtree"/>
                <w:b w:val="0"/>
                <w:i w:val="0"/>
                <w:sz w:val="20"/>
              </w:rPr>
              <w:t>Per-week rate: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Additional named engineer</w:t>
            </w:r>
          </w:p>
        </w:tc>
        <w:tc>
          <w:tcPr>
            <w:tcW w:type="dxa" w:w="3249"/>
            <w:vAlign w:val="center"/>
          </w:tcPr>
          <w:p>
            <w:pPr>
              <w:spacing w:line="276" w:lineRule="auto" w:before="0" w:after="0"/>
            </w:pPr>
            <w:r/>
            <w:r>
              <w:rPr>
                <w:rFonts w:ascii="Figtree" w:hAnsi="Figtree"/>
                <w:b w:val="0"/>
                <w:i w:val="0"/>
                <w:sz w:val="20"/>
              </w:rPr>
              <w:t>Second dedicated engineer for major programmes or peak demand periods</w:t>
            </w:r>
          </w:p>
        </w:tc>
        <w:tc>
          <w:tcPr>
            <w:tcW w:type="dxa" w:w="3249"/>
            <w:vAlign w:val="center"/>
          </w:tcPr>
          <w:p>
            <w:pPr>
              <w:spacing w:line="276" w:lineRule="auto" w:before="0" w:after="0"/>
            </w:pPr>
            <w:r/>
            <w:r>
              <w:rPr>
                <w:rFonts w:ascii="Figtree" w:hAnsi="Figtree"/>
                <w:b w:val="0"/>
                <w:i w:val="0"/>
                <w:sz w:val="20"/>
              </w:rPr>
              <w:t>Annual add-on: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Custom dashboard development</w:t>
            </w:r>
          </w:p>
        </w:tc>
        <w:tc>
          <w:tcPr>
            <w:tcW w:type="dxa" w:w="3249"/>
            <w:vAlign w:val="center"/>
          </w:tcPr>
          <w:p>
            <w:pPr>
              <w:spacing w:line="276" w:lineRule="auto" w:before="0" w:after="0"/>
            </w:pPr>
            <w:r/>
            <w:r>
              <w:rPr>
                <w:rFonts w:ascii="Figtree" w:hAnsi="Figtree"/>
                <w:b w:val="0"/>
                <w:i w:val="0"/>
                <w:sz w:val="20"/>
              </w:rPr>
              <w:t>Bespoke Grafana dashboards beyond the standard pre-built set</w:t>
            </w:r>
          </w:p>
        </w:tc>
        <w:tc>
          <w:tcPr>
            <w:tcW w:type="dxa" w:w="3249"/>
            <w:vAlign w:val="center"/>
          </w:tcPr>
          <w:p>
            <w:pPr>
              <w:spacing w:line="276" w:lineRule="auto" w:before="0" w:after="0"/>
            </w:pPr>
            <w:r/>
            <w:r>
              <w:rPr>
                <w:rFonts w:ascii="Figtree" w:hAnsi="Figtree"/>
                <w:b w:val="0"/>
                <w:i w:val="0"/>
                <w:sz w:val="20"/>
              </w:rPr>
              <w:t>Per-dashboard: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Regulatory submission support</w:t>
            </w:r>
          </w:p>
        </w:tc>
        <w:tc>
          <w:tcPr>
            <w:tcW w:type="dxa" w:w="3249"/>
            <w:vAlign w:val="center"/>
          </w:tcPr>
          <w:p>
            <w:pPr>
              <w:spacing w:line="276" w:lineRule="auto" w:before="0" w:after="0"/>
            </w:pPr>
            <w:r/>
            <w:r>
              <w:rPr>
                <w:rFonts w:ascii="Figtree" w:hAnsi="Figtree"/>
                <w:b w:val="0"/>
                <w:i w:val="0"/>
                <w:sz w:val="20"/>
              </w:rPr>
              <w:t>SettleMint participation in LSEG's FCA or BoE regulatory engagements</w:t>
            </w:r>
          </w:p>
        </w:tc>
        <w:tc>
          <w:tcPr>
            <w:tcW w:type="dxa" w:w="3249"/>
            <w:vAlign w:val="center"/>
          </w:tcPr>
          <w:p>
            <w:pPr>
              <w:spacing w:line="276" w:lineRule="auto" w:before="0" w:after="0"/>
            </w:pPr>
            <w:r/>
            <w:r>
              <w:rPr>
                <w:rFonts w:ascii="Figtree" w:hAnsi="Figtree"/>
                <w:b w:val="0"/>
                <w:i w:val="0"/>
                <w:sz w:val="20"/>
              </w:rPr>
              <w:t>Per-day rate: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DR test execution support</w:t>
            </w:r>
          </w:p>
        </w:tc>
        <w:tc>
          <w:tcPr>
            <w:tcW w:type="dxa" w:w="3249"/>
            <w:vAlign w:val="center"/>
          </w:tcPr>
          <w:p>
            <w:pPr>
              <w:spacing w:line="276" w:lineRule="auto" w:before="0" w:after="0"/>
            </w:pPr>
            <w:r/>
            <w:r>
              <w:rPr>
                <w:rFonts w:ascii="Figtree" w:hAnsi="Figtree"/>
                <w:b w:val="0"/>
                <w:i w:val="0"/>
                <w:sz w:val="20"/>
              </w:rPr>
              <w:t>SettleMint participation in LSEG's full DR test exercises</w:t>
            </w:r>
          </w:p>
        </w:tc>
        <w:tc>
          <w:tcPr>
            <w:tcW w:type="dxa" w:w="3249"/>
            <w:vAlign w:val="center"/>
          </w:tcPr>
          <w:p>
            <w:pPr>
              <w:spacing w:line="276" w:lineRule="auto" w:before="0" w:after="0"/>
            </w:pPr>
            <w:r/>
            <w:r>
              <w:rPr>
                <w:rFonts w:ascii="Figtree" w:hAnsi="Figtree"/>
                <w:b w:val="0"/>
                <w:i w:val="0"/>
                <w:sz w:val="20"/>
              </w:rPr>
              <w:t>Per-test: [CLIENT-SPECIFIC]</w:t>
            </w:r>
          </w:p>
        </w:tc>
      </w:tr>
    </w:tbl>
    <w:p>
      <w:pPr>
        <w:spacing w:before="0" w:after="0" w:line="120" w:lineRule="exact"/>
      </w:pPr>
    </w:p>
    <w:p>
      <w:pPr>
        <w:pStyle w:val="H3"/>
        <w:numPr>
          <w:ilvl w:val="2"/>
          <w:numId w:val="1"/>
        </w:numPr>
      </w:pPr>
      <w:r>
        <w:t>10.2 Excluded Items</w:t>
      </w:r>
    </w:p>
    <w:p>
      <w:r>
        <w:rPr>
          <w:rFonts w:ascii="Figtree" w:hAnsi="Figtree"/>
          <w:b w:val="0"/>
          <w:i w:val="0"/>
          <w:sz w:val="22"/>
        </w:rPr>
        <w:t>The following are explicitly excluded from DALP platform scope and commercial terms:</w:t>
      </w:r>
    </w:p>
    <w:p>
      <w:pPr>
        <w:pStyle w:val="ListParagraph"/>
        <w:numPr>
          <w:ilvl w:val="0"/>
          <w:numId w:val="4"/>
        </w:numPr>
      </w:pPr>
      <w:r>
        <w:rPr>
          <w:rFonts w:ascii="Figtree" w:hAnsi="Figtree"/>
          <w:b w:val="0"/>
          <w:i w:val="0"/>
          <w:sz w:val="22"/>
        </w:rPr>
        <w:t>Custom smart contract development (DALP provides configurable standard contracts only)</w:t>
      </w:r>
    </w:p>
    <w:p>
      <w:pPr>
        <w:pStyle w:val="ListParagraph"/>
        <w:numPr>
          <w:ilvl w:val="0"/>
          <w:numId w:val="4"/>
        </w:numPr>
      </w:pPr>
      <w:r>
        <w:rPr>
          <w:rFonts w:ascii="Figtree" w:hAnsi="Figtree"/>
          <w:b w:val="0"/>
          <w:i w:val="0"/>
          <w:sz w:val="22"/>
        </w:rPr>
        <w:t>Consulting services, technology strategy advice, or advisory engagements</w:t>
      </w:r>
    </w:p>
    <w:p>
      <w:pPr>
        <w:pStyle w:val="ListParagraph"/>
        <w:numPr>
          <w:ilvl w:val="0"/>
          <w:numId w:val="4"/>
        </w:numPr>
      </w:pPr>
      <w:r>
        <w:rPr>
          <w:rFonts w:ascii="Figtree" w:hAnsi="Figtree"/>
          <w:b w:val="0"/>
          <w:i w:val="0"/>
          <w:sz w:val="22"/>
        </w:rPr>
        <w:t>LSEG internal project management costs</w:t>
      </w:r>
    </w:p>
    <w:p>
      <w:pPr>
        <w:pStyle w:val="ListParagraph"/>
        <w:numPr>
          <w:ilvl w:val="0"/>
          <w:numId w:val="4"/>
        </w:numPr>
      </w:pPr>
      <w:r>
        <w:rPr>
          <w:rFonts w:ascii="Figtree" w:hAnsi="Figtree"/>
          <w:b w:val="0"/>
          <w:i w:val="0"/>
          <w:sz w:val="22"/>
        </w:rPr>
        <w:t>Third-party software licenses (Kubernetes, PostgreSQL, HSM hardware)</w:t>
      </w:r>
    </w:p>
    <w:p>
      <w:pPr>
        <w:pStyle w:val="ListParagraph"/>
        <w:numPr>
          <w:ilvl w:val="0"/>
          <w:numId w:val="4"/>
        </w:numPr>
      </w:pPr>
      <w:r>
        <w:rPr>
          <w:rFonts w:ascii="Figtree" w:hAnsi="Figtree"/>
          <w:b w:val="0"/>
          <w:i w:val="0"/>
          <w:sz w:val="22"/>
        </w:rPr>
        <w:t>Data centre costs and connectivity costs</w:t>
      </w:r>
    </w:p>
    <w:p>
      <w:pPr>
        <w:pStyle w:val="ListParagraph"/>
        <w:numPr>
          <w:ilvl w:val="0"/>
          <w:numId w:val="4"/>
        </w:numPr>
      </w:pPr>
      <w:r>
        <w:rPr>
          <w:rFonts w:ascii="Figtree" w:hAnsi="Figtree"/>
          <w:b w:val="0"/>
          <w:i w:val="0"/>
          <w:sz w:val="22"/>
        </w:rPr>
        <w:t>Legal costs associated with DSS registration</w:t>
      </w:r>
    </w:p>
    <w:p>
      <w:r>
        <w:br w:type="page"/>
      </w:r>
    </w:p>
    <w:p>
      <w:pPr>
        <w:pStyle w:val="H2"/>
        <w:numPr>
          <w:ilvl w:val="1"/>
          <w:numId w:val="1"/>
        </w:numPr>
      </w:pPr>
      <w:r>
        <w:t>11. Third-Party Costs</w:t>
      </w:r>
    </w:p>
    <w:p>
      <w:pPr>
        <w:pStyle w:val="H3"/>
        <w:numPr>
          <w:ilvl w:val="2"/>
          <w:numId w:val="1"/>
        </w:numPr>
      </w:pPr>
      <w:r>
        <w:t>11.1 Costs Outside SettleMint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16"/>
        <w:gridCol w:w="1425"/>
        <w:gridCol w:w="473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Range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security audit</w:t>
            </w:r>
          </w:p>
        </w:tc>
        <w:tc>
          <w:tcPr>
            <w:tcW w:type="dxa" w:w="3249"/>
            <w:vAlign w:val="center"/>
          </w:tcPr>
          <w:p>
            <w:pPr>
              <w:spacing w:line="276" w:lineRule="auto" w:before="0" w:after="0"/>
            </w:pPr>
            <w:r/>
            <w:r>
              <w:rPr>
                <w:rFonts w:ascii="Figtree" w:hAnsi="Figtree"/>
                <w:b w:val="0"/>
                <w:i w:val="0"/>
                <w:sz w:val="20"/>
              </w:rPr>
              <w:t>[CLIENT-SPECIFIC]</w:t>
            </w:r>
          </w:p>
        </w:tc>
        <w:tc>
          <w:tcPr>
            <w:tcW w:type="dxa" w:w="3249"/>
            <w:vAlign w:val="center"/>
          </w:tcPr>
          <w:p>
            <w:pPr>
              <w:spacing w:line="276" w:lineRule="auto" w:before="0" w:after="0"/>
            </w:pPr>
            <w:r/>
            <w:r>
              <w:rPr>
                <w:rFonts w:ascii="Figtree" w:hAnsi="Figtree"/>
                <w:b w:val="0"/>
                <w:i w:val="0"/>
                <w:sz w:val="20"/>
              </w:rPr>
              <w:t>Recommended third-party firm; pass-through at cost</w:t>
            </w:r>
          </w:p>
        </w:tc>
      </w:tr>
      <w:tr>
        <w:trPr>
          <w:trHeight w:val="425" w:hRule="atLeast"/>
        </w:trPr>
        <w:tc>
          <w:tcPr>
            <w:tcW w:type="dxa" w:w="3249"/>
            <w:vAlign w:val="center"/>
          </w:tcPr>
          <w:p>
            <w:pPr>
              <w:spacing w:line="276" w:lineRule="auto" w:before="0" w:after="0"/>
            </w:pPr>
            <w:r/>
            <w:r>
              <w:rPr>
                <w:rFonts w:ascii="Figtree" w:hAnsi="Figtree"/>
                <w:b w:val="0"/>
                <w:i w:val="0"/>
                <w:sz w:val="20"/>
              </w:rPr>
              <w:t>HSM hardware procurement</w:t>
            </w:r>
          </w:p>
        </w:tc>
        <w:tc>
          <w:tcPr>
            <w:tcW w:type="dxa" w:w="3249"/>
            <w:vAlign w:val="center"/>
          </w:tcPr>
          <w:p>
            <w:pPr>
              <w:spacing w:line="276" w:lineRule="auto" w:before="0" w:after="0"/>
            </w:pPr>
            <w:r/>
            <w:r>
              <w:rPr>
                <w:rFonts w:ascii="Figtree" w:hAnsi="Figtree"/>
                <w:b w:val="0"/>
                <w:i w:val="0"/>
                <w:sz w:val="20"/>
              </w:rPr>
              <w:t>[CLIENT-SPECIFIC]</w:t>
            </w:r>
          </w:p>
        </w:tc>
        <w:tc>
          <w:tcPr>
            <w:tcW w:type="dxa" w:w="3249"/>
            <w:vAlign w:val="center"/>
          </w:tcPr>
          <w:p>
            <w:pPr>
              <w:spacing w:line="276" w:lineRule="auto" w:before="0" w:after="0"/>
            </w:pPr>
            <w:r/>
            <w:r>
              <w:rPr>
                <w:rFonts w:ascii="Figtree" w:hAnsi="Figtree"/>
                <w:b w:val="0"/>
                <w:i w:val="0"/>
                <w:sz w:val="20"/>
              </w:rPr>
              <w:t>LSEG procures; SettleMint specifies and configures</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(compute, storage, networking)</w:t>
            </w:r>
          </w:p>
        </w:tc>
        <w:tc>
          <w:tcPr>
            <w:tcW w:type="dxa" w:w="3249"/>
            <w:vAlign w:val="center"/>
          </w:tcPr>
          <w:p>
            <w:pPr>
              <w:spacing w:line="276" w:lineRule="auto" w:before="0" w:after="0"/>
            </w:pPr>
            <w:r/>
            <w:r>
              <w:rPr>
                <w:rFonts w:ascii="Figtree" w:hAnsi="Figtree"/>
                <w:b w:val="0"/>
                <w:i w:val="0"/>
                <w:sz w:val="20"/>
              </w:rPr>
              <w:t>[CLIENT-SPECIFIC] p.a.</w:t>
            </w:r>
          </w:p>
        </w:tc>
        <w:tc>
          <w:tcPr>
            <w:tcW w:type="dxa" w:w="3249"/>
            <w:vAlign w:val="center"/>
          </w:tcPr>
          <w:p>
            <w:pPr>
              <w:spacing w:line="276" w:lineRule="auto" w:before="0" w:after="0"/>
            </w:pPr>
            <w:r/>
            <w:r>
              <w:rPr>
                <w:rFonts w:ascii="Figtree" w:hAnsi="Figtree"/>
                <w:b w:val="0"/>
                <w:i w:val="0"/>
                <w:sz w:val="20"/>
              </w:rPr>
              <w:t>LSEG's existing data centre or cloud</w:t>
            </w:r>
          </w:p>
        </w:tc>
      </w:tr>
      <w:tr>
        <w:trPr>
          <w:trHeight w:val="425" w:hRule="atLeast"/>
        </w:trPr>
        <w:tc>
          <w:tcPr>
            <w:tcW w:type="dxa" w:w="3249"/>
            <w:vAlign w:val="center"/>
          </w:tcPr>
          <w:p>
            <w:pPr>
              <w:spacing w:line="276" w:lineRule="auto" w:before="0" w:after="0"/>
            </w:pPr>
            <w:r/>
            <w:r>
              <w:rPr>
                <w:rFonts w:ascii="Figtree" w:hAnsi="Figtree"/>
                <w:b w:val="0"/>
                <w:i w:val="0"/>
                <w:sz w:val="20"/>
              </w:rPr>
              <w:t>KYC/AML system integration</w:t>
            </w:r>
          </w:p>
        </w:tc>
        <w:tc>
          <w:tcPr>
            <w:tcW w:type="dxa" w:w="3249"/>
            <w:vAlign w:val="center"/>
          </w:tcPr>
          <w:p>
            <w:pPr>
              <w:spacing w:line="276" w:lineRule="auto" w:before="0" w:after="0"/>
            </w:pPr>
            <w:r/>
            <w:r>
              <w:rPr>
                <w:rFonts w:ascii="Figtree" w:hAnsi="Figtree"/>
                <w:b w:val="0"/>
                <w:i w:val="0"/>
                <w:sz w:val="20"/>
              </w:rPr>
              <w:t>LSEG cost</w:t>
            </w:r>
          </w:p>
        </w:tc>
        <w:tc>
          <w:tcPr>
            <w:tcW w:type="dxa" w:w="3249"/>
            <w:vAlign w:val="center"/>
          </w:tcPr>
          <w:p>
            <w:pPr>
              <w:spacing w:line="276" w:lineRule="auto" w:before="0" w:after="0"/>
            </w:pPr>
            <w:r/>
            <w:r>
              <w:rPr>
                <w:rFonts w:ascii="Figtree" w:hAnsi="Figtree"/>
                <w:b w:val="0"/>
                <w:i w:val="0"/>
                <w:sz w:val="20"/>
              </w:rPr>
              <w:t>Integration API is DALP-provided; KYC system is LSEG's</w:t>
            </w:r>
          </w:p>
        </w:tc>
      </w:tr>
      <w:tr>
        <w:trPr>
          <w:trHeight w:val="425" w:hRule="atLeast"/>
        </w:trPr>
        <w:tc>
          <w:tcPr>
            <w:tcW w:type="dxa" w:w="3249"/>
            <w:vAlign w:val="center"/>
          </w:tcPr>
          <w:p>
            <w:pPr>
              <w:spacing w:line="276" w:lineRule="auto" w:before="0" w:after="0"/>
            </w:pPr>
            <w:r/>
            <w:r>
              <w:rPr>
                <w:rFonts w:ascii="Figtree" w:hAnsi="Figtree"/>
                <w:b w:val="0"/>
                <w:i w:val="0"/>
                <w:sz w:val="20"/>
              </w:rPr>
              <w:t>Legal and regulatory fees (DSS registration)</w:t>
            </w:r>
          </w:p>
        </w:tc>
        <w:tc>
          <w:tcPr>
            <w:tcW w:type="dxa" w:w="3249"/>
            <w:vAlign w:val="center"/>
          </w:tcPr>
          <w:p>
            <w:pPr>
              <w:spacing w:line="276" w:lineRule="auto" w:before="0" w:after="0"/>
            </w:pPr>
            <w:r/>
            <w:r>
              <w:rPr>
                <w:rFonts w:ascii="Figtree" w:hAnsi="Figtree"/>
                <w:b w:val="0"/>
                <w:i w:val="0"/>
                <w:sz w:val="20"/>
              </w:rPr>
              <w:t>[CLIENT-SPECIFIC]</w:t>
            </w:r>
          </w:p>
        </w:tc>
        <w:tc>
          <w:tcPr>
            <w:tcW w:type="dxa" w:w="3249"/>
            <w:vAlign w:val="center"/>
          </w:tcPr>
          <w:p>
            <w:pPr>
              <w:spacing w:line="276" w:lineRule="auto" w:before="0" w:after="0"/>
            </w:pPr>
            <w:r/>
            <w:r>
              <w:rPr>
                <w:rFonts w:ascii="Figtree" w:hAnsi="Figtree"/>
                <w:b w:val="0"/>
                <w:i w:val="0"/>
                <w:sz w:val="20"/>
              </w:rPr>
              <w:t>LSEG's legal counsel; SettleMint provides technical documentation support</w:t>
            </w:r>
          </w:p>
        </w:tc>
      </w:tr>
      <w:tr>
        <w:trPr>
          <w:trHeight w:val="425" w:hRule="atLeast"/>
        </w:trPr>
        <w:tc>
          <w:tcPr>
            <w:tcW w:type="dxa" w:w="3249"/>
            <w:vAlign w:val="center"/>
          </w:tcPr>
          <w:p>
            <w:pPr>
              <w:spacing w:line="276" w:lineRule="auto" w:before="0" w:after="0"/>
            </w:pPr>
            <w:r/>
            <w:r>
              <w:rPr>
                <w:rFonts w:ascii="Figtree" w:hAnsi="Figtree"/>
                <w:b w:val="0"/>
                <w:i w:val="0"/>
                <w:sz w:val="20"/>
              </w:rPr>
              <w:t>Penetration testing (third-party)</w:t>
            </w:r>
          </w:p>
        </w:tc>
        <w:tc>
          <w:tcPr>
            <w:tcW w:type="dxa" w:w="3249"/>
            <w:vAlign w:val="center"/>
          </w:tcPr>
          <w:p>
            <w:pPr>
              <w:spacing w:line="276" w:lineRule="auto" w:before="0" w:after="0"/>
            </w:pPr>
            <w:r/>
            <w:r>
              <w:rPr>
                <w:rFonts w:ascii="Figtree" w:hAnsi="Figtree"/>
                <w:b w:val="0"/>
                <w:i w:val="0"/>
                <w:sz w:val="20"/>
              </w:rPr>
              <w:t>[CLIENT-SPECIFIC]</w:t>
            </w:r>
          </w:p>
        </w:tc>
        <w:tc>
          <w:tcPr>
            <w:tcW w:type="dxa" w:w="3249"/>
            <w:vAlign w:val="center"/>
          </w:tcPr>
          <w:p>
            <w:pPr>
              <w:spacing w:line="276" w:lineRule="auto" w:before="0" w:after="0"/>
            </w:pPr>
            <w:r/>
            <w:r>
              <w:rPr>
                <w:rFonts w:ascii="Figtree" w:hAnsi="Figtree"/>
                <w:b w:val="0"/>
                <w:i w:val="0"/>
                <w:sz w:val="20"/>
              </w:rPr>
              <w:t>LSEG selects testing firm; SettleMint provides test environment</w:t>
            </w:r>
          </w:p>
        </w:tc>
      </w:tr>
    </w:tbl>
    <w:p>
      <w:pPr>
        <w:spacing w:before="0" w:after="0" w:line="120" w:lineRule="exact"/>
      </w:pPr>
    </w:p>
    <w:p>
      <w:r>
        <w:rPr>
          <w:rFonts w:ascii="Figtree" w:hAnsi="Figtree"/>
          <w:b w:val="0"/>
          <w:i w:val="0"/>
          <w:sz w:val="22"/>
        </w:rPr>
        <w:t>SettleMint does not mark up third-party costs beyond the pass-through rate specified in the contract.</w:t>
      </w:r>
    </w:p>
    <w:p>
      <w:r>
        <w:br w:type="page"/>
      </w:r>
    </w:p>
    <w:p>
      <w:pPr>
        <w:pStyle w:val="H2"/>
        <w:numPr>
          <w:ilvl w:val="1"/>
          <w:numId w:val="1"/>
        </w:numPr>
      </w:pPr>
      <w:r>
        <w:t>12. Commercial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9"/>
        <w:gridCol w:w="4383"/>
        <w:gridCol w:w="399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Incorrect</w:t>
            </w:r>
          </w:p>
        </w:tc>
      </w:tr>
      <w:tr>
        <w:trPr>
          <w:trHeight w:val="425" w:hRule="atLeast"/>
        </w:trPr>
        <w:tc>
          <w:tcPr>
            <w:tcW w:type="dxa" w:w="3249"/>
            <w:vAlign w:val="center"/>
          </w:tcPr>
          <w:p>
            <w:pPr>
              <w:spacing w:line="276" w:lineRule="auto" w:before="0" w:after="0"/>
            </w:pPr>
            <w:r/>
            <w:r>
              <w:rPr>
                <w:rFonts w:ascii="Figtree" w:hAnsi="Figtree"/>
                <w:b w:val="0"/>
                <w:i w:val="0"/>
                <w:sz w:val="20"/>
              </w:rPr>
              <w:t>CA-001</w:t>
            </w:r>
          </w:p>
        </w:tc>
        <w:tc>
          <w:tcPr>
            <w:tcW w:type="dxa" w:w="3249"/>
            <w:vAlign w:val="center"/>
          </w:tcPr>
          <w:p>
            <w:pPr>
              <w:spacing w:line="276" w:lineRule="auto" w:before="0" w:after="0"/>
            </w:pPr>
            <w:r/>
            <w:r>
              <w:rPr>
                <w:rFonts w:ascii="Figtree" w:hAnsi="Figtree"/>
                <w:b w:val="0"/>
                <w:i w:val="0"/>
                <w:sz w:val="20"/>
              </w:rPr>
              <w:t>LSEG will provide UK data centre infrastructure meeting the specifications in Section 6.1</w:t>
            </w:r>
          </w:p>
        </w:tc>
        <w:tc>
          <w:tcPr>
            <w:tcW w:type="dxa" w:w="3249"/>
            <w:vAlign w:val="center"/>
          </w:tcPr>
          <w:p>
            <w:pPr>
              <w:spacing w:line="276" w:lineRule="auto" w:before="0" w:after="0"/>
            </w:pPr>
            <w:r/>
            <w:r>
              <w:rPr>
                <w:rFonts w:ascii="Figtree" w:hAnsi="Figtree"/>
                <w:b w:val="0"/>
                <w:i w:val="0"/>
                <w:sz w:val="20"/>
              </w:rPr>
              <w:t>Infrastructure rework cost and schedule impact</w:t>
            </w:r>
          </w:p>
        </w:tc>
      </w:tr>
      <w:tr>
        <w:trPr>
          <w:trHeight w:val="425" w:hRule="atLeast"/>
        </w:trPr>
        <w:tc>
          <w:tcPr>
            <w:tcW w:type="dxa" w:w="3249"/>
            <w:vAlign w:val="center"/>
          </w:tcPr>
          <w:p>
            <w:pPr>
              <w:spacing w:line="276" w:lineRule="auto" w:before="0" w:after="0"/>
            </w:pPr>
            <w:r/>
            <w:r>
              <w:rPr>
                <w:rFonts w:ascii="Figtree" w:hAnsi="Figtree"/>
                <w:b w:val="0"/>
                <w:i w:val="0"/>
                <w:sz w:val="20"/>
              </w:rPr>
              <w:t>CA-002</w:t>
            </w:r>
          </w:p>
        </w:tc>
        <w:tc>
          <w:tcPr>
            <w:tcW w:type="dxa" w:w="3249"/>
            <w:vAlign w:val="center"/>
          </w:tcPr>
          <w:p>
            <w:pPr>
              <w:spacing w:line="276" w:lineRule="auto" w:before="0" w:after="0"/>
            </w:pPr>
            <w:r/>
            <w:r>
              <w:rPr>
                <w:rFonts w:ascii="Figtree" w:hAnsi="Figtree"/>
                <w:b w:val="0"/>
                <w:i w:val="0"/>
                <w:sz w:val="20"/>
              </w:rPr>
              <w:t>LSEG's KYC/AML system exposes a documented REST API for integration</w:t>
            </w:r>
          </w:p>
        </w:tc>
        <w:tc>
          <w:tcPr>
            <w:tcW w:type="dxa" w:w="3249"/>
            <w:vAlign w:val="center"/>
          </w:tcPr>
          <w:p>
            <w:pPr>
              <w:spacing w:line="276" w:lineRule="auto" w:before="0" w:after="0"/>
            </w:pPr>
            <w:r/>
            <w:r>
              <w:rPr>
                <w:rFonts w:ascii="Figtree" w:hAnsi="Figtree"/>
                <w:b w:val="0"/>
                <w:i w:val="0"/>
                <w:sz w:val="20"/>
              </w:rPr>
              <w:t>Integration phase extension and additional cost</w:t>
            </w:r>
          </w:p>
        </w:tc>
      </w:tr>
      <w:tr>
        <w:trPr>
          <w:trHeight w:val="425" w:hRule="atLeast"/>
        </w:trPr>
        <w:tc>
          <w:tcPr>
            <w:tcW w:type="dxa" w:w="3249"/>
            <w:vAlign w:val="center"/>
          </w:tcPr>
          <w:p>
            <w:pPr>
              <w:spacing w:line="276" w:lineRule="auto" w:before="0" w:after="0"/>
            </w:pPr>
            <w:r/>
            <w:r>
              <w:rPr>
                <w:rFonts w:ascii="Figtree" w:hAnsi="Figtree"/>
                <w:b w:val="0"/>
                <w:i w:val="0"/>
                <w:sz w:val="20"/>
              </w:rPr>
              <w:t>CA-003</w:t>
            </w:r>
          </w:p>
        </w:tc>
        <w:tc>
          <w:tcPr>
            <w:tcW w:type="dxa" w:w="3249"/>
            <w:vAlign w:val="center"/>
          </w:tcPr>
          <w:p>
            <w:pPr>
              <w:spacing w:line="276" w:lineRule="auto" w:before="0" w:after="0"/>
            </w:pPr>
            <w:r/>
            <w:r>
              <w:rPr>
                <w:rFonts w:ascii="Figtree" w:hAnsi="Figtree"/>
                <w:b w:val="0"/>
                <w:i w:val="0"/>
                <w:sz w:val="20"/>
              </w:rPr>
              <w:t>LSEG will provide dedicated subject-matter experts during the Configuration and Integration phases</w:t>
            </w:r>
          </w:p>
        </w:tc>
        <w:tc>
          <w:tcPr>
            <w:tcW w:type="dxa" w:w="3249"/>
            <w:vAlign w:val="center"/>
          </w:tcPr>
          <w:p>
            <w:pPr>
              <w:spacing w:line="276" w:lineRule="auto" w:before="0" w:after="0"/>
            </w:pPr>
            <w:r/>
            <w:r>
              <w:rPr>
                <w:rFonts w:ascii="Figtree" w:hAnsi="Figtree"/>
                <w:b w:val="0"/>
                <w:i w:val="0"/>
                <w:sz w:val="20"/>
              </w:rPr>
              <w:t>Phase extension if availability is insufficient</w:t>
            </w:r>
          </w:p>
        </w:tc>
      </w:tr>
      <w:tr>
        <w:trPr>
          <w:trHeight w:val="425" w:hRule="atLeast"/>
        </w:trPr>
        <w:tc>
          <w:tcPr>
            <w:tcW w:type="dxa" w:w="3249"/>
            <w:vAlign w:val="center"/>
          </w:tcPr>
          <w:p>
            <w:pPr>
              <w:spacing w:line="276" w:lineRule="auto" w:before="0" w:after="0"/>
            </w:pPr>
            <w:r/>
            <w:r>
              <w:rPr>
                <w:rFonts w:ascii="Figtree" w:hAnsi="Figtree"/>
                <w:b w:val="0"/>
                <w:i w:val="0"/>
                <w:sz w:val="20"/>
              </w:rPr>
              <w:t>CA-004</w:t>
            </w:r>
          </w:p>
        </w:tc>
        <w:tc>
          <w:tcPr>
            <w:tcW w:type="dxa" w:w="3249"/>
            <w:vAlign w:val="center"/>
          </w:tcPr>
          <w:p>
            <w:pPr>
              <w:spacing w:line="276" w:lineRule="auto" w:before="0" w:after="0"/>
            </w:pPr>
            <w:r/>
            <w:r>
              <w:rPr>
                <w:rFonts w:ascii="Figtree" w:hAnsi="Figtree"/>
                <w:b w:val="0"/>
                <w:i w:val="0"/>
                <w:sz w:val="20"/>
              </w:rPr>
              <w:t>DSS regulatory parameters are stable during the Configuration phase</w:t>
            </w:r>
          </w:p>
        </w:tc>
        <w:tc>
          <w:tcPr>
            <w:tcW w:type="dxa" w:w="3249"/>
            <w:vAlign w:val="center"/>
          </w:tcPr>
          <w:p>
            <w:pPr>
              <w:spacing w:line="276" w:lineRule="auto" w:before="0" w:after="0"/>
            </w:pPr>
            <w:r/>
            <w:r>
              <w:rPr>
                <w:rFonts w:ascii="Figtree" w:hAnsi="Figtree"/>
                <w:b w:val="0"/>
                <w:i w:val="0"/>
                <w:sz w:val="20"/>
              </w:rPr>
              <w:t>Change request required if DSS rules change materially during delivery</w:t>
            </w:r>
          </w:p>
        </w:tc>
      </w:tr>
      <w:tr>
        <w:trPr>
          <w:trHeight w:val="425" w:hRule="atLeast"/>
        </w:trPr>
        <w:tc>
          <w:tcPr>
            <w:tcW w:type="dxa" w:w="3249"/>
            <w:vAlign w:val="center"/>
          </w:tcPr>
          <w:p>
            <w:pPr>
              <w:spacing w:line="276" w:lineRule="auto" w:before="0" w:after="0"/>
            </w:pPr>
            <w:r/>
            <w:r>
              <w:rPr>
                <w:rFonts w:ascii="Figtree" w:hAnsi="Figtree"/>
                <w:b w:val="0"/>
                <w:i w:val="0"/>
                <w:sz w:val="20"/>
              </w:rPr>
              <w:t>CA-005</w:t>
            </w:r>
          </w:p>
        </w:tc>
        <w:tc>
          <w:tcPr>
            <w:tcW w:type="dxa" w:w="3249"/>
            <w:vAlign w:val="center"/>
          </w:tcPr>
          <w:p>
            <w:pPr>
              <w:spacing w:line="276" w:lineRule="auto" w:before="0" w:after="0"/>
            </w:pPr>
            <w:r/>
            <w:r>
              <w:rPr>
                <w:rFonts w:ascii="Figtree" w:hAnsi="Figtree"/>
                <w:b w:val="0"/>
                <w:i w:val="0"/>
                <w:sz w:val="20"/>
              </w:rPr>
              <w:t>Smart contract audit findings are limited to low/medium severity</w:t>
            </w:r>
          </w:p>
        </w:tc>
        <w:tc>
          <w:tcPr>
            <w:tcW w:type="dxa" w:w="3249"/>
            <w:vAlign w:val="center"/>
          </w:tcPr>
          <w:p>
            <w:pPr>
              <w:spacing w:line="276" w:lineRule="auto" w:before="0" w:after="0"/>
            </w:pPr>
            <w:r/>
            <w:r>
              <w:rPr>
                <w:rFonts w:ascii="Figtree" w:hAnsi="Figtree"/>
                <w:b w:val="0"/>
                <w:i w:val="0"/>
                <w:sz w:val="20"/>
              </w:rPr>
              <w:t>Critical findings will extend the go-live timeline; cost of remediation is within SettleMint's scope</w:t>
            </w:r>
          </w:p>
        </w:tc>
      </w:tr>
      <w:tr>
        <w:trPr>
          <w:trHeight w:val="425" w:hRule="atLeast"/>
        </w:trPr>
        <w:tc>
          <w:tcPr>
            <w:tcW w:type="dxa" w:w="3249"/>
            <w:vAlign w:val="center"/>
          </w:tcPr>
          <w:p>
            <w:pPr>
              <w:spacing w:line="276" w:lineRule="auto" w:before="0" w:after="0"/>
            </w:pPr>
            <w:r/>
            <w:r>
              <w:rPr>
                <w:rFonts w:ascii="Figtree" w:hAnsi="Figtree"/>
                <w:b w:val="0"/>
                <w:i w:val="0"/>
                <w:sz w:val="20"/>
              </w:rPr>
              <w:t>CA-006</w:t>
            </w:r>
          </w:p>
        </w:tc>
        <w:tc>
          <w:tcPr>
            <w:tcW w:type="dxa" w:w="3249"/>
            <w:vAlign w:val="center"/>
          </w:tcPr>
          <w:p>
            <w:pPr>
              <w:spacing w:line="276" w:lineRule="auto" w:before="0" w:after="0"/>
            </w:pPr>
            <w:r/>
            <w:r>
              <w:rPr>
                <w:rFonts w:ascii="Figtree" w:hAnsi="Figtree"/>
                <w:b w:val="0"/>
                <w:i w:val="0"/>
                <w:sz w:val="20"/>
              </w:rPr>
              <w:t>LSEG's market surveillance system supports webhook-based event consumption</w:t>
            </w:r>
          </w:p>
        </w:tc>
        <w:tc>
          <w:tcPr>
            <w:tcW w:type="dxa" w:w="3249"/>
            <w:vAlign w:val="center"/>
          </w:tcPr>
          <w:p>
            <w:pPr>
              <w:spacing w:line="276" w:lineRule="auto" w:before="0" w:after="0"/>
            </w:pPr>
            <w:r/>
            <w:r>
              <w:rPr>
                <w:rFonts w:ascii="Figtree" w:hAnsi="Figtree"/>
                <w:b w:val="0"/>
                <w:i w:val="0"/>
                <w:sz w:val="20"/>
              </w:rPr>
              <w:t>Integration approach change required if surveillance system requires different integration model</w:t>
            </w:r>
          </w:p>
        </w:tc>
      </w:tr>
      <w:tr>
        <w:trPr>
          <w:trHeight w:val="425" w:hRule="atLeast"/>
        </w:trPr>
        <w:tc>
          <w:tcPr>
            <w:tcW w:type="dxa" w:w="3249"/>
            <w:vAlign w:val="center"/>
          </w:tcPr>
          <w:p>
            <w:pPr>
              <w:spacing w:line="276" w:lineRule="auto" w:before="0" w:after="0"/>
            </w:pPr>
            <w:r/>
            <w:r>
              <w:rPr>
                <w:rFonts w:ascii="Figtree" w:hAnsi="Figtree"/>
                <w:b w:val="0"/>
                <w:i w:val="0"/>
                <w:sz w:val="20"/>
              </w:rPr>
              <w:t>CA-007</w:t>
            </w:r>
          </w:p>
        </w:tc>
        <w:tc>
          <w:tcPr>
            <w:tcW w:type="dxa" w:w="3249"/>
            <w:vAlign w:val="center"/>
          </w:tcPr>
          <w:p>
            <w:pPr>
              <w:spacing w:line="276" w:lineRule="auto" w:before="0" w:after="0"/>
            </w:pPr>
            <w:r/>
            <w:r>
              <w:rPr>
                <w:rFonts w:ascii="Figtree" w:hAnsi="Figtree"/>
                <w:b w:val="0"/>
                <w:i w:val="0"/>
                <w:sz w:val="20"/>
              </w:rPr>
              <w:t>LSEG's initial asset class scope is limited to [x] classes as discussed in pre-proposal engagement</w:t>
            </w:r>
          </w:p>
        </w:tc>
        <w:tc>
          <w:tcPr>
            <w:tcW w:type="dxa" w:w="3249"/>
            <w:vAlign w:val="center"/>
          </w:tcPr>
          <w:p>
            <w:pPr>
              <w:spacing w:line="276" w:lineRule="auto" w:before="0" w:after="0"/>
            </w:pPr>
            <w:r/>
            <w:r>
              <w:rPr>
                <w:rFonts w:ascii="Figtree" w:hAnsi="Figtree"/>
                <w:b w:val="0"/>
                <w:i w:val="0"/>
                <w:sz w:val="20"/>
              </w:rPr>
              <w:t>Additional asset classes require additional configuration days at day-rate</w:t>
            </w:r>
          </w:p>
        </w:tc>
      </w:tr>
      <w:tr>
        <w:trPr>
          <w:trHeight w:val="425" w:hRule="atLeast"/>
        </w:trPr>
        <w:tc>
          <w:tcPr>
            <w:tcW w:type="dxa" w:w="3249"/>
            <w:vAlign w:val="center"/>
          </w:tcPr>
          <w:p>
            <w:pPr>
              <w:spacing w:line="276" w:lineRule="auto" w:before="0" w:after="0"/>
            </w:pPr>
            <w:r/>
            <w:r>
              <w:rPr>
                <w:rFonts w:ascii="Figtree" w:hAnsi="Figtree"/>
                <w:b w:val="0"/>
                <w:i w:val="0"/>
                <w:sz w:val="20"/>
              </w:rPr>
              <w:t>CA-008</w:t>
            </w:r>
          </w:p>
        </w:tc>
        <w:tc>
          <w:tcPr>
            <w:tcW w:type="dxa" w:w="3249"/>
            <w:vAlign w:val="center"/>
          </w:tcPr>
          <w:p>
            <w:pPr>
              <w:spacing w:line="276" w:lineRule="auto" w:before="0" w:after="0"/>
            </w:pPr>
            <w:r/>
            <w:r>
              <w:rPr>
                <w:rFonts w:ascii="Figtree" w:hAnsi="Figtree"/>
                <w:b w:val="0"/>
                <w:i w:val="0"/>
                <w:sz w:val="20"/>
              </w:rPr>
              <w:t>Production deployment is within the UK jurisdiction</w:t>
            </w:r>
          </w:p>
        </w:tc>
        <w:tc>
          <w:tcPr>
            <w:tcW w:type="dxa" w:w="3249"/>
            <w:vAlign w:val="center"/>
          </w:tcPr>
          <w:p>
            <w:pPr>
              <w:spacing w:line="276" w:lineRule="auto" w:before="0" w:after="0"/>
            </w:pPr>
            <w:r/>
            <w:r>
              <w:rPr>
                <w:rFonts w:ascii="Figtree" w:hAnsi="Figtree"/>
                <w:b w:val="0"/>
                <w:i w:val="0"/>
                <w:sz w:val="20"/>
              </w:rPr>
              <w:t>Data residency configuration may require adjustment for non-UK deployment</w:t>
            </w:r>
          </w:p>
        </w:tc>
      </w:tr>
      <w:tr>
        <w:trPr>
          <w:trHeight w:val="425" w:hRule="atLeast"/>
        </w:trPr>
        <w:tc>
          <w:tcPr>
            <w:tcW w:type="dxa" w:w="3249"/>
            <w:vAlign w:val="center"/>
          </w:tcPr>
          <w:p>
            <w:pPr>
              <w:spacing w:line="276" w:lineRule="auto" w:before="0" w:after="0"/>
            </w:pPr>
            <w:r/>
            <w:r>
              <w:rPr>
                <w:rFonts w:ascii="Figtree" w:hAnsi="Figtree"/>
                <w:b w:val="0"/>
                <w:i w:val="0"/>
                <w:sz w:val="20"/>
              </w:rPr>
              <w:t>CA-009</w:t>
            </w:r>
          </w:p>
        </w:tc>
        <w:tc>
          <w:tcPr>
            <w:tcW w:type="dxa" w:w="3249"/>
            <w:vAlign w:val="center"/>
          </w:tcPr>
          <w:p>
            <w:pPr>
              <w:spacing w:line="276" w:lineRule="auto" w:before="0" w:after="0"/>
            </w:pPr>
            <w:r/>
            <w:r>
              <w:rPr>
                <w:rFonts w:ascii="Figtree" w:hAnsi="Figtree"/>
                <w:b w:val="0"/>
                <w:i w:val="0"/>
                <w:sz w:val="20"/>
              </w:rPr>
              <w:t>LSEG will provide FCA and BoE contacts for technical consultation on DSS alignment</w:t>
            </w:r>
          </w:p>
        </w:tc>
        <w:tc>
          <w:tcPr>
            <w:tcW w:type="dxa" w:w="3249"/>
            <w:vAlign w:val="center"/>
          </w:tcPr>
          <w:p>
            <w:pPr>
              <w:spacing w:line="276" w:lineRule="auto" w:before="0" w:after="0"/>
            </w:pPr>
            <w:r/>
            <w:r>
              <w:rPr>
                <w:rFonts w:ascii="Figtree" w:hAnsi="Figtree"/>
                <w:b w:val="0"/>
                <w:i w:val="0"/>
                <w:sz w:val="20"/>
              </w:rPr>
              <w:t>If regulatory consultation is not available, SettleMint's DSS alignment is based on published rules only</w:t>
            </w:r>
          </w:p>
        </w:tc>
      </w:tr>
      <w:tr>
        <w:trPr>
          <w:trHeight w:val="425" w:hRule="atLeast"/>
        </w:trPr>
        <w:tc>
          <w:tcPr>
            <w:tcW w:type="dxa" w:w="3249"/>
            <w:vAlign w:val="center"/>
          </w:tcPr>
          <w:p>
            <w:pPr>
              <w:spacing w:line="276" w:lineRule="auto" w:before="0" w:after="0"/>
            </w:pPr>
            <w:r/>
            <w:r>
              <w:rPr>
                <w:rFonts w:ascii="Figtree" w:hAnsi="Figtree"/>
                <w:b w:val="0"/>
                <w:i w:val="0"/>
                <w:sz w:val="20"/>
              </w:rPr>
              <w:t>CA-010</w:t>
            </w:r>
          </w:p>
        </w:tc>
        <w:tc>
          <w:tcPr>
            <w:tcW w:type="dxa" w:w="3249"/>
            <w:vAlign w:val="center"/>
          </w:tcPr>
          <w:p>
            <w:pPr>
              <w:spacing w:line="276" w:lineRule="auto" w:before="0" w:after="0"/>
            </w:pPr>
            <w:r/>
            <w:r>
              <w:rPr>
                <w:rFonts w:ascii="Figtree" w:hAnsi="Figtree"/>
                <w:b w:val="0"/>
                <w:i w:val="0"/>
                <w:sz w:val="20"/>
              </w:rPr>
              <w:t>SettleMint's named engineer will have remote access to the production environment under agreed security conditions</w:t>
            </w:r>
          </w:p>
        </w:tc>
        <w:tc>
          <w:tcPr>
            <w:tcW w:type="dxa" w:w="3249"/>
            <w:vAlign w:val="center"/>
          </w:tcPr>
          <w:p>
            <w:pPr>
              <w:spacing w:line="276" w:lineRule="auto" w:before="0" w:after="0"/>
            </w:pPr>
            <w:r/>
            <w:r>
              <w:rPr>
                <w:rFonts w:ascii="Figtree" w:hAnsi="Figtree"/>
                <w:b w:val="0"/>
                <w:i w:val="0"/>
                <w:sz w:val="20"/>
              </w:rPr>
              <w:t>On-site support required if remote access is not permitted; travel costs apply</w:t>
            </w:r>
          </w:p>
        </w:tc>
      </w:tr>
    </w:tbl>
    <w:p>
      <w:pPr>
        <w:spacing w:before="0" w:after="0" w:line="120" w:lineRule="exact"/>
      </w:pPr>
    </w:p>
    <w:p>
      <w:r>
        <w:br w:type="page"/>
      </w:r>
    </w:p>
    <w:p>
      <w:pPr>
        <w:pStyle w:val="H2"/>
        <w:numPr>
          <w:ilvl w:val="1"/>
          <w:numId w:val="1"/>
        </w:numPr>
      </w:pPr>
      <w:r>
        <w:t>13. Contractual Baseline</w:t>
      </w:r>
    </w:p>
    <w:p>
      <w:pPr>
        <w:pStyle w:val="H3"/>
        <w:numPr>
          <w:ilvl w:val="2"/>
          <w:numId w:val="1"/>
        </w:numPr>
      </w:pPr>
      <w:r>
        <w:t>13.1 Standard Contract Structure</w:t>
      </w:r>
    </w:p>
    <w:p>
      <w:r>
        <w:rPr>
          <w:rFonts w:ascii="Figtree" w:hAnsi="Figtree"/>
          <w:b w:val="0"/>
          <w:i w:val="0"/>
          <w:sz w:val="22"/>
        </w:rPr>
        <w:t>SettleMint's enterprise engagement is governed by the following contract structure:</w:t>
      </w:r>
    </w:p>
    <w:p>
      <w:pPr>
        <w:pStyle w:val="ListParagraph"/>
        <w:numPr>
          <w:ilvl w:val="0"/>
          <w:numId w:val="4"/>
        </w:numPr>
      </w:pPr>
      <w:r>
        <w:rPr>
          <w:rFonts w:ascii="Figtree" w:hAnsi="Figtree"/>
          <w:b/>
          <w:i w:val="0"/>
          <w:sz w:val="22"/>
        </w:rPr>
        <w:t>Master Services Agreement (MSA):</w:t>
      </w:r>
      <w:r>
        <w:rPr>
          <w:rFonts w:ascii="Figtree" w:hAnsi="Figtree"/>
          <w:b w:val="0"/>
          <w:i w:val="0"/>
          <w:sz w:val="22"/>
        </w:rPr>
        <w:t xml:space="preserve"> Overarching terms covering liability, intellectual property, confidentiality, data protection, and dispute resolution</w:t>
      </w:r>
    </w:p>
    <w:p>
      <w:pPr>
        <w:pStyle w:val="ListParagraph"/>
        <w:numPr>
          <w:ilvl w:val="0"/>
          <w:numId w:val="4"/>
        </w:numPr>
      </w:pPr>
      <w:r>
        <w:rPr>
          <w:rFonts w:ascii="Figtree" w:hAnsi="Figtree"/>
          <w:b/>
          <w:i w:val="0"/>
          <w:sz w:val="22"/>
        </w:rPr>
        <w:t>Platform License Schedule:</w:t>
      </w:r>
      <w:r>
        <w:rPr>
          <w:rFonts w:ascii="Figtree" w:hAnsi="Figtree"/>
          <w:b w:val="0"/>
          <w:i w:val="0"/>
          <w:sz w:val="22"/>
        </w:rPr>
        <w:t xml:space="preserve"> Specific terms for DALP platform use, including permitted use, prohibited use, and intellectual property ownership</w:t>
      </w:r>
    </w:p>
    <w:p>
      <w:pPr>
        <w:pStyle w:val="ListParagraph"/>
        <w:numPr>
          <w:ilvl w:val="0"/>
          <w:numId w:val="4"/>
        </w:numPr>
      </w:pPr>
      <w:r>
        <w:rPr>
          <w:rFonts w:ascii="Figtree" w:hAnsi="Figtree"/>
          <w:b/>
          <w:i w:val="0"/>
          <w:sz w:val="22"/>
        </w:rPr>
        <w:t>Statement of Work (SOW):</w:t>
      </w:r>
      <w:r>
        <w:rPr>
          <w:rFonts w:ascii="Figtree" w:hAnsi="Figtree"/>
          <w:b w:val="0"/>
          <w:i w:val="0"/>
          <w:sz w:val="22"/>
        </w:rPr>
        <w:t xml:space="preserve"> Implementation scope, deliverables, milestones, payment schedule, and acceptance criteria</w:t>
      </w:r>
    </w:p>
    <w:p>
      <w:pPr>
        <w:pStyle w:val="ListParagraph"/>
        <w:numPr>
          <w:ilvl w:val="0"/>
          <w:numId w:val="4"/>
        </w:numPr>
      </w:pPr>
      <w:r>
        <w:rPr>
          <w:rFonts w:ascii="Figtree" w:hAnsi="Figtree"/>
          <w:b/>
          <w:i w:val="0"/>
          <w:sz w:val="22"/>
        </w:rPr>
        <w:t>Support Services Schedule:</w:t>
      </w:r>
      <w:r>
        <w:rPr>
          <w:rFonts w:ascii="Figtree" w:hAnsi="Figtree"/>
          <w:b w:val="0"/>
          <w:i w:val="0"/>
          <w:sz w:val="22"/>
        </w:rPr>
        <w:t xml:space="preserve"> Enterprise SLA terms, escalation procedures, maintenance windows, and reporting obligations</w:t>
      </w:r>
    </w:p>
    <w:p>
      <w:pPr>
        <w:pStyle w:val="ListParagraph"/>
        <w:numPr>
          <w:ilvl w:val="0"/>
          <w:numId w:val="4"/>
        </w:numPr>
      </w:pPr>
      <w:r>
        <w:rPr>
          <w:rFonts w:ascii="Figtree" w:hAnsi="Figtree"/>
          <w:b/>
          <w:i w:val="0"/>
          <w:sz w:val="22"/>
        </w:rPr>
        <w:t>Data Processing Agreement (DPA):</w:t>
      </w:r>
      <w:r>
        <w:rPr>
          <w:rFonts w:ascii="Figtree" w:hAnsi="Figtree"/>
          <w:b w:val="0"/>
          <w:i w:val="0"/>
          <w:sz w:val="22"/>
        </w:rPr>
        <w:t xml:space="preserve"> UK GDPR-compliant data processing terms, including processing purposes, data subject rights, and sub-processor list</w:t>
      </w:r>
    </w:p>
    <w:p>
      <w:pPr>
        <w:pStyle w:val="H3"/>
        <w:numPr>
          <w:ilvl w:val="2"/>
          <w:numId w:val="1"/>
        </w:numPr>
      </w:pPr>
      <w:r>
        <w:t>13.2 Key Commercial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72"/>
        <w:gridCol w:w="719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SettleMint Standard Position</w:t>
            </w:r>
          </w:p>
        </w:tc>
      </w:tr>
      <w:tr>
        <w:trPr>
          <w:trHeight w:val="425" w:hRule="atLeast"/>
        </w:trPr>
        <w:tc>
          <w:tcPr>
            <w:tcW w:type="dxa" w:w="4873"/>
            <w:vAlign w:val="center"/>
          </w:tcPr>
          <w:p>
            <w:pPr>
              <w:spacing w:line="276" w:lineRule="auto" w:before="0" w:after="0"/>
            </w:pPr>
            <w:r/>
            <w:r>
              <w:rPr>
                <w:rFonts w:ascii="Figtree" w:hAnsi="Figtree"/>
                <w:b w:val="0"/>
                <w:i w:val="0"/>
                <w:sz w:val="20"/>
              </w:rPr>
              <w:t>Liability cap</w:t>
            </w:r>
          </w:p>
        </w:tc>
        <w:tc>
          <w:tcPr>
            <w:tcW w:type="dxa" w:w="4873"/>
            <w:vAlign w:val="center"/>
          </w:tcPr>
          <w:p>
            <w:pPr>
              <w:spacing w:line="276" w:lineRule="auto" w:before="0" w:after="0"/>
            </w:pPr>
            <w:r/>
            <w:r>
              <w:rPr>
                <w:rFonts w:ascii="Figtree" w:hAnsi="Figtree"/>
                <w:b w:val="0"/>
                <w:i w:val="0"/>
                <w:sz w:val="20"/>
              </w:rPr>
              <w:t>Annual license fee (12 months) for direct losses</w:t>
            </w:r>
          </w:p>
        </w:tc>
      </w:tr>
      <w:tr>
        <w:trPr>
          <w:trHeight w:val="425" w:hRule="atLeast"/>
        </w:trPr>
        <w:tc>
          <w:tcPr>
            <w:tcW w:type="dxa" w:w="4873"/>
            <w:vAlign w:val="center"/>
          </w:tcPr>
          <w:p>
            <w:pPr>
              <w:spacing w:line="276" w:lineRule="auto" w:before="0" w:after="0"/>
            </w:pPr>
            <w:r/>
            <w:r>
              <w:rPr>
                <w:rFonts w:ascii="Figtree" w:hAnsi="Figtree"/>
                <w:b w:val="0"/>
                <w:i w:val="0"/>
                <w:sz w:val="20"/>
              </w:rPr>
              <w:t>Consequential loss</w:t>
            </w:r>
          </w:p>
        </w:tc>
        <w:tc>
          <w:tcPr>
            <w:tcW w:type="dxa" w:w="4873"/>
            <w:vAlign w:val="center"/>
          </w:tcPr>
          <w:p>
            <w:pPr>
              <w:spacing w:line="276" w:lineRule="auto" w:before="0" w:after="0"/>
            </w:pPr>
            <w:r/>
            <w:r>
              <w:rPr>
                <w:rFonts w:ascii="Figtree" w:hAnsi="Figtree"/>
                <w:b w:val="0"/>
                <w:i w:val="0"/>
                <w:sz w:val="20"/>
              </w:rPr>
              <w:t>Excluded by both parties</w:t>
            </w:r>
          </w:p>
        </w:tc>
      </w:tr>
      <w:tr>
        <w:trPr>
          <w:trHeight w:val="425" w:hRule="atLeast"/>
        </w:trPr>
        <w:tc>
          <w:tcPr>
            <w:tcW w:type="dxa" w:w="4873"/>
            <w:vAlign w:val="center"/>
          </w:tcPr>
          <w:p>
            <w:pPr>
              <w:spacing w:line="276" w:lineRule="auto" w:before="0" w:after="0"/>
            </w:pPr>
            <w:r/>
            <w:r>
              <w:rPr>
                <w:rFonts w:ascii="Figtree" w:hAnsi="Figtree"/>
                <w:b w:val="0"/>
                <w:i w:val="0"/>
                <w:sz w:val="20"/>
              </w:rPr>
              <w:t>Intellectual property</w:t>
            </w:r>
          </w:p>
        </w:tc>
        <w:tc>
          <w:tcPr>
            <w:tcW w:type="dxa" w:w="4873"/>
            <w:vAlign w:val="center"/>
          </w:tcPr>
          <w:p>
            <w:pPr>
              <w:spacing w:line="276" w:lineRule="auto" w:before="0" w:after="0"/>
            </w:pPr>
            <w:r/>
            <w:r>
              <w:rPr>
                <w:rFonts w:ascii="Figtree" w:hAnsi="Figtree"/>
                <w:b w:val="0"/>
                <w:i w:val="0"/>
                <w:sz w:val="20"/>
              </w:rPr>
              <w:t>DALP platform IP remains with SettleMint; LSEG-specific configurations and data belong to LSEG</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w:t>
            </w:r>
          </w:p>
        </w:tc>
        <w:tc>
          <w:tcPr>
            <w:tcW w:type="dxa" w:w="4873"/>
            <w:vAlign w:val="center"/>
          </w:tcPr>
          <w:p>
            <w:pPr>
              <w:spacing w:line="276" w:lineRule="auto" w:before="0" w:after="0"/>
            </w:pPr>
            <w:r/>
            <w:r>
              <w:rPr>
                <w:rFonts w:ascii="Figtree" w:hAnsi="Figtree"/>
                <w:b w:val="0"/>
                <w:i w:val="0"/>
                <w:sz w:val="20"/>
              </w:rPr>
              <w:t>Included in Enterprise license; third-party escrow agent; release conditions: insolvency or material breach by SettleMint unremedied after 30 days</w:t>
            </w:r>
          </w:p>
        </w:tc>
      </w:tr>
      <w:tr>
        <w:trPr>
          <w:trHeight w:val="425" w:hRule="atLeast"/>
        </w:trPr>
        <w:tc>
          <w:tcPr>
            <w:tcW w:type="dxa" w:w="4873"/>
            <w:vAlign w:val="center"/>
          </w:tcPr>
          <w:p>
            <w:pPr>
              <w:spacing w:line="276" w:lineRule="auto" w:before="0" w:after="0"/>
            </w:pPr>
            <w:r/>
            <w:r>
              <w:rPr>
                <w:rFonts w:ascii="Figtree" w:hAnsi="Figtree"/>
                <w:b w:val="0"/>
                <w:i w:val="0"/>
                <w:sz w:val="20"/>
              </w:rPr>
              <w:t>Audit rights</w:t>
            </w:r>
          </w:p>
        </w:tc>
        <w:tc>
          <w:tcPr>
            <w:tcW w:type="dxa" w:w="4873"/>
            <w:vAlign w:val="center"/>
          </w:tcPr>
          <w:p>
            <w:pPr>
              <w:spacing w:line="276" w:lineRule="auto" w:before="0" w:after="0"/>
            </w:pPr>
            <w:r/>
            <w:r>
              <w:rPr>
                <w:rFonts w:ascii="Figtree" w:hAnsi="Figtree"/>
                <w:b w:val="0"/>
                <w:i w:val="0"/>
                <w:sz w:val="20"/>
              </w:rPr>
              <w:t>LSEG may audit SettleMint's SOC 2 and ISO 27001 evidence annually; on-site audit by agreement</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convenience</w:t>
            </w:r>
          </w:p>
        </w:tc>
        <w:tc>
          <w:tcPr>
            <w:tcW w:type="dxa" w:w="4873"/>
            <w:vAlign w:val="center"/>
          </w:tcPr>
          <w:p>
            <w:pPr>
              <w:spacing w:line="276" w:lineRule="auto" w:before="0" w:after="0"/>
            </w:pPr>
            <w:r/>
            <w:r>
              <w:rPr>
                <w:rFonts w:ascii="Figtree" w:hAnsi="Figtree"/>
                <w:b w:val="0"/>
                <w:i w:val="0"/>
                <w:sz w:val="20"/>
              </w:rPr>
              <w:t>90 days written notice after initial term; no refund of prepaid annual fees</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cause</w:t>
            </w:r>
          </w:p>
        </w:tc>
        <w:tc>
          <w:tcPr>
            <w:tcW w:type="dxa" w:w="4873"/>
            <w:vAlign w:val="center"/>
          </w:tcPr>
          <w:p>
            <w:pPr>
              <w:spacing w:line="276" w:lineRule="auto" w:before="0" w:after="0"/>
            </w:pPr>
            <w:r/>
            <w:r>
              <w:rPr>
                <w:rFonts w:ascii="Figtree" w:hAnsi="Figtree"/>
                <w:b w:val="0"/>
                <w:i w:val="0"/>
                <w:sz w:val="20"/>
              </w:rPr>
              <w:t>Material breach unremedied for 30 days; immediate for insolvency</w:t>
            </w:r>
          </w:p>
        </w:tc>
      </w:tr>
      <w:tr>
        <w:trPr>
          <w:trHeight w:val="425" w:hRule="atLeast"/>
        </w:trPr>
        <w:tc>
          <w:tcPr>
            <w:tcW w:type="dxa" w:w="4873"/>
            <w:vAlign w:val="center"/>
          </w:tcPr>
          <w:p>
            <w:pPr>
              <w:spacing w:line="276" w:lineRule="auto" w:before="0" w:after="0"/>
            </w:pPr>
            <w:r/>
            <w:r>
              <w:rPr>
                <w:rFonts w:ascii="Figtree" w:hAnsi="Figtree"/>
                <w:b w:val="0"/>
                <w:i w:val="0"/>
                <w:sz w:val="20"/>
              </w:rPr>
              <w:t>Governing law</w:t>
            </w:r>
          </w:p>
        </w:tc>
        <w:tc>
          <w:tcPr>
            <w:tcW w:type="dxa" w:w="4873"/>
            <w:vAlign w:val="center"/>
          </w:tcPr>
          <w:p>
            <w:pPr>
              <w:spacing w:line="276" w:lineRule="auto" w:before="0" w:after="0"/>
            </w:pPr>
            <w:r/>
            <w:r>
              <w:rPr>
                <w:rFonts w:ascii="Figtree" w:hAnsi="Figtree"/>
                <w:b w:val="0"/>
                <w:i w:val="0"/>
                <w:sz w:val="20"/>
              </w:rPr>
              <w:t>English law</w:t>
            </w:r>
          </w:p>
        </w:tc>
      </w:tr>
      <w:tr>
        <w:trPr>
          <w:trHeight w:val="425" w:hRule="atLeast"/>
        </w:trPr>
        <w:tc>
          <w:tcPr>
            <w:tcW w:type="dxa" w:w="4873"/>
            <w:vAlign w:val="center"/>
          </w:tcPr>
          <w:p>
            <w:pPr>
              <w:spacing w:line="276" w:lineRule="auto" w:before="0" w:after="0"/>
            </w:pPr>
            <w:r/>
            <w:r>
              <w:rPr>
                <w:rFonts w:ascii="Figtree" w:hAnsi="Figtree"/>
                <w:b w:val="0"/>
                <w:i w:val="0"/>
                <w:sz w:val="20"/>
              </w:rPr>
              <w:t>Dispute resolution</w:t>
            </w:r>
          </w:p>
        </w:tc>
        <w:tc>
          <w:tcPr>
            <w:tcW w:type="dxa" w:w="4873"/>
            <w:vAlign w:val="center"/>
          </w:tcPr>
          <w:p>
            <w:pPr>
              <w:spacing w:line="276" w:lineRule="auto" w:before="0" w:after="0"/>
            </w:pPr>
            <w:r/>
            <w:r>
              <w:rPr>
                <w:rFonts w:ascii="Figtree" w:hAnsi="Figtree"/>
                <w:b w:val="0"/>
                <w:i w:val="0"/>
                <w:sz w:val="20"/>
              </w:rPr>
              <w:t>Escalation to senior management, then mediation, then arbitration (ICC rules)</w:t>
            </w:r>
          </w:p>
        </w:tc>
      </w:tr>
    </w:tbl>
    <w:p>
      <w:pPr>
        <w:spacing w:before="0" w:after="0" w:line="120" w:lineRule="exact"/>
      </w:pPr>
    </w:p>
    <w:p>
      <w:pPr>
        <w:pStyle w:val="H3"/>
        <w:numPr>
          <w:ilvl w:val="2"/>
          <w:numId w:val="1"/>
        </w:numPr>
      </w:pPr>
      <w:r>
        <w:t>13.3 Data Protection</w:t>
      </w:r>
    </w:p>
    <w:p>
      <w:r>
        <w:rPr>
          <w:rFonts w:ascii="Figtree" w:hAnsi="Figtree"/>
          <w:b w:val="0"/>
          <w:i w:val="0"/>
          <w:sz w:val="22"/>
        </w:rPr>
        <w:t>LSEG acts as data controller for all participant personal data processed through DALP. SettleMint acts as data processor under the DPA. Key provisions:</w:t>
      </w:r>
    </w:p>
    <w:p>
      <w:pPr>
        <w:pStyle w:val="ListParagraph"/>
        <w:numPr>
          <w:ilvl w:val="0"/>
          <w:numId w:val="4"/>
        </w:numPr>
      </w:pPr>
      <w:r>
        <w:rPr>
          <w:rFonts w:ascii="Figtree" w:hAnsi="Figtree"/>
          <w:b w:val="0"/>
          <w:i w:val="0"/>
          <w:sz w:val="22"/>
        </w:rPr>
        <w:t>Processing is restricted to the purposes defined in the DPA</w:t>
      </w:r>
    </w:p>
    <w:p>
      <w:pPr>
        <w:pStyle w:val="ListParagraph"/>
        <w:numPr>
          <w:ilvl w:val="0"/>
          <w:numId w:val="4"/>
        </w:numPr>
      </w:pPr>
      <w:r>
        <w:rPr>
          <w:rFonts w:ascii="Figtree" w:hAnsi="Figtree"/>
          <w:b w:val="0"/>
          <w:i w:val="0"/>
          <w:sz w:val="22"/>
        </w:rPr>
        <w:t>Sub-processors are listed in the DPA with LSEG notification rights for changes</w:t>
      </w:r>
    </w:p>
    <w:p>
      <w:pPr>
        <w:pStyle w:val="ListParagraph"/>
        <w:numPr>
          <w:ilvl w:val="0"/>
          <w:numId w:val="4"/>
        </w:numPr>
      </w:pPr>
      <w:r>
        <w:rPr>
          <w:rFonts w:ascii="Figtree" w:hAnsi="Figtree"/>
          <w:b w:val="0"/>
          <w:i w:val="0"/>
          <w:sz w:val="22"/>
        </w:rPr>
        <w:t>Data breach notification within 48 hours of SettleMint becoming aware</w:t>
      </w:r>
    </w:p>
    <w:p>
      <w:pPr>
        <w:pStyle w:val="ListParagraph"/>
        <w:numPr>
          <w:ilvl w:val="0"/>
          <w:numId w:val="4"/>
        </w:numPr>
      </w:pPr>
      <w:r>
        <w:rPr>
          <w:rFonts w:ascii="Figtree" w:hAnsi="Figtree"/>
          <w:b w:val="0"/>
          <w:i w:val="0"/>
          <w:sz w:val="22"/>
        </w:rPr>
        <w:t>Data deletion or return upon contract termination within 30 days</w:t>
      </w:r>
    </w:p>
    <w:p>
      <w:pPr>
        <w:pStyle w:val="ListParagraph"/>
        <w:numPr>
          <w:ilvl w:val="0"/>
          <w:numId w:val="4"/>
        </w:numPr>
      </w:pPr>
      <w:r>
        <w:rPr>
          <w:rFonts w:ascii="Figtree" w:hAnsi="Figtree"/>
          <w:b w:val="0"/>
          <w:i w:val="0"/>
          <w:sz w:val="22"/>
        </w:rPr>
        <w:t>UK GDPR standard contractual clauses apply for any cross-border transfers</w:t>
      </w:r>
    </w:p>
    <w:p>
      <w:pPr>
        <w:pStyle w:val="H3"/>
        <w:numPr>
          <w:ilvl w:val="2"/>
          <w:numId w:val="1"/>
        </w:numPr>
      </w:pPr>
      <w:r>
        <w:t>13.4 Intellectual Property</w:t>
      </w:r>
    </w:p>
    <w:p>
      <w:r>
        <w:rPr>
          <w:rFonts w:ascii="Figtree" w:hAnsi="Figtree"/>
          <w:b w:val="0"/>
          <w:i w:val="0"/>
          <w:sz w:val="22"/>
        </w:rPr>
        <w:t>LSEG retains full ownership of:</w:t>
      </w:r>
    </w:p>
    <w:p>
      <w:pPr>
        <w:pStyle w:val="ListParagraph"/>
        <w:numPr>
          <w:ilvl w:val="0"/>
          <w:numId w:val="4"/>
        </w:numPr>
      </w:pPr>
      <w:r>
        <w:rPr>
          <w:rFonts w:ascii="Figtree" w:hAnsi="Figtree"/>
          <w:b w:val="0"/>
          <w:i w:val="0"/>
          <w:sz w:val="22"/>
        </w:rPr>
        <w:t>All LSEG data processed through DALP</w:t>
      </w:r>
    </w:p>
    <w:p>
      <w:pPr>
        <w:pStyle w:val="ListParagraph"/>
        <w:numPr>
          <w:ilvl w:val="0"/>
          <w:numId w:val="4"/>
        </w:numPr>
      </w:pPr>
      <w:r>
        <w:rPr>
          <w:rFonts w:ascii="Figtree" w:hAnsi="Figtree"/>
          <w:b w:val="0"/>
          <w:i w:val="0"/>
          <w:sz w:val="22"/>
        </w:rPr>
        <w:t>All LSEG-specific smart contract configurations and parameters</w:t>
      </w:r>
    </w:p>
    <w:p>
      <w:pPr>
        <w:pStyle w:val="ListParagraph"/>
        <w:numPr>
          <w:ilvl w:val="0"/>
          <w:numId w:val="4"/>
        </w:numPr>
      </w:pPr>
      <w:r>
        <w:rPr>
          <w:rFonts w:ascii="Figtree" w:hAnsi="Figtree"/>
          <w:b w:val="0"/>
          <w:i w:val="0"/>
          <w:sz w:val="22"/>
        </w:rPr>
        <w:t>All integration code developed by LSEG or third parties to connect LSEG systems to DALP</w:t>
      </w:r>
    </w:p>
    <w:p>
      <w:r>
        <w:rPr>
          <w:rFonts w:ascii="Figtree" w:hAnsi="Figtree"/>
          <w:b w:val="0"/>
          <w:i w:val="0"/>
          <w:sz w:val="22"/>
        </w:rPr>
        <w:t>SettleMint retains full ownership of:</w:t>
      </w:r>
    </w:p>
    <w:p>
      <w:pPr>
        <w:pStyle w:val="ListParagraph"/>
        <w:numPr>
          <w:ilvl w:val="0"/>
          <w:numId w:val="4"/>
        </w:numPr>
      </w:pPr>
      <w:r>
        <w:rPr>
          <w:rFonts w:ascii="Figtree" w:hAnsi="Figtree"/>
          <w:b w:val="0"/>
          <w:i w:val="0"/>
          <w:sz w:val="22"/>
        </w:rPr>
        <w:t>The DALP platform codebase and all standard smart contract implementations</w:t>
      </w:r>
    </w:p>
    <w:p>
      <w:pPr>
        <w:pStyle w:val="ListParagraph"/>
        <w:numPr>
          <w:ilvl w:val="0"/>
          <w:numId w:val="4"/>
        </w:numPr>
      </w:pPr>
      <w:r>
        <w:rPr>
          <w:rFonts w:ascii="Figtree" w:hAnsi="Figtree"/>
          <w:b w:val="0"/>
          <w:i w:val="0"/>
          <w:sz w:val="22"/>
        </w:rPr>
        <w:t>The SMART Protocol and compliance module libraries</w:t>
      </w:r>
    </w:p>
    <w:p>
      <w:pPr>
        <w:pStyle w:val="ListParagraph"/>
        <w:numPr>
          <w:ilvl w:val="0"/>
          <w:numId w:val="4"/>
        </w:numPr>
      </w:pPr>
      <w:r>
        <w:rPr>
          <w:rFonts w:ascii="Figtree" w:hAnsi="Figtree"/>
          <w:b w:val="0"/>
          <w:i w:val="0"/>
          <w:sz w:val="22"/>
        </w:rPr>
        <w:t>The Execution Engine, Key Guardian, Chain Indexer, and Chain Gateway components</w:t>
      </w:r>
    </w:p>
    <w:p>
      <w:pPr>
        <w:pStyle w:val="ListParagraph"/>
        <w:numPr>
          <w:ilvl w:val="0"/>
          <w:numId w:val="4"/>
        </w:numPr>
      </w:pPr>
      <w:r>
        <w:rPr>
          <w:rFonts w:ascii="Figtree" w:hAnsi="Figtree"/>
          <w:b w:val="0"/>
          <w:i w:val="0"/>
          <w:sz w:val="22"/>
        </w:rPr>
        <w:t>All documentation, training materials, and runbooks produced by SettleMint</w:t>
      </w:r>
    </w:p>
    <w:p>
      <w:pPr>
        <w:pStyle w:val="H3"/>
        <w:numPr>
          <w:ilvl w:val="2"/>
          <w:numId w:val="1"/>
        </w:numPr>
      </w:pPr>
      <w:r>
        <w:t>13.5 Acceptance Criteria Framework</w:t>
      </w:r>
    </w:p>
    <w:p>
      <w:r>
        <w:rPr>
          <w:rFonts w:ascii="Figtree" w:hAnsi="Figtree"/>
          <w:b w:val="0"/>
          <w:i w:val="0"/>
          <w:sz w:val="22"/>
        </w:rPr>
        <w:t>Each implementation phase milestone is accepted against documented acceptance criteria agreed during the Discovery phase. The acceptance process is:</w:t>
      </w:r>
    </w:p>
    <w:p>
      <w:pPr>
        <w:pStyle w:val="ListParagraph"/>
        <w:numPr>
          <w:ilvl w:val="0"/>
          <w:numId w:val="7"/>
        </w:numPr>
      </w:pPr>
      <w:r>
        <w:rPr>
          <w:rFonts w:ascii="Figtree" w:hAnsi="Figtree"/>
          <w:b w:val="0"/>
          <w:i w:val="0"/>
          <w:sz w:val="22"/>
        </w:rPr>
        <w:t>SettleMint submits deliverable with evidence package</w:t>
      </w:r>
    </w:p>
    <w:p>
      <w:pPr>
        <w:pStyle w:val="ListParagraph"/>
        <w:numPr>
          <w:ilvl w:val="0"/>
          <w:numId w:val="7"/>
        </w:numPr>
      </w:pPr>
      <w:r>
        <w:rPr>
          <w:rFonts w:ascii="Figtree" w:hAnsi="Figtree"/>
          <w:b w:val="0"/>
          <w:i w:val="0"/>
          <w:sz w:val="22"/>
        </w:rPr>
        <w:t>LSEG reviews against acceptance criteria (10 business days)</w:t>
      </w:r>
    </w:p>
    <w:p>
      <w:pPr>
        <w:pStyle w:val="ListParagraph"/>
        <w:numPr>
          <w:ilvl w:val="0"/>
          <w:numId w:val="7"/>
        </w:numPr>
      </w:pPr>
      <w:r>
        <w:rPr>
          <w:rFonts w:ascii="Figtree" w:hAnsi="Figtree"/>
          <w:b w:val="0"/>
          <w:i w:val="0"/>
          <w:sz w:val="22"/>
        </w:rPr>
        <w:t>LSEG accepts or raises written defects</w:t>
      </w:r>
    </w:p>
    <w:p>
      <w:pPr>
        <w:pStyle w:val="ListParagraph"/>
        <w:numPr>
          <w:ilvl w:val="0"/>
          <w:numId w:val="7"/>
        </w:numPr>
      </w:pPr>
      <w:r>
        <w:rPr>
          <w:rFonts w:ascii="Figtree" w:hAnsi="Figtree"/>
          <w:b w:val="0"/>
          <w:i w:val="0"/>
          <w:sz w:val="22"/>
        </w:rPr>
        <w:t>Defects resolved and re-submitted within 10 business days</w:t>
      </w:r>
    </w:p>
    <w:p>
      <w:pPr>
        <w:pStyle w:val="ListParagraph"/>
        <w:numPr>
          <w:ilvl w:val="0"/>
          <w:numId w:val="7"/>
        </w:numPr>
      </w:pPr>
      <w:r>
        <w:rPr>
          <w:rFonts w:ascii="Figtree" w:hAnsi="Figtree"/>
          <w:b w:val="0"/>
          <w:i w:val="0"/>
          <w:sz w:val="22"/>
        </w:rPr>
        <w:t>Acceptance withheld only for material non-conformance with agreed criteria</w:t>
      </w:r>
    </w:p>
    <w:p>
      <w:pPr>
        <w:pStyle w:val="ListParagraph"/>
        <w:numPr>
          <w:ilvl w:val="0"/>
          <w:numId w:val="7"/>
        </w:numPr>
      </w:pPr>
      <w:r>
        <w:rPr>
          <w:rFonts w:ascii="Figtree" w:hAnsi="Figtree"/>
          <w:b w:val="0"/>
          <w:i w:val="0"/>
          <w:sz w:val="22"/>
        </w:rPr>
        <w:t>Deemed acceptance if LSEG does not respond within 20 business days</w:t>
      </w:r>
    </w:p>
    <w:p>
      <w:r>
        <w:br w:type="page"/>
      </w:r>
    </w:p>
    <w:p>
      <w:r>
        <w:rPr>
          <w:rFonts w:ascii="Figtree" w:hAnsi="Figtree"/>
          <w:b w:val="0"/>
          <w:i/>
          <w:sz w:val="22"/>
        </w:rPr>
        <w:t>This document is classified SettleMint Confidential. Distribution is restricted to authorised LSEG personnel involved in the Digital Asset Marketplace Platform procurement.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