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wCBDC Platform License</w:t>
          </w:r>
          <w:r>
            <w:tab/>
          </w:r>
          <w:r>
            <w:t xml:space="preserve">6</w:t>
          </w:r>
        </w:p>
        <w:p>
          <w:pPr>
            <w:pStyle w:val="TOC3"/>
            <w:tabs>
              <w:tab w:val="right" w:leader="dot" w:pos="9072"/>
            </w:tabs>
          </w:pPr>
          <w:r>
            <w:t xml:space="preserve">2.2 Sovereign Deployment Model</w:t>
          </w:r>
          <w:r>
            <w:tab/>
          </w:r>
          <w:r>
            <w:t xml:space="preserve">7</w:t>
          </w:r>
        </w:p>
        <w:p>
          <w:pPr>
            <w:pStyle w:val="TOC3"/>
            <w:tabs>
              <w:tab w:val="right" w:leader="dot" w:pos="9072"/>
            </w:tabs>
          </w:pPr>
          <w:r>
            <w:t xml:space="preserve">2.3 Separation of Monetary Authority</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 Only Appropriate Choice</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Key Ceremony — Included in Implementation</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Smart Contract Audit — Pricing</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SNB Infrastructure Sizing</w:t>
          </w:r>
          <w:r>
            <w:tab/>
          </w:r>
          <w:r>
            <w:t xml:space="preserve">21</w:t>
          </w:r>
        </w:p>
        <w:p>
          <w:pPr>
            <w:pStyle w:val="TOC3"/>
            <w:tabs>
              <w:tab w:val="right" w:leader="dot" w:pos="9072"/>
            </w:tabs>
          </w:pPr>
          <w:r>
            <w:t xml:space="preserve">6.2 Network and Security Infrastructure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2"/>
            <w:tabs>
              <w:tab w:val="right" w:leader="dot" w:pos="9072"/>
            </w:tabs>
          </w:pPr>
          <w:r>
            <w:t xml:space="preserve">8. ROI Analysis</w:t>
          </w:r>
          <w:r>
            <w:tab/>
          </w:r>
          <w:r>
            <w:t xml:space="preserve">26</w:t>
          </w:r>
        </w:p>
        <w:p>
          <w:pPr>
            <w:pStyle w:val="TOC3"/>
            <w:tabs>
              <w:tab w:val="right" w:leader="dot" w:pos="9072"/>
            </w:tabs>
          </w:pPr>
          <w:r>
            <w:t xml:space="preserve">8.1 SNB Value Framework</w:t>
          </w:r>
          <w:r>
            <w:tab/>
          </w:r>
          <w:r>
            <w:t xml:space="preserve">27</w:t>
          </w:r>
        </w:p>
        <w:p>
          <w:pPr>
            <w:pStyle w:val="TOC3"/>
            <w:tabs>
              <w:tab w:val="right" w:leader="dot" w:pos="9072"/>
            </w:tabs>
          </w:pPr>
          <w:r>
            <w:t xml:space="preserve">8.2 Indicative Value Illustration</w:t>
          </w:r>
          <w:r>
            <w:tab/>
          </w:r>
          <w:r>
            <w:t xml:space="preserve">28</w:t>
          </w:r>
        </w:p>
        <w:p>
          <w:pPr>
            <w:pStyle w:val="TOC2"/>
            <w:tabs>
              <w:tab w:val="right" w:leader="dot" w:pos="9072"/>
            </w:tabs>
          </w:pPr>
          <w:r>
            <w:t xml:space="preserve">9. Payment Terms</w:t>
          </w:r>
          <w:r>
            <w:tab/>
          </w:r>
          <w:r>
            <w:t xml:space="preserve">29</w:t>
          </w:r>
        </w:p>
        <w:p>
          <w:pPr>
            <w:pStyle w:val="TOC3"/>
            <w:tabs>
              <w:tab w:val="right" w:leader="dot" w:pos="9072"/>
            </w:tabs>
          </w:pPr>
          <w:r>
            <w:t xml:space="preserve">9.1 Standard Terms</w:t>
          </w:r>
          <w:r>
            <w:tab/>
          </w:r>
          <w:r>
            <w:t xml:space="preserve">30</w:t>
          </w:r>
        </w:p>
        <w:p>
          <w:pPr>
            <w:pStyle w:val="TOC3"/>
            <w:tabs>
              <w:tab w:val="right" w:leader="dot" w:pos="9072"/>
            </w:tabs>
          </w:pPr>
          <w:r>
            <w:t xml:space="preserve">9.2 Multi-Year Discount</w:t>
          </w:r>
          <w:r>
            <w:tab/>
          </w:r>
          <w:r>
            <w:t xml:space="preserve">31</w:t>
          </w:r>
        </w:p>
        <w:p>
          <w:pPr>
            <w:pStyle w:val="TOC2"/>
            <w:tabs>
              <w:tab w:val="right" w:leader="dot" w:pos="9072"/>
            </w:tabs>
          </w:pPr>
          <w:r>
            <w:t xml:space="preserve">10. Optional Items</w:t>
          </w:r>
          <w:r>
            <w:tab/>
          </w:r>
          <w:r>
            <w:t xml:space="preserve">32</w:t>
          </w:r>
        </w:p>
        <w:p>
          <w:pPr>
            <w:pStyle w:val="TOC2"/>
            <w:tabs>
              <w:tab w:val="right" w:leader="dot" w:pos="9072"/>
            </w:tabs>
          </w:pPr>
          <w:r>
            <w:t xml:space="preserve">11. Third-Party Costs</w:t>
          </w:r>
          <w:r>
            <w:tab/>
          </w:r>
          <w:r>
            <w:t xml:space="preserve">33</w:t>
          </w:r>
        </w:p>
        <w:p>
          <w:pPr>
            <w:pStyle w:val="TOC2"/>
            <w:tabs>
              <w:tab w:val="right" w:leader="dot" w:pos="9072"/>
            </w:tabs>
          </w:pPr>
          <w:r>
            <w:t xml:space="preserve">12. Commercial Assumptions Register</w:t>
          </w:r>
          <w:r>
            <w:tab/>
          </w:r>
          <w:r>
            <w:t xml:space="preserve">34</w:t>
          </w:r>
        </w:p>
        <w:p>
          <w:pPr>
            <w:pStyle w:val="TOC2"/>
            <w:tabs>
              <w:tab w:val="right" w:leader="dot" w:pos="9072"/>
            </w:tabs>
          </w:pPr>
          <w:r>
            <w:t xml:space="preserve">13. Contractual Baseline</w:t>
          </w:r>
          <w:r>
            <w:tab/>
          </w:r>
          <w:r>
            <w:t xml:space="preserve">35</w:t>
          </w:r>
        </w:p>
        <w:p>
          <w:pPr>
            <w:pStyle w:val="TOC3"/>
            <w:tabs>
              <w:tab w:val="right" w:leader="dot" w:pos="9072"/>
            </w:tabs>
          </w:pPr>
          <w:r>
            <w:t xml:space="preserve">13.1 Sovereign Engagement Structure</w:t>
          </w:r>
          <w:r>
            <w:tab/>
          </w:r>
          <w:r>
            <w:t xml:space="preserve">36</w:t>
          </w:r>
        </w:p>
        <w:p>
          <w:pPr>
            <w:pStyle w:val="TOC3"/>
            <w:tabs>
              <w:tab w:val="right" w:leader="dot" w:pos="9072"/>
            </w:tabs>
          </w:pPr>
          <w:r>
            <w:t xml:space="preserve">13.2 Key Commercial Terms</w:t>
          </w:r>
          <w:r>
            <w:tab/>
          </w:r>
          <w:r>
            <w:t xml:space="preserve">37</w:t>
          </w:r>
        </w:p>
        <w:p>
          <w:pPr>
            <w:pStyle w:val="TOC3"/>
            <w:tabs>
              <w:tab w:val="right" w:leader="dot" w:pos="9072"/>
            </w:tabs>
          </w:pPr>
          <w:r>
            <w:t xml:space="preserve">13.3 Monetary Authority Separation Clause</w:t>
          </w:r>
          <w:r>
            <w:tab/>
          </w:r>
          <w:r>
            <w:t xml:space="preserve">38</w:t>
          </w:r>
        </w:p>
        <w:p>
          <w:pPr>
            <w:pStyle w:val="TOC3"/>
            <w:tabs>
              <w:tab w:val="right" w:leader="dot" w:pos="9072"/>
            </w:tabs>
          </w:pPr>
          <w:r>
            <w:t xml:space="preserve">13.4 nDSG and Swiss Bank Secrecy</w:t>
          </w:r>
          <w:r>
            <w:tab/>
          </w:r>
          <w:r>
            <w:t xml:space="preserve">39</w:t>
          </w:r>
        </w:p>
        <w:p>
          <w:pPr>
            <w:pStyle w:val="TOC3"/>
            <w:tabs>
              <w:tab w:val="right" w:leader="dot" w:pos="9072"/>
            </w:tabs>
          </w:pPr>
          <w:r>
            <w:t xml:space="preserve">13.5 Acceptance Criteria Framework</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Commercial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the Swiss National Bank's Wholesale CBDC Settlement Infrastructure programme.</w:t>
      </w:r>
    </w:p>
    <w:p>
      <w:r>
        <w:rPr>
          <w:rFonts w:ascii="Figtree" w:hAnsi="Figtree"/>
          <w:b w:val="0"/>
          <w:i w:val="0"/>
          <w:sz w:val="22"/>
        </w:rPr>
        <w:t>The SNB's wCBDC programme is qualitatively different from commercial digital asset infrastructure procurements. The platform will be the settlement layer for Swiss wholesale money markets, operating under the National Bank Act's mandate for reliable payment systems and subject to the most demanding interpretation of CPMI-IOSCO PFMI principles applicable to any financial market infrastructure. The commercial structure must reflect this: no ambiguity on authority, no shared responsibility for monetary functions, and no per-transaction pricing that creates commercial incentives misaligned with central bank objectives.</w:t>
      </w:r>
    </w:p>
    <w:p>
      <w:r>
        <w:rPr>
          <w:rFonts w:ascii="Figtree" w:hAnsi="Figtree"/>
          <w:b w:val="0"/>
          <w:i w:val="0"/>
          <w:sz w:val="22"/>
        </w:rPr>
        <w:t>The recommended commercial structure for the SNB:</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wCBDC features, all compliance modules, full API, XvP settlement, SNB Control Panel, PFMI evidence package</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including GOVERNANCE_ROLE key ceremony and PFMI evidence preparation</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named engineer, war-room P1 escalation, zero planned maintenance during settlement hours</w:t>
      </w:r>
    </w:p>
    <w:p>
      <w:r>
        <w:rPr>
          <w:rFonts w:ascii="Figtree" w:hAnsi="Figtree"/>
          <w:b w:val="0"/>
          <w:i w:val="0"/>
          <w:sz w:val="22"/>
        </w:rPr>
        <w:t>All pricing is denominated in CHF and marked [CLIENT-SPECIFIC]. The structure reflects SettleMint's standard framework for sovereign and central bank engagements.</w:t>
      </w:r>
    </w:p>
    <w:p>
      <w:r>
        <w:rPr>
          <w:rFonts w:ascii="Figtree" w:hAnsi="Figtree"/>
          <w:b w:val="0"/>
          <w:i w:val="0"/>
          <w:sz w:val="22"/>
        </w:rPr>
        <w:t>The SNB's investment in DALP is not a technology cost: it is the enabling infrastructure for Swiss interbank money markets to operate in central bank digital money with T+0 finality, zero settlement risk, and complete monetary authority. The ROI calculation is therefore not primarily about cost reduction but about capability creation and systemic risk reduction at the level of Swiss financial stability.</w:t>
      </w:r>
    </w:p>
    <w:p>
      <w:r>
        <w:br w:type="page"/>
      </w:r>
    </w:p>
    <w:p>
      <w:pPr>
        <w:pStyle w:val="H2"/>
        <w:numPr>
          <w:ilvl w:val="1"/>
          <w:numId w:val="1"/>
        </w:numPr>
      </w:pPr>
      <w:r>
        <w:t>2. Licensing Model</w:t>
      </w:r>
    </w:p>
    <w:p>
      <w:pPr>
        <w:pStyle w:val="H3"/>
        <w:numPr>
          <w:ilvl w:val="2"/>
          <w:numId w:val="1"/>
        </w:numPr>
      </w:pPr>
      <w:r>
        <w:t>2.1 wCBDC Platform License</w:t>
      </w:r>
    </w:p>
    <w:p>
      <w:r>
        <w:rPr>
          <w:rFonts w:ascii="Figtree" w:hAnsi="Figtree"/>
          <w:b w:val="0"/>
          <w:i w:val="0"/>
          <w:sz w:val="22"/>
        </w:rPr>
        <w:t>DALP is licensed as an annual platform subscription. For the SNB's wCBDC programme, the subscription includes all features required for a central bank monetary infrastructure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17"/>
        <w:gridCol w:w="13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wCBDC token contract (custom minting/redemption controls)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 architecture (SNB exclusive authority)</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(single-leg,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 with wCBDC endpoints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SNB Control Panel (monetary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monetary reporting exports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Settlement state machine and finality tracking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SIC integration layer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BIS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 plus SNB-specific supply dashboard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key rotation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The SNB pays a fixed annual license fee regardless of settlement volume, participant count, or wCBDC supply level. This is appropriate for a central bank: platform costs should not scale with monetary activity.</w:t>
      </w:r>
    </w:p>
    <w:p>
      <w:pPr>
        <w:pStyle w:val="H3"/>
        <w:numPr>
          <w:ilvl w:val="2"/>
          <w:numId w:val="1"/>
        </w:numPr>
      </w:pPr>
      <w:r>
        <w:t>2.2 Sovereign Deployment Model</w:t>
      </w:r>
    </w:p>
    <w:p>
      <w:r>
        <w:rPr>
          <w:rFonts w:ascii="Figtree" w:hAnsi="Figtree"/>
          <w:b w:val="0"/>
          <w:i w:val="0"/>
          <w:sz w:val="22"/>
        </w:rPr>
        <w:t xml:space="preserve">The SNB's deployment is </w:t>
      </w:r>
      <w:r>
        <w:rPr>
          <w:rFonts w:ascii="Figtree" w:hAnsi="Figtree"/>
          <w:b/>
          <w:i w:val="0"/>
          <w:sz w:val="22"/>
        </w:rPr>
        <w:t>fully sovereign</w:t>
      </w:r>
      <w:r>
        <w:rPr>
          <w:rFonts w:ascii="Figtree" w:hAnsi="Figtree"/>
          <w:b w:val="0"/>
          <w:i w:val="0"/>
          <w:sz w:val="22"/>
        </w:rPr>
        <w:t>: SNB-controlled infrastructure, SNB-held signing keys, zero SettleMint access to production environment without explicit SNB authorisation. DALP is delivered as:</w:t>
      </w:r>
    </w:p>
    <w:p>
      <w:pPr>
        <w:pStyle w:val="ListParagraph"/>
        <w:numPr>
          <w:ilvl w:val="0"/>
          <w:numId w:val="4"/>
        </w:numPr>
      </w:pPr>
      <w:r>
        <w:rPr>
          <w:rFonts w:ascii="Figtree" w:hAnsi="Figtree"/>
          <w:b w:val="0"/>
          <w:i w:val="0"/>
          <w:sz w:val="22"/>
        </w:rPr>
        <w:t>Versioned Helm/Kubernetes packages deployed by the SNB's infrastructure team</w:t>
      </w:r>
    </w:p>
    <w:p>
      <w:pPr>
        <w:pStyle w:val="ListParagraph"/>
        <w:numPr>
          <w:ilvl w:val="0"/>
          <w:numId w:val="4"/>
        </w:numPr>
      </w:pPr>
      <w:r>
        <w:rPr>
          <w:rFonts w:ascii="Figtree" w:hAnsi="Figtree"/>
          <w:b w:val="0"/>
          <w:i w:val="0"/>
          <w:sz w:val="22"/>
        </w:rPr>
        <w:t>Software updates delivered as signed container images, reviewed before deployment</w:t>
      </w:r>
    </w:p>
    <w:p>
      <w:pPr>
        <w:pStyle w:val="ListParagraph"/>
        <w:numPr>
          <w:ilvl w:val="0"/>
          <w:numId w:val="4"/>
        </w:numPr>
      </w:pPr>
      <w:r>
        <w:rPr>
          <w:rFonts w:ascii="Figtree" w:hAnsi="Figtree"/>
          <w:b w:val="0"/>
          <w:i w:val="0"/>
          <w:sz w:val="22"/>
        </w:rPr>
        <w:t>Configuration managed by SNB with SettleMint advisory support</w:t>
      </w:r>
    </w:p>
    <w:p>
      <w:pPr>
        <w:pStyle w:val="ListParagraph"/>
        <w:numPr>
          <w:ilvl w:val="0"/>
          <w:numId w:val="4"/>
        </w:numPr>
      </w:pPr>
      <w:r>
        <w:rPr>
          <w:rFonts w:ascii="Figtree" w:hAnsi="Figtree"/>
          <w:b w:val="0"/>
          <w:i w:val="0"/>
          <w:sz w:val="22"/>
        </w:rPr>
        <w:t>GOVERNANCE_ROLE key: generated by SNB in SNB HSM, held exclusively by SNB key custodians</w:t>
      </w:r>
    </w:p>
    <w:p>
      <w:pPr>
        <w:pStyle w:val="H3"/>
        <w:numPr>
          <w:ilvl w:val="2"/>
          <w:numId w:val="1"/>
        </w:numPr>
      </w:pPr>
      <w:r>
        <w:t>2.3 Separation of Monetary Authority</w:t>
      </w:r>
    </w:p>
    <w:p>
      <w:r>
        <w:rPr>
          <w:rFonts w:ascii="Figtree" w:hAnsi="Figtree"/>
          <w:b w:val="0"/>
          <w:i w:val="0"/>
          <w:sz w:val="22"/>
        </w:rPr>
        <w:t>SettleMint's commercial engagement explicitly acknowledges and contractually enforces the separation of monetary authority:</w:t>
      </w:r>
    </w:p>
    <w:p>
      <w:pPr>
        <w:pStyle w:val="ListParagraph"/>
        <w:numPr>
          <w:ilvl w:val="0"/>
          <w:numId w:val="4"/>
        </w:numPr>
      </w:pPr>
      <w:r>
        <w:rPr>
          <w:rFonts w:ascii="Figtree" w:hAnsi="Figtree"/>
          <w:b w:val="0"/>
          <w:i w:val="0"/>
          <w:sz w:val="22"/>
        </w:rPr>
        <w:t>SettleMint has no GOVERNANCE</w:t>
      </w:r>
      <w:r>
        <w:rPr>
          <w:rFonts w:ascii="Figtree" w:hAnsi="Figtree"/>
          <w:b w:val="0"/>
          <w:i/>
          <w:sz w:val="22"/>
        </w:rPr>
        <w:t>ROLE, CUSTODIAN</w:t>
      </w:r>
      <w:r>
        <w:rPr>
          <w:rFonts w:ascii="Figtree" w:hAnsi="Figtree"/>
          <w:b w:val="0"/>
          <w:i w:val="0"/>
          <w:sz w:val="22"/>
        </w:rPr>
        <w:t>ROLE, or any monetary authority role in the SNB's production environment</w:t>
      </w:r>
    </w:p>
    <w:p>
      <w:pPr>
        <w:pStyle w:val="ListParagraph"/>
        <w:numPr>
          <w:ilvl w:val="0"/>
          <w:numId w:val="4"/>
        </w:numPr>
      </w:pPr>
      <w:r>
        <w:rPr>
          <w:rFonts w:ascii="Figtree" w:hAnsi="Figtree"/>
          <w:b w:val="0"/>
          <w:i w:val="0"/>
          <w:sz w:val="22"/>
        </w:rPr>
        <w:t>SettleMint cannot mint, burn, freeze, or force-transfer wCBDC</w:t>
      </w:r>
    </w:p>
    <w:p>
      <w:pPr>
        <w:pStyle w:val="ListParagraph"/>
        <w:numPr>
          <w:ilvl w:val="0"/>
          <w:numId w:val="4"/>
        </w:numPr>
      </w:pPr>
      <w:r>
        <w:rPr>
          <w:rFonts w:ascii="Figtree" w:hAnsi="Figtree"/>
          <w:b w:val="0"/>
          <w:i w:val="0"/>
          <w:sz w:val="22"/>
        </w:rPr>
        <w:t>SettleMint's support access is restricted to platform observability and diagnostic functions; any production access requires explicit SNB authorisation per incident</w:t>
      </w:r>
    </w:p>
    <w:p>
      <w:pPr>
        <w:pStyle w:val="ListParagraph"/>
        <w:numPr>
          <w:ilvl w:val="0"/>
          <w:numId w:val="4"/>
        </w:numPr>
      </w:pPr>
      <w:r>
        <w:rPr>
          <w:rFonts w:ascii="Figtree" w:hAnsi="Figtree"/>
          <w:b w:val="0"/>
          <w:i w:val="0"/>
          <w:sz w:val="22"/>
        </w:rPr>
        <w:t>The contract explicitly prohibits SettleMint from seeking or accepting any access to monetary functions</w:t>
      </w:r>
    </w:p>
    <w:p>
      <w:r>
        <w:br w:type="page"/>
      </w:r>
    </w:p>
    <w:p>
      <w:pPr>
        <w:pStyle w:val="H2"/>
        <w:numPr>
          <w:ilvl w:val="1"/>
          <w:numId w:val="1"/>
        </w:numPr>
      </w:pPr>
      <w:r>
        <w:t>3. Recommended Tier</w:t>
      </w:r>
    </w:p>
    <w:p>
      <w:pPr>
        <w:pStyle w:val="H3"/>
        <w:numPr>
          <w:ilvl w:val="2"/>
          <w:numId w:val="1"/>
        </w:numPr>
      </w:pPr>
      <w:r>
        <w:t>3.1 Enterprise Tier — Only Appropriate Choice</w:t>
      </w:r>
    </w:p>
    <w:p>
      <w:r>
        <w:rPr>
          <w:rFonts w:ascii="Figtree" w:hAnsi="Figtree"/>
          <w:b w:val="0"/>
          <w:i w:val="0"/>
          <w:sz w:val="22"/>
        </w:rPr>
        <w:t>For a central bank operating sovereign monetary infrastructure, the Enterprise support tier is not a commercial option: it is a non-negotiable baseline. The SNB's mandate under the National Bank Act to ensure reliable payment systems imposes obligations that a 99.9% or 99.95% SLA cannot satisfy.</w:t>
      </w:r>
    </w:p>
    <w:p>
      <w:r>
        <w:rPr>
          <w:rFonts w:ascii="Figtree" w:hAnsi="Figtree"/>
          <w:b/>
          <w:i w:val="0"/>
          <w:sz w:val="22"/>
        </w:rPr>
        <w:t>National Bank Act obligation:</w:t>
      </w:r>
      <w:r>
        <w:rPr>
          <w:rFonts w:ascii="Figtree" w:hAnsi="Figtree"/>
          <w:b w:val="0"/>
          <w:i w:val="0"/>
          <w:sz w:val="22"/>
        </w:rPr>
        <w:t xml:space="preserve"> The SNB is required by law to ensure the functioning of cashless payment transactions. A wCBDC settlement platform that is unavailable during Swiss interbank settlement hours constitutes a failure of this mandate.</w:t>
      </w:r>
    </w:p>
    <w:p>
      <w:r>
        <w:rPr>
          <w:rFonts w:ascii="Figtree" w:hAnsi="Figtree"/>
          <w:b/>
          <w:i w:val="0"/>
          <w:sz w:val="22"/>
        </w:rPr>
        <w:t>PFMI Principle 17:</w:t>
      </w:r>
      <w:r>
        <w:rPr>
          <w:rFonts w:ascii="Figtree" w:hAnsi="Figtree"/>
          <w:b w:val="0"/>
          <w:i w:val="0"/>
          <w:sz w:val="22"/>
        </w:rPr>
        <w:t xml:space="preserve"> CPMI-IOSCO requires FMIs to have robust operational risk frameworks with recovery time and point objectives that reflect the systemic importance of their functions. For the SNB's wCBDC settlement infrastructure, this translates to sub-15-minute P1 response, 4-hour P1 resolution, and zero planned maintenance during settlement hours.</w:t>
      </w:r>
    </w:p>
    <w:p>
      <w:r>
        <w:rPr>
          <w:rFonts w:ascii="Figtree" w:hAnsi="Figtree"/>
          <w:b/>
          <w:i w:val="0"/>
          <w:sz w:val="22"/>
        </w:rPr>
        <w:t>Systemic risk concentration:</w:t>
      </w:r>
      <w:r>
        <w:rPr>
          <w:rFonts w:ascii="Figtree" w:hAnsi="Figtree"/>
          <w:b w:val="0"/>
          <w:i w:val="0"/>
          <w:sz w:val="22"/>
        </w:rPr>
        <w:t xml:space="preserve"> The wCBDC settlement infrastructure is a single point of failure for Swiss interbank settlement in central bank money. The consequence of prolonged unavailability is systemic financial disruption. The Enterprise war-room P1 escalation, with direct SettleMint CTO involvement, reflects the seriousness of this obligation.</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 (encrypted, SNB-approved)</w:t>
            </w:r>
          </w:p>
        </w:tc>
      </w:tr>
      <w:tr>
        <w:trPr>
          <w:trHeight w:val="425" w:hRule="atLeast"/>
        </w:trPr>
        <w:tc>
          <w:tcPr>
            <w:tcW w:type="dxa" w:w="4873"/>
            <w:vAlign w:val="center"/>
          </w:tcPr>
          <w:p>
            <w:pPr>
              <w:spacing w:line="276" w:lineRule="auto" w:before="0" w:after="0"/>
            </w:pPr>
            <w:r/>
            <w:r>
              <w:rPr>
                <w:rFonts w:ascii="Figtree" w:hAnsi="Figtree"/>
                <w:b w:val="0"/>
                <w:i w:val="0"/>
                <w:sz w:val="20"/>
              </w:rPr>
              <w:t>Settlement hours maintenance</w:t>
            </w:r>
          </w:p>
        </w:tc>
        <w:tc>
          <w:tcPr>
            <w:tcW w:type="dxa" w:w="4873"/>
            <w:vAlign w:val="center"/>
          </w:tcPr>
          <w:p>
            <w:pPr>
              <w:spacing w:line="276" w:lineRule="auto" w:before="0" w:after="0"/>
            </w:pPr>
            <w:r/>
            <w:r>
              <w:rPr>
                <w:rFonts w:ascii="Figtree" w:hAnsi="Figtree"/>
                <w:b w:val="0"/>
                <w:i w:val="0"/>
                <w:sz w:val="20"/>
              </w:rPr>
              <w:t>Zero (no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w:t>
            </w:r>
          </w:p>
        </w:tc>
        <w:tc>
          <w:tcPr>
            <w:tcW w:type="dxa" w:w="4873"/>
            <w:vAlign w:val="center"/>
          </w:tcPr>
          <w:p>
            <w:pPr>
              <w:spacing w:line="276" w:lineRule="auto" w:before="0" w:after="0"/>
            </w:pPr>
            <w:r/>
            <w:r>
              <w:rPr>
                <w:rFonts w:ascii="Figtree" w:hAnsi="Figtree"/>
                <w:b w:val="0"/>
                <w:i w:val="0"/>
                <w:sz w:val="20"/>
              </w:rPr>
              <w:t>Annual</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observer support</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8"/>
        <w:gridCol w:w="745"/>
        <w:gridCol w:w="5033"/>
        <w:gridCol w:w="13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wCBDC architecture design, Helvetia alignment, PFMI gap assessment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Besu Berne/Zurich, GOVERNANCE_ROLE key ceremony</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wCBDC contract, monetary controls, participant onboarding, SIC integration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SIC/SDX integration, monetary UAT, load testing, DR test, security audit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Controlled pilot, full participant onboarding, 24/7 hypercare</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Key Ceremony — Included in Implementation</w:t>
      </w:r>
    </w:p>
    <w:p>
      <w:r>
        <w:rPr>
          <w:rFonts w:ascii="Figtree" w:hAnsi="Figtree"/>
          <w:b w:val="0"/>
          <w:i w:val="0"/>
          <w:sz w:val="22"/>
        </w:rPr>
        <w:t>The GOVERNANCE_ROLE key ceremony is a critical security event included in the Phase 2 fixed price:</w:t>
      </w:r>
    </w:p>
    <w:p>
      <w:pPr>
        <w:pStyle w:val="ListParagraph"/>
        <w:numPr>
          <w:ilvl w:val="0"/>
          <w:numId w:val="4"/>
        </w:numPr>
      </w:pPr>
      <w:r>
        <w:rPr>
          <w:rFonts w:ascii="Figtree" w:hAnsi="Figtree"/>
          <w:b w:val="0"/>
          <w:i w:val="0"/>
          <w:sz w:val="22"/>
        </w:rPr>
        <w:t>Multi-party key generation within SNB-controlled FIPS 140-2 Level 3 HSM</w:t>
      </w:r>
    </w:p>
    <w:p>
      <w:pPr>
        <w:pStyle w:val="ListParagraph"/>
        <w:numPr>
          <w:ilvl w:val="0"/>
          <w:numId w:val="4"/>
        </w:numPr>
      </w:pPr>
      <w:r>
        <w:rPr>
          <w:rFonts w:ascii="Figtree" w:hAnsi="Figtree"/>
          <w:b w:val="0"/>
          <w:i w:val="0"/>
          <w:sz w:val="22"/>
        </w:rPr>
        <w:t>3-of-5 custodian participation; ceremony witnessed and documented</w:t>
      </w:r>
    </w:p>
    <w:p>
      <w:pPr>
        <w:pStyle w:val="ListParagraph"/>
        <w:numPr>
          <w:ilvl w:val="0"/>
          <w:numId w:val="4"/>
        </w:numPr>
      </w:pPr>
      <w:r>
        <w:rPr>
          <w:rFonts w:ascii="Figtree" w:hAnsi="Figtree"/>
          <w:b w:val="0"/>
          <w:i w:val="0"/>
          <w:sz w:val="22"/>
        </w:rPr>
        <w:t>Key ceremony report: formal documentation of participants, process, and outcome</w:t>
      </w:r>
    </w:p>
    <w:p>
      <w:pPr>
        <w:pStyle w:val="ListParagraph"/>
        <w:numPr>
          <w:ilvl w:val="0"/>
          <w:numId w:val="4"/>
        </w:numPr>
      </w:pPr>
      <w:r>
        <w:rPr>
          <w:rFonts w:ascii="Figtree" w:hAnsi="Figtree"/>
          <w:b w:val="0"/>
          <w:i w:val="0"/>
          <w:sz w:val="22"/>
        </w:rPr>
        <w:t>HSM initialisation and backup configuration</w:t>
      </w:r>
    </w:p>
    <w:p>
      <w:pPr>
        <w:pStyle w:val="ListParagraph"/>
        <w:numPr>
          <w:ilvl w:val="0"/>
          <w:numId w:val="4"/>
        </w:numPr>
      </w:pPr>
      <w:r>
        <w:rPr>
          <w:rFonts w:ascii="Figtree" w:hAnsi="Figtree"/>
          <w:b w:val="0"/>
          <w:i w:val="0"/>
          <w:sz w:val="22"/>
        </w:rPr>
        <w:t>Testing: issuance, redemption, and system pause functions validated with ceremony keys</w:t>
      </w:r>
    </w:p>
    <w:p>
      <w:r>
        <w:rPr>
          <w:rFonts w:ascii="Figtree" w:hAnsi="Figtree"/>
          <w:b w:val="0"/>
          <w:i w:val="0"/>
          <w:sz w:val="22"/>
        </w:rPr>
        <w:t>No separate charge for the key ceremony. It is a mandatory Phase 2 deliverable.</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5599"/>
        <w:gridCol w:w="10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live, key ceremony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SNB legal and monetary ops sign-off</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All intervention tools tested and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Controlled pilot complete, full participants onboarded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Smart Contract Audit — Pricing</w:t>
      </w:r>
    </w:p>
    <w:p>
      <w:r>
        <w:rPr>
          <w:rFonts w:ascii="Figtree" w:hAnsi="Figtree"/>
          <w:b w:val="0"/>
          <w:i w:val="0"/>
          <w:sz w:val="22"/>
        </w:rPr>
        <w:t>The wCBDC smart contract audit is the most critical assurance activity in the programme. SettleMint includes in the implementation price:</w:t>
      </w:r>
    </w:p>
    <w:p>
      <w:pPr>
        <w:pStyle w:val="ListParagraph"/>
        <w:numPr>
          <w:ilvl w:val="0"/>
          <w:numId w:val="4"/>
        </w:numPr>
      </w:pPr>
      <w:r>
        <w:rPr>
          <w:rFonts w:ascii="Figtree" w:hAnsi="Figtree"/>
          <w:b w:val="0"/>
          <w:i w:val="0"/>
          <w:sz w:val="22"/>
        </w:rPr>
        <w:t>SettleMint internal audit (included)</w:t>
      </w:r>
    </w:p>
    <w:p>
      <w:pPr>
        <w:pStyle w:val="ListParagraph"/>
        <w:numPr>
          <w:ilvl w:val="0"/>
          <w:numId w:val="4"/>
        </w:numPr>
      </w:pPr>
      <w:r>
        <w:rPr>
          <w:rFonts w:ascii="Figtree" w:hAnsi="Figtree"/>
          <w:b w:val="0"/>
          <w:i w:val="0"/>
          <w:sz w:val="22"/>
        </w:rPr>
        <w:t>Coordination and test environment for third-party audit (included)</w:t>
      </w:r>
    </w:p>
    <w:p>
      <w:pPr>
        <w:pStyle w:val="ListParagraph"/>
        <w:numPr>
          <w:ilvl w:val="0"/>
          <w:numId w:val="4"/>
        </w:numPr>
      </w:pPr>
      <w:r>
        <w:rPr>
          <w:rFonts w:ascii="Figtree" w:hAnsi="Figtree"/>
          <w:b w:val="0"/>
          <w:i w:val="0"/>
          <w:sz w:val="22"/>
        </w:rPr>
        <w:t>Third-party audit firm cost: pass-through at cost (SNB may select firm; SettleMint recommends Tier-1 firm)</w:t>
      </w:r>
    </w:p>
    <w:p>
      <w:pPr>
        <w:pStyle w:val="ListParagraph"/>
        <w:numPr>
          <w:ilvl w:val="0"/>
          <w:numId w:val="4"/>
        </w:numPr>
      </w:pPr>
      <w:r>
        <w:rPr>
          <w:rFonts w:ascii="Figtree" w:hAnsi="Figtree"/>
          <w:b w:val="0"/>
          <w:i w:val="0"/>
          <w:sz w:val="22"/>
        </w:rPr>
        <w:t>Formal verification engagement (optional add-on): [CLIENT-SPECIFIC]</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0"/>
        <w:gridCol w:w="25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platform license (all wCBDC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 (annual)</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6-week hypercare included in Phase 5 implementation fee:</w:t>
      </w:r>
    </w:p>
    <w:p>
      <w:pPr>
        <w:pStyle w:val="ListParagraph"/>
        <w:numPr>
          <w:ilvl w:val="0"/>
          <w:numId w:val="4"/>
        </w:numPr>
      </w:pPr>
      <w:r>
        <w:rPr>
          <w:rFonts w:ascii="Figtree" w:hAnsi="Figtree"/>
          <w:b w:val="0"/>
          <w:i w:val="0"/>
          <w:sz w:val="22"/>
        </w:rPr>
        <w:t>24/7 named engineer monitoring during controlled pilot and full go-live</w:t>
      </w:r>
    </w:p>
    <w:p>
      <w:pPr>
        <w:pStyle w:val="ListParagraph"/>
        <w:numPr>
          <w:ilvl w:val="0"/>
          <w:numId w:val="4"/>
        </w:numPr>
      </w:pPr>
      <w:r>
        <w:rPr>
          <w:rFonts w:ascii="Figtree" w:hAnsi="Figtree"/>
          <w:b w:val="0"/>
          <w:i w:val="0"/>
          <w:sz w:val="22"/>
        </w:rPr>
        <w:t>Same-day response to any monetary operations query</w:t>
      </w:r>
    </w:p>
    <w:p>
      <w:pPr>
        <w:pStyle w:val="ListParagraph"/>
        <w:numPr>
          <w:ilvl w:val="0"/>
          <w:numId w:val="4"/>
        </w:numPr>
      </w:pPr>
      <w:r>
        <w:rPr>
          <w:rFonts w:ascii="Figtree" w:hAnsi="Figtree"/>
          <w:b w:val="0"/>
          <w:i w:val="0"/>
          <w:sz w:val="22"/>
        </w:rPr>
        <w:t>Daily SNB operations briefing</w:t>
      </w:r>
    </w:p>
    <w:p>
      <w:pPr>
        <w:pStyle w:val="ListParagraph"/>
        <w:numPr>
          <w:ilvl w:val="0"/>
          <w:numId w:val="4"/>
        </w:numPr>
      </w:pPr>
      <w:r>
        <w:rPr>
          <w:rFonts w:ascii="Figtree" w:hAnsi="Figtree"/>
          <w:b w:val="0"/>
          <w:i w:val="0"/>
          <w:sz w:val="22"/>
        </w:rPr>
        <w:t>Transition to standard Enterprise SLA at hypercare conclusion</w:t>
      </w:r>
    </w:p>
    <w:p>
      <w:r>
        <w:rPr>
          <w:rFonts w:ascii="Figtree" w:hAnsi="Figtree"/>
          <w:b w:val="0"/>
          <w:i w:val="0"/>
          <w:sz w:val="22"/>
        </w:rPr>
        <w:t>Extension rate: [CLIENT-SPECIFIC] per additional week.</w:t>
      </w:r>
    </w:p>
    <w:p>
      <w:r>
        <w:br w:type="page"/>
      </w:r>
    </w:p>
    <w:p>
      <w:pPr>
        <w:pStyle w:val="H2"/>
        <w:numPr>
          <w:ilvl w:val="1"/>
          <w:numId w:val="1"/>
        </w:numPr>
      </w:pPr>
      <w:r>
        <w:t>6. Environment Costs</w:t>
      </w:r>
    </w:p>
    <w:p>
      <w:pPr>
        <w:pStyle w:val="H3"/>
        <w:numPr>
          <w:ilvl w:val="2"/>
          <w:numId w:val="1"/>
        </w:numPr>
      </w:pPr>
      <w:r>
        <w:t>6.1 SNB Infrastructure Sizing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5"/>
        <w:gridCol w:w="978"/>
        <w:gridCol w:w="5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3249"/>
            <w:vAlign w:val="center"/>
          </w:tcPr>
          <w:p>
            <w:pPr>
              <w:spacing w:line="276" w:lineRule="auto" w:before="0" w:after="0"/>
            </w:pPr>
            <w:r/>
            <w:r>
              <w:rPr>
                <w:rFonts w:ascii="Figtree" w:hAnsi="Figtree"/>
                <w:b w:val="0"/>
                <w:i w:val="0"/>
                <w:sz w:val="20"/>
              </w:rPr>
              <w:t>Production Primary</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2 app + 2 Besu validators + 1 DB primary + 1 HSM</w:t>
            </w:r>
          </w:p>
        </w:tc>
      </w:tr>
      <w:tr>
        <w:trPr>
          <w:trHeight w:val="425" w:hRule="atLeast"/>
        </w:trPr>
        <w:tc>
          <w:tcPr>
            <w:tcW w:type="dxa" w:w="3249"/>
            <w:vAlign w:val="center"/>
          </w:tcPr>
          <w:p>
            <w:pPr>
              <w:spacing w:line="276" w:lineRule="auto" w:before="0" w:after="0"/>
            </w:pPr>
            <w:r/>
            <w:r>
              <w:rPr>
                <w:rFonts w:ascii="Figtree" w:hAnsi="Figtree"/>
                <w:b w:val="0"/>
                <w:i w:val="0"/>
                <w:sz w:val="20"/>
              </w:rPr>
              <w:t>Production Secondary</w:t>
            </w:r>
          </w:p>
        </w:tc>
        <w:tc>
          <w:tcPr>
            <w:tcW w:type="dxa" w:w="3249"/>
            <w:vAlign w:val="center"/>
          </w:tcPr>
          <w:p>
            <w:pPr>
              <w:spacing w:line="276" w:lineRule="auto" w:before="0" w:after="0"/>
            </w:pPr>
            <w:r/>
            <w:r>
              <w:rPr>
                <w:rFonts w:ascii="Figtree" w:hAnsi="Figtree"/>
                <w:b w:val="0"/>
                <w:i w:val="0"/>
                <w:sz w:val="20"/>
              </w:rPr>
              <w:t>Zurich</w:t>
            </w:r>
          </w:p>
        </w:tc>
        <w:tc>
          <w:tcPr>
            <w:tcW w:type="dxa" w:w="3249"/>
            <w:vAlign w:val="center"/>
          </w:tcPr>
          <w:p>
            <w:pPr>
              <w:spacing w:line="276" w:lineRule="auto" w:before="0" w:after="0"/>
            </w:pPr>
            <w:r/>
            <w:r>
              <w:rPr>
                <w:rFonts w:ascii="Figtree" w:hAnsi="Figtree"/>
                <w:b w:val="0"/>
                <w:i w:val="0"/>
                <w:sz w:val="20"/>
              </w:rPr>
              <w:t>1 app + 2 Besu validators + 1 DB replica + 1 HSM</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+ 2 Besu + 1 DB (no HSM required)</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+ 1 Besu + 1 DB (software key for dev only)</w:t>
            </w:r>
          </w:p>
        </w:tc>
      </w:tr>
    </w:tbl>
    <w:p>
      <w:pPr>
        <w:spacing w:before="0" w:after="0" w:line="120" w:lineRule="exact"/>
      </w:pPr>
    </w:p>
    <w:p>
      <w:r>
        <w:rPr>
          <w:rFonts w:ascii="Figtree" w:hAnsi="Figtree"/>
          <w:b w:val="0"/>
          <w:i w:val="0"/>
          <w:sz w:val="22"/>
        </w:rPr>
        <w:t>Compute specification: 8 vCPU / 32GB RAM per production node; 4 vCPU / 16GB RAM for non-production.</w:t>
      </w:r>
    </w:p>
    <w:p>
      <w:r>
        <w:rPr>
          <w:rFonts w:ascii="Figtree" w:hAnsi="Figtree"/>
          <w:b w:val="0"/>
          <w:i w:val="0"/>
          <w:sz w:val="22"/>
        </w:rPr>
        <w:t>HSM: FIPS 140-2 Level 3 hardware (primary and secondary). SettleMint specifies compatible models; SNB procures. Estimated cost: [CLIENT-SPECIFIC] one-time.</w:t>
      </w:r>
    </w:p>
    <w:p>
      <w:pPr>
        <w:pStyle w:val="H3"/>
        <w:numPr>
          <w:ilvl w:val="2"/>
          <w:numId w:val="1"/>
        </w:numPr>
      </w:pPr>
      <w:r>
        <w:t>6.2 Network and Security Infrastructure</w:t>
      </w:r>
    </w:p>
    <w:p>
      <w:r>
        <w:rPr>
          <w:rFonts w:ascii="Figtree" w:hAnsi="Figtree"/>
          <w:b w:val="0"/>
          <w:i w:val="0"/>
          <w:sz w:val="22"/>
        </w:rPr>
        <w:t>All infrastructure is SNB's responsibility. Additional security infrastructure required:</w:t>
      </w:r>
    </w:p>
    <w:p>
      <w:pPr>
        <w:pStyle w:val="ListParagraph"/>
        <w:numPr>
          <w:ilvl w:val="0"/>
          <w:numId w:val="4"/>
        </w:numPr>
      </w:pPr>
      <w:r>
        <w:rPr>
          <w:rFonts w:ascii="Figtree" w:hAnsi="Figtree"/>
          <w:b w:val="0"/>
          <w:i w:val="0"/>
          <w:sz w:val="22"/>
        </w:rPr>
        <w:t>Private network interconnect between Berne and Geneva facilities</w:t>
      </w:r>
    </w:p>
    <w:p>
      <w:pPr>
        <w:pStyle w:val="ListParagraph"/>
        <w:numPr>
          <w:ilvl w:val="0"/>
          <w:numId w:val="4"/>
        </w:numPr>
      </w:pPr>
      <w:r>
        <w:rPr>
          <w:rFonts w:ascii="Figtree" w:hAnsi="Figtree"/>
          <w:b w:val="0"/>
          <w:i w:val="0"/>
          <w:sz w:val="22"/>
        </w:rPr>
        <w:t>Next-generation firewall and IPS for DALP environment perimeter</w:t>
      </w:r>
    </w:p>
    <w:p>
      <w:pPr>
        <w:pStyle w:val="ListParagraph"/>
        <w:numPr>
          <w:ilvl w:val="0"/>
          <w:numId w:val="4"/>
        </w:numPr>
      </w:pPr>
      <w:r>
        <w:rPr>
          <w:rFonts w:ascii="Figtree" w:hAnsi="Figtree"/>
          <w:b w:val="0"/>
          <w:i w:val="0"/>
          <w:sz w:val="22"/>
        </w:rPr>
        <w:t>SIEM integration for DALP log ingestion</w:t>
      </w:r>
    </w:p>
    <w:p>
      <w:pPr>
        <w:pStyle w:val="ListParagraph"/>
        <w:numPr>
          <w:ilvl w:val="0"/>
          <w:numId w:val="4"/>
        </w:numPr>
      </w:pPr>
      <w:r>
        <w:rPr>
          <w:rFonts w:ascii="Figtree" w:hAnsi="Figtree"/>
          <w:b w:val="0"/>
          <w:i w:val="0"/>
          <w:sz w:val="22"/>
        </w:rPr>
        <w:t>Hardware token provisioning for SNB operational staff (FIDO2 keys)</w:t>
      </w: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1"/>
        <w:gridCol w:w="1500"/>
        <w:gridCol w:w="1500"/>
        <w:gridCol w:w="1500"/>
        <w:gridCol w:w="150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(inc. key ceremony)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(SNB responsibility)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audit (third-party)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fixed for initial 3-year term; escalation cap for Year 4+ at [CLIENT-SPECIFIC]%</w:t>
      </w:r>
    </w:p>
    <w:p>
      <w:pPr>
        <w:pStyle w:val="ListParagraph"/>
        <w:numPr>
          <w:ilvl w:val="0"/>
          <w:numId w:val="4"/>
        </w:numPr>
      </w:pPr>
      <w:r>
        <w:rPr>
          <w:rFonts w:ascii="Figtree" w:hAnsi="Figtree"/>
          <w:b w:val="0"/>
          <w:i w:val="0"/>
          <w:sz w:val="22"/>
        </w:rPr>
        <w:t>Implementation one-time Year 1; fixed price including key ceremony</w:t>
      </w:r>
    </w:p>
    <w:p>
      <w:pPr>
        <w:pStyle w:val="ListParagraph"/>
        <w:numPr>
          <w:ilvl w:val="0"/>
          <w:numId w:val="4"/>
        </w:numPr>
      </w:pPr>
      <w:r>
        <w:rPr>
          <w:rFonts w:ascii="Figtree" w:hAnsi="Figtree"/>
          <w:b w:val="0"/>
          <w:i w:val="0"/>
          <w:sz w:val="22"/>
        </w:rPr>
        <w:t>Infrastructure costs are SNB estimates based on Section 6.1 specification</w:t>
      </w:r>
    </w:p>
    <w:p>
      <w:pPr>
        <w:pStyle w:val="ListParagraph"/>
        <w:numPr>
          <w:ilvl w:val="0"/>
          <w:numId w:val="4"/>
        </w:numPr>
      </w:pPr>
      <w:r>
        <w:rPr>
          <w:rFonts w:ascii="Figtree" w:hAnsi="Figtree"/>
          <w:b w:val="0"/>
          <w:i w:val="0"/>
          <w:sz w:val="22"/>
        </w:rPr>
        <w:t>HSM one-time procurement Year 1</w:t>
      </w:r>
    </w:p>
    <w:p>
      <w:pPr>
        <w:pStyle w:val="ListParagraph"/>
        <w:numPr>
          <w:ilvl w:val="0"/>
          <w:numId w:val="4"/>
        </w:numPr>
      </w:pPr>
      <w:r>
        <w:rPr>
          <w:rFonts w:ascii="Figtree" w:hAnsi="Figtree"/>
          <w:b w:val="0"/>
          <w:i w:val="0"/>
          <w:sz w:val="22"/>
        </w:rPr>
        <w:t>Smart contract audit Year 1 and Year 3 (major upgrade cycle audit)</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PFMI evidence package included in platform license</w:t>
      </w:r>
    </w:p>
    <w:p>
      <w:r>
        <w:br w:type="page"/>
      </w:r>
    </w:p>
    <w:p>
      <w:pPr>
        <w:pStyle w:val="H2"/>
        <w:numPr>
          <w:ilvl w:val="1"/>
          <w:numId w:val="1"/>
        </w:numPr>
      </w:pPr>
      <w:r>
        <w:t>8. ROI Analysis</w:t>
      </w:r>
    </w:p>
    <w:p>
      <w:pPr>
        <w:pStyle w:val="H3"/>
        <w:numPr>
          <w:ilvl w:val="2"/>
          <w:numId w:val="1"/>
        </w:numPr>
      </w:pPr>
      <w:r>
        <w:t>8.1 SNB Value Framework</w:t>
      </w:r>
    </w:p>
    <w:p>
      <w:r>
        <w:rPr>
          <w:rFonts w:ascii="Figtree" w:hAnsi="Figtree"/>
          <w:b w:val="0"/>
          <w:i w:val="0"/>
          <w:sz w:val="22"/>
        </w:rPr>
        <w:t>The ROI framework for a central bank wCBDC programme differs from commercial infrastructure. The value drivers are systemic and macroprudential rather than revenue-oriented:</w:t>
      </w:r>
    </w:p>
    <w:p>
      <w:r>
        <w:rPr>
          <w:rFonts w:ascii="Figtree" w:hAnsi="Figtree"/>
          <w:b/>
          <w:i w:val="0"/>
          <w:sz w:val="22"/>
        </w:rPr>
        <w:t>Settlement risk elimination:</w:t>
      </w:r>
    </w:p>
    <w:p>
      <w:pPr>
        <w:pStyle w:val="ListParagraph"/>
        <w:numPr>
          <w:ilvl w:val="0"/>
          <w:numId w:val="4"/>
        </w:numPr>
      </w:pPr>
      <w:r>
        <w:rPr>
          <w:rFonts w:ascii="Figtree" w:hAnsi="Figtree"/>
          <w:b w:val="0"/>
          <w:i w:val="0"/>
          <w:sz w:val="22"/>
        </w:rPr>
        <w:t>XvP atomic DvP eliminates bilateral credit exposure for all interbank securities transactions</w:t>
      </w:r>
    </w:p>
    <w:p>
      <w:pPr>
        <w:pStyle w:val="ListParagraph"/>
        <w:numPr>
          <w:ilvl w:val="0"/>
          <w:numId w:val="4"/>
        </w:numPr>
      </w:pPr>
      <w:r>
        <w:rPr>
          <w:rFonts w:ascii="Figtree" w:hAnsi="Figtree"/>
          <w:b w:val="0"/>
          <w:i w:val="0"/>
          <w:sz w:val="22"/>
        </w:rPr>
        <w:t>For CHF 10 billion daily Swiss interbank settlement volume, the credit exposure reduction represents significant systemic risk reduction</w:t>
      </w:r>
    </w:p>
    <w:p>
      <w:pPr>
        <w:pStyle w:val="ListParagraph"/>
        <w:numPr>
          <w:ilvl w:val="0"/>
          <w:numId w:val="4"/>
        </w:numPr>
      </w:pPr>
      <w:r>
        <w:rPr>
          <w:rFonts w:ascii="Figtree" w:hAnsi="Figtree"/>
          <w:b w:val="0"/>
          <w:i w:val="0"/>
          <w:sz w:val="22"/>
        </w:rPr>
        <w:t>Basel III SA-CCR capital requirements for bilateral exposures are eliminated for participating banks</w:t>
      </w:r>
    </w:p>
    <w:p>
      <w:r>
        <w:rPr>
          <w:rFonts w:ascii="Figtree" w:hAnsi="Figtree"/>
          <w:b/>
          <w:i w:val="0"/>
          <w:sz w:val="22"/>
        </w:rPr>
        <w:t>Operational efficiency:</w:t>
      </w:r>
    </w:p>
    <w:p>
      <w:pPr>
        <w:pStyle w:val="ListParagraph"/>
        <w:numPr>
          <w:ilvl w:val="0"/>
          <w:numId w:val="4"/>
        </w:numPr>
      </w:pPr>
      <w:r>
        <w:rPr>
          <w:rFonts w:ascii="Figtree" w:hAnsi="Figtree"/>
          <w:b w:val="0"/>
          <w:i w:val="0"/>
          <w:sz w:val="22"/>
        </w:rPr>
        <w:t>T+0 DvP eliminates intraday liquidity operations required to manage settlement timing risk</w:t>
      </w:r>
    </w:p>
    <w:p>
      <w:pPr>
        <w:pStyle w:val="ListParagraph"/>
        <w:numPr>
          <w:ilvl w:val="0"/>
          <w:numId w:val="4"/>
        </w:numPr>
      </w:pPr>
      <w:r>
        <w:rPr>
          <w:rFonts w:ascii="Figtree" w:hAnsi="Figtree"/>
          <w:b w:val="0"/>
          <w:i w:val="0"/>
          <w:sz w:val="22"/>
        </w:rPr>
        <w:t>Automated corporate action settlement reduces manual processing in SNB operations</w:t>
      </w:r>
    </w:p>
    <w:p>
      <w:pPr>
        <w:pStyle w:val="ListParagraph"/>
        <w:numPr>
          <w:ilvl w:val="0"/>
          <w:numId w:val="4"/>
        </w:numPr>
      </w:pPr>
      <w:r>
        <w:rPr>
          <w:rFonts w:ascii="Figtree" w:hAnsi="Figtree"/>
          <w:b w:val="0"/>
          <w:i w:val="0"/>
          <w:sz w:val="22"/>
        </w:rPr>
        <w:t>Real-time settlement monitoring replaces periodic reconciliation reports</w:t>
      </w:r>
    </w:p>
    <w:p>
      <w:pPr>
        <w:pStyle w:val="ListParagraph"/>
        <w:numPr>
          <w:ilvl w:val="0"/>
          <w:numId w:val="4"/>
        </w:numPr>
      </w:pPr>
      <w:r>
        <w:rPr>
          <w:rFonts w:ascii="Figtree" w:hAnsi="Figtree"/>
          <w:b w:val="0"/>
          <w:i w:val="0"/>
          <w:sz w:val="22"/>
        </w:rPr>
        <w:t>PFMI evidence package automation reduces regulatory reporting preparation time</w:t>
      </w:r>
    </w:p>
    <w:p>
      <w:r>
        <w:rPr>
          <w:rFonts w:ascii="Figtree" w:hAnsi="Figtree"/>
          <w:b/>
          <w:i w:val="0"/>
          <w:sz w:val="22"/>
        </w:rPr>
        <w:t>Monetary policy capability:</w:t>
      </w:r>
    </w:p>
    <w:p>
      <w:pPr>
        <w:pStyle w:val="ListParagraph"/>
        <w:numPr>
          <w:ilvl w:val="0"/>
          <w:numId w:val="4"/>
        </w:numPr>
      </w:pPr>
      <w:r>
        <w:rPr>
          <w:rFonts w:ascii="Figtree" w:hAnsi="Figtree"/>
          <w:b w:val="0"/>
          <w:i w:val="0"/>
          <w:sz w:val="22"/>
        </w:rPr>
        <w:t>wCBDC enables the SNB to implement targeted monetary policy operations in digital form</w:t>
      </w:r>
    </w:p>
    <w:p>
      <w:pPr>
        <w:pStyle w:val="ListParagraph"/>
        <w:numPr>
          <w:ilvl w:val="0"/>
          <w:numId w:val="4"/>
        </w:numPr>
      </w:pPr>
      <w:r>
        <w:rPr>
          <w:rFonts w:ascii="Figtree" w:hAnsi="Figtree"/>
          <w:b w:val="0"/>
          <w:i w:val="0"/>
          <w:sz w:val="22"/>
        </w:rPr>
        <w:t>Collateral management operations can be settled atomically in central bank money</w:t>
      </w:r>
    </w:p>
    <w:p>
      <w:pPr>
        <w:pStyle w:val="ListParagraph"/>
        <w:numPr>
          <w:ilvl w:val="0"/>
          <w:numId w:val="4"/>
        </w:numPr>
      </w:pPr>
      <w:r>
        <w:rPr>
          <w:rFonts w:ascii="Figtree" w:hAnsi="Figtree"/>
          <w:b w:val="0"/>
          <w:i w:val="0"/>
          <w:sz w:val="22"/>
        </w:rPr>
        <w:t>Cross-currency DvP capability (via XvP multi-leg) enables innovation in FX settlement</w:t>
      </w:r>
    </w:p>
    <w:p>
      <w:r>
        <w:rPr>
          <w:rFonts w:ascii="Figtree" w:hAnsi="Figtree"/>
          <w:b/>
          <w:i w:val="0"/>
          <w:sz w:val="22"/>
        </w:rPr>
        <w:t>Financial stability:</w:t>
      </w:r>
    </w:p>
    <w:p>
      <w:pPr>
        <w:pStyle w:val="ListParagraph"/>
        <w:numPr>
          <w:ilvl w:val="0"/>
          <w:numId w:val="4"/>
        </w:numPr>
      </w:pPr>
      <w:r>
        <w:rPr>
          <w:rFonts w:ascii="Figtree" w:hAnsi="Figtree"/>
          <w:b w:val="0"/>
          <w:i w:val="0"/>
          <w:sz w:val="22"/>
        </w:rPr>
        <w:t>Systemic risk containment tools (graduated intervention, platform pause) give the SNB direct technical instruments for financial stability management</w:t>
      </w:r>
    </w:p>
    <w:p>
      <w:pPr>
        <w:pStyle w:val="ListParagraph"/>
        <w:numPr>
          <w:ilvl w:val="0"/>
          <w:numId w:val="4"/>
        </w:numPr>
      </w:pPr>
      <w:r>
        <w:rPr>
          <w:rFonts w:ascii="Figtree" w:hAnsi="Figtree"/>
          <w:b w:val="0"/>
          <w:i w:val="0"/>
          <w:sz w:val="22"/>
        </w:rPr>
        <w:t>Real-time participant position visibility provides early warning of liquidity stress</w:t>
      </w:r>
    </w:p>
    <w:p>
      <w:pPr>
        <w:pStyle w:val="ListParagraph"/>
        <w:numPr>
          <w:ilvl w:val="0"/>
          <w:numId w:val="4"/>
        </w:numPr>
      </w:pPr>
      <w:r>
        <w:rPr>
          <w:rFonts w:ascii="Figtree" w:hAnsi="Figtree"/>
          <w:b w:val="0"/>
          <w:i w:val="0"/>
          <w:sz w:val="22"/>
        </w:rPr>
        <w:t>Immediate account freeze capability removes the delay between identifying a defaulting participant and preventing further damage</w:t>
      </w:r>
    </w:p>
    <w:p>
      <w:r>
        <w:rPr>
          <w:rFonts w:ascii="Figtree" w:hAnsi="Figtree"/>
          <w:b/>
          <w:i w:val="0"/>
          <w:sz w:val="22"/>
        </w:rPr>
        <w:t>International standing:</w:t>
      </w:r>
    </w:p>
    <w:p>
      <w:pPr>
        <w:pStyle w:val="ListParagraph"/>
        <w:numPr>
          <w:ilvl w:val="0"/>
          <w:numId w:val="4"/>
        </w:numPr>
      </w:pPr>
      <w:r>
        <w:rPr>
          <w:rFonts w:ascii="Figtree" w:hAnsi="Figtree"/>
          <w:b w:val="0"/>
          <w:i w:val="0"/>
          <w:sz w:val="22"/>
        </w:rPr>
        <w:t>Swiss wholesale CBDC as permanent production infrastructure positions Switzerland as a global leader in digital money and financial innovation</w:t>
      </w:r>
    </w:p>
    <w:p>
      <w:pPr>
        <w:pStyle w:val="ListParagraph"/>
        <w:numPr>
          <w:ilvl w:val="0"/>
          <w:numId w:val="4"/>
        </w:numPr>
      </w:pPr>
      <w:r>
        <w:rPr>
          <w:rFonts w:ascii="Figtree" w:hAnsi="Figtree"/>
          <w:b w:val="0"/>
          <w:i w:val="0"/>
          <w:sz w:val="22"/>
        </w:rPr>
        <w:t>BIS Innovation Hub engagement continues under production infrastructure</w:t>
      </w:r>
    </w:p>
    <w:p>
      <w:pPr>
        <w:pStyle w:val="ListParagraph"/>
        <w:numPr>
          <w:ilvl w:val="0"/>
          <w:numId w:val="4"/>
        </w:numPr>
      </w:pPr>
      <w:r>
        <w:rPr>
          <w:rFonts w:ascii="Figtree" w:hAnsi="Figtree"/>
          <w:b w:val="0"/>
          <w:i w:val="0"/>
          <w:sz w:val="22"/>
        </w:rPr>
        <w:t>Project Helvetia conclusions realised at production scale</w:t>
      </w:r>
    </w:p>
    <w:p>
      <w:pPr>
        <w:pStyle w:val="H3"/>
        <w:numPr>
          <w:ilvl w:val="2"/>
          <w:numId w:val="1"/>
        </w:numPr>
      </w:pPr>
      <w:r>
        <w:t>8.2 Indicative Value Illustration</w:t>
      </w:r>
    </w:p>
    <w:p>
      <w:r>
        <w:rPr>
          <w:rFonts w:ascii="Figtree" w:hAnsi="Figtree"/>
          <w:b/>
          <w:i w:val="0"/>
          <w:sz w:val="22"/>
        </w:rPr>
        <w:t>Settlement risk capital release (indicative):</w:t>
      </w:r>
    </w:p>
    <w:p>
      <w:pPr>
        <w:pStyle w:val="ListParagraph"/>
        <w:numPr>
          <w:ilvl w:val="0"/>
          <w:numId w:val="4"/>
        </w:numPr>
      </w:pPr>
      <w:r>
        <w:rPr>
          <w:rFonts w:ascii="Figtree" w:hAnsi="Figtree"/>
          <w:b w:val="0"/>
          <w:i w:val="0"/>
          <w:sz w:val="22"/>
        </w:rPr>
        <w:t>Participating banks collectively post Basel III SA-CCR capital for bilateral interbank exposures</w:t>
      </w:r>
    </w:p>
    <w:p>
      <w:pPr>
        <w:pStyle w:val="ListParagraph"/>
        <w:numPr>
          <w:ilvl w:val="0"/>
          <w:numId w:val="4"/>
        </w:numPr>
      </w:pPr>
      <w:r>
        <w:rPr>
          <w:rFonts w:ascii="Figtree" w:hAnsi="Figtree"/>
          <w:b w:val="0"/>
          <w:i w:val="0"/>
          <w:sz w:val="22"/>
        </w:rPr>
        <w:t>For CHF 10B daily volume at average 2-day settlement, the bilateral exposure pool is approximately CHF 20B</w:t>
      </w:r>
    </w:p>
    <w:p>
      <w:pPr>
        <w:pStyle w:val="ListParagraph"/>
        <w:numPr>
          <w:ilvl w:val="0"/>
          <w:numId w:val="4"/>
        </w:numPr>
      </w:pPr>
      <w:r>
        <w:rPr>
          <w:rFonts w:ascii="Figtree" w:hAnsi="Figtree"/>
          <w:b w:val="0"/>
          <w:i w:val="0"/>
          <w:sz w:val="22"/>
        </w:rPr>
        <w:t>At 8% capital charge, participating banks hold approximately CHF 1.6B in settlement risk capital</w:t>
      </w:r>
    </w:p>
    <w:p>
      <w:pPr>
        <w:pStyle w:val="ListParagraph"/>
        <w:numPr>
          <w:ilvl w:val="0"/>
          <w:numId w:val="4"/>
        </w:numPr>
      </w:pPr>
      <w:r>
        <w:rPr>
          <w:rFonts w:ascii="Figtree" w:hAnsi="Figtree"/>
          <w:b w:val="0"/>
          <w:i w:val="0"/>
          <w:sz w:val="22"/>
        </w:rPr>
        <w:t>T+0 DvP via wCBDC eliminates this exposure: CHF 1.6B capital released across the Swiss banking system</w:t>
      </w:r>
    </w:p>
    <w:p>
      <w:pPr>
        <w:pStyle w:val="ListParagraph"/>
        <w:numPr>
          <w:ilvl w:val="0"/>
          <w:numId w:val="4"/>
        </w:numPr>
      </w:pPr>
      <w:r>
        <w:rPr>
          <w:rFonts w:ascii="Figtree" w:hAnsi="Figtree"/>
          <w:b w:val="0"/>
          <w:i w:val="0"/>
          <w:sz w:val="22"/>
        </w:rPr>
        <w:t>Cost of capital on released amount at 10%: CHF 160M p.a. across the system</w:t>
      </w:r>
    </w:p>
    <w:p>
      <w:r>
        <w:rPr>
          <w:rFonts w:ascii="Figtree" w:hAnsi="Figtree"/>
          <w:b/>
          <w:i w:val="0"/>
          <w:sz w:val="22"/>
        </w:rPr>
        <w:t>SNB operational efficiency:</w:t>
      </w:r>
    </w:p>
    <w:p>
      <w:pPr>
        <w:pStyle w:val="ListParagraph"/>
        <w:numPr>
          <w:ilvl w:val="0"/>
          <w:numId w:val="4"/>
        </w:numPr>
      </w:pPr>
      <w:r>
        <w:rPr>
          <w:rFonts w:ascii="Figtree" w:hAnsi="Figtree"/>
          <w:b w:val="0"/>
          <w:i w:val="0"/>
          <w:sz w:val="22"/>
        </w:rPr>
        <w:t>Intraday liquidity facility administration cost reduction: [CLIENT-SPECIFIC] p.a.</w:t>
      </w:r>
    </w:p>
    <w:p>
      <w:pPr>
        <w:pStyle w:val="ListParagraph"/>
        <w:numPr>
          <w:ilvl w:val="0"/>
          <w:numId w:val="4"/>
        </w:numPr>
      </w:pPr>
      <w:r>
        <w:rPr>
          <w:rFonts w:ascii="Figtree" w:hAnsi="Figtree"/>
          <w:b w:val="0"/>
          <w:i w:val="0"/>
          <w:sz w:val="22"/>
        </w:rPr>
        <w:t>Settlement reporting automation: [CLIENT-SPECIFIC] p.a.</w:t>
      </w:r>
    </w:p>
    <w:p>
      <w:pPr>
        <w:pStyle w:val="ListParagraph"/>
        <w:numPr>
          <w:ilvl w:val="0"/>
          <w:numId w:val="4"/>
        </w:numPr>
      </w:pPr>
      <w:r>
        <w:rPr>
          <w:rFonts w:ascii="Figtree" w:hAnsi="Figtree"/>
          <w:b w:val="0"/>
          <w:i w:val="0"/>
          <w:sz w:val="22"/>
        </w:rPr>
        <w:t>PFMI evidence preparation cost reduction: [CLIENT-SPECIFIC] p.a.</w:t>
      </w:r>
    </w:p>
    <w:p>
      <w:r>
        <w:rPr>
          <w:rFonts w:ascii="Figtree" w:hAnsi="Figtree"/>
          <w:b w:val="0"/>
          <w:i w:val="0"/>
          <w:sz w:val="22"/>
        </w:rPr>
        <w:t>The systemic value of settlement risk elimination significantly exceeds the platform cost, making the SNB's investment justifiable on financial stability grounds independent of any operational efficiency savings.</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Milestone-based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w:t>
      </w:r>
    </w:p>
    <w:p>
      <w:pPr>
        <w:pStyle w:val="ListParagraph"/>
        <w:numPr>
          <w:ilvl w:val="0"/>
          <w:numId w:val="4"/>
        </w:numPr>
      </w:pPr>
      <w:r>
        <w:rPr>
          <w:rFonts w:ascii="Figtree" w:hAnsi="Figtree"/>
          <w:b/>
          <w:i w:val="0"/>
          <w:sz w:val="22"/>
        </w:rPr>
        <w:t>VAT:</w:t>
      </w:r>
      <w:r>
        <w:rPr>
          <w:rFonts w:ascii="Figtree" w:hAnsi="Figtree"/>
          <w:b w:val="0"/>
          <w:i w:val="0"/>
          <w:sz w:val="22"/>
        </w:rPr>
        <w:t xml:space="preserve"> Swiss VAT at applicable rate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5"/>
        <w:gridCol w:w="4601"/>
        <w:gridCol w:w="22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Formal verification</w:t>
            </w:r>
          </w:p>
        </w:tc>
        <w:tc>
          <w:tcPr>
            <w:tcW w:type="dxa" w:w="3249"/>
            <w:vAlign w:val="center"/>
          </w:tcPr>
          <w:p>
            <w:pPr>
              <w:spacing w:line="276" w:lineRule="auto" w:before="0" w:after="0"/>
            </w:pPr>
            <w:r/>
            <w:r>
              <w:rPr>
                <w:rFonts w:ascii="Figtree" w:hAnsi="Figtree"/>
                <w:b w:val="0"/>
                <w:i w:val="0"/>
                <w:sz w:val="20"/>
              </w:rPr>
              <w:t>Mathematical proof of wCBDC contract properties (Certora Prover)</w:t>
            </w:r>
          </w:p>
        </w:tc>
        <w:tc>
          <w:tcPr>
            <w:tcW w:type="dxa" w:w="3249"/>
            <w:vAlign w:val="center"/>
          </w:tcPr>
          <w:p>
            <w:pPr>
              <w:spacing w:line="276" w:lineRule="auto" w:before="0" w:after="0"/>
            </w:pPr>
            <w:r/>
            <w:r>
              <w:rPr>
                <w:rFonts w:ascii="Figtree" w:hAnsi="Figtree"/>
                <w:b w:val="0"/>
                <w:i w:val="0"/>
                <w:sz w:val="20"/>
              </w:rPr>
              <w:t>[CLIENT-SPECIFIC] fixed</w:t>
            </w:r>
          </w:p>
        </w:tc>
      </w:tr>
      <w:tr>
        <w:trPr>
          <w:trHeight w:val="425" w:hRule="atLeast"/>
        </w:trPr>
        <w:tc>
          <w:tcPr>
            <w:tcW w:type="dxa" w:w="3249"/>
            <w:vAlign w:val="center"/>
          </w:tcPr>
          <w:p>
            <w:pPr>
              <w:spacing w:line="276" w:lineRule="auto" w:before="0" w:after="0"/>
            </w:pPr>
            <w:r/>
            <w:r>
              <w:rPr>
                <w:rFonts w:ascii="Figtree" w:hAnsi="Figtree"/>
                <w:b w:val="0"/>
                <w:i w:val="0"/>
                <w:sz w:val="20"/>
              </w:rPr>
              <w:t>Additional language training</w:t>
            </w:r>
          </w:p>
        </w:tc>
        <w:tc>
          <w:tcPr>
            <w:tcW w:type="dxa" w:w="3249"/>
            <w:vAlign w:val="center"/>
          </w:tcPr>
          <w:p>
            <w:pPr>
              <w:spacing w:line="276" w:lineRule="auto" w:before="0" w:after="0"/>
            </w:pPr>
            <w:r/>
            <w:r>
              <w:rPr>
                <w:rFonts w:ascii="Figtree" w:hAnsi="Figtree"/>
                <w:b w:val="0"/>
                <w:i w:val="0"/>
                <w:sz w:val="20"/>
              </w:rPr>
              <w:t>German-language delivery of all training modules</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Extended pilot period</w:t>
            </w:r>
          </w:p>
        </w:tc>
        <w:tc>
          <w:tcPr>
            <w:tcW w:type="dxa" w:w="3249"/>
            <w:vAlign w:val="center"/>
          </w:tcPr>
          <w:p>
            <w:pPr>
              <w:spacing w:line="276" w:lineRule="auto" w:before="0" w:after="0"/>
            </w:pPr>
            <w:r/>
            <w:r>
              <w:rPr>
                <w:rFonts w:ascii="Figtree" w:hAnsi="Figtree"/>
                <w:b w:val="0"/>
                <w:i w:val="0"/>
                <w:sz w:val="20"/>
              </w:rPr>
              <w:t>Controlled pilot extended beyond Phase 5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BIS technical consultation support</w:t>
            </w:r>
          </w:p>
        </w:tc>
        <w:tc>
          <w:tcPr>
            <w:tcW w:type="dxa" w:w="3249"/>
            <w:vAlign w:val="center"/>
          </w:tcPr>
          <w:p>
            <w:pPr>
              <w:spacing w:line="276" w:lineRule="auto" w:before="0" w:after="0"/>
            </w:pPr>
            <w:r/>
            <w:r>
              <w:rPr>
                <w:rFonts w:ascii="Figtree" w:hAnsi="Figtree"/>
                <w:b w:val="0"/>
                <w:i w:val="0"/>
                <w:sz w:val="20"/>
              </w:rPr>
              <w:t>SettleMint participation in BIS Innovation Hub technical reviews</w:t>
            </w:r>
          </w:p>
        </w:tc>
        <w:tc>
          <w:tcPr>
            <w:tcW w:type="dxa" w:w="3249"/>
            <w:vAlign w:val="center"/>
          </w:tcPr>
          <w:p>
            <w:pPr>
              <w:spacing w:line="276" w:lineRule="auto" w:before="0" w:after="0"/>
            </w:pPr>
            <w:r/>
            <w:r>
              <w:rPr>
                <w:rFonts w:ascii="Figtree" w:hAnsi="Figtree"/>
                <w:b w:val="0"/>
                <w:i w:val="0"/>
                <w:sz w:val="20"/>
              </w:rPr>
              <w:t>Per-engagement: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Cross-currency XvP extension</w:t>
            </w:r>
          </w:p>
        </w:tc>
        <w:tc>
          <w:tcPr>
            <w:tcW w:type="dxa" w:w="3249"/>
            <w:vAlign w:val="center"/>
          </w:tcPr>
          <w:p>
            <w:pPr>
              <w:spacing w:line="276" w:lineRule="auto" w:before="0" w:after="0"/>
            </w:pPr>
            <w:r/>
            <w:r>
              <w:rPr>
                <w:rFonts w:ascii="Figtree" w:hAnsi="Figtree"/>
                <w:b w:val="0"/>
                <w:i w:val="0"/>
                <w:sz w:val="20"/>
              </w:rPr>
              <w:t>Multi-currency settlement for international DvP operations</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peak demand or expansion</w:t>
            </w:r>
          </w:p>
        </w:tc>
        <w:tc>
          <w:tcPr>
            <w:tcW w:type="dxa" w:w="3249"/>
            <w:vAlign w:val="center"/>
          </w:tcPr>
          <w:p>
            <w:pPr>
              <w:spacing w:line="276" w:lineRule="auto" w:before="0" w:after="0"/>
            </w:pPr>
            <w:r/>
            <w:r>
              <w:rPr>
                <w:rFonts w:ascii="Figtree" w:hAnsi="Figtree"/>
                <w:b w:val="0"/>
                <w:i w:val="0"/>
                <w:sz w:val="20"/>
              </w:rPr>
              <w:t>Annual: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Quarterly security briefing</w:t>
            </w:r>
          </w:p>
        </w:tc>
        <w:tc>
          <w:tcPr>
            <w:tcW w:type="dxa" w:w="3249"/>
            <w:vAlign w:val="center"/>
          </w:tcPr>
          <w:p>
            <w:pPr>
              <w:spacing w:line="276" w:lineRule="auto" w:before="0" w:after="0"/>
            </w:pPr>
            <w:r/>
            <w:r>
              <w:rPr>
                <w:rFonts w:ascii="Figtree" w:hAnsi="Figtree"/>
                <w:b w:val="0"/>
                <w:i w:val="0"/>
                <w:sz w:val="20"/>
              </w:rPr>
              <w:t>SNB-specific threat intelligence briefing and platform security review</w:t>
            </w:r>
          </w:p>
        </w:tc>
        <w:tc>
          <w:tcPr>
            <w:tcW w:type="dxa" w:w="3249"/>
            <w:vAlign w:val="center"/>
          </w:tcPr>
          <w:p>
            <w:pPr>
              <w:spacing w:line="276" w:lineRule="auto" w:before="0" w:after="0"/>
            </w:pPr>
            <w:r/>
            <w:r>
              <w:rPr>
                <w:rFonts w:ascii="Figtree" w:hAnsi="Figtree"/>
                <w:b w:val="0"/>
                <w:i w:val="0"/>
                <w:sz w:val="20"/>
              </w:rPr>
              <w:t>Per-quarter: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7"/>
        <w:gridCol w:w="56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 (primary + secondary)</w:t>
            </w:r>
          </w:p>
        </w:tc>
        <w:tc>
          <w:tcPr>
            <w:tcW w:type="dxa" w:w="4873"/>
            <w:vAlign w:val="center"/>
          </w:tcPr>
          <w:p>
            <w:pPr>
              <w:spacing w:line="276" w:lineRule="auto" w:before="0" w:after="0"/>
            </w:pPr>
            <w:r/>
            <w:r>
              <w:rPr>
                <w:rFonts w:ascii="Figtree" w:hAnsi="Figtree"/>
                <w:b w:val="0"/>
                <w:i w:val="0"/>
                <w:sz w:val="20"/>
              </w:rPr>
              <w:t>SNB procures; SettleMint specifies model</w:t>
            </w:r>
          </w:p>
        </w:tc>
      </w:tr>
      <w:tr>
        <w:trPr>
          <w:trHeight w:val="425" w:hRule="atLeast"/>
        </w:trPr>
        <w:tc>
          <w:tcPr>
            <w:tcW w:type="dxa" w:w="4873"/>
            <w:vAlign w:val="center"/>
          </w:tcPr>
          <w:p>
            <w:pPr>
              <w:spacing w:line="276" w:lineRule="auto" w:before="0" w:after="0"/>
            </w:pPr>
            <w:r/>
            <w:r>
              <w:rPr>
                <w:rFonts w:ascii="Figtree" w:hAnsi="Figtree"/>
                <w:b w:val="0"/>
                <w:i w:val="0"/>
                <w:sz w:val="20"/>
              </w:rPr>
              <w:t>FIDO2 hardware tokens for SNB staff</w:t>
            </w:r>
          </w:p>
        </w:tc>
        <w:tc>
          <w:tcPr>
            <w:tcW w:type="dxa" w:w="4873"/>
            <w:vAlign w:val="center"/>
          </w:tcPr>
          <w:p>
            <w:pPr>
              <w:spacing w:line="276" w:lineRule="auto" w:before="0" w:after="0"/>
            </w:pPr>
            <w:r/>
            <w:r>
              <w:rPr>
                <w:rFonts w:ascii="Figtree" w:hAnsi="Figtree"/>
                <w:b w:val="0"/>
                <w:i w:val="0"/>
                <w:sz w:val="20"/>
              </w:rPr>
              <w:t>SNB procures; SettleMint specifies compatible models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SNB selects; SettleMint coordinates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Swiss escrow agent (source code)</w:t>
            </w:r>
          </w:p>
        </w:tc>
        <w:tc>
          <w:tcPr>
            <w:tcW w:type="dxa" w:w="4873"/>
            <w:vAlign w:val="center"/>
          </w:tcPr>
          <w:p>
            <w:pPr>
              <w:spacing w:line="276" w:lineRule="auto" w:before="0" w:after="0"/>
            </w:pPr>
            <w:r/>
            <w:r>
              <w:rPr>
                <w:rFonts w:ascii="Figtree" w:hAnsi="Figtree"/>
                <w:b w:val="0"/>
                <w:i w:val="0"/>
                <w:sz w:val="20"/>
              </w:rPr>
              <w:t>SettleMint nominates; SNB approves; escrow fee split equally</w:t>
            </w:r>
          </w:p>
        </w:tc>
      </w:tr>
      <w:tr>
        <w:trPr>
          <w:trHeight w:val="425" w:hRule="atLeast"/>
        </w:trPr>
        <w:tc>
          <w:tcPr>
            <w:tcW w:type="dxa" w:w="4873"/>
            <w:vAlign w:val="center"/>
          </w:tcPr>
          <w:p>
            <w:pPr>
              <w:spacing w:line="276" w:lineRule="auto" w:before="0" w:after="0"/>
            </w:pPr>
            <w:r/>
            <w:r>
              <w:rPr>
                <w:rFonts w:ascii="Figtree" w:hAnsi="Figtree"/>
                <w:b w:val="0"/>
                <w:i w:val="0"/>
                <w:sz w:val="20"/>
              </w:rPr>
              <w:t>Private network interconnect</w:t>
            </w:r>
          </w:p>
        </w:tc>
        <w:tc>
          <w:tcPr>
            <w:tcW w:type="dxa" w:w="4873"/>
            <w:vAlign w:val="center"/>
          </w:tcPr>
          <w:p>
            <w:pPr>
              <w:spacing w:line="276" w:lineRule="auto" w:before="0" w:after="0"/>
            </w:pPr>
            <w:r/>
            <w:r>
              <w:rPr>
                <w:rFonts w:ascii="Figtree" w:hAnsi="Figtree"/>
                <w:b w:val="0"/>
                <w:i w:val="0"/>
                <w:sz w:val="20"/>
              </w:rPr>
              <w:t>SNB infrastructure; Berne/Zurich connectivity</w:t>
            </w:r>
          </w:p>
        </w:tc>
      </w:tr>
      <w:tr>
        <w:trPr>
          <w:trHeight w:val="425" w:hRule="atLeast"/>
        </w:trPr>
        <w:tc>
          <w:tcPr>
            <w:tcW w:type="dxa" w:w="4873"/>
            <w:vAlign w:val="center"/>
          </w:tcPr>
          <w:p>
            <w:pPr>
              <w:spacing w:line="276" w:lineRule="auto" w:before="0" w:after="0"/>
            </w:pPr>
            <w:r/>
            <w:r>
              <w:rPr>
                <w:rFonts w:ascii="Figtree" w:hAnsi="Figtree"/>
                <w:b w:val="0"/>
                <w:i w:val="0"/>
                <w:sz w:val="20"/>
              </w:rPr>
              <w:t>Swiss legal counsel (NBG/FMIA review)</w:t>
            </w:r>
          </w:p>
        </w:tc>
        <w:tc>
          <w:tcPr>
            <w:tcW w:type="dxa" w:w="4873"/>
            <w:vAlign w:val="center"/>
          </w:tcPr>
          <w:p>
            <w:pPr>
              <w:spacing w:line="276" w:lineRule="auto" w:before="0" w:after="0"/>
            </w:pPr>
            <w:r/>
            <w:r>
              <w:rPr>
                <w:rFonts w:ascii="Figtree" w:hAnsi="Figtree"/>
                <w:b w:val="0"/>
                <w:i w:val="0"/>
                <w:sz w:val="20"/>
              </w:rPr>
              <w:t>SNB's counsel; SettleMint provides technical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SIEM platform</w:t>
            </w:r>
          </w:p>
        </w:tc>
        <w:tc>
          <w:tcPr>
            <w:tcW w:type="dxa" w:w="4873"/>
            <w:vAlign w:val="center"/>
          </w:tcPr>
          <w:p>
            <w:pPr>
              <w:spacing w:line="276" w:lineRule="auto" w:before="0" w:after="0"/>
            </w:pPr>
            <w:r/>
            <w:r>
              <w:rPr>
                <w:rFonts w:ascii="Figtree" w:hAnsi="Figtree"/>
                <w:b w:val="0"/>
                <w:i w:val="0"/>
                <w:sz w:val="20"/>
              </w:rPr>
              <w:t>SNB's existing security infrastructure</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1"/>
        <w:gridCol w:w="3749"/>
        <w:gridCol w:w="46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SNB provides Swiss data centres in Berne and Zurich meeting specification</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SNB will designate 5 key custodians for GOVERNANCE_ROLE key ceremony before Phase 2</w:t>
            </w:r>
          </w:p>
        </w:tc>
        <w:tc>
          <w:tcPr>
            <w:tcW w:type="dxa" w:w="3249"/>
            <w:vAlign w:val="center"/>
          </w:tcPr>
          <w:p>
            <w:pPr>
              <w:spacing w:line="276" w:lineRule="auto" w:before="0" w:after="0"/>
            </w:pPr>
            <w:r/>
            <w:r>
              <w:rPr>
                <w:rFonts w:ascii="Figtree" w:hAnsi="Figtree"/>
                <w:b w:val="0"/>
                <w:i w:val="0"/>
                <w:sz w:val="20"/>
              </w:rPr>
              <w:t>Phase 2 delay if custodians not identified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HSM hardware procurement completed by Week 2 of Phase 2</w:t>
            </w:r>
          </w:p>
        </w:tc>
        <w:tc>
          <w:tcPr>
            <w:tcW w:type="dxa" w:w="3249"/>
            <w:vAlign w:val="center"/>
          </w:tcPr>
          <w:p>
            <w:pPr>
              <w:spacing w:line="276" w:lineRule="auto" w:before="0" w:after="0"/>
            </w:pPr>
            <w:r/>
            <w:r>
              <w:rPr>
                <w:rFonts w:ascii="Figtree" w:hAnsi="Figtree"/>
                <w:b w:val="0"/>
                <w:i w:val="0"/>
                <w:sz w:val="20"/>
              </w:rPr>
              <w:t>Foundation phase delay</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SIC API documentation is available and current</w:t>
            </w:r>
          </w:p>
        </w:tc>
        <w:tc>
          <w:tcPr>
            <w:tcW w:type="dxa" w:w="3249"/>
            <w:vAlign w:val="center"/>
          </w:tcPr>
          <w:p>
            <w:pPr>
              <w:spacing w:line="276" w:lineRule="auto" w:before="0" w:after="0"/>
            </w:pPr>
            <w:r/>
            <w:r>
              <w:rPr>
                <w:rFonts w:ascii="Figtree" w:hAnsi="Figtree"/>
                <w:b w:val="0"/>
                <w:i w:val="0"/>
                <w:sz w:val="20"/>
              </w:rPr>
              <w:t>SIC integration design may require rework</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delay go-live;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Participant bank cohort for controlled pilot is 2-3 banks</w:t>
            </w:r>
          </w:p>
        </w:tc>
        <w:tc>
          <w:tcPr>
            <w:tcW w:type="dxa" w:w="3249"/>
            <w:vAlign w:val="center"/>
          </w:tcPr>
          <w:p>
            <w:pPr>
              <w:spacing w:line="276" w:lineRule="auto" w:before="0" w:after="0"/>
            </w:pPr>
            <w:r/>
            <w:r>
              <w:rPr>
                <w:rFonts w:ascii="Figtree" w:hAnsi="Figtree"/>
                <w:b w:val="0"/>
                <w:i w:val="0"/>
                <w:sz w:val="20"/>
              </w:rPr>
              <w:t>Larger pilot cohort requires additional Phase 5 time</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BIS Innovation Hub observer access is read-only; no operational involvement</w:t>
            </w:r>
          </w:p>
        </w:tc>
        <w:tc>
          <w:tcPr>
            <w:tcW w:type="dxa" w:w="3249"/>
            <w:vAlign w:val="center"/>
          </w:tcPr>
          <w:p>
            <w:pPr>
              <w:spacing w:line="276" w:lineRule="auto" w:before="0" w:after="0"/>
            </w:pPr>
            <w:r/>
            <w:r>
              <w:rPr>
                <w:rFonts w:ascii="Figtree" w:hAnsi="Figtree"/>
                <w:b w:val="0"/>
                <w:i w:val="0"/>
                <w:sz w:val="20"/>
              </w:rPr>
              <w:t>Additional access controls required if BIS scope expands</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National Bank Act and FMIA do not undergo material amendment during delivery</w:t>
            </w:r>
          </w:p>
        </w:tc>
        <w:tc>
          <w:tcPr>
            <w:tcW w:type="dxa" w:w="3249"/>
            <w:vAlign w:val="center"/>
          </w:tcPr>
          <w:p>
            <w:pPr>
              <w:spacing w:line="276" w:lineRule="auto" w:before="0" w:after="0"/>
            </w:pPr>
            <w:r/>
            <w:r>
              <w:rPr>
                <w:rFonts w:ascii="Figtree" w:hAnsi="Figtree"/>
                <w:b w:val="0"/>
                <w:i w:val="0"/>
                <w:sz w:val="20"/>
              </w:rPr>
              <w:t>Compliance reconfiguration required if material amendments occur</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SettleMint named engineer has remote diagnostic access to staging environment</w:t>
            </w:r>
          </w:p>
        </w:tc>
        <w:tc>
          <w:tcPr>
            <w:tcW w:type="dxa" w:w="3249"/>
            <w:vAlign w:val="center"/>
          </w:tcPr>
          <w:p>
            <w:pPr>
              <w:spacing w:line="276" w:lineRule="auto" w:before="0" w:after="0"/>
            </w:pPr>
            <w:r/>
            <w:r>
              <w:rPr>
                <w:rFonts w:ascii="Figtree" w:hAnsi="Figtree"/>
                <w:b w:val="0"/>
                <w:i w:val="0"/>
                <w:sz w:val="20"/>
              </w:rPr>
              <w:t>On-site support costs apply if remote access not permitted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Project Helvetia III architectural conclusions remain valid for production deployment</w:t>
            </w:r>
          </w:p>
        </w:tc>
        <w:tc>
          <w:tcPr>
            <w:tcW w:type="dxa" w:w="3249"/>
            <w:vAlign w:val="center"/>
          </w:tcPr>
          <w:p>
            <w:pPr>
              <w:spacing w:line="276" w:lineRule="auto" w:before="0" w:after="0"/>
            </w:pPr>
            <w:r/>
            <w:r>
              <w:rPr>
                <w:rFonts w:ascii="Figtree" w:hAnsi="Figtree"/>
                <w:b w:val="0"/>
                <w:i w:val="0"/>
                <w:sz w:val="20"/>
              </w:rPr>
              <w:t>Discovery phase will confirm; scope change possible if SNB requires divergence from Helvetia architecture</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Sovereign Engagement Structure</w:t>
      </w:r>
    </w:p>
    <w:p>
      <w:r>
        <w:rPr>
          <w:rFonts w:ascii="Figtree" w:hAnsi="Figtree"/>
          <w:b w:val="0"/>
          <w:i w:val="0"/>
          <w:sz w:val="22"/>
        </w:rPr>
        <w:t>For the SNB as a sovereign institution, SettleMint's contractual framework is adapted to reflect:</w:t>
      </w:r>
    </w:p>
    <w:p>
      <w:pPr>
        <w:pStyle w:val="ListParagraph"/>
        <w:numPr>
          <w:ilvl w:val="0"/>
          <w:numId w:val="4"/>
        </w:numPr>
      </w:pPr>
      <w:r>
        <w:rPr>
          <w:rFonts w:ascii="Figtree" w:hAnsi="Figtree"/>
          <w:b w:val="0"/>
          <w:i w:val="0"/>
          <w:sz w:val="22"/>
        </w:rPr>
        <w:t>The SNB's sovereign immunity (limited waiver for dispute resolution purposes only)</w:t>
      </w:r>
    </w:p>
    <w:p>
      <w:pPr>
        <w:pStyle w:val="ListParagraph"/>
        <w:numPr>
          <w:ilvl w:val="0"/>
          <w:numId w:val="4"/>
        </w:numPr>
      </w:pPr>
      <w:r>
        <w:rPr>
          <w:rFonts w:ascii="Figtree" w:hAnsi="Figtree"/>
          <w:b w:val="0"/>
          <w:i w:val="0"/>
          <w:sz w:val="22"/>
        </w:rPr>
        <w:t>Swiss public procurement law applicability if required by SNB legal counsel</w:t>
      </w:r>
    </w:p>
    <w:p>
      <w:pPr>
        <w:pStyle w:val="ListParagraph"/>
        <w:numPr>
          <w:ilvl w:val="0"/>
          <w:numId w:val="4"/>
        </w:numPr>
      </w:pPr>
      <w:r>
        <w:rPr>
          <w:rFonts w:ascii="Figtree" w:hAnsi="Figtree"/>
          <w:b w:val="0"/>
          <w:i w:val="0"/>
          <w:sz w:val="22"/>
        </w:rPr>
        <w:t>National Bank Act compliance obligations embedded in contract terms</w:t>
      </w:r>
    </w:p>
    <w:p>
      <w:r>
        <w:rPr>
          <w:rFonts w:ascii="Figtree" w:hAnsi="Figtree"/>
          <w:b w:val="0"/>
          <w:i w:val="0"/>
          <w:sz w:val="22"/>
        </w:rPr>
        <w:t>The standard contract structure applies:</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Swiss law (OR), limited liability, IP, confidentiality, data protection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wCBDC-specific use rights, monetary authority separation clause</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PFMI evidence obligations, settlement hours maintenance prohibition</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Swiss data residency; zero cross-border transfer</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67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 for SNB</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Good-faith negotiation; Swiss Centre for Commercial Mediation; Swiss Rules Arbitration (Zurich)</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for direct losses; excluded: consequential, systemic financial loss</w:t>
            </w:r>
          </w:p>
        </w:tc>
      </w:tr>
      <w:tr>
        <w:trPr>
          <w:trHeight w:val="425" w:hRule="atLeast"/>
        </w:trPr>
        <w:tc>
          <w:tcPr>
            <w:tcW w:type="dxa" w:w="4873"/>
            <w:vAlign w:val="center"/>
          </w:tcPr>
          <w:p>
            <w:pPr>
              <w:spacing w:line="276" w:lineRule="auto" w:before="0" w:after="0"/>
            </w:pPr>
            <w:r/>
            <w:r>
              <w:rPr>
                <w:rFonts w:ascii="Figtree" w:hAnsi="Figtree"/>
                <w:b w:val="0"/>
                <w:i w:val="0"/>
                <w:sz w:val="20"/>
              </w:rPr>
              <w:t>Monetary authority clause</w:t>
            </w:r>
          </w:p>
        </w:tc>
        <w:tc>
          <w:tcPr>
            <w:tcW w:type="dxa" w:w="4873"/>
            <w:vAlign w:val="center"/>
          </w:tcPr>
          <w:p>
            <w:pPr>
              <w:spacing w:line="276" w:lineRule="auto" w:before="0" w:after="0"/>
            </w:pPr>
            <w:r/>
            <w:r>
              <w:rPr>
                <w:rFonts w:ascii="Figtree" w:hAnsi="Figtree"/>
                <w:b w:val="0"/>
                <w:i w:val="0"/>
                <w:sz w:val="20"/>
              </w:rPr>
              <w:t>SettleMint contractually prohibited from seeking or accepting GOVERNANCE_ROLE or monetary function access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Swiss-domiciled escrow agent; release: SettleMint insolvency or material breach</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SettleMint. SNB data, configurations, and keys: SNB sovereign property</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SNB internal audit and BIS access to documentation;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 immediate for monetary authority breach</w:t>
            </w:r>
          </w:p>
        </w:tc>
      </w:tr>
      <w:tr>
        <w:trPr>
          <w:trHeight w:val="425" w:hRule="atLeast"/>
        </w:trPr>
        <w:tc>
          <w:tcPr>
            <w:tcW w:type="dxa" w:w="4873"/>
            <w:vAlign w:val="center"/>
          </w:tcPr>
          <w:p>
            <w:pPr>
              <w:spacing w:line="276" w:lineRule="auto" w:before="0" w:after="0"/>
            </w:pPr>
            <w:r/>
            <w:r>
              <w:rPr>
                <w:rFonts w:ascii="Figtree" w:hAnsi="Figtree"/>
                <w:b w:val="0"/>
                <w:i w:val="0"/>
                <w:sz w:val="20"/>
              </w:rPr>
              <w:t>Key continuity</w:t>
            </w:r>
          </w:p>
        </w:tc>
        <w:tc>
          <w:tcPr>
            <w:tcW w:type="dxa" w:w="4873"/>
            <w:vAlign w:val="center"/>
          </w:tcPr>
          <w:p>
            <w:pPr>
              <w:spacing w:line="276" w:lineRule="auto" w:before="0" w:after="0"/>
            </w:pPr>
            <w:r/>
            <w:r>
              <w:rPr>
                <w:rFonts w:ascii="Figtree" w:hAnsi="Figtree"/>
                <w:b w:val="0"/>
                <w:i w:val="0"/>
                <w:sz w:val="20"/>
              </w:rPr>
              <w:t>SettleMint maintains minimum 2 named engineers with SNB platform knowledge; 3-month notice for role changes</w:t>
            </w:r>
          </w:p>
        </w:tc>
      </w:tr>
    </w:tbl>
    <w:p>
      <w:pPr>
        <w:spacing w:before="0" w:after="0" w:line="120" w:lineRule="exact"/>
      </w:pPr>
    </w:p>
    <w:p>
      <w:pPr>
        <w:pStyle w:val="H3"/>
        <w:numPr>
          <w:ilvl w:val="2"/>
          <w:numId w:val="1"/>
        </w:numPr>
      </w:pPr>
      <w:r>
        <w:t>13.3 Monetary Authority Separation Clause</w:t>
      </w:r>
    </w:p>
    <w:p>
      <w:r>
        <w:rPr>
          <w:rFonts w:ascii="Figtree" w:hAnsi="Figtree"/>
          <w:b w:val="0"/>
          <w:i w:val="0"/>
          <w:sz w:val="22"/>
        </w:rPr>
        <w:t>This clause is unique to SettleMint's central bank engagements and is non-negotiable:</w:t>
      </w:r>
    </w:p>
    <w:p>
      <w:r>
        <w:rPr>
          <w:rFonts w:ascii="Figtree" w:hAnsi="Figtree"/>
          <w:b w:val="0"/>
          <w:i/>
          <w:sz w:val="22"/>
        </w:rPr>
        <w:t>"SettleMint expressly acknowledges that the GOVERNANCE_ROLE private key and all associated key material constitutes exclusive Swiss National Bank property and monetary authority. SettleMint shall not at any time seek, request, accept, or retain access to the GOVERNANCE_ROLE key material or any equivalent authority to mint, burn, or otherwise alter the supply of the SNB's wholesale CBDC. Any request by SettleMint staff for access to monetary authority functions shall constitute a material breach of this agreement and shall entitle the SNB to immediate termination and all remedies available under Swiss law."</w:t>
      </w:r>
    </w:p>
    <w:p>
      <w:pPr>
        <w:pStyle w:val="H3"/>
        <w:numPr>
          <w:ilvl w:val="2"/>
          <w:numId w:val="1"/>
        </w:numPr>
      </w:pPr>
      <w:r>
        <w:t>13.4 nDSG and Swiss Bank Secrecy</w:t>
      </w:r>
    </w:p>
    <w:p>
      <w:r>
        <w:rPr>
          <w:rFonts w:ascii="Figtree" w:hAnsi="Figtree"/>
          <w:b w:val="0"/>
          <w:i w:val="0"/>
          <w:sz w:val="22"/>
        </w:rPr>
        <w:t>Processing of interbank settlement data is subject to both nDSG and Swiss bank secrecy obligations. SettleMint's data processing obligations under the DPA:</w:t>
      </w:r>
    </w:p>
    <w:p>
      <w:pPr>
        <w:pStyle w:val="ListParagraph"/>
        <w:numPr>
          <w:ilvl w:val="0"/>
          <w:numId w:val="4"/>
        </w:numPr>
      </w:pPr>
      <w:r>
        <w:rPr>
          <w:rFonts w:ascii="Figtree" w:hAnsi="Figtree"/>
          <w:b w:val="0"/>
          <w:i w:val="0"/>
          <w:sz w:val="22"/>
        </w:rPr>
        <w:t>Permissioned network ensures no transaction data is visible to any party not authorised by SNB</w:t>
      </w:r>
    </w:p>
    <w:p>
      <w:pPr>
        <w:pStyle w:val="ListParagraph"/>
        <w:numPr>
          <w:ilvl w:val="0"/>
          <w:numId w:val="4"/>
        </w:numPr>
      </w:pPr>
      <w:r>
        <w:rPr>
          <w:rFonts w:ascii="Figtree" w:hAnsi="Figtree"/>
          <w:b w:val="0"/>
          <w:i w:val="0"/>
          <w:sz w:val="22"/>
        </w:rPr>
        <w:t>SettleMint's diagnostic access is limited to metadata (system health, performance metrics); transaction content is not accessible</w:t>
      </w:r>
    </w:p>
    <w:p>
      <w:pPr>
        <w:pStyle w:val="ListParagraph"/>
        <w:numPr>
          <w:ilvl w:val="0"/>
          <w:numId w:val="4"/>
        </w:numPr>
      </w:pPr>
      <w:r>
        <w:rPr>
          <w:rFonts w:ascii="Figtree" w:hAnsi="Figtree"/>
          <w:b w:val="0"/>
          <w:i w:val="0"/>
          <w:sz w:val="22"/>
        </w:rPr>
        <w:t>All data within Switzerland; zero transfer to third countries without SNB written consent</w:t>
      </w:r>
    </w:p>
    <w:p>
      <w:pPr>
        <w:pStyle w:val="ListParagraph"/>
        <w:numPr>
          <w:ilvl w:val="0"/>
          <w:numId w:val="4"/>
        </w:numPr>
      </w:pPr>
      <w:r>
        <w:rPr>
          <w:rFonts w:ascii="Figtree" w:hAnsi="Figtree"/>
          <w:b w:val="0"/>
          <w:i w:val="0"/>
          <w:sz w:val="22"/>
        </w:rPr>
        <w:t>Sub-processors: none with access to transaction content; infrastructure providers subject to Swiss data centre location requirement</w:t>
      </w:r>
    </w:p>
    <w:p>
      <w:pPr>
        <w:pStyle w:val="H3"/>
        <w:numPr>
          <w:ilvl w:val="2"/>
          <w:numId w:val="1"/>
        </w:numPr>
      </w:pPr>
      <w:r>
        <w:t>13.5 Acceptance Criteria Framework</w:t>
      </w:r>
    </w:p>
    <w:p>
      <w:r>
        <w:rPr>
          <w:rFonts w:ascii="Figtree" w:hAnsi="Figtree"/>
          <w:b w:val="0"/>
          <w:i w:val="0"/>
          <w:sz w:val="22"/>
        </w:rPr>
        <w:t>Phase gate acceptance follows SettleMint's standard enterprise framework with two SNB-specific additions:</w:t>
      </w:r>
    </w:p>
    <w:p>
      <w:pPr>
        <w:pStyle w:val="ListParagraph"/>
        <w:numPr>
          <w:ilvl w:val="0"/>
          <w:numId w:val="7"/>
        </w:numPr>
      </w:pPr>
      <w:r>
        <w:rPr>
          <w:rFonts w:ascii="Figtree" w:hAnsi="Figtree"/>
          <w:b/>
          <w:i w:val="0"/>
          <w:sz w:val="22"/>
        </w:rPr>
        <w:t>Phase 2 additional gate (Key Ceremony):</w:t>
      </w:r>
      <w:r>
        <w:rPr>
          <w:rFonts w:ascii="Figtree" w:hAnsi="Figtree"/>
          <w:b w:val="0"/>
          <w:i w:val="0"/>
          <w:sz w:val="22"/>
        </w:rPr>
        <w:t xml:space="preserve"> SNB's security team must formally accept the key ceremony report before Phase 3 begins. Acceptance of the key ceremony confirms that the GOVERNANCE_ROLE key is in SNB custody and that SettleMint has zero access.</w:t>
      </w:r>
    </w:p>
    <w:p>
      <w:pPr>
        <w:pStyle w:val="ListParagraph"/>
        <w:numPr>
          <w:ilvl w:val="0"/>
          <w:numId w:val="7"/>
        </w:numPr>
      </w:pPr>
      <w:r>
        <w:rPr>
          <w:rFonts w:ascii="Figtree" w:hAnsi="Figtree"/>
          <w:b/>
          <w:i w:val="0"/>
          <w:sz w:val="22"/>
        </w:rPr>
        <w:t>Phase 3 additional gate (Monetary Control Validation):</w:t>
      </w:r>
      <w:r>
        <w:rPr>
          <w:rFonts w:ascii="Figtree" w:hAnsi="Figtree"/>
          <w:b w:val="0"/>
          <w:i w:val="0"/>
          <w:sz w:val="22"/>
        </w:rPr>
        <w:t xml:space="preserve"> SNB's legal and monetary operations teams must formally confirm that all monetary control tools (mint, burn, freeze, forced transfer, system pause) function as documented and satisfy the National Bank Act requirements before Phase 4 begins.</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