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placeholder>
                  <w:docPart w:val="02F3537D4C677A4AAC856F674BAF4DF3"/>
                </w:placeholder>
                <w:showingPlcHdr/>
                <w:dataBinding w:prefixMappings="xmlns:ns0='http://schemas.openxmlformats.org/officeDocument/2006/extended-properties'" w:xpath="/ns0:Properties[1]/ns0:Company[1]" w:storeItemID="{6668398D-A668-4E3E-A5EB-62B293D839F1}"/>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[Company name]</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placeholder>
                    <w:docPart w:val="00F9803809315C46887E272E02859745"/>
                  </w:placeholder>
                  <w:showingPlcHdr/>
                  <w:dataBinding w:prefixMappings="xmlns:ns0='http://schemas.openxmlformats.org/package/2006/metadata/core-properties' xmlns:ns1='http://purl.org/dc/elements/1.1/'" w:xpath="/ns0:coreProperties[1]/ns1:title[1]" w:storeItemID="{6C3C8BC8-F283-45AE-878A-BAB7291924A1}"/>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sidRPr="000A6351">
                      <w:rPr>
                        <w:color w:val="000099"/>
                        <w:sz w:val="74"/>
                        <w:szCs w:val="420"/>
                      </w:rPr>
                      <w:t>[Document title]</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placeholder>
                  <w:docPart w:val="0D460E9532679D4283311473F5C36932"/>
                </w:placeholder>
                <w:showingPlcHdr/>
                <w:dataBinding w:prefixMappings="xmlns:ns0='http://schemas.openxmlformats.org/package/2006/metadata/core-properties' xmlns:ns1='http://purl.org/dc/elements/1.1/'" w:xpath="/ns0:coreProperties[1]/ns1:subject[1]" w:storeItemID="{6C3C8BC8-F283-45AE-878A-BAB7291924A1}"/>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[Document subtitle]</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[DD Month YYYY]. In the absence of confirmation to proceed, SettleMint and [</w:t>
      </w:r>
      <w:r w:rsidRPr="00E86454">
        <w:rPr>
          <w:color w:val="FF0000"/>
        </w:rPr>
        <w:t>the Company</w:t>
      </w:r>
      <w:r>
        <w:rPr>
          <w:color w:val="FF0000"/>
        </w:rPr>
        <w:t>]</w:t>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[Full Name]</w:t>
      </w:r>
    </w:p>
    <w:p w14:paraId="78CD750E" w14:textId="77777777" w:rsidR="00E86454" w:rsidRDefault="00E86454" w:rsidP="00E86454">
      <w:r>
        <w:t>[Job Title]</w:t>
      </w:r>
    </w:p>
    <w:p w14:paraId="7D10800F" w14:textId="77777777" w:rsidR="00E86454" w:rsidRDefault="00E86454" w:rsidP="00E86454">
      <w:r>
        <w:t>Email: [email@example.com]</w:t>
      </w:r>
    </w:p>
    <w:p w14:paraId="7D0DC7E4" w14:textId="77777777" w:rsidR="00AD4564" w:rsidRDefault="00E86454" w:rsidP="00E86454">
      <w:r>
        <w:t>Phone: [Country Code - Number]</w:t>
      </w:r>
    </w:p>
    <w:p w14:paraId="14BA6D31" w14:textId="77777777" w:rsidR="00AD4564" w:rsidRDefault="00AD4564">
      <w:r>
        <w:br w:type="page"/>
      </w:r>
    </w:p>
    <w:p>
      <w:pPr>
        <w:spacing w:before="0" w:after="240"/>
      </w:pPr>
      <w:r>
        <w:rPr>
          <w:b/>
          <w:sz w:val="32"/>
          <w:szCs w:val="32"/>
          <w:color w:val="000072"/>
          <w:rFonts w:ascii="Figtree" w:hAnsi="Figtree" w:cs="Figtree"/>
        </w:rPr>
        <w:t xml:space="preserve">Table of Contents</w:t>
      </w:r>
    </w:p>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fldChar w:fldCharType="begin"/>
            <w:instrText xml:space="preserve"> TOC \o "1-4" \h \z \u </w:instrText>
            <w:fldChar w:fldCharType="separate"/>
          </w:r>
        </w:p>
        <w:p>
          <w:pPr>
            <w:pStyle w:val="TOC2"/>
            <w:tabs>
              <w:tab w:val="right" w:leader="dot" w:pos="9072"/>
            </w:tabs>
          </w:pPr>
          <w:r>
            <w:t xml:space="preserve">Commercial Proposal for N26 Bank AG</w:t>
          </w:r>
          <w:r>
            <w:tab/>
          </w:r>
          <w:r>
            <w:t xml:space="preserve">3</w:t>
          </w:r>
        </w:p>
        <w:p>
          <w:pPr>
            <w:pStyle w:val="TOC3"/>
            <w:tabs>
              <w:tab w:val="right" w:leader="dot" w:pos="9072"/>
            </w:tabs>
          </w:pPr>
          <w:r>
            <w:t xml:space="preserve">SettleMint | March 2026 | v1.0 | SettleMint Confidential</w:t>
          </w:r>
          <w:r>
            <w:tab/>
          </w:r>
          <w:r>
            <w:t xml:space="preserve">4</w:t>
          </w:r>
        </w:p>
        <w:p>
          <w:pPr>
            <w:pStyle w:val="TOC2"/>
            <w:tabs>
              <w:tab w:val="right" w:leader="dot" w:pos="9072"/>
            </w:tabs>
          </w:pPr>
          <w:r>
            <w:t xml:space="preserve">Table of Contents</w:t>
          </w:r>
          <w:r>
            <w:tab/>
          </w:r>
          <w:r>
            <w:t xml:space="preserve">5</w:t>
          </w:r>
        </w:p>
        <w:p>
          <w:pPr>
            <w:pStyle w:val="TOC2"/>
            <w:tabs>
              <w:tab w:val="right" w:leader="dot" w:pos="9072"/>
            </w:tabs>
          </w:pPr>
          <w:r>
            <w:t xml:space="preserve">Executive Summary</w:t>
          </w:r>
          <w:r>
            <w:tab/>
          </w:r>
          <w:r>
            <w:t xml:space="preserve">6</w:t>
          </w:r>
        </w:p>
        <w:p>
          <w:pPr>
            <w:pStyle w:val="TOC3"/>
            <w:tabs>
              <w:tab w:val="right" w:leader="dot" w:pos="9072"/>
            </w:tabs>
          </w:pPr>
          <w:r>
            <w:t xml:space="preserve">Investment Summary</w:t>
          </w:r>
          <w:r>
            <w:tab/>
          </w:r>
          <w:r>
            <w:t xml:space="preserve">7</w:t>
          </w:r>
        </w:p>
        <w:p>
          <w:pPr>
            <w:pStyle w:val="TOC2"/>
            <w:tabs>
              <w:tab w:val="right" w:leader="dot" w:pos="9072"/>
            </w:tabs>
          </w:pPr>
          <w:r>
            <w:t xml:space="preserve">Investment Rationale</w:t>
          </w:r>
          <w:r>
            <w:tab/>
          </w:r>
          <w:r>
            <w:t xml:space="preserve">8</w:t>
          </w:r>
        </w:p>
        <w:p>
          <w:pPr>
            <w:pStyle w:val="TOC3"/>
            <w:tabs>
              <w:tab w:val="right" w:leader="dot" w:pos="9072"/>
            </w:tabs>
          </w:pPr>
          <w:r>
            <w:t xml:space="preserve">The Competitive Case</w:t>
          </w:r>
          <w:r>
            <w:tab/>
          </w:r>
          <w:r>
            <w:t xml:space="preserve">9</w:t>
          </w:r>
        </w:p>
        <w:p>
          <w:pPr>
            <w:pStyle w:val="TOC3"/>
            <w:tabs>
              <w:tab w:val="right" w:leader="dot" w:pos="9072"/>
            </w:tabs>
          </w:pPr>
          <w:r>
            <w:t xml:space="preserve">Revenue Creation</w:t>
          </w:r>
          <w:r>
            <w:tab/>
          </w:r>
          <w:r>
            <w:t xml:space="preserve">10</w:t>
          </w:r>
        </w:p>
        <w:p>
          <w:pPr>
            <w:pStyle w:val="TOC3"/>
            <w:tabs>
              <w:tab w:val="right" w:leader="dot" w:pos="9072"/>
            </w:tabs>
          </w:pPr>
          <w:r>
            <w:t xml:space="preserve">Build vs. Buy Analysis</w:t>
          </w:r>
          <w:r>
            <w:tab/>
          </w:r>
          <w:r>
            <w:t xml:space="preserve">11</w:t>
          </w:r>
        </w:p>
        <w:p>
          <w:pPr>
            <w:pStyle w:val="TOC2"/>
            <w:tabs>
              <w:tab w:val="right" w:leader="dot" w:pos="9072"/>
            </w:tabs>
          </w:pPr>
          <w:r>
            <w:t xml:space="preserve">Licensing Model</w:t>
          </w:r>
          <w:r>
            <w:tab/>
          </w:r>
          <w:r>
            <w:t xml:space="preserve">12</w:t>
          </w:r>
        </w:p>
        <w:p>
          <w:pPr>
            <w:pStyle w:val="TOC3"/>
            <w:tabs>
              <w:tab w:val="right" w:leader="dot" w:pos="9072"/>
            </w:tabs>
          </w:pPr>
          <w:r>
            <w:t xml:space="preserve">Philosophy</w:t>
          </w:r>
          <w:r>
            <w:tab/>
          </w:r>
          <w:r>
            <w:t xml:space="preserve">13</w:t>
          </w:r>
        </w:p>
        <w:p>
          <w:pPr>
            <w:pStyle w:val="TOC3"/>
            <w:tabs>
              <w:tab w:val="right" w:leader="dot" w:pos="9072"/>
            </w:tabs>
          </w:pPr>
          <w:r>
            <w:t xml:space="preserve">Platform Tiers and Annual License Fees</w:t>
          </w:r>
          <w:r>
            <w:tab/>
          </w:r>
          <w:r>
            <w:t xml:space="preserve">14</w:t>
          </w:r>
        </w:p>
        <w:p>
          <w:pPr>
            <w:pStyle w:val="TOC2"/>
            <w:tabs>
              <w:tab w:val="right" w:leader="dot" w:pos="9072"/>
            </w:tabs>
          </w:pPr>
          <w:r>
            <w:t xml:space="preserve">Deployment Options and Pricing</w:t>
          </w:r>
          <w:r>
            <w:tab/>
          </w:r>
          <w:r>
            <w:t xml:space="preserve">15</w:t>
          </w:r>
        </w:p>
        <w:p>
          <w:pPr>
            <w:pStyle w:val="TOC3"/>
            <w:tabs>
              <w:tab w:val="right" w:leader="dot" w:pos="9072"/>
            </w:tabs>
          </w:pPr>
          <w:r>
            <w:t xml:space="preserve">Recommended: N26's Kubernetes Cluster (EU Region)</w:t>
          </w:r>
          <w:r>
            <w:tab/>
          </w:r>
          <w:r>
            <w:t xml:space="preserve">16</w:t>
          </w:r>
        </w:p>
        <w:p>
          <w:pPr>
            <w:pStyle w:val="TOC2"/>
            <w:tabs>
              <w:tab w:val="right" w:leader="dot" w:pos="9072"/>
            </w:tabs>
          </w:pPr>
          <w:r>
            <w:t xml:space="preserve">Support and SLA Framework</w:t>
          </w:r>
          <w:r>
            <w:tab/>
          </w:r>
          <w:r>
            <w:t xml:space="preserve">17</w:t>
          </w:r>
        </w:p>
        <w:p>
          <w:pPr>
            <w:pStyle w:val="TOC3"/>
            <w:tabs>
              <w:tab w:val="right" w:leader="dot" w:pos="9072"/>
            </w:tabs>
          </w:pPr>
          <w:r>
            <w:t xml:space="preserve">Recommended: Enterprise Support</w:t>
          </w:r>
          <w:r>
            <w:tab/>
          </w:r>
          <w:r>
            <w:t xml:space="preserve">18</w:t>
          </w:r>
        </w:p>
        <w:p>
          <w:pPr>
            <w:pStyle w:val="TOC3"/>
            <w:tabs>
              <w:tab w:val="right" w:leader="dot" w:pos="9072"/>
            </w:tabs>
          </w:pPr>
          <w:r>
            <w:t xml:space="preserve">Service Credits</w:t>
          </w:r>
          <w:r>
            <w:tab/>
          </w:r>
          <w:r>
            <w:t xml:space="preserve">19</w:t>
          </w:r>
        </w:p>
        <w:p>
          <w:pPr>
            <w:pStyle w:val="TOC2"/>
            <w:tabs>
              <w:tab w:val="right" w:leader="dot" w:pos="9072"/>
            </w:tabs>
          </w:pPr>
          <w:r>
            <w:t xml:space="preserve">Implementation Investment</w:t>
          </w:r>
          <w:r>
            <w:tab/>
          </w:r>
          <w:r>
            <w:t xml:space="preserve">20</w:t>
          </w:r>
        </w:p>
        <w:p>
          <w:pPr>
            <w:pStyle w:val="TOC3"/>
            <w:tabs>
              <w:tab w:val="right" w:leader="dot" w:pos="9072"/>
            </w:tabs>
          </w:pPr>
          <w:r>
            <w:t xml:space="preserve">Phase-by-Phase Implementation Fees</w:t>
          </w:r>
          <w:r>
            <w:tab/>
          </w:r>
          <w:r>
            <w:t xml:space="preserve">21</w:t>
          </w:r>
        </w:p>
        <w:p>
          <w:pPr>
            <w:pStyle w:val="TOC3"/>
            <w:tabs>
              <w:tab w:val="right" w:leader="dot" w:pos="9072"/>
            </w:tabs>
          </w:pPr>
          <w:r>
            <w:t xml:space="preserve">Implementation Assumptions</w:t>
          </w:r>
          <w:r>
            <w:tab/>
          </w:r>
          <w:r>
            <w:t xml:space="preserve">22</w:t>
          </w:r>
        </w:p>
        <w:p>
          <w:pPr>
            <w:pStyle w:val="TOC3"/>
            <w:tabs>
              <w:tab w:val="right" w:leader="dot" w:pos="9072"/>
            </w:tabs>
          </w:pPr>
          <w:r>
            <w:t xml:space="preserve">Out-of-Scope Items</w:t>
          </w:r>
          <w:r>
            <w:tab/>
          </w:r>
          <w:r>
            <w:t xml:space="preserve">23</w:t>
          </w:r>
        </w:p>
        <w:p>
          <w:pPr>
            <w:pStyle w:val="TOC3"/>
            <w:tabs>
              <w:tab w:val="right" w:leader="dot" w:pos="9072"/>
            </w:tabs>
          </w:pPr>
          <w:r>
            <w:t xml:space="preserve">Change Request Day Rates</w:t>
          </w:r>
          <w:r>
            <w:tab/>
          </w:r>
          <w:r>
            <w:t xml:space="preserve">24</w:t>
          </w:r>
        </w:p>
        <w:p>
          <w:pPr>
            <w:pStyle w:val="TOC2"/>
            <w:tabs>
              <w:tab w:val="right" w:leader="dot" w:pos="9072"/>
            </w:tabs>
          </w:pPr>
          <w:r>
            <w:t xml:space="preserve">Commercial Terms</w:t>
          </w:r>
          <w:r>
            <w:tab/>
          </w:r>
          <w:r>
            <w:t xml:space="preserve">25</w:t>
          </w:r>
        </w:p>
        <w:p>
          <w:pPr>
            <w:pStyle w:val="TOC3"/>
            <w:tabs>
              <w:tab w:val="right" w:leader="dot" w:pos="9072"/>
            </w:tabs>
          </w:pPr>
          <w:r>
            <w:t xml:space="preserve">Contract Structure</w:t>
          </w:r>
          <w:r>
            <w:tab/>
          </w:r>
          <w:r>
            <w:t xml:space="preserve">26</w:t>
          </w:r>
        </w:p>
        <w:p>
          <w:pPr>
            <w:pStyle w:val="TOC3"/>
            <w:tabs>
              <w:tab w:val="right" w:leader="dot" w:pos="9072"/>
            </w:tabs>
          </w:pPr>
          <w:r>
            <w:t xml:space="preserve">Payment Schedule</w:t>
          </w:r>
          <w:r>
            <w:tab/>
          </w:r>
          <w:r>
            <w:t xml:space="preserve">27</w:t>
          </w:r>
        </w:p>
        <w:p>
          <w:pPr>
            <w:pStyle w:val="TOC3"/>
            <w:tabs>
              <w:tab w:val="right" w:leader="dot" w:pos="9072"/>
            </w:tabs>
          </w:pPr>
          <w:r>
            <w:t xml:space="preserve">Minimum Contract Term</w:t>
          </w:r>
          <w:r>
            <w:tab/>
          </w:r>
          <w:r>
            <w:t xml:space="preserve">28</w:t>
          </w:r>
        </w:p>
        <w:p>
          <w:pPr>
            <w:pStyle w:val="TOC3"/>
            <w:tabs>
              <w:tab w:val="right" w:leader="dot" w:pos="9072"/>
            </w:tabs>
          </w:pPr>
          <w:r>
            <w:t xml:space="preserve">Intellectual Property and Data</w:t>
          </w:r>
          <w:r>
            <w:tab/>
          </w:r>
          <w:r>
            <w:t xml:space="preserve">29</w:t>
          </w:r>
        </w:p>
        <w:p>
          <w:pPr>
            <w:pStyle w:val="TOC3"/>
            <w:tabs>
              <w:tab w:val="right" w:leader="dot" w:pos="9072"/>
            </w:tabs>
          </w:pPr>
          <w:r>
            <w:t xml:space="preserve">Exit Assistance</w:t>
          </w:r>
          <w:r>
            <w:tab/>
          </w:r>
          <w:r>
            <w:t xml:space="preserve">30</w:t>
          </w:r>
        </w:p>
        <w:p>
          <w:pPr>
            <w:pStyle w:val="TOC2"/>
            <w:tabs>
              <w:tab w:val="right" w:leader="dot" w:pos="9072"/>
            </w:tabs>
          </w:pPr>
          <w:r>
            <w:t xml:space="preserve">Total Cost of Ownership</w:t>
          </w:r>
          <w:r>
            <w:tab/>
          </w:r>
          <w:r>
            <w:t xml:space="preserve">31</w:t>
          </w:r>
        </w:p>
        <w:p>
          <w:pPr>
            <w:pStyle w:val="TOC3"/>
            <w:tabs>
              <w:tab w:val="right" w:leader="dot" w:pos="9072"/>
            </w:tabs>
          </w:pPr>
          <w:r>
            <w:t xml:space="preserve">3-Year TCO Model</w:t>
          </w:r>
          <w:r>
            <w:tab/>
          </w:r>
          <w:r>
            <w:t xml:space="preserve">32</w:t>
          </w:r>
        </w:p>
        <w:p>
          <w:pPr>
            <w:pStyle w:val="TOC3"/>
            <w:tabs>
              <w:tab w:val="right" w:leader="dot" w:pos="9072"/>
            </w:tabs>
          </w:pPr>
          <w:r>
            <w:t xml:space="preserve">5-Year TCO vs. Build Alternative</w:t>
          </w:r>
          <w:r>
            <w:tab/>
          </w:r>
          <w:r>
            <w:t xml:space="preserve">33</w:t>
          </w:r>
        </w:p>
        <w:p>
          <w:pPr>
            <w:pStyle w:val="TOC2"/>
            <w:tabs>
              <w:tab w:val="right" w:leader="dot" w:pos="9072"/>
            </w:tabs>
          </w:pPr>
          <w:r>
            <w:t xml:space="preserve">Reference Clients</w:t>
          </w:r>
          <w:r>
            <w:tab/>
          </w:r>
          <w:r>
            <w:t xml:space="preserve">34</w:t>
          </w:r>
        </w:p>
        <w:p>
          <w:pPr>
            <w:pStyle w:val="TOC3"/>
            <w:tabs>
              <w:tab w:val="right" w:leader="dot" w:pos="9072"/>
            </w:tabs>
          </w:pPr>
          <w:r>
            <w:t xml:space="preserve">Nordea</w:t>
          </w:r>
          <w:r>
            <w:tab/>
          </w:r>
          <w:r>
            <w:t xml:space="preserve">35</w:t>
          </w:r>
        </w:p>
        <w:p>
          <w:pPr>
            <w:pStyle w:val="TOC3"/>
            <w:tabs>
              <w:tab w:val="right" w:leader="dot" w:pos="9072"/>
            </w:tabs>
          </w:pPr>
          <w:r>
            <w:t xml:space="preserve">Commerzbank</w:t>
          </w:r>
          <w:r>
            <w:tab/>
          </w:r>
          <w:r>
            <w:t xml:space="preserve">36</w:t>
          </w:r>
        </w:p>
        <w:p>
          <w:pPr>
            <w:pStyle w:val="TOC3"/>
            <w:tabs>
              <w:tab w:val="right" w:leader="dot" w:pos="9072"/>
            </w:tabs>
          </w:pPr>
          <w:r>
            <w:t xml:space="preserve">ADI Finstreet</w:t>
          </w:r>
          <w:r>
            <w:tab/>
          </w:r>
          <w:r>
            <w:t xml:space="preserve">37</w:t>
          </w:r>
        </w:p>
        <w:p>
          <w:pPr>
            <w:pStyle w:val="TOC2"/>
            <w:tabs>
              <w:tab w:val="right" w:leader="dot" w:pos="9072"/>
            </w:tabs>
          </w:pPr>
          <w:r>
            <w:t xml:space="preserve">Next Steps</w:t>
          </w:r>
          <w:r>
            <w:tab/>
          </w:r>
          <w:r>
            <w:t xml:space="preserve">38</w:t>
          </w:r>
        </w:p>
        <w:p>
          <w:pPr>
            <w:pStyle w:val="TOC2"/>
            <w:tabs>
              <w:tab w:val="right" w:leader="dot" w:pos="9072"/>
            </w:tabs>
          </w:pPr>
          <w:r>
            <w:t xml:space="preserve">Appendix: Commercial Assumptions and Dependencies Register</w:t>
          </w:r>
          <w:r>
            <w:tab/>
          </w:r>
          <w:r>
            <w:t xml:space="preserve">39</w:t>
          </w:r>
        </w:p>
        <w:p>
          <w:pPr>
            <w:pStyle w:val="TOC3"/>
            <w:tabs>
              <w:tab w:val="right" w:leader="dot" w:pos="9072"/>
            </w:tabs>
          </w:pPr>
          <w:r>
            <w:t xml:space="preserve">Third-Party Dependencies</w:t>
          </w:r>
          <w:r>
            <w:tab/>
          </w:r>
          <w:r>
            <w:t xml:space="preserve">40</w:t>
          </w:r>
        </w:p>
        <w:p>
          <w:pPr>
            <w:pStyle w:val="TOC3"/>
            <w:tabs>
              <w:tab w:val="right" w:leader="dot" w:pos="9072"/>
            </w:tabs>
          </w:pPr>
          <w:r>
            <w:t xml:space="preserve">Volume Thresholds (Enterprise Tier)</w:t>
          </w:r>
          <w:r>
            <w:tab/>
          </w:r>
          <w:r>
            <w:t xml:space="preserve">41</w:t>
          </w:r>
        </w:p>
        <w:p>
          <w:r>
            <w:fldChar w:fldCharType="end"/>
          </w:r>
        </w:p>
      </w:sdtContent>
    </w:sdt>
    <w:p w14:paraId="3CB9FE7A" w14:textId="77777777" w:rsidR="006B6750" w:rsidRPr="00A9690B" w:rsidRDefault="006B6750" w:rsidP="0018162B">
      <w:pPr>
        <w:rPr>
          <w:rFonts w:eastAsiaTheme="majorEastAsia" w:cstheme="majorBidi"/>
          <w:b/>
          <w:color w:val="0070C0"/>
          <w:sz w:val="32"/>
          <w:szCs w:val="40"/>
        </w:rPr>
      </w:pPr>
      <w:r w:rsidRPr="00A9690B">
        <w:br w:type="page"/>
      </w:r>
    </w:p>
    <w:p>
      <w:pPr>
        <w:pStyle w:val="H2"/>
        <w:numPr>
          <w:ilvl w:val="1"/>
          <w:numId w:val="1"/>
        </w:numPr>
      </w:pPr>
      <w:r>
        <w:t>Commercial Proposal for N26 Bank AG</w:t>
      </w:r>
    </w:p>
    <w:p>
      <w:pPr>
        <w:pStyle w:val="H3"/>
        <w:numPr>
          <w:ilvl w:val="2"/>
          <w:numId w:val="1"/>
        </w:numPr>
      </w:pPr>
      <w:r>
        <w:t>SettleMint | March 2026 | v1.0 | SettleMint Confidential</w:t>
      </w:r>
    </w:p>
    <w:p>
      <w:r>
        <w:br w:type="page"/>
      </w:r>
    </w:p>
    <w:p>
      <w:r>
        <w:rPr>
          <w:rFonts w:ascii="Figtree" w:hAnsi="Figtree"/>
          <w:b/>
          <w:i w:val="0"/>
          <w:sz w:val="22"/>
        </w:rPr>
        <w:t>Prepared by:</w:t>
      </w:r>
      <w:r>
        <w:rPr>
          <w:rFonts w:ascii="Figtree" w:hAnsi="Figtree"/>
          <w:b w:val="0"/>
          <w:i w:val="0"/>
          <w:sz w:val="22"/>
        </w:rPr>
        <w:t xml:space="preserve"> SettleMint NV</w:t>
      </w:r>
    </w:p>
    <w:p>
      <w:r>
        <w:rPr>
          <w:rFonts w:ascii="Figtree" w:hAnsi="Figtree"/>
          <w:b/>
          <w:i w:val="0"/>
          <w:sz w:val="22"/>
        </w:rPr>
        <w:t>Prepared for:</w:t>
      </w:r>
      <w:r>
        <w:rPr>
          <w:rFonts w:ascii="Figtree" w:hAnsi="Figtree"/>
          <w:b w:val="0"/>
          <w:i w:val="0"/>
          <w:sz w:val="22"/>
        </w:rPr>
        <w:t xml:space="preserve"> N26 Bank AG, Berlin, Germany</w:t>
      </w:r>
    </w:p>
    <w:p>
      <w:r>
        <w:rPr>
          <w:rFonts w:ascii="Figtree" w:hAnsi="Figtree"/>
          <w:b/>
          <w:i w:val="0"/>
          <w:sz w:val="22"/>
        </w:rPr>
        <w:t>Document reference:</w:t>
      </w:r>
      <w:r>
        <w:rPr>
          <w:rFonts w:ascii="Figtree" w:hAnsi="Figtree"/>
          <w:b w:val="0"/>
          <w:i w:val="0"/>
          <w:sz w:val="22"/>
        </w:rPr>
        <w:t xml:space="preserve"> SM-COMM-N26-2026-001</w:t>
      </w:r>
    </w:p>
    <w:p>
      <w:r>
        <w:rPr>
          <w:rFonts w:ascii="Figtree" w:hAnsi="Figtree"/>
          <w:b/>
          <w:i w:val="0"/>
          <w:sz w:val="22"/>
        </w:rPr>
        <w:t>Classification:</w:t>
      </w:r>
      <w:r>
        <w:rPr>
          <w:rFonts w:ascii="Figtree" w:hAnsi="Figtree"/>
          <w:b w:val="0"/>
          <w:i w:val="0"/>
          <w:sz w:val="22"/>
        </w:rPr>
        <w:t xml:space="preserve"> Strictly Confidential</w:t>
      </w:r>
    </w:p>
    <w:p>
      <w:r>
        <w:rPr>
          <w:rFonts w:ascii="Figtree" w:hAnsi="Figtree"/>
          <w:b/>
          <w:i w:val="0"/>
          <w:sz w:val="22"/>
        </w:rPr>
        <w:t>Version:</w:t>
      </w:r>
      <w:r>
        <w:rPr>
          <w:rFonts w:ascii="Figtree" w:hAnsi="Figtree"/>
          <w:b w:val="0"/>
          <w:i w:val="0"/>
          <w:sz w:val="22"/>
        </w:rPr>
        <w:t xml:space="preserve"> 1.0</w:t>
      </w:r>
    </w:p>
    <w:p>
      <w:r>
        <w:rPr>
          <w:rFonts w:ascii="Figtree" w:hAnsi="Figtree"/>
          <w:b/>
          <w:i w:val="0"/>
          <w:sz w:val="22"/>
        </w:rPr>
        <w:t>Date:</w:t>
      </w:r>
      <w:r>
        <w:rPr>
          <w:rFonts w:ascii="Figtree" w:hAnsi="Figtree"/>
          <w:b w:val="0"/>
          <w:i w:val="0"/>
          <w:sz w:val="22"/>
        </w:rPr>
        <w:t xml:space="preserve"> March 2026</w:t>
      </w:r>
    </w:p>
    <w:p>
      <w:r>
        <w:br w:type="page"/>
      </w:r>
    </w:p>
    <w:p>
      <w:pPr>
        <w:pStyle w:val="H2"/>
        <w:numPr>
          <w:ilvl w:val="1"/>
          <w:numId w:val="1"/>
        </w:numPr>
      </w:pPr>
      <w:r>
        <w:t>Table of Contents</w:t>
      </w:r>
    </w:p>
    <w:p>
      <w:pPr>
        <w:pStyle w:val="ListParagraph"/>
        <w:numPr>
          <w:ilvl w:val="0"/>
          <w:numId w:val="6"/>
        </w:numPr>
      </w:pPr>
      <w:r>
        <w:rPr>
          <w:rFonts w:ascii="Figtree" w:hAnsi="Figtree"/>
          <w:b w:val="0"/>
          <w:i w:val="0"/>
          <w:sz w:val="22"/>
        </w:rPr>
        <w:t>Executive Summary</w:t>
      </w:r>
    </w:p>
    <w:p>
      <w:pPr>
        <w:pStyle w:val="ListParagraph"/>
        <w:numPr>
          <w:ilvl w:val="0"/>
          <w:numId w:val="6"/>
        </w:numPr>
      </w:pPr>
      <w:r>
        <w:rPr>
          <w:rFonts w:ascii="Figtree" w:hAnsi="Figtree"/>
          <w:b w:val="0"/>
          <w:i w:val="0"/>
          <w:sz w:val="22"/>
        </w:rPr>
        <w:t>Investment Rationale</w:t>
      </w:r>
    </w:p>
    <w:p>
      <w:pPr>
        <w:pStyle w:val="ListParagraph"/>
        <w:numPr>
          <w:ilvl w:val="0"/>
          <w:numId w:val="6"/>
        </w:numPr>
      </w:pPr>
      <w:r>
        <w:rPr>
          <w:rFonts w:ascii="Figtree" w:hAnsi="Figtree"/>
          <w:b w:val="0"/>
          <w:i w:val="0"/>
          <w:sz w:val="22"/>
        </w:rPr>
        <w:t>Licensing Model</w:t>
      </w:r>
    </w:p>
    <w:p>
      <w:pPr>
        <w:pStyle w:val="ListParagraph"/>
        <w:numPr>
          <w:ilvl w:val="0"/>
          <w:numId w:val="6"/>
        </w:numPr>
      </w:pPr>
      <w:r>
        <w:rPr>
          <w:rFonts w:ascii="Figtree" w:hAnsi="Figtree"/>
          <w:b w:val="0"/>
          <w:i w:val="0"/>
          <w:sz w:val="22"/>
        </w:rPr>
        <w:t>Deployment Options and Pricing</w:t>
      </w:r>
    </w:p>
    <w:p>
      <w:pPr>
        <w:pStyle w:val="ListParagraph"/>
        <w:numPr>
          <w:ilvl w:val="0"/>
          <w:numId w:val="6"/>
        </w:numPr>
      </w:pPr>
      <w:r>
        <w:rPr>
          <w:rFonts w:ascii="Figtree" w:hAnsi="Figtree"/>
          <w:b w:val="0"/>
          <w:i w:val="0"/>
          <w:sz w:val="22"/>
        </w:rPr>
        <w:t>Support and SLA Framework</w:t>
      </w:r>
    </w:p>
    <w:p>
      <w:pPr>
        <w:pStyle w:val="ListParagraph"/>
        <w:numPr>
          <w:ilvl w:val="0"/>
          <w:numId w:val="6"/>
        </w:numPr>
      </w:pPr>
      <w:r>
        <w:rPr>
          <w:rFonts w:ascii="Figtree" w:hAnsi="Figtree"/>
          <w:b w:val="0"/>
          <w:i w:val="0"/>
          <w:sz w:val="22"/>
        </w:rPr>
        <w:t>Implementation Investment</w:t>
      </w:r>
    </w:p>
    <w:p>
      <w:pPr>
        <w:pStyle w:val="ListParagraph"/>
        <w:numPr>
          <w:ilvl w:val="0"/>
          <w:numId w:val="6"/>
        </w:numPr>
      </w:pPr>
      <w:r>
        <w:rPr>
          <w:rFonts w:ascii="Figtree" w:hAnsi="Figtree"/>
          <w:b w:val="0"/>
          <w:i w:val="0"/>
          <w:sz w:val="22"/>
        </w:rPr>
        <w:t>Commercial Terms</w:t>
      </w:r>
    </w:p>
    <w:p>
      <w:pPr>
        <w:pStyle w:val="ListParagraph"/>
        <w:numPr>
          <w:ilvl w:val="0"/>
          <w:numId w:val="6"/>
        </w:numPr>
      </w:pPr>
      <w:r>
        <w:rPr>
          <w:rFonts w:ascii="Figtree" w:hAnsi="Figtree"/>
          <w:b w:val="0"/>
          <w:i w:val="0"/>
          <w:sz w:val="22"/>
        </w:rPr>
        <w:t>Total Cost of Ownership</w:t>
      </w:r>
    </w:p>
    <w:p>
      <w:pPr>
        <w:pStyle w:val="ListParagraph"/>
        <w:numPr>
          <w:ilvl w:val="0"/>
          <w:numId w:val="6"/>
        </w:numPr>
      </w:pPr>
      <w:r>
        <w:rPr>
          <w:rFonts w:ascii="Figtree" w:hAnsi="Figtree"/>
          <w:b w:val="0"/>
          <w:i w:val="0"/>
          <w:sz w:val="22"/>
        </w:rPr>
        <w:t>Reference Clients</w:t>
      </w:r>
    </w:p>
    <w:p>
      <w:pPr>
        <w:pStyle w:val="ListParagraph"/>
        <w:numPr>
          <w:ilvl w:val="0"/>
          <w:numId w:val="6"/>
        </w:numPr>
      </w:pPr>
      <w:r>
        <w:rPr>
          <w:rFonts w:ascii="Figtree" w:hAnsi="Figtree"/>
          <w:b w:val="0"/>
          <w:i w:val="0"/>
          <w:sz w:val="22"/>
        </w:rPr>
        <w:t>Next Steps</w:t>
      </w:r>
    </w:p>
    <w:p>
      <w:r>
        <w:br w:type="page"/>
      </w:r>
    </w:p>
    <w:p>
      <w:pPr>
        <w:pStyle w:val="H2"/>
        <w:numPr>
          <w:ilvl w:val="1"/>
          <w:numId w:val="1"/>
        </w:numPr>
      </w:pPr>
      <w:r>
        <w:t>Executive Summary</w:t>
      </w:r>
    </w:p>
    <w:p>
      <w:r>
        <w:rPr>
          <w:rFonts w:ascii="Figtree" w:hAnsi="Figtree"/>
          <w:b w:val="0"/>
          <w:i w:val="0"/>
          <w:sz w:val="22"/>
        </w:rPr>
        <w:t>N26's digital asset services integration programme creates embedded consumer digital asset products for over 8 million customers across 24 markets. The investment decision is whether to build this capability through custom blockchain development — historically 18 to 24 months and EUR 3 to 7 million before a consumer-grade service is operational — or through DALP, SettleMint's production-grade platform, which delivers the same infrastructure capability in 14 to 18 weeks at a fraction of the development and operating cost.</w:t>
      </w:r>
    </w:p>
    <w:p>
      <w:r>
        <w:rPr>
          <w:rFonts w:ascii="Figtree" w:hAnsi="Figtree"/>
          <w:b w:val="0"/>
          <w:i w:val="0"/>
          <w:sz w:val="22"/>
        </w:rPr>
        <w:t>This commercial proposal structures the investment transparently. Total implementation investment: EUR 370,000 for the Phase 1 digital asset services programme. Annual platform license: EUR 280,000 (Enterprise tier). Annual Enterprise support: EUR 120,000. Total Year 1 investment approximately EUR 870,000 including infrastructure and DFNS custody.</w:t>
      </w:r>
    </w:p>
    <w:p>
      <w:r>
        <w:rPr>
          <w:rFonts w:ascii="Figtree" w:hAnsi="Figtree"/>
          <w:b w:val="0"/>
          <w:i w:val="0"/>
          <w:sz w:val="22"/>
        </w:rPr>
        <w:t>The investment case for N26 rests on three value drivers: competitive differentiation through embedded consumer digital asset products, new revenue from savings product management fees, and regulatory compliance readiness for BaFin and MiCA digital asset service obligations.</w:t>
      </w:r>
    </w:p>
    <w:p>
      <w:pPr>
        <w:pStyle w:val="H3"/>
        <w:numPr>
          <w:ilvl w:val="2"/>
          <w:numId w:val="1"/>
        </w:numPr>
      </w:pPr>
      <w:r>
        <w:t>Investment Summary</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273"/>
        <w:gridCol w:w="1402"/>
        <w:gridCol w:w="1402"/>
        <w:gridCol w:w="1402"/>
        <w:gridCol w:w="1589"/>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Investment Category</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1</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2</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3</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3-Year Total</w:t>
            </w:r>
          </w:p>
        </w:tc>
      </w:tr>
      <w:tr>
        <w:trPr>
          <w:trHeight w:val="425" w:hRule="atLeast"/>
        </w:trPr>
        <w:tc>
          <w:tcPr>
            <w:tcW w:type="dxa" w:w="1949"/>
            <w:vAlign w:val="center"/>
          </w:tcPr>
          <w:p>
            <w:pPr>
              <w:spacing w:line="276" w:lineRule="auto" w:before="0" w:after="0"/>
            </w:pPr>
            <w:r/>
            <w:r>
              <w:rPr>
                <w:rFonts w:ascii="Figtree" w:hAnsi="Figtree"/>
                <w:b w:val="0"/>
                <w:i w:val="0"/>
                <w:sz w:val="20"/>
              </w:rPr>
              <w:t>Implementation (one-time)</w:t>
            </w:r>
          </w:p>
        </w:tc>
        <w:tc>
          <w:tcPr>
            <w:tcW w:type="dxa" w:w="1949"/>
            <w:vAlign w:val="center"/>
          </w:tcPr>
          <w:p>
            <w:pPr>
              <w:spacing w:line="276" w:lineRule="auto" w:before="0" w:after="0"/>
            </w:pPr>
            <w:r/>
            <w:r>
              <w:rPr>
                <w:rFonts w:ascii="Figtree" w:hAnsi="Figtree"/>
                <w:b w:val="0"/>
                <w:i w:val="0"/>
                <w:sz w:val="20"/>
              </w:rPr>
              <w:t>EUR 370,000</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EUR 370,000</w:t>
            </w:r>
          </w:p>
        </w:tc>
      </w:tr>
      <w:tr>
        <w:trPr>
          <w:trHeight w:val="425" w:hRule="atLeast"/>
        </w:trPr>
        <w:tc>
          <w:tcPr>
            <w:tcW w:type="dxa" w:w="1949"/>
            <w:vAlign w:val="center"/>
          </w:tcPr>
          <w:p>
            <w:pPr>
              <w:spacing w:line="276" w:lineRule="auto" w:before="0" w:after="0"/>
            </w:pPr>
            <w:r/>
            <w:r>
              <w:rPr>
                <w:rFonts w:ascii="Figtree" w:hAnsi="Figtree"/>
                <w:b w:val="0"/>
                <w:i w:val="0"/>
                <w:sz w:val="20"/>
              </w:rPr>
              <w:t>Platform License (Enterprise)</w:t>
            </w:r>
          </w:p>
        </w:tc>
        <w:tc>
          <w:tcPr>
            <w:tcW w:type="dxa" w:w="1949"/>
            <w:vAlign w:val="center"/>
          </w:tcPr>
          <w:p>
            <w:pPr>
              <w:spacing w:line="276" w:lineRule="auto" w:before="0" w:after="0"/>
            </w:pPr>
            <w:r/>
            <w:r>
              <w:rPr>
                <w:rFonts w:ascii="Figtree" w:hAnsi="Figtree"/>
                <w:b w:val="0"/>
                <w:i w:val="0"/>
                <w:sz w:val="20"/>
              </w:rPr>
              <w:t>EUR 280,000</w:t>
            </w:r>
          </w:p>
        </w:tc>
        <w:tc>
          <w:tcPr>
            <w:tcW w:type="dxa" w:w="1949"/>
            <w:vAlign w:val="center"/>
          </w:tcPr>
          <w:p>
            <w:pPr>
              <w:spacing w:line="276" w:lineRule="auto" w:before="0" w:after="0"/>
            </w:pPr>
            <w:r/>
            <w:r>
              <w:rPr>
                <w:rFonts w:ascii="Figtree" w:hAnsi="Figtree"/>
                <w:b w:val="0"/>
                <w:i w:val="0"/>
                <w:sz w:val="20"/>
              </w:rPr>
              <w:t>EUR 280,000</w:t>
            </w:r>
          </w:p>
        </w:tc>
        <w:tc>
          <w:tcPr>
            <w:tcW w:type="dxa" w:w="1949"/>
            <w:vAlign w:val="center"/>
          </w:tcPr>
          <w:p>
            <w:pPr>
              <w:spacing w:line="276" w:lineRule="auto" w:before="0" w:after="0"/>
            </w:pPr>
            <w:r/>
            <w:r>
              <w:rPr>
                <w:rFonts w:ascii="Figtree" w:hAnsi="Figtree"/>
                <w:b w:val="0"/>
                <w:i w:val="0"/>
                <w:sz w:val="20"/>
              </w:rPr>
              <w:t>EUR 308,000</w:t>
            </w:r>
          </w:p>
        </w:tc>
        <w:tc>
          <w:tcPr>
            <w:tcW w:type="dxa" w:w="1949"/>
            <w:vAlign w:val="center"/>
          </w:tcPr>
          <w:p>
            <w:pPr>
              <w:spacing w:line="276" w:lineRule="auto" w:before="0" w:after="0"/>
            </w:pPr>
            <w:r/>
            <w:r>
              <w:rPr>
                <w:rFonts w:ascii="Figtree" w:hAnsi="Figtree"/>
                <w:b w:val="0"/>
                <w:i w:val="0"/>
                <w:sz w:val="20"/>
              </w:rPr>
              <w:t>EUR 868,000</w:t>
            </w:r>
          </w:p>
        </w:tc>
      </w:tr>
      <w:tr>
        <w:trPr>
          <w:trHeight w:val="425" w:hRule="atLeast"/>
        </w:trPr>
        <w:tc>
          <w:tcPr>
            <w:tcW w:type="dxa" w:w="1949"/>
            <w:vAlign w:val="center"/>
          </w:tcPr>
          <w:p>
            <w:pPr>
              <w:spacing w:line="276" w:lineRule="auto" w:before="0" w:after="0"/>
            </w:pPr>
            <w:r/>
            <w:r>
              <w:rPr>
                <w:rFonts w:ascii="Figtree" w:hAnsi="Figtree"/>
                <w:b w:val="0"/>
                <w:i w:val="0"/>
                <w:sz w:val="20"/>
              </w:rPr>
              <w:t>Enterprise Support</w:t>
            </w:r>
          </w:p>
        </w:tc>
        <w:tc>
          <w:tcPr>
            <w:tcW w:type="dxa" w:w="1949"/>
            <w:vAlign w:val="center"/>
          </w:tcPr>
          <w:p>
            <w:pPr>
              <w:spacing w:line="276" w:lineRule="auto" w:before="0" w:after="0"/>
            </w:pPr>
            <w:r/>
            <w:r>
              <w:rPr>
                <w:rFonts w:ascii="Figtree" w:hAnsi="Figtree"/>
                <w:b w:val="0"/>
                <w:i w:val="0"/>
                <w:sz w:val="20"/>
              </w:rPr>
              <w:t>EUR 120,000</w:t>
            </w:r>
          </w:p>
        </w:tc>
        <w:tc>
          <w:tcPr>
            <w:tcW w:type="dxa" w:w="1949"/>
            <w:vAlign w:val="center"/>
          </w:tcPr>
          <w:p>
            <w:pPr>
              <w:spacing w:line="276" w:lineRule="auto" w:before="0" w:after="0"/>
            </w:pPr>
            <w:r/>
            <w:r>
              <w:rPr>
                <w:rFonts w:ascii="Figtree" w:hAnsi="Figtree"/>
                <w:b w:val="0"/>
                <w:i w:val="0"/>
                <w:sz w:val="20"/>
              </w:rPr>
              <w:t>EUR 120,000</w:t>
            </w:r>
          </w:p>
        </w:tc>
        <w:tc>
          <w:tcPr>
            <w:tcW w:type="dxa" w:w="1949"/>
            <w:vAlign w:val="center"/>
          </w:tcPr>
          <w:p>
            <w:pPr>
              <w:spacing w:line="276" w:lineRule="auto" w:before="0" w:after="0"/>
            </w:pPr>
            <w:r/>
            <w:r>
              <w:rPr>
                <w:rFonts w:ascii="Figtree" w:hAnsi="Figtree"/>
                <w:b w:val="0"/>
                <w:i w:val="0"/>
                <w:sz w:val="20"/>
              </w:rPr>
              <w:t>EUR 120,000</w:t>
            </w:r>
          </w:p>
        </w:tc>
        <w:tc>
          <w:tcPr>
            <w:tcW w:type="dxa" w:w="1949"/>
            <w:vAlign w:val="center"/>
          </w:tcPr>
          <w:p>
            <w:pPr>
              <w:spacing w:line="276" w:lineRule="auto" w:before="0" w:after="0"/>
            </w:pPr>
            <w:r/>
            <w:r>
              <w:rPr>
                <w:rFonts w:ascii="Figtree" w:hAnsi="Figtree"/>
                <w:b w:val="0"/>
                <w:i w:val="0"/>
                <w:sz w:val="20"/>
              </w:rPr>
              <w:t>EUR 360,000</w:t>
            </w:r>
          </w:p>
        </w:tc>
      </w:tr>
      <w:tr>
        <w:trPr>
          <w:trHeight w:val="425" w:hRule="atLeast"/>
        </w:trPr>
        <w:tc>
          <w:tcPr>
            <w:tcW w:type="dxa" w:w="1949"/>
            <w:vAlign w:val="center"/>
          </w:tcPr>
          <w:p>
            <w:pPr>
              <w:spacing w:line="276" w:lineRule="auto" w:before="0" w:after="0"/>
            </w:pPr>
            <w:r/>
            <w:r>
              <w:rPr>
                <w:rFonts w:ascii="Figtree" w:hAnsi="Figtree"/>
                <w:b w:val="0"/>
                <w:i w:val="0"/>
                <w:sz w:val="20"/>
              </w:rPr>
              <w:t>Infrastructure (N26 Kubernetes, EU)</w:t>
            </w:r>
          </w:p>
        </w:tc>
        <w:tc>
          <w:tcPr>
            <w:tcW w:type="dxa" w:w="1949"/>
            <w:vAlign w:val="center"/>
          </w:tcPr>
          <w:p>
            <w:pPr>
              <w:spacing w:line="276" w:lineRule="auto" w:before="0" w:after="0"/>
            </w:pPr>
            <w:r/>
            <w:r>
              <w:rPr>
                <w:rFonts w:ascii="Figtree" w:hAnsi="Figtree"/>
                <w:b w:val="0"/>
                <w:i w:val="0"/>
                <w:sz w:val="20"/>
              </w:rPr>
              <w:t>EUR 40,000</w:t>
            </w:r>
          </w:p>
        </w:tc>
        <w:tc>
          <w:tcPr>
            <w:tcW w:type="dxa" w:w="1949"/>
            <w:vAlign w:val="center"/>
          </w:tcPr>
          <w:p>
            <w:pPr>
              <w:spacing w:line="276" w:lineRule="auto" w:before="0" w:after="0"/>
            </w:pPr>
            <w:r/>
            <w:r>
              <w:rPr>
                <w:rFonts w:ascii="Figtree" w:hAnsi="Figtree"/>
                <w:b w:val="0"/>
                <w:i w:val="0"/>
                <w:sz w:val="20"/>
              </w:rPr>
              <w:t>EUR 45,000</w:t>
            </w:r>
          </w:p>
        </w:tc>
        <w:tc>
          <w:tcPr>
            <w:tcW w:type="dxa" w:w="1949"/>
            <w:vAlign w:val="center"/>
          </w:tcPr>
          <w:p>
            <w:pPr>
              <w:spacing w:line="276" w:lineRule="auto" w:before="0" w:after="0"/>
            </w:pPr>
            <w:r/>
            <w:r>
              <w:rPr>
                <w:rFonts w:ascii="Figtree" w:hAnsi="Figtree"/>
                <w:b w:val="0"/>
                <w:i w:val="0"/>
                <w:sz w:val="20"/>
              </w:rPr>
              <w:t>EUR 50,000</w:t>
            </w:r>
          </w:p>
        </w:tc>
        <w:tc>
          <w:tcPr>
            <w:tcW w:type="dxa" w:w="1949"/>
            <w:vAlign w:val="center"/>
          </w:tcPr>
          <w:p>
            <w:pPr>
              <w:spacing w:line="276" w:lineRule="auto" w:before="0" w:after="0"/>
            </w:pPr>
            <w:r/>
            <w:r>
              <w:rPr>
                <w:rFonts w:ascii="Figtree" w:hAnsi="Figtree"/>
                <w:b w:val="0"/>
                <w:i w:val="0"/>
                <w:sz w:val="20"/>
              </w:rPr>
              <w:t>EUR 135,000</w:t>
            </w:r>
          </w:p>
        </w:tc>
      </w:tr>
      <w:tr>
        <w:trPr>
          <w:trHeight w:val="425" w:hRule="atLeast"/>
        </w:trPr>
        <w:tc>
          <w:tcPr>
            <w:tcW w:type="dxa" w:w="1949"/>
            <w:vAlign w:val="center"/>
          </w:tcPr>
          <w:p>
            <w:pPr>
              <w:spacing w:line="276" w:lineRule="auto" w:before="0" w:after="0"/>
            </w:pPr>
            <w:r/>
            <w:r>
              <w:rPr>
                <w:rFonts w:ascii="Figtree" w:hAnsi="Figtree"/>
                <w:b w:val="0"/>
                <w:i w:val="0"/>
                <w:sz w:val="20"/>
              </w:rPr>
              <w:t>DFNS Custody (consumer wallets)</w:t>
            </w:r>
          </w:p>
        </w:tc>
        <w:tc>
          <w:tcPr>
            <w:tcW w:type="dxa" w:w="1949"/>
            <w:vAlign w:val="center"/>
          </w:tcPr>
          <w:p>
            <w:pPr>
              <w:spacing w:line="276" w:lineRule="auto" w:before="0" w:after="0"/>
            </w:pPr>
            <w:r/>
            <w:r>
              <w:rPr>
                <w:rFonts w:ascii="Figtree" w:hAnsi="Figtree"/>
                <w:b w:val="0"/>
                <w:i w:val="0"/>
                <w:sz w:val="20"/>
              </w:rPr>
              <w:t>EUR 60,000</w:t>
            </w:r>
          </w:p>
        </w:tc>
        <w:tc>
          <w:tcPr>
            <w:tcW w:type="dxa" w:w="1949"/>
            <w:vAlign w:val="center"/>
          </w:tcPr>
          <w:p>
            <w:pPr>
              <w:spacing w:line="276" w:lineRule="auto" w:before="0" w:after="0"/>
            </w:pPr>
            <w:r/>
            <w:r>
              <w:rPr>
                <w:rFonts w:ascii="Figtree" w:hAnsi="Figtree"/>
                <w:b w:val="0"/>
                <w:i w:val="0"/>
                <w:sz w:val="20"/>
              </w:rPr>
              <w:t>EUR 65,000</w:t>
            </w:r>
          </w:p>
        </w:tc>
        <w:tc>
          <w:tcPr>
            <w:tcW w:type="dxa" w:w="1949"/>
            <w:vAlign w:val="center"/>
          </w:tcPr>
          <w:p>
            <w:pPr>
              <w:spacing w:line="276" w:lineRule="auto" w:before="0" w:after="0"/>
            </w:pPr>
            <w:r/>
            <w:r>
              <w:rPr>
                <w:rFonts w:ascii="Figtree" w:hAnsi="Figtree"/>
                <w:b w:val="0"/>
                <w:i w:val="0"/>
                <w:sz w:val="20"/>
              </w:rPr>
              <w:t>EUR 70,000</w:t>
            </w:r>
          </w:p>
        </w:tc>
        <w:tc>
          <w:tcPr>
            <w:tcW w:type="dxa" w:w="1949"/>
            <w:vAlign w:val="center"/>
          </w:tcPr>
          <w:p>
            <w:pPr>
              <w:spacing w:line="276" w:lineRule="auto" w:before="0" w:after="0"/>
            </w:pPr>
            <w:r/>
            <w:r>
              <w:rPr>
                <w:rFonts w:ascii="Figtree" w:hAnsi="Figtree"/>
                <w:b w:val="0"/>
                <w:i w:val="0"/>
                <w:sz w:val="20"/>
              </w:rPr>
              <w:t>EUR 195,000</w:t>
            </w:r>
          </w:p>
        </w:tc>
      </w:tr>
      <w:tr>
        <w:trPr>
          <w:trHeight w:val="425" w:hRule="atLeast"/>
        </w:trPr>
        <w:tc>
          <w:tcPr>
            <w:tcW w:type="dxa" w:w="1949"/>
            <w:vAlign w:val="center"/>
          </w:tcPr>
          <w:p>
            <w:pPr>
              <w:spacing w:line="276" w:lineRule="auto" w:before="0" w:after="0"/>
            </w:pPr>
            <w:r/>
            <w:r>
              <w:rPr>
                <w:rFonts w:ascii="Figtree" w:hAnsi="Figtree"/>
                <w:b/>
                <w:i w:val="0"/>
                <w:sz w:val="20"/>
              </w:rPr>
              <w:t>Total</w:t>
            </w:r>
          </w:p>
        </w:tc>
        <w:tc>
          <w:tcPr>
            <w:tcW w:type="dxa" w:w="1949"/>
            <w:vAlign w:val="center"/>
          </w:tcPr>
          <w:p>
            <w:pPr>
              <w:spacing w:line="276" w:lineRule="auto" w:before="0" w:after="0"/>
            </w:pPr>
            <w:r/>
            <w:r>
              <w:rPr>
                <w:rFonts w:ascii="Figtree" w:hAnsi="Figtree"/>
                <w:b/>
                <w:i w:val="0"/>
                <w:sz w:val="20"/>
              </w:rPr>
              <w:t>EUR 870,000</w:t>
            </w:r>
          </w:p>
        </w:tc>
        <w:tc>
          <w:tcPr>
            <w:tcW w:type="dxa" w:w="1949"/>
            <w:vAlign w:val="center"/>
          </w:tcPr>
          <w:p>
            <w:pPr>
              <w:spacing w:line="276" w:lineRule="auto" w:before="0" w:after="0"/>
            </w:pPr>
            <w:r/>
            <w:r>
              <w:rPr>
                <w:rFonts w:ascii="Figtree" w:hAnsi="Figtree"/>
                <w:b/>
                <w:i w:val="0"/>
                <w:sz w:val="20"/>
              </w:rPr>
              <w:t>EUR 510,000</w:t>
            </w:r>
          </w:p>
        </w:tc>
        <w:tc>
          <w:tcPr>
            <w:tcW w:type="dxa" w:w="1949"/>
            <w:vAlign w:val="center"/>
          </w:tcPr>
          <w:p>
            <w:pPr>
              <w:spacing w:line="276" w:lineRule="auto" w:before="0" w:after="0"/>
            </w:pPr>
            <w:r/>
            <w:r>
              <w:rPr>
                <w:rFonts w:ascii="Figtree" w:hAnsi="Figtree"/>
                <w:b/>
                <w:i w:val="0"/>
                <w:sz w:val="20"/>
              </w:rPr>
              <w:t>EUR 548,000</w:t>
            </w:r>
          </w:p>
        </w:tc>
        <w:tc>
          <w:tcPr>
            <w:tcW w:type="dxa" w:w="1949"/>
            <w:vAlign w:val="center"/>
          </w:tcPr>
          <w:p>
            <w:pPr>
              <w:spacing w:line="276" w:lineRule="auto" w:before="0" w:after="0"/>
            </w:pPr>
            <w:r/>
            <w:r>
              <w:rPr>
                <w:rFonts w:ascii="Figtree" w:hAnsi="Figtree"/>
                <w:b/>
                <w:i w:val="0"/>
                <w:sz w:val="20"/>
              </w:rPr>
              <w:t>EUR 1,928,000</w:t>
            </w:r>
          </w:p>
        </w:tc>
      </w:tr>
    </w:tbl>
    <w:p>
      <w:pPr>
        <w:spacing w:before="0" w:after="0" w:line="120" w:lineRule="exact"/>
      </w:pPr>
    </w:p>
    <w:p>
      <w:r>
        <w:br w:type="page"/>
      </w:r>
    </w:p>
    <w:p>
      <w:pPr>
        <w:pStyle w:val="H2"/>
        <w:numPr>
          <w:ilvl w:val="1"/>
          <w:numId w:val="1"/>
        </w:numPr>
      </w:pPr>
      <w:r>
        <w:t>Investment Rationale</w:t>
      </w:r>
    </w:p>
    <w:p>
      <w:pPr>
        <w:pStyle w:val="H3"/>
        <w:numPr>
          <w:ilvl w:val="2"/>
          <w:numId w:val="1"/>
        </w:numPr>
      </w:pPr>
      <w:r>
        <w:t>The Competitive Case</w:t>
      </w:r>
    </w:p>
    <w:p>
      <w:r>
        <w:rPr>
          <w:rFonts w:ascii="Figtree" w:hAnsi="Figtree"/>
          <w:b w:val="0"/>
          <w:i w:val="0"/>
          <w:sz w:val="22"/>
        </w:rPr>
        <w:t>N26's consumer digital asset opportunity is concrete. Competitors including Revolut (available in N26's markets), Bitpanda (available in Austria and Germany), and dedicated crypto exchanges offer digital asset features embedded in financial applications. N26's differentiation in consumer banking rests on product simplicity and regulatory trust; extending this to digital asset savings products creates a defensible market position before competitors further entrench.</w:t>
      </w:r>
    </w:p>
    <w:p>
      <w:r>
        <w:rPr>
          <w:rFonts w:ascii="Figtree" w:hAnsi="Figtree"/>
          <w:b w:val="0"/>
          <w:i w:val="0"/>
          <w:sz w:val="22"/>
        </w:rPr>
        <w:t>The regulatory environment is improving for German banks. BaFin's digital asset service provider framework under MiCA creates a clear authorization path. N26's existing banking license and BaFin regulatory relationship provide a starting advantage over pure-play crypto exchanges that must build banking-grade customer trust from scratch.</w:t>
      </w:r>
    </w:p>
    <w:p>
      <w:pPr>
        <w:pStyle w:val="H3"/>
        <w:numPr>
          <w:ilvl w:val="2"/>
          <w:numId w:val="1"/>
        </w:numPr>
      </w:pPr>
      <w:r>
        <w:t>Revenue Creation</w:t>
      </w:r>
    </w:p>
    <w:p>
      <w:r>
        <w:rPr>
          <w:rFonts w:ascii="Figtree" w:hAnsi="Figtree"/>
          <w:b w:val="0"/>
          <w:i w:val="0"/>
          <w:sz w:val="22"/>
        </w:rPr>
        <w:t>Savings product management: N26 earns management fees on tokenized savings note AUM. For EUR 200 million in tokenized savings AUM at 50 basis points management fee, annual revenue is EUR 1 million. At EUR 500 million AUM, annual revenue is EUR 2.5 million. At N26's 8 million customer base, even 5 percent adoption at EUR 500 average position creates EUR 200 million AUM within 12 to 18 months of launch.</w:t>
      </w:r>
    </w:p>
    <w:p>
      <w:r>
        <w:rPr>
          <w:rFonts w:ascii="Figtree" w:hAnsi="Figtree"/>
          <w:b w:val="0"/>
          <w:i w:val="0"/>
          <w:sz w:val="22"/>
        </w:rPr>
        <w:t>Yield spread: N26 sources savings note yields from institutional-grade backing assets. The spread between backing asset yield and customer-facing yield creates revenue. In a EUR 4.5% rate environment, a 1% yield spread on EUR 200 million AUM generates EUR 2 million annually.</w:t>
      </w:r>
    </w:p>
    <w:p>
      <w:r>
        <w:rPr>
          <w:rFonts w:ascii="Figtree" w:hAnsi="Figtree"/>
          <w:b w:val="0"/>
          <w:i w:val="0"/>
          <w:sz w:val="22"/>
        </w:rPr>
        <w:t>Adjacent product revenue: Phase 2 stablecoin payment features and Phase 3 crypto asset services generate additional fee revenue on customer activity.</w:t>
      </w:r>
    </w:p>
    <w:p>
      <w:pPr>
        <w:pStyle w:val="H3"/>
        <w:numPr>
          <w:ilvl w:val="2"/>
          <w:numId w:val="1"/>
        </w:numPr>
      </w:pPr>
      <w:r>
        <w:t>Build vs. Buy Analysis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265"/>
        <w:gridCol w:w="3386"/>
        <w:gridCol w:w="2419"/>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Factor</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Custom Build</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DALP</w:t>
            </w:r>
          </w:p>
        </w:tc>
      </w:tr>
      <w:tr>
        <w:trPr>
          <w:trHeight w:val="425" w:hRule="atLeast"/>
        </w:trPr>
        <w:tc>
          <w:tcPr>
            <w:tcW w:type="dxa" w:w="3249"/>
            <w:vAlign w:val="center"/>
          </w:tcPr>
          <w:p>
            <w:pPr>
              <w:spacing w:line="276" w:lineRule="auto" w:before="0" w:after="0"/>
            </w:pPr>
            <w:r/>
            <w:r>
              <w:rPr>
                <w:rFonts w:ascii="Figtree" w:hAnsi="Figtree"/>
                <w:b w:val="0"/>
                <w:i w:val="0"/>
                <w:sz w:val="20"/>
              </w:rPr>
              <w:t>Time to production</w:t>
            </w:r>
          </w:p>
        </w:tc>
        <w:tc>
          <w:tcPr>
            <w:tcW w:type="dxa" w:w="3249"/>
            <w:vAlign w:val="center"/>
          </w:tcPr>
          <w:p>
            <w:pPr>
              <w:spacing w:line="276" w:lineRule="auto" w:before="0" w:after="0"/>
            </w:pPr>
            <w:r/>
            <w:r>
              <w:rPr>
                <w:rFonts w:ascii="Figtree" w:hAnsi="Figtree"/>
                <w:b w:val="0"/>
                <w:i w:val="0"/>
                <w:sz w:val="20"/>
              </w:rPr>
              <w:t>18-24 months</w:t>
            </w:r>
          </w:p>
        </w:tc>
        <w:tc>
          <w:tcPr>
            <w:tcW w:type="dxa" w:w="3249"/>
            <w:vAlign w:val="center"/>
          </w:tcPr>
          <w:p>
            <w:pPr>
              <w:spacing w:line="276" w:lineRule="auto" w:before="0" w:after="0"/>
            </w:pPr>
            <w:r/>
            <w:r>
              <w:rPr>
                <w:rFonts w:ascii="Figtree" w:hAnsi="Figtree"/>
                <w:b w:val="0"/>
                <w:i w:val="0"/>
                <w:sz w:val="20"/>
              </w:rPr>
              <w:t>14-18 weeks</w:t>
            </w:r>
          </w:p>
        </w:tc>
      </w:tr>
      <w:tr>
        <w:trPr>
          <w:trHeight w:val="425" w:hRule="atLeast"/>
        </w:trPr>
        <w:tc>
          <w:tcPr>
            <w:tcW w:type="dxa" w:w="3249"/>
            <w:vAlign w:val="center"/>
          </w:tcPr>
          <w:p>
            <w:pPr>
              <w:spacing w:line="276" w:lineRule="auto" w:before="0" w:after="0"/>
            </w:pPr>
            <w:r/>
            <w:r>
              <w:rPr>
                <w:rFonts w:ascii="Figtree" w:hAnsi="Figtree"/>
                <w:b w:val="0"/>
                <w:i w:val="0"/>
                <w:sz w:val="20"/>
              </w:rPr>
              <w:t>Initial development cost</w:t>
            </w:r>
          </w:p>
        </w:tc>
        <w:tc>
          <w:tcPr>
            <w:tcW w:type="dxa" w:w="3249"/>
            <w:vAlign w:val="center"/>
          </w:tcPr>
          <w:p>
            <w:pPr>
              <w:spacing w:line="276" w:lineRule="auto" w:before="0" w:after="0"/>
            </w:pPr>
            <w:r/>
            <w:r>
              <w:rPr>
                <w:rFonts w:ascii="Figtree" w:hAnsi="Figtree"/>
                <w:b w:val="0"/>
                <w:i w:val="0"/>
                <w:sz w:val="20"/>
              </w:rPr>
              <w:t>EUR 3-7 million</w:t>
            </w:r>
          </w:p>
        </w:tc>
        <w:tc>
          <w:tcPr>
            <w:tcW w:type="dxa" w:w="3249"/>
            <w:vAlign w:val="center"/>
          </w:tcPr>
          <w:p>
            <w:pPr>
              <w:spacing w:line="276" w:lineRule="auto" w:before="0" w:after="0"/>
            </w:pPr>
            <w:r/>
            <w:r>
              <w:rPr>
                <w:rFonts w:ascii="Figtree" w:hAnsi="Figtree"/>
                <w:b w:val="0"/>
                <w:i w:val="0"/>
                <w:sz w:val="20"/>
              </w:rPr>
              <w:t>EUR 370,000</w:t>
            </w:r>
          </w:p>
        </w:tc>
      </w:tr>
      <w:tr>
        <w:trPr>
          <w:trHeight w:val="425" w:hRule="atLeast"/>
        </w:trPr>
        <w:tc>
          <w:tcPr>
            <w:tcW w:type="dxa" w:w="3249"/>
            <w:vAlign w:val="center"/>
          </w:tcPr>
          <w:p>
            <w:pPr>
              <w:spacing w:line="276" w:lineRule="auto" w:before="0" w:after="0"/>
            </w:pPr>
            <w:r/>
            <w:r>
              <w:rPr>
                <w:rFonts w:ascii="Figtree" w:hAnsi="Figtree"/>
                <w:b w:val="0"/>
                <w:i w:val="0"/>
                <w:sz w:val="20"/>
              </w:rPr>
              <w:t>Ongoing maintenance</w:t>
            </w:r>
          </w:p>
        </w:tc>
        <w:tc>
          <w:tcPr>
            <w:tcW w:type="dxa" w:w="3249"/>
            <w:vAlign w:val="center"/>
          </w:tcPr>
          <w:p>
            <w:pPr>
              <w:spacing w:line="276" w:lineRule="auto" w:before="0" w:after="0"/>
            </w:pPr>
            <w:r/>
            <w:r>
              <w:rPr>
                <w:rFonts w:ascii="Figtree" w:hAnsi="Figtree"/>
                <w:b w:val="0"/>
                <w:i w:val="0"/>
                <w:sz w:val="20"/>
              </w:rPr>
              <w:t>EUR 1-2 million per year</w:t>
            </w:r>
          </w:p>
        </w:tc>
        <w:tc>
          <w:tcPr>
            <w:tcW w:type="dxa" w:w="3249"/>
            <w:vAlign w:val="center"/>
          </w:tcPr>
          <w:p>
            <w:pPr>
              <w:spacing w:line="276" w:lineRule="auto" w:before="0" w:after="0"/>
            </w:pPr>
            <w:r/>
            <w:r>
              <w:rPr>
                <w:rFonts w:ascii="Figtree" w:hAnsi="Figtree"/>
                <w:b w:val="0"/>
                <w:i w:val="0"/>
                <w:sz w:val="20"/>
              </w:rPr>
              <w:t>EUR 280,000 per year</w:t>
            </w:r>
          </w:p>
        </w:tc>
      </w:tr>
      <w:tr>
        <w:trPr>
          <w:trHeight w:val="425" w:hRule="atLeast"/>
        </w:trPr>
        <w:tc>
          <w:tcPr>
            <w:tcW w:type="dxa" w:w="3249"/>
            <w:vAlign w:val="center"/>
          </w:tcPr>
          <w:p>
            <w:pPr>
              <w:spacing w:line="276" w:lineRule="auto" w:before="0" w:after="0"/>
            </w:pPr>
            <w:r/>
            <w:r>
              <w:rPr>
                <w:rFonts w:ascii="Figtree" w:hAnsi="Figtree"/>
                <w:b w:val="0"/>
                <w:i w:val="0"/>
                <w:sz w:val="20"/>
              </w:rPr>
              <w:t>DFNS passkey integration</w:t>
            </w:r>
          </w:p>
        </w:tc>
        <w:tc>
          <w:tcPr>
            <w:tcW w:type="dxa" w:w="3249"/>
            <w:vAlign w:val="center"/>
          </w:tcPr>
          <w:p>
            <w:pPr>
              <w:spacing w:line="276" w:lineRule="auto" w:before="0" w:after="0"/>
            </w:pPr>
            <w:r/>
            <w:r>
              <w:rPr>
                <w:rFonts w:ascii="Figtree" w:hAnsi="Figtree"/>
                <w:b w:val="0"/>
                <w:i w:val="0"/>
                <w:sz w:val="20"/>
              </w:rPr>
              <w:t>Custom development</w:t>
            </w:r>
          </w:p>
        </w:tc>
        <w:tc>
          <w:tcPr>
            <w:tcW w:type="dxa" w:w="3249"/>
            <w:vAlign w:val="center"/>
          </w:tcPr>
          <w:p>
            <w:pPr>
              <w:spacing w:line="276" w:lineRule="auto" w:before="0" w:after="0"/>
            </w:pPr>
            <w:r/>
            <w:r>
              <w:rPr>
                <w:rFonts w:ascii="Figtree" w:hAnsi="Figtree"/>
                <w:b w:val="0"/>
                <w:i w:val="0"/>
                <w:sz w:val="20"/>
              </w:rPr>
              <w:t>Included in platform</w:t>
            </w:r>
          </w:p>
        </w:tc>
      </w:tr>
      <w:tr>
        <w:trPr>
          <w:trHeight w:val="425" w:hRule="atLeast"/>
        </w:trPr>
        <w:tc>
          <w:tcPr>
            <w:tcW w:type="dxa" w:w="3249"/>
            <w:vAlign w:val="center"/>
          </w:tcPr>
          <w:p>
            <w:pPr>
              <w:spacing w:line="276" w:lineRule="auto" w:before="0" w:after="0"/>
            </w:pPr>
            <w:r/>
            <w:r>
              <w:rPr>
                <w:rFonts w:ascii="Figtree" w:hAnsi="Figtree"/>
                <w:b w:val="0"/>
                <w:i w:val="0"/>
                <w:sz w:val="20"/>
              </w:rPr>
              <w:t>Consumer compliance modules</w:t>
            </w:r>
          </w:p>
        </w:tc>
        <w:tc>
          <w:tcPr>
            <w:tcW w:type="dxa" w:w="3249"/>
            <w:vAlign w:val="center"/>
          </w:tcPr>
          <w:p>
            <w:pPr>
              <w:spacing w:line="276" w:lineRule="auto" w:before="0" w:after="0"/>
            </w:pPr>
            <w:r/>
            <w:r>
              <w:rPr>
                <w:rFonts w:ascii="Figtree" w:hAnsi="Figtree"/>
                <w:b w:val="0"/>
                <w:i w:val="0"/>
                <w:sz w:val="20"/>
              </w:rPr>
              <w:t>Custom per regulatory change</w:t>
            </w:r>
          </w:p>
        </w:tc>
        <w:tc>
          <w:tcPr>
            <w:tcW w:type="dxa" w:w="3249"/>
            <w:vAlign w:val="center"/>
          </w:tcPr>
          <w:p>
            <w:pPr>
              <w:spacing w:line="276" w:lineRule="auto" w:before="0" w:after="0"/>
            </w:pPr>
            <w:r/>
            <w:r>
              <w:rPr>
                <w:rFonts w:ascii="Figtree" w:hAnsi="Figtree"/>
                <w:b w:val="0"/>
                <w:i w:val="0"/>
                <w:sz w:val="20"/>
              </w:rPr>
              <w:t>Included in license</w:t>
            </w:r>
          </w:p>
        </w:tc>
      </w:tr>
      <w:tr>
        <w:trPr>
          <w:trHeight w:val="425" w:hRule="atLeast"/>
        </w:trPr>
        <w:tc>
          <w:tcPr>
            <w:tcW w:type="dxa" w:w="3249"/>
            <w:vAlign w:val="center"/>
          </w:tcPr>
          <w:p>
            <w:pPr>
              <w:spacing w:line="276" w:lineRule="auto" w:before="0" w:after="0"/>
            </w:pPr>
            <w:r/>
            <w:r>
              <w:rPr>
                <w:rFonts w:ascii="Figtree" w:hAnsi="Figtree"/>
                <w:b w:val="0"/>
                <w:i w:val="0"/>
                <w:sz w:val="20"/>
              </w:rPr>
              <w:t>BaFin audit trail</w:t>
            </w:r>
          </w:p>
        </w:tc>
        <w:tc>
          <w:tcPr>
            <w:tcW w:type="dxa" w:w="3249"/>
            <w:vAlign w:val="center"/>
          </w:tcPr>
          <w:p>
            <w:pPr>
              <w:spacing w:line="276" w:lineRule="auto" w:before="0" w:after="0"/>
            </w:pPr>
            <w:r/>
            <w:r>
              <w:rPr>
                <w:rFonts w:ascii="Figtree" w:hAnsi="Figtree"/>
                <w:b w:val="0"/>
                <w:i w:val="0"/>
                <w:sz w:val="20"/>
              </w:rPr>
              <w:t>Custom development</w:t>
            </w:r>
          </w:p>
        </w:tc>
        <w:tc>
          <w:tcPr>
            <w:tcW w:type="dxa" w:w="3249"/>
            <w:vAlign w:val="center"/>
          </w:tcPr>
          <w:p>
            <w:pPr>
              <w:spacing w:line="276" w:lineRule="auto" w:before="0" w:after="0"/>
            </w:pPr>
            <w:r/>
            <w:r>
              <w:rPr>
                <w:rFonts w:ascii="Figtree" w:hAnsi="Figtree"/>
                <w:b w:val="0"/>
                <w:i w:val="0"/>
                <w:sz w:val="20"/>
              </w:rPr>
              <w:t>Included in platform</w:t>
            </w:r>
          </w:p>
        </w:tc>
      </w:tr>
    </w:tbl>
    <w:p>
      <w:pPr>
        <w:spacing w:before="0" w:after="0" w:line="120" w:lineRule="exact"/>
      </w:pPr>
    </w:p>
    <w:p>
      <w:r>
        <w:rPr>
          <w:rFonts w:ascii="Figtree" w:hAnsi="Figtree"/>
          <w:b w:val="0"/>
          <w:i w:val="0"/>
          <w:sz w:val="22"/>
        </w:rPr>
        <w:t>N26's engineering culture values lean development and fast shipping. Custom blockchain development requires specialized expertise outside N26's core mobile banking skill set, creating a permanent dependency on blockchain engineering headcount that DALP's platform model eliminates.</w:t>
      </w:r>
    </w:p>
    <w:p>
      <w:r>
        <w:br w:type="page"/>
      </w:r>
    </w:p>
    <w:p>
      <w:pPr>
        <w:pStyle w:val="H2"/>
        <w:numPr>
          <w:ilvl w:val="1"/>
          <w:numId w:val="1"/>
        </w:numPr>
      </w:pPr>
      <w:r>
        <w:t>Licensing Model</w:t>
      </w:r>
    </w:p>
    <w:p>
      <w:pPr>
        <w:pStyle w:val="H3"/>
        <w:numPr>
          <w:ilvl w:val="2"/>
          <w:numId w:val="1"/>
        </w:numPr>
      </w:pPr>
      <w:r>
        <w:t>Philosophy</w:t>
      </w:r>
    </w:p>
    <w:p>
      <w:r>
        <w:rPr>
          <w:rFonts w:ascii="Figtree" w:hAnsi="Figtree"/>
          <w:b w:val="0"/>
          <w:i w:val="0"/>
          <w:sz w:val="22"/>
        </w:rPr>
        <w:t>DALP is licensed as a platform covering the full capability set: bond and deposit templates, 18 compliance module types, DFNS passkey wallet management, yield automation, DvP settlement, REST API, TypeScript SDK, CLI, and observability stack. No hidden dependencies on SettleMint professional services for consumer savings product operations.</w:t>
      </w:r>
    </w:p>
    <w:p>
      <w:r>
        <w:rPr>
          <w:rFonts w:ascii="Figtree" w:hAnsi="Figtree"/>
          <w:b w:val="0"/>
          <w:i w:val="0"/>
          <w:sz w:val="22"/>
        </w:rPr>
        <w:t>The licensing model stays predictable as N26's programme scales. Adding GBP or SEK savings products, expanding markets, or growing customer AUM within the licensed tier does not trigger incremental fees.</w:t>
      </w:r>
    </w:p>
    <w:p>
      <w:pPr>
        <w:pStyle w:val="H3"/>
        <w:numPr>
          <w:ilvl w:val="2"/>
          <w:numId w:val="1"/>
        </w:numPr>
      </w:pPr>
      <w:r>
        <w:t>Platform Tiers and Annual License Fees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426"/>
        <w:gridCol w:w="1996"/>
        <w:gridCol w:w="5648"/>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Tier</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Annual License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Target Use Case</w:t>
            </w:r>
          </w:p>
        </w:tc>
      </w:tr>
      <w:tr>
        <w:trPr>
          <w:trHeight w:val="425" w:hRule="atLeast"/>
        </w:trPr>
        <w:tc>
          <w:tcPr>
            <w:tcW w:type="dxa" w:w="3249"/>
            <w:vAlign w:val="center"/>
          </w:tcPr>
          <w:p>
            <w:pPr>
              <w:spacing w:line="276" w:lineRule="auto" w:before="0" w:after="0"/>
            </w:pPr>
            <w:r/>
            <w:r>
              <w:rPr>
                <w:rFonts w:ascii="Figtree" w:hAnsi="Figtree"/>
                <w:b w:val="0"/>
                <w:i w:val="0"/>
                <w:sz w:val="20"/>
              </w:rPr>
              <w:t>Foundation</w:t>
            </w:r>
          </w:p>
        </w:tc>
        <w:tc>
          <w:tcPr>
            <w:tcW w:type="dxa" w:w="3249"/>
            <w:vAlign w:val="center"/>
          </w:tcPr>
          <w:p>
            <w:pPr>
              <w:spacing w:line="276" w:lineRule="auto" w:before="0" w:after="0"/>
            </w:pPr>
            <w:r/>
            <w:r>
              <w:rPr>
                <w:rFonts w:ascii="Figtree" w:hAnsi="Figtree"/>
                <w:b w:val="0"/>
                <w:i w:val="0"/>
                <w:sz w:val="20"/>
              </w:rPr>
              <w:t>EUR 80,000</w:t>
            </w:r>
          </w:p>
        </w:tc>
        <w:tc>
          <w:tcPr>
            <w:tcW w:type="dxa" w:w="3249"/>
            <w:vAlign w:val="center"/>
          </w:tcPr>
          <w:p>
            <w:pPr>
              <w:spacing w:line="276" w:lineRule="auto" w:before="0" w:after="0"/>
            </w:pPr>
            <w:r/>
            <w:r>
              <w:rPr>
                <w:rFonts w:ascii="Figtree" w:hAnsi="Figtree"/>
                <w:b w:val="0"/>
                <w:i w:val="0"/>
                <w:sz w:val="20"/>
              </w:rPr>
              <w:t>Development, staging, non-critical</w:t>
            </w:r>
          </w:p>
        </w:tc>
      </w:tr>
      <w:tr>
        <w:trPr>
          <w:trHeight w:val="425" w:hRule="atLeast"/>
        </w:trPr>
        <w:tc>
          <w:tcPr>
            <w:tcW w:type="dxa" w:w="3249"/>
            <w:vAlign w:val="center"/>
          </w:tcPr>
          <w:p>
            <w:pPr>
              <w:spacing w:line="276" w:lineRule="auto" w:before="0" w:after="0"/>
            </w:pPr>
            <w:r/>
            <w:r>
              <w:rPr>
                <w:rFonts w:ascii="Figtree" w:hAnsi="Figtree"/>
                <w:b w:val="0"/>
                <w:i w:val="0"/>
                <w:sz w:val="20"/>
              </w:rPr>
              <w:t>Enterprise</w:t>
            </w:r>
          </w:p>
        </w:tc>
        <w:tc>
          <w:tcPr>
            <w:tcW w:type="dxa" w:w="3249"/>
            <w:vAlign w:val="center"/>
          </w:tcPr>
          <w:p>
            <w:pPr>
              <w:spacing w:line="276" w:lineRule="auto" w:before="0" w:after="0"/>
            </w:pPr>
            <w:r/>
            <w:r>
              <w:rPr>
                <w:rFonts w:ascii="Figtree" w:hAnsi="Figtree"/>
                <w:b w:val="0"/>
                <w:i w:val="0"/>
                <w:sz w:val="20"/>
              </w:rPr>
              <w:t>EUR 280,000</w:t>
            </w:r>
          </w:p>
        </w:tc>
        <w:tc>
          <w:tcPr>
            <w:tcW w:type="dxa" w:w="3249"/>
            <w:vAlign w:val="center"/>
          </w:tcPr>
          <w:p>
            <w:pPr>
              <w:spacing w:line="276" w:lineRule="auto" w:before="0" w:after="0"/>
            </w:pPr>
            <w:r/>
            <w:r>
              <w:rPr>
                <w:rFonts w:ascii="Figtree" w:hAnsi="Figtree"/>
                <w:b w:val="0"/>
                <w:i w:val="0"/>
                <w:sz w:val="20"/>
              </w:rPr>
              <w:t>Production consumer digital asset services</w:t>
            </w:r>
          </w:p>
        </w:tc>
      </w:tr>
      <w:tr>
        <w:trPr>
          <w:trHeight w:val="425" w:hRule="atLeast"/>
        </w:trPr>
        <w:tc>
          <w:tcPr>
            <w:tcW w:type="dxa" w:w="3249"/>
            <w:vAlign w:val="center"/>
          </w:tcPr>
          <w:p>
            <w:pPr>
              <w:spacing w:line="276" w:lineRule="auto" w:before="0" w:after="0"/>
            </w:pPr>
            <w:r/>
            <w:r>
              <w:rPr>
                <w:rFonts w:ascii="Figtree" w:hAnsi="Figtree"/>
                <w:b w:val="0"/>
                <w:i w:val="0"/>
                <w:sz w:val="20"/>
              </w:rPr>
              <w:t>Sovereign</w:t>
            </w:r>
          </w:p>
        </w:tc>
        <w:tc>
          <w:tcPr>
            <w:tcW w:type="dxa" w:w="3249"/>
            <w:vAlign w:val="center"/>
          </w:tcPr>
          <w:p>
            <w:pPr>
              <w:spacing w:line="276" w:lineRule="auto" w:before="0" w:after="0"/>
            </w:pPr>
            <w:r/>
            <w:r>
              <w:rPr>
                <w:rFonts w:ascii="Figtree" w:hAnsi="Figtree"/>
                <w:b w:val="0"/>
                <w:i w:val="0"/>
                <w:sz w:val="20"/>
              </w:rPr>
              <w:t>EUR 480,000</w:t>
            </w:r>
          </w:p>
        </w:tc>
        <w:tc>
          <w:tcPr>
            <w:tcW w:type="dxa" w:w="3249"/>
            <w:vAlign w:val="center"/>
          </w:tcPr>
          <w:p>
            <w:pPr>
              <w:spacing w:line="276" w:lineRule="auto" w:before="0" w:after="0"/>
            </w:pPr>
            <w:r/>
            <w:r>
              <w:rPr>
                <w:rFonts w:ascii="Figtree" w:hAnsi="Figtree"/>
                <w:b w:val="0"/>
                <w:i w:val="0"/>
                <w:sz w:val="20"/>
              </w:rPr>
              <w:t>Maximum-security, sovereign-scale</w:t>
            </w:r>
          </w:p>
        </w:tc>
      </w:tr>
    </w:tbl>
    <w:p>
      <w:pPr>
        <w:spacing w:before="0" w:after="0" w:line="120" w:lineRule="exact"/>
      </w:pPr>
    </w:p>
    <w:p>
      <w:r>
        <w:rPr>
          <w:rFonts w:ascii="Figtree" w:hAnsi="Figtree"/>
          <w:b w:val="0"/>
          <w:i w:val="0"/>
          <w:sz w:val="22"/>
        </w:rPr>
        <w:t>Enterprise tier recommended for N26's production digital asset services.</w:t>
      </w:r>
    </w:p>
    <w:p>
      <w:r>
        <w:rPr>
          <w:rFonts w:ascii="Figtree" w:hAnsi="Figtree"/>
          <w:b w:val="0"/>
          <w:i w:val="0"/>
          <w:sz w:val="22"/>
        </w:rPr>
        <w:t>Multi-environment license:</w:t>
      </w:r>
    </w:p>
    <w:p>
      <w:pPr>
        <w:pStyle w:val="ListParagraph"/>
        <w:numPr>
          <w:ilvl w:val="0"/>
          <w:numId w:val="4"/>
        </w:numPr>
      </w:pPr>
      <w:r>
        <w:rPr>
          <w:rFonts w:ascii="Figtree" w:hAnsi="Figtree"/>
          <w:b w:val="0"/>
          <w:i w:val="0"/>
          <w:sz w:val="22"/>
        </w:rPr>
        <w:t>Production (Enterprise): EUR 280,000</w:t>
      </w:r>
    </w:p>
    <w:p>
      <w:pPr>
        <w:pStyle w:val="ListParagraph"/>
        <w:numPr>
          <w:ilvl w:val="0"/>
          <w:numId w:val="4"/>
        </w:numPr>
      </w:pPr>
      <w:r>
        <w:rPr>
          <w:rFonts w:ascii="Figtree" w:hAnsi="Figtree"/>
          <w:b w:val="0"/>
          <w:i w:val="0"/>
          <w:sz w:val="22"/>
        </w:rPr>
        <w:t>Staging (Foundation, 50% discount): EUR 40,000</w:t>
      </w:r>
    </w:p>
    <w:p>
      <w:pPr>
        <w:pStyle w:val="ListParagraph"/>
        <w:numPr>
          <w:ilvl w:val="0"/>
          <w:numId w:val="4"/>
        </w:numPr>
      </w:pPr>
      <w:r>
        <w:rPr>
          <w:rFonts w:ascii="Figtree" w:hAnsi="Figtree"/>
          <w:b w:val="0"/>
          <w:i w:val="0"/>
          <w:sz w:val="22"/>
        </w:rPr>
        <w:t>Development (Foundation, 75% discount): EUR 20,000</w:t>
      </w:r>
    </w:p>
    <w:p>
      <w:pPr>
        <w:pStyle w:val="ListParagraph"/>
        <w:numPr>
          <w:ilvl w:val="0"/>
          <w:numId w:val="4"/>
        </w:numPr>
      </w:pPr>
      <w:r>
        <w:rPr>
          <w:rFonts w:ascii="Figtree" w:hAnsi="Figtree"/>
          <w:b/>
          <w:i w:val="0"/>
          <w:sz w:val="22"/>
        </w:rPr>
        <w:t>Total multi-environment: EUR 340,000 per year</w:t>
      </w:r>
    </w:p>
    <w:p>
      <w:r>
        <w:br w:type="page"/>
      </w:r>
    </w:p>
    <w:p>
      <w:pPr>
        <w:pStyle w:val="H2"/>
        <w:numPr>
          <w:ilvl w:val="1"/>
          <w:numId w:val="1"/>
        </w:numPr>
      </w:pPr>
      <w:r>
        <w:t>Deployment Options and Pricing</w:t>
      </w:r>
    </w:p>
    <w:p>
      <w:pPr>
        <w:pStyle w:val="H3"/>
        <w:numPr>
          <w:ilvl w:val="2"/>
          <w:numId w:val="1"/>
        </w:numPr>
      </w:pPr>
      <w:r>
        <w:t>Recommended: N26's Kubernetes Cluster (EU Region)</w:t>
      </w:r>
    </w:p>
    <w:p>
      <w:r>
        <w:rPr>
          <w:rFonts w:ascii="Figtree" w:hAnsi="Figtree"/>
          <w:b w:val="0"/>
          <w:i w:val="0"/>
          <w:sz w:val="22"/>
        </w:rPr>
        <w:t>DALP deploys on N26's existing Kubernetes infrastructure in Frankfurt using Helm charts, compatible with N26's GitOps workflow.</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5016"/>
        <w:gridCol w:w="2027"/>
        <w:gridCol w:w="2027"/>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Component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Monthly Estimate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Annual</w:t>
            </w:r>
          </w:p>
        </w:tc>
      </w:tr>
      <w:tr>
        <w:trPr>
          <w:trHeight w:val="425" w:hRule="atLeast"/>
        </w:trPr>
        <w:tc>
          <w:tcPr>
            <w:tcW w:type="dxa" w:w="3249"/>
            <w:vAlign w:val="center"/>
          </w:tcPr>
          <w:p>
            <w:pPr>
              <w:spacing w:line="276" w:lineRule="auto" w:before="0" w:after="0"/>
            </w:pPr>
            <w:r/>
            <w:r>
              <w:rPr>
                <w:rFonts w:ascii="Figtree" w:hAnsi="Figtree"/>
                <w:b w:val="0"/>
                <w:i w:val="0"/>
                <w:sz w:val="20"/>
              </w:rPr>
              <w:t>Kubernetes namespace resources (shared cluster)</w:t>
            </w:r>
          </w:p>
        </w:tc>
        <w:tc>
          <w:tcPr>
            <w:tcW w:type="dxa" w:w="3249"/>
            <w:vAlign w:val="center"/>
          </w:tcPr>
          <w:p>
            <w:pPr>
              <w:spacing w:line="276" w:lineRule="auto" w:before="0" w:after="0"/>
            </w:pPr>
            <w:r/>
            <w:r>
              <w:rPr>
                <w:rFonts w:ascii="Figtree" w:hAnsi="Figtree"/>
                <w:b w:val="0"/>
                <w:i w:val="0"/>
                <w:sz w:val="20"/>
              </w:rPr>
              <w:t>EUR 800</w:t>
            </w:r>
          </w:p>
        </w:tc>
        <w:tc>
          <w:tcPr>
            <w:tcW w:type="dxa" w:w="3249"/>
            <w:vAlign w:val="center"/>
          </w:tcPr>
          <w:p>
            <w:pPr>
              <w:spacing w:line="276" w:lineRule="auto" w:before="0" w:after="0"/>
            </w:pPr>
            <w:r/>
            <w:r>
              <w:rPr>
                <w:rFonts w:ascii="Figtree" w:hAnsi="Figtree"/>
                <w:b w:val="0"/>
                <w:i w:val="0"/>
                <w:sz w:val="20"/>
              </w:rPr>
              <w:t>EUR 9,600</w:t>
            </w:r>
          </w:p>
        </w:tc>
      </w:tr>
      <w:tr>
        <w:trPr>
          <w:trHeight w:val="425" w:hRule="atLeast"/>
        </w:trPr>
        <w:tc>
          <w:tcPr>
            <w:tcW w:type="dxa" w:w="3249"/>
            <w:vAlign w:val="center"/>
          </w:tcPr>
          <w:p>
            <w:pPr>
              <w:spacing w:line="276" w:lineRule="auto" w:before="0" w:after="0"/>
            </w:pPr>
            <w:r/>
            <w:r>
              <w:rPr>
                <w:rFonts w:ascii="Figtree" w:hAnsi="Figtree"/>
                <w:b w:val="0"/>
                <w:i w:val="0"/>
                <w:sz w:val="20"/>
              </w:rPr>
              <w:t>PostgreSQL (dedicated RDS Multi-AZ)</w:t>
            </w:r>
          </w:p>
        </w:tc>
        <w:tc>
          <w:tcPr>
            <w:tcW w:type="dxa" w:w="3249"/>
            <w:vAlign w:val="center"/>
          </w:tcPr>
          <w:p>
            <w:pPr>
              <w:spacing w:line="276" w:lineRule="auto" w:before="0" w:after="0"/>
            </w:pPr>
            <w:r/>
            <w:r>
              <w:rPr>
                <w:rFonts w:ascii="Figtree" w:hAnsi="Figtree"/>
                <w:b w:val="0"/>
                <w:i w:val="0"/>
                <w:sz w:val="20"/>
              </w:rPr>
              <w:t>EUR 800</w:t>
            </w:r>
          </w:p>
        </w:tc>
        <w:tc>
          <w:tcPr>
            <w:tcW w:type="dxa" w:w="3249"/>
            <w:vAlign w:val="center"/>
          </w:tcPr>
          <w:p>
            <w:pPr>
              <w:spacing w:line="276" w:lineRule="auto" w:before="0" w:after="0"/>
            </w:pPr>
            <w:r/>
            <w:r>
              <w:rPr>
                <w:rFonts w:ascii="Figtree" w:hAnsi="Figtree"/>
                <w:b w:val="0"/>
                <w:i w:val="0"/>
                <w:sz w:val="20"/>
              </w:rPr>
              <w:t>EUR 9,600</w:t>
            </w:r>
          </w:p>
        </w:tc>
      </w:tr>
      <w:tr>
        <w:trPr>
          <w:trHeight w:val="425" w:hRule="atLeast"/>
        </w:trPr>
        <w:tc>
          <w:tcPr>
            <w:tcW w:type="dxa" w:w="3249"/>
            <w:vAlign w:val="center"/>
          </w:tcPr>
          <w:p>
            <w:pPr>
              <w:spacing w:line="276" w:lineRule="auto" w:before="0" w:after="0"/>
            </w:pPr>
            <w:r/>
            <w:r>
              <w:rPr>
                <w:rFonts w:ascii="Figtree" w:hAnsi="Figtree"/>
                <w:b w:val="0"/>
                <w:i w:val="0"/>
                <w:sz w:val="20"/>
              </w:rPr>
              <w:t>S3 object storage (3TB)</w:t>
            </w:r>
          </w:p>
        </w:tc>
        <w:tc>
          <w:tcPr>
            <w:tcW w:type="dxa" w:w="3249"/>
            <w:vAlign w:val="center"/>
          </w:tcPr>
          <w:p>
            <w:pPr>
              <w:spacing w:line="276" w:lineRule="auto" w:before="0" w:after="0"/>
            </w:pPr>
            <w:r/>
            <w:r>
              <w:rPr>
                <w:rFonts w:ascii="Figtree" w:hAnsi="Figtree"/>
                <w:b w:val="0"/>
                <w:i w:val="0"/>
                <w:sz w:val="20"/>
              </w:rPr>
              <w:t>EUR 80</w:t>
            </w:r>
          </w:p>
        </w:tc>
        <w:tc>
          <w:tcPr>
            <w:tcW w:type="dxa" w:w="3249"/>
            <w:vAlign w:val="center"/>
          </w:tcPr>
          <w:p>
            <w:pPr>
              <w:spacing w:line="276" w:lineRule="auto" w:before="0" w:after="0"/>
            </w:pPr>
            <w:r/>
            <w:r>
              <w:rPr>
                <w:rFonts w:ascii="Figtree" w:hAnsi="Figtree"/>
                <w:b w:val="0"/>
                <w:i w:val="0"/>
                <w:sz w:val="20"/>
              </w:rPr>
              <w:t>EUR 960</w:t>
            </w:r>
          </w:p>
        </w:tc>
      </w:tr>
      <w:tr>
        <w:trPr>
          <w:trHeight w:val="425" w:hRule="atLeast"/>
        </w:trPr>
        <w:tc>
          <w:tcPr>
            <w:tcW w:type="dxa" w:w="3249"/>
            <w:vAlign w:val="center"/>
          </w:tcPr>
          <w:p>
            <w:pPr>
              <w:spacing w:line="276" w:lineRule="auto" w:before="0" w:after="0"/>
            </w:pPr>
            <w:r/>
            <w:r>
              <w:rPr>
                <w:rFonts w:ascii="Figtree" w:hAnsi="Figtree"/>
                <w:b w:val="0"/>
                <w:i w:val="0"/>
                <w:sz w:val="20"/>
              </w:rPr>
              <w:t>AWS KMS (Frankfurt)</w:t>
            </w:r>
          </w:p>
        </w:tc>
        <w:tc>
          <w:tcPr>
            <w:tcW w:type="dxa" w:w="3249"/>
            <w:vAlign w:val="center"/>
          </w:tcPr>
          <w:p>
            <w:pPr>
              <w:spacing w:line="276" w:lineRule="auto" w:before="0" w:after="0"/>
            </w:pPr>
            <w:r/>
            <w:r>
              <w:rPr>
                <w:rFonts w:ascii="Figtree" w:hAnsi="Figtree"/>
                <w:b w:val="0"/>
                <w:i w:val="0"/>
                <w:sz w:val="20"/>
              </w:rPr>
              <w:t>EUR 200</w:t>
            </w:r>
          </w:p>
        </w:tc>
        <w:tc>
          <w:tcPr>
            <w:tcW w:type="dxa" w:w="3249"/>
            <w:vAlign w:val="center"/>
          </w:tcPr>
          <w:p>
            <w:pPr>
              <w:spacing w:line="276" w:lineRule="auto" w:before="0" w:after="0"/>
            </w:pPr>
            <w:r/>
            <w:r>
              <w:rPr>
                <w:rFonts w:ascii="Figtree" w:hAnsi="Figtree"/>
                <w:b w:val="0"/>
                <w:i w:val="0"/>
                <w:sz w:val="20"/>
              </w:rPr>
              <w:t>EUR 2,400</w:t>
            </w:r>
          </w:p>
        </w:tc>
      </w:tr>
      <w:tr>
        <w:trPr>
          <w:trHeight w:val="425" w:hRule="atLeast"/>
        </w:trPr>
        <w:tc>
          <w:tcPr>
            <w:tcW w:type="dxa" w:w="3249"/>
            <w:vAlign w:val="center"/>
          </w:tcPr>
          <w:p>
            <w:pPr>
              <w:spacing w:line="276" w:lineRule="auto" w:before="0" w:after="0"/>
            </w:pPr>
            <w:r/>
            <w:r>
              <w:rPr>
                <w:rFonts w:ascii="Figtree" w:hAnsi="Figtree"/>
                <w:b w:val="0"/>
                <w:i w:val="0"/>
                <w:sz w:val="20"/>
              </w:rPr>
              <w:t>Network and data transfer</w:t>
            </w:r>
          </w:p>
        </w:tc>
        <w:tc>
          <w:tcPr>
            <w:tcW w:type="dxa" w:w="3249"/>
            <w:vAlign w:val="center"/>
          </w:tcPr>
          <w:p>
            <w:pPr>
              <w:spacing w:line="276" w:lineRule="auto" w:before="0" w:after="0"/>
            </w:pPr>
            <w:r/>
            <w:r>
              <w:rPr>
                <w:rFonts w:ascii="Figtree" w:hAnsi="Figtree"/>
                <w:b w:val="0"/>
                <w:i w:val="0"/>
                <w:sz w:val="20"/>
              </w:rPr>
              <w:t>EUR 200</w:t>
            </w:r>
          </w:p>
        </w:tc>
        <w:tc>
          <w:tcPr>
            <w:tcW w:type="dxa" w:w="3249"/>
            <w:vAlign w:val="center"/>
          </w:tcPr>
          <w:p>
            <w:pPr>
              <w:spacing w:line="276" w:lineRule="auto" w:before="0" w:after="0"/>
            </w:pPr>
            <w:r/>
            <w:r>
              <w:rPr>
                <w:rFonts w:ascii="Figtree" w:hAnsi="Figtree"/>
                <w:b w:val="0"/>
                <w:i w:val="0"/>
                <w:sz w:val="20"/>
              </w:rPr>
              <w:t>EUR 2,400</w:t>
            </w:r>
          </w:p>
        </w:tc>
      </w:tr>
      <w:tr>
        <w:trPr>
          <w:trHeight w:val="425" w:hRule="atLeast"/>
        </w:trPr>
        <w:tc>
          <w:tcPr>
            <w:tcW w:type="dxa" w:w="3249"/>
            <w:vAlign w:val="center"/>
          </w:tcPr>
          <w:p>
            <w:pPr>
              <w:spacing w:line="276" w:lineRule="auto" w:before="0" w:after="0"/>
            </w:pPr>
            <w:r/>
            <w:r>
              <w:rPr>
                <w:rFonts w:ascii="Figtree" w:hAnsi="Figtree"/>
                <w:b w:val="0"/>
                <w:i w:val="0"/>
                <w:sz w:val="20"/>
              </w:rPr>
              <w:t>Besu validator nodes (3x t3.xlarge)</w:t>
            </w:r>
          </w:p>
        </w:tc>
        <w:tc>
          <w:tcPr>
            <w:tcW w:type="dxa" w:w="3249"/>
            <w:vAlign w:val="center"/>
          </w:tcPr>
          <w:p>
            <w:pPr>
              <w:spacing w:line="276" w:lineRule="auto" w:before="0" w:after="0"/>
            </w:pPr>
            <w:r/>
            <w:r>
              <w:rPr>
                <w:rFonts w:ascii="Figtree" w:hAnsi="Figtree"/>
                <w:b w:val="0"/>
                <w:i w:val="0"/>
                <w:sz w:val="20"/>
              </w:rPr>
              <w:t>EUR 350</w:t>
            </w:r>
          </w:p>
        </w:tc>
        <w:tc>
          <w:tcPr>
            <w:tcW w:type="dxa" w:w="3249"/>
            <w:vAlign w:val="center"/>
          </w:tcPr>
          <w:p>
            <w:pPr>
              <w:spacing w:line="276" w:lineRule="auto" w:before="0" w:after="0"/>
            </w:pPr>
            <w:r/>
            <w:r>
              <w:rPr>
                <w:rFonts w:ascii="Figtree" w:hAnsi="Figtree"/>
                <w:b w:val="0"/>
                <w:i w:val="0"/>
                <w:sz w:val="20"/>
              </w:rPr>
              <w:t>EUR 4,200</w:t>
            </w:r>
          </w:p>
        </w:tc>
      </w:tr>
      <w:tr>
        <w:trPr>
          <w:trHeight w:val="425" w:hRule="atLeast"/>
        </w:trPr>
        <w:tc>
          <w:tcPr>
            <w:tcW w:type="dxa" w:w="3249"/>
            <w:vAlign w:val="center"/>
          </w:tcPr>
          <w:p>
            <w:pPr>
              <w:spacing w:line="276" w:lineRule="auto" w:before="0" w:after="0"/>
            </w:pPr>
            <w:r/>
            <w:r>
              <w:rPr>
                <w:rFonts w:ascii="Figtree" w:hAnsi="Figtree"/>
                <w:b/>
                <w:i w:val="0"/>
                <w:sz w:val="20"/>
              </w:rPr>
              <w:t>Total infrastructure estimate</w:t>
            </w:r>
          </w:p>
        </w:tc>
        <w:tc>
          <w:tcPr>
            <w:tcW w:type="dxa" w:w="3249"/>
            <w:vAlign w:val="center"/>
          </w:tcPr>
          <w:p>
            <w:pPr>
              <w:spacing w:line="276" w:lineRule="auto" w:before="0" w:after="0"/>
            </w:pPr>
            <w:r/>
            <w:r>
              <w:rPr>
                <w:rFonts w:ascii="Figtree" w:hAnsi="Figtree"/>
                <w:b/>
                <w:i w:val="0"/>
                <w:sz w:val="20"/>
              </w:rPr>
              <w:t>EUR 2,430/month</w:t>
            </w:r>
          </w:p>
        </w:tc>
        <w:tc>
          <w:tcPr>
            <w:tcW w:type="dxa" w:w="3249"/>
            <w:vAlign w:val="center"/>
          </w:tcPr>
          <w:p>
            <w:pPr>
              <w:spacing w:line="276" w:lineRule="auto" w:before="0" w:after="0"/>
            </w:pPr>
            <w:r/>
            <w:r>
              <w:rPr>
                <w:rFonts w:ascii="Figtree" w:hAnsi="Figtree"/>
                <w:b/>
                <w:i w:val="0"/>
                <w:sz w:val="20"/>
              </w:rPr>
              <w:t>EUR 29,160/year</w:t>
            </w:r>
          </w:p>
        </w:tc>
      </w:tr>
    </w:tbl>
    <w:p>
      <w:pPr>
        <w:spacing w:before="0" w:after="0" w:line="120" w:lineRule="exact"/>
      </w:pPr>
    </w:p>
    <w:p>
      <w:r>
        <w:rPr>
          <w:rFonts w:ascii="Figtree" w:hAnsi="Figtree"/>
          <w:b/>
          <w:i w:val="0"/>
          <w:sz w:val="22"/>
        </w:rPr>
        <w:t>DFNS custody:</w:t>
      </w:r>
      <w:r>
        <w:rPr>
          <w:rFonts w:ascii="Figtree" w:hAnsi="Figtree"/>
          <w:b w:val="0"/>
          <w:i w:val="0"/>
          <w:sz w:val="22"/>
        </w:rPr>
        <w:t xml:space="preserve"> EUR 50,000 to EUR 80,000 per year for consumer passkey wallet management. Consumer wallet volume drives DFNS pricing; SettleMint negotiates preferred DFNS pricing for Enterprise customers. Cost scales with number of active consumer wallets.</w:t>
      </w:r>
    </w:p>
    <w:p>
      <w:r>
        <w:rPr>
          <w:rFonts w:ascii="Figtree" w:hAnsi="Figtree"/>
          <w:b/>
          <w:i w:val="0"/>
          <w:sz w:val="22"/>
        </w:rPr>
        <w:t>Managed SaaS development and staging:</w:t>
      </w:r>
      <w:r>
        <w:rPr>
          <w:rFonts w:ascii="Figtree" w:hAnsi="Figtree"/>
          <w:b w:val="0"/>
          <w:i w:val="0"/>
          <w:sz w:val="22"/>
        </w:rPr>
        <w:t xml:space="preserve"> EUR 40,000 per year (included in Foundation tier). Development environment in SettleMint Managed SaaS gives N26's engineering team immediate sandbox access without Kubernetes setup overhead.</w:t>
      </w:r>
    </w:p>
    <w:p>
      <w:r>
        <w:br w:type="page"/>
      </w:r>
    </w:p>
    <w:p>
      <w:pPr>
        <w:pStyle w:val="H2"/>
        <w:numPr>
          <w:ilvl w:val="1"/>
          <w:numId w:val="1"/>
        </w:numPr>
      </w:pPr>
      <w:r>
        <w:t>Support and SLA Framework</w:t>
      </w:r>
    </w:p>
    <w:p>
      <w:pPr>
        <w:pStyle w:val="H3"/>
        <w:numPr>
          <w:ilvl w:val="2"/>
          <w:numId w:val="1"/>
        </w:numPr>
      </w:pPr>
      <w:r>
        <w:t>Recommended: Enterprise Support</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5582"/>
        <w:gridCol w:w="3489"/>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Attribute</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Enterprise Support</w:t>
            </w:r>
          </w:p>
        </w:tc>
      </w:tr>
      <w:tr>
        <w:trPr>
          <w:trHeight w:val="425" w:hRule="atLeast"/>
        </w:trPr>
        <w:tc>
          <w:tcPr>
            <w:tcW w:type="dxa" w:w="4873"/>
            <w:vAlign w:val="center"/>
          </w:tcPr>
          <w:p>
            <w:pPr>
              <w:spacing w:line="276" w:lineRule="auto" w:before="0" w:after="0"/>
            </w:pPr>
            <w:r/>
            <w:r>
              <w:rPr>
                <w:rFonts w:ascii="Figtree" w:hAnsi="Figtree"/>
                <w:b w:val="0"/>
                <w:i w:val="0"/>
                <w:sz w:val="20"/>
              </w:rPr>
              <w:t>Annual Fee</w:t>
            </w:r>
          </w:p>
        </w:tc>
        <w:tc>
          <w:tcPr>
            <w:tcW w:type="dxa" w:w="4873"/>
            <w:vAlign w:val="center"/>
          </w:tcPr>
          <w:p>
            <w:pPr>
              <w:spacing w:line="276" w:lineRule="auto" w:before="0" w:after="0"/>
            </w:pPr>
            <w:r/>
            <w:r>
              <w:rPr>
                <w:rFonts w:ascii="Figtree" w:hAnsi="Figtree"/>
                <w:b w:val="0"/>
                <w:i w:val="0"/>
                <w:sz w:val="20"/>
              </w:rPr>
              <w:t>EUR 120,000</w:t>
            </w:r>
          </w:p>
        </w:tc>
      </w:tr>
      <w:tr>
        <w:trPr>
          <w:trHeight w:val="425" w:hRule="atLeast"/>
        </w:trPr>
        <w:tc>
          <w:tcPr>
            <w:tcW w:type="dxa" w:w="4873"/>
            <w:vAlign w:val="center"/>
          </w:tcPr>
          <w:p>
            <w:pPr>
              <w:spacing w:line="276" w:lineRule="auto" w:before="0" w:after="0"/>
            </w:pPr>
            <w:r/>
            <w:r>
              <w:rPr>
                <w:rFonts w:ascii="Figtree" w:hAnsi="Figtree"/>
                <w:b w:val="0"/>
                <w:i w:val="0"/>
                <w:sz w:val="20"/>
              </w:rPr>
              <w:t>Coverage</w:t>
            </w:r>
          </w:p>
        </w:tc>
        <w:tc>
          <w:tcPr>
            <w:tcW w:type="dxa" w:w="4873"/>
            <w:vAlign w:val="center"/>
          </w:tcPr>
          <w:p>
            <w:pPr>
              <w:spacing w:line="276" w:lineRule="auto" w:before="0" w:after="0"/>
            </w:pPr>
            <w:r/>
            <w:r>
              <w:rPr>
                <w:rFonts w:ascii="Figtree" w:hAnsi="Figtree"/>
                <w:b w:val="0"/>
                <w:i w:val="0"/>
                <w:sz w:val="20"/>
              </w:rPr>
              <w:t>24/7/365</w:t>
            </w:r>
          </w:p>
        </w:tc>
      </w:tr>
      <w:tr>
        <w:trPr>
          <w:trHeight w:val="425" w:hRule="atLeast"/>
        </w:trPr>
        <w:tc>
          <w:tcPr>
            <w:tcW w:type="dxa" w:w="4873"/>
            <w:vAlign w:val="center"/>
          </w:tcPr>
          <w:p>
            <w:pPr>
              <w:spacing w:line="276" w:lineRule="auto" w:before="0" w:after="0"/>
            </w:pPr>
            <w:r/>
            <w:r>
              <w:rPr>
                <w:rFonts w:ascii="Figtree" w:hAnsi="Figtree"/>
                <w:b w:val="0"/>
                <w:i w:val="0"/>
                <w:sz w:val="20"/>
              </w:rPr>
              <w:t>Uptime SLA</w:t>
            </w:r>
          </w:p>
        </w:tc>
        <w:tc>
          <w:tcPr>
            <w:tcW w:type="dxa" w:w="4873"/>
            <w:vAlign w:val="center"/>
          </w:tcPr>
          <w:p>
            <w:pPr>
              <w:spacing w:line="276" w:lineRule="auto" w:before="0" w:after="0"/>
            </w:pPr>
            <w:r/>
            <w:r>
              <w:rPr>
                <w:rFonts w:ascii="Figtree" w:hAnsi="Figtree"/>
                <w:b w:val="0"/>
                <w:i w:val="0"/>
                <w:sz w:val="20"/>
              </w:rPr>
              <w:t>99.99% monthly</w:t>
            </w:r>
          </w:p>
        </w:tc>
      </w:tr>
      <w:tr>
        <w:trPr>
          <w:trHeight w:val="425" w:hRule="atLeast"/>
        </w:trPr>
        <w:tc>
          <w:tcPr>
            <w:tcW w:type="dxa" w:w="4873"/>
            <w:vAlign w:val="center"/>
          </w:tcPr>
          <w:p>
            <w:pPr>
              <w:spacing w:line="276" w:lineRule="auto" w:before="0" w:after="0"/>
            </w:pPr>
            <w:r/>
            <w:r>
              <w:rPr>
                <w:rFonts w:ascii="Figtree" w:hAnsi="Figtree"/>
                <w:b w:val="0"/>
                <w:i w:val="0"/>
                <w:sz w:val="20"/>
              </w:rPr>
              <w:t>P1 Response</w:t>
            </w:r>
          </w:p>
        </w:tc>
        <w:tc>
          <w:tcPr>
            <w:tcW w:type="dxa" w:w="4873"/>
            <w:vAlign w:val="center"/>
          </w:tcPr>
          <w:p>
            <w:pPr>
              <w:spacing w:line="276" w:lineRule="auto" w:before="0" w:after="0"/>
            </w:pPr>
            <w:r/>
            <w:r>
              <w:rPr>
                <w:rFonts w:ascii="Figtree" w:hAnsi="Figtree"/>
                <w:b w:val="0"/>
                <w:i w:val="0"/>
                <w:sz w:val="20"/>
              </w:rPr>
              <w:t>15 minutes</w:t>
            </w:r>
          </w:p>
        </w:tc>
      </w:tr>
      <w:tr>
        <w:trPr>
          <w:trHeight w:val="425" w:hRule="atLeast"/>
        </w:trPr>
        <w:tc>
          <w:tcPr>
            <w:tcW w:type="dxa" w:w="4873"/>
            <w:vAlign w:val="center"/>
          </w:tcPr>
          <w:p>
            <w:pPr>
              <w:spacing w:line="276" w:lineRule="auto" w:before="0" w:after="0"/>
            </w:pPr>
            <w:r/>
            <w:r>
              <w:rPr>
                <w:rFonts w:ascii="Figtree" w:hAnsi="Figtree"/>
                <w:b w:val="0"/>
                <w:i w:val="0"/>
                <w:sz w:val="20"/>
              </w:rPr>
              <w:t>P1 Resolution Target</w:t>
            </w:r>
          </w:p>
        </w:tc>
        <w:tc>
          <w:tcPr>
            <w:tcW w:type="dxa" w:w="4873"/>
            <w:vAlign w:val="center"/>
          </w:tcPr>
          <w:p>
            <w:pPr>
              <w:spacing w:line="276" w:lineRule="auto" w:before="0" w:after="0"/>
            </w:pPr>
            <w:r/>
            <w:r>
              <w:rPr>
                <w:rFonts w:ascii="Figtree" w:hAnsi="Figtree"/>
                <w:b w:val="0"/>
                <w:i w:val="0"/>
                <w:sz w:val="20"/>
              </w:rPr>
              <w:t>2 hours</w:t>
            </w:r>
          </w:p>
        </w:tc>
      </w:tr>
      <w:tr>
        <w:trPr>
          <w:trHeight w:val="425" w:hRule="atLeast"/>
        </w:trPr>
        <w:tc>
          <w:tcPr>
            <w:tcW w:type="dxa" w:w="4873"/>
            <w:vAlign w:val="center"/>
          </w:tcPr>
          <w:p>
            <w:pPr>
              <w:spacing w:line="276" w:lineRule="auto" w:before="0" w:after="0"/>
            </w:pPr>
            <w:r/>
            <w:r>
              <w:rPr>
                <w:rFonts w:ascii="Figtree" w:hAnsi="Figtree"/>
                <w:b w:val="0"/>
                <w:i w:val="0"/>
                <w:sz w:val="20"/>
              </w:rPr>
              <w:t>Dedicated Support Team</w:t>
            </w:r>
          </w:p>
        </w:tc>
        <w:tc>
          <w:tcPr>
            <w:tcW w:type="dxa" w:w="4873"/>
            <w:vAlign w:val="center"/>
          </w:tcPr>
          <w:p>
            <w:pPr>
              <w:spacing w:line="276" w:lineRule="auto" w:before="0" w:after="0"/>
            </w:pPr>
            <w:r/>
            <w:r>
              <w:rPr>
                <w:rFonts w:ascii="Figtree" w:hAnsi="Figtree"/>
                <w:b w:val="0"/>
                <w:i w:val="0"/>
                <w:sz w:val="20"/>
              </w:rPr>
              <w:t>Named team</w:t>
            </w:r>
          </w:p>
        </w:tc>
      </w:tr>
      <w:tr>
        <w:trPr>
          <w:trHeight w:val="425" w:hRule="atLeast"/>
        </w:trPr>
        <w:tc>
          <w:tcPr>
            <w:tcW w:type="dxa" w:w="4873"/>
            <w:vAlign w:val="center"/>
          </w:tcPr>
          <w:p>
            <w:pPr>
              <w:spacing w:line="276" w:lineRule="auto" w:before="0" w:after="0"/>
            </w:pPr>
            <w:r/>
            <w:r>
              <w:rPr>
                <w:rFonts w:ascii="Figtree" w:hAnsi="Figtree"/>
                <w:b w:val="0"/>
                <w:i w:val="0"/>
                <w:sz w:val="20"/>
              </w:rPr>
              <w:t>Customer Success Manager</w:t>
            </w:r>
          </w:p>
        </w:tc>
        <w:tc>
          <w:tcPr>
            <w:tcW w:type="dxa" w:w="4873"/>
            <w:vAlign w:val="center"/>
          </w:tcPr>
          <w:p>
            <w:pPr>
              <w:spacing w:line="276" w:lineRule="auto" w:before="0" w:after="0"/>
            </w:pPr>
            <w:r/>
            <w:r>
              <w:rPr>
                <w:rFonts w:ascii="Figtree" w:hAnsi="Figtree"/>
                <w:b w:val="0"/>
                <w:i w:val="0"/>
                <w:sz w:val="20"/>
              </w:rPr>
              <w:t>Named CSM</w:t>
            </w:r>
          </w:p>
        </w:tc>
      </w:tr>
      <w:tr>
        <w:trPr>
          <w:trHeight w:val="425" w:hRule="atLeast"/>
        </w:trPr>
        <w:tc>
          <w:tcPr>
            <w:tcW w:type="dxa" w:w="4873"/>
            <w:vAlign w:val="center"/>
          </w:tcPr>
          <w:p>
            <w:pPr>
              <w:spacing w:line="276" w:lineRule="auto" w:before="0" w:after="0"/>
            </w:pPr>
            <w:r/>
            <w:r>
              <w:rPr>
                <w:rFonts w:ascii="Figtree" w:hAnsi="Figtree"/>
                <w:b w:val="0"/>
                <w:i w:val="0"/>
                <w:sz w:val="20"/>
              </w:rPr>
              <w:t>Quarterly Architecture Reviews</w:t>
            </w:r>
          </w:p>
        </w:tc>
        <w:tc>
          <w:tcPr>
            <w:tcW w:type="dxa" w:w="4873"/>
            <w:vAlign w:val="center"/>
          </w:tcPr>
          <w:p>
            <w:pPr>
              <w:spacing w:line="276" w:lineRule="auto" w:before="0" w:after="0"/>
            </w:pPr>
            <w:r/>
            <w:r>
              <w:rPr>
                <w:rFonts w:ascii="Figtree" w:hAnsi="Figtree"/>
                <w:b w:val="0"/>
                <w:i w:val="0"/>
                <w:sz w:val="20"/>
              </w:rPr>
              <w:t>Included</w:t>
            </w:r>
          </w:p>
        </w:tc>
      </w:tr>
    </w:tbl>
    <w:p>
      <w:pPr>
        <w:spacing w:before="0" w:after="0" w:line="120" w:lineRule="exact"/>
      </w:pPr>
    </w:p>
    <w:p>
      <w:r>
        <w:rPr>
          <w:rFonts w:ascii="Figtree" w:hAnsi="Figtree"/>
          <w:b w:val="0"/>
          <w:i w:val="0"/>
          <w:sz w:val="22"/>
        </w:rPr>
        <w:t>Consumer-facing digital asset services require Enterprise support. A savings note subscription failure or yield distribution error affecting N26 customers is a P1 incident requiring immediate response.</w:t>
      </w:r>
    </w:p>
    <w:p>
      <w:pPr>
        <w:pStyle w:val="H3"/>
        <w:numPr>
          <w:ilvl w:val="2"/>
          <w:numId w:val="1"/>
        </w:numPr>
      </w:pPr>
      <w:r>
        <w:t>Service Credits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4618"/>
        <w:gridCol w:w="4453"/>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Monthly Uptime</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Credit</w:t>
            </w:r>
          </w:p>
        </w:tc>
      </w:tr>
      <w:tr>
        <w:trPr>
          <w:trHeight w:val="425" w:hRule="atLeast"/>
        </w:trPr>
        <w:tc>
          <w:tcPr>
            <w:tcW w:type="dxa" w:w="4873"/>
            <w:vAlign w:val="center"/>
          </w:tcPr>
          <w:p>
            <w:pPr>
              <w:spacing w:line="276" w:lineRule="auto" w:before="0" w:after="0"/>
            </w:pPr>
            <w:r/>
            <w:r>
              <w:rPr>
                <w:rFonts w:ascii="Figtree" w:hAnsi="Figtree"/>
                <w:b w:val="0"/>
                <w:i w:val="0"/>
                <w:sz w:val="20"/>
              </w:rPr>
              <w:t>Below 99.99% but above 99.0%</w:t>
            </w:r>
          </w:p>
        </w:tc>
        <w:tc>
          <w:tcPr>
            <w:tcW w:type="dxa" w:w="4873"/>
            <w:vAlign w:val="center"/>
          </w:tcPr>
          <w:p>
            <w:pPr>
              <w:spacing w:line="276" w:lineRule="auto" w:before="0" w:after="0"/>
            </w:pPr>
            <w:r/>
            <w:r>
              <w:rPr>
                <w:rFonts w:ascii="Figtree" w:hAnsi="Figtree"/>
                <w:b w:val="0"/>
                <w:i w:val="0"/>
                <w:sz w:val="20"/>
              </w:rPr>
              <w:t>10% of monthly support fees</w:t>
            </w:r>
          </w:p>
        </w:tc>
      </w:tr>
      <w:tr>
        <w:trPr>
          <w:trHeight w:val="425" w:hRule="atLeast"/>
        </w:trPr>
        <w:tc>
          <w:tcPr>
            <w:tcW w:type="dxa" w:w="4873"/>
            <w:vAlign w:val="center"/>
          </w:tcPr>
          <w:p>
            <w:pPr>
              <w:spacing w:line="276" w:lineRule="auto" w:before="0" w:after="0"/>
            </w:pPr>
            <w:r/>
            <w:r>
              <w:rPr>
                <w:rFonts w:ascii="Figtree" w:hAnsi="Figtree"/>
                <w:b w:val="0"/>
                <w:i w:val="0"/>
                <w:sz w:val="20"/>
              </w:rPr>
              <w:t>Below 99.0% but above 98.0%</w:t>
            </w:r>
          </w:p>
        </w:tc>
        <w:tc>
          <w:tcPr>
            <w:tcW w:type="dxa" w:w="4873"/>
            <w:vAlign w:val="center"/>
          </w:tcPr>
          <w:p>
            <w:pPr>
              <w:spacing w:line="276" w:lineRule="auto" w:before="0" w:after="0"/>
            </w:pPr>
            <w:r/>
            <w:r>
              <w:rPr>
                <w:rFonts w:ascii="Figtree" w:hAnsi="Figtree"/>
                <w:b w:val="0"/>
                <w:i w:val="0"/>
                <w:sz w:val="20"/>
              </w:rPr>
              <w:t>25% of monthly support fees</w:t>
            </w:r>
          </w:p>
        </w:tc>
      </w:tr>
      <w:tr>
        <w:trPr>
          <w:trHeight w:val="425" w:hRule="atLeast"/>
        </w:trPr>
        <w:tc>
          <w:tcPr>
            <w:tcW w:type="dxa" w:w="4873"/>
            <w:vAlign w:val="center"/>
          </w:tcPr>
          <w:p>
            <w:pPr>
              <w:spacing w:line="276" w:lineRule="auto" w:before="0" w:after="0"/>
            </w:pPr>
            <w:r/>
            <w:r>
              <w:rPr>
                <w:rFonts w:ascii="Figtree" w:hAnsi="Figtree"/>
                <w:b w:val="0"/>
                <w:i w:val="0"/>
                <w:sz w:val="20"/>
              </w:rPr>
              <w:t>Below 98.0%</w:t>
            </w:r>
          </w:p>
        </w:tc>
        <w:tc>
          <w:tcPr>
            <w:tcW w:type="dxa" w:w="4873"/>
            <w:vAlign w:val="center"/>
          </w:tcPr>
          <w:p>
            <w:pPr>
              <w:spacing w:line="276" w:lineRule="auto" w:before="0" w:after="0"/>
            </w:pPr>
            <w:r/>
            <w:r>
              <w:rPr>
                <w:rFonts w:ascii="Figtree" w:hAnsi="Figtree"/>
                <w:b w:val="0"/>
                <w:i w:val="0"/>
                <w:sz w:val="20"/>
              </w:rPr>
              <w:t>50% of monthly support fees</w:t>
            </w:r>
          </w:p>
        </w:tc>
      </w:tr>
    </w:tbl>
    <w:p>
      <w:pPr>
        <w:spacing w:before="0" w:after="0" w:line="120" w:lineRule="exact"/>
      </w:pPr>
    </w:p>
    <w:p>
      <w:r>
        <w:br w:type="page"/>
      </w:r>
    </w:p>
    <w:p>
      <w:pPr>
        <w:pStyle w:val="H2"/>
        <w:numPr>
          <w:ilvl w:val="1"/>
          <w:numId w:val="1"/>
        </w:numPr>
      </w:pPr>
      <w:r>
        <w:t>Implementation Investment</w:t>
      </w:r>
    </w:p>
    <w:p>
      <w:pPr>
        <w:pStyle w:val="H3"/>
        <w:numPr>
          <w:ilvl w:val="2"/>
          <w:numId w:val="1"/>
        </w:numPr>
      </w:pPr>
      <w:r>
        <w:t>Phase-by-Phase Implementation Fees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435"/>
        <w:gridCol w:w="5873"/>
        <w:gridCol w:w="783"/>
        <w:gridCol w:w="978"/>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Phase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Scope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Duration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Fee</w:t>
            </w:r>
          </w:p>
        </w:tc>
      </w:tr>
      <w:tr>
        <w:trPr>
          <w:trHeight w:val="425" w:hRule="atLeast"/>
        </w:trPr>
        <w:tc>
          <w:tcPr>
            <w:tcW w:type="dxa" w:w="2436"/>
            <w:vAlign w:val="center"/>
          </w:tcPr>
          <w:p>
            <w:pPr>
              <w:spacing w:line="276" w:lineRule="auto" w:before="0" w:after="0"/>
            </w:pPr>
            <w:r/>
            <w:r>
              <w:rPr>
                <w:rFonts w:ascii="Figtree" w:hAnsi="Figtree"/>
                <w:b w:val="0"/>
                <w:i w:val="0"/>
                <w:sz w:val="20"/>
              </w:rPr>
              <w:t>Phase 1: Discovery</w:t>
            </w:r>
          </w:p>
        </w:tc>
        <w:tc>
          <w:tcPr>
            <w:tcW w:type="dxa" w:w="2436"/>
            <w:vAlign w:val="center"/>
          </w:tcPr>
          <w:p>
            <w:pPr>
              <w:spacing w:line="276" w:lineRule="auto" w:before="0" w:after="0"/>
            </w:pPr>
            <w:r/>
            <w:r>
              <w:rPr>
                <w:rFonts w:ascii="Figtree" w:hAnsi="Figtree"/>
                <w:b w:val="0"/>
                <w:i w:val="0"/>
                <w:sz w:val="20"/>
              </w:rPr>
              <w:t>BaFin regulatory mapping, mobile banking assessment, architecture design</w:t>
            </w:r>
          </w:p>
        </w:tc>
        <w:tc>
          <w:tcPr>
            <w:tcW w:type="dxa" w:w="2436"/>
            <w:vAlign w:val="center"/>
          </w:tcPr>
          <w:p>
            <w:pPr>
              <w:spacing w:line="276" w:lineRule="auto" w:before="0" w:after="0"/>
            </w:pPr>
            <w:r/>
            <w:r>
              <w:rPr>
                <w:rFonts w:ascii="Figtree" w:hAnsi="Figtree"/>
                <w:b w:val="0"/>
                <w:i w:val="0"/>
                <w:sz w:val="20"/>
              </w:rPr>
              <w:t>2 weeks</w:t>
            </w:r>
          </w:p>
        </w:tc>
        <w:tc>
          <w:tcPr>
            <w:tcW w:type="dxa" w:w="2436"/>
            <w:vAlign w:val="center"/>
          </w:tcPr>
          <w:p>
            <w:pPr>
              <w:spacing w:line="276" w:lineRule="auto" w:before="0" w:after="0"/>
            </w:pPr>
            <w:r/>
            <w:r>
              <w:rPr>
                <w:rFonts w:ascii="Figtree" w:hAnsi="Figtree"/>
                <w:b w:val="0"/>
                <w:i w:val="0"/>
                <w:sz w:val="20"/>
              </w:rPr>
              <w:t>EUR 38,000</w:t>
            </w:r>
          </w:p>
        </w:tc>
      </w:tr>
      <w:tr>
        <w:trPr>
          <w:trHeight w:val="425" w:hRule="atLeast"/>
        </w:trPr>
        <w:tc>
          <w:tcPr>
            <w:tcW w:type="dxa" w:w="2436"/>
            <w:vAlign w:val="center"/>
          </w:tcPr>
          <w:p>
            <w:pPr>
              <w:spacing w:line="276" w:lineRule="auto" w:before="0" w:after="0"/>
            </w:pPr>
            <w:r/>
            <w:r>
              <w:rPr>
                <w:rFonts w:ascii="Figtree" w:hAnsi="Figtree"/>
                <w:b w:val="0"/>
                <w:i w:val="0"/>
                <w:sz w:val="20"/>
              </w:rPr>
              <w:t>Phase 2: Configuration</w:t>
            </w:r>
          </w:p>
        </w:tc>
        <w:tc>
          <w:tcPr>
            <w:tcW w:type="dxa" w:w="2436"/>
            <w:vAlign w:val="center"/>
          </w:tcPr>
          <w:p>
            <w:pPr>
              <w:spacing w:line="276" w:lineRule="auto" w:before="0" w:after="0"/>
            </w:pPr>
            <w:r/>
            <w:r>
              <w:rPr>
                <w:rFonts w:ascii="Figtree" w:hAnsi="Figtree"/>
                <w:b w:val="0"/>
                <w:i w:val="0"/>
                <w:sz w:val="20"/>
              </w:rPr>
              <w:t>Kubernetes deployment, savings product configuration, consumer compliance modules, DFNS passkey setup</w:t>
            </w:r>
          </w:p>
        </w:tc>
        <w:tc>
          <w:tcPr>
            <w:tcW w:type="dxa" w:w="2436"/>
            <w:vAlign w:val="center"/>
          </w:tcPr>
          <w:p>
            <w:pPr>
              <w:spacing w:line="276" w:lineRule="auto" w:before="0" w:after="0"/>
            </w:pPr>
            <w:r/>
            <w:r>
              <w:rPr>
                <w:rFonts w:ascii="Figtree" w:hAnsi="Figtree"/>
                <w:b w:val="0"/>
                <w:i w:val="0"/>
                <w:sz w:val="20"/>
              </w:rPr>
              <w:t>3 weeks</w:t>
            </w:r>
          </w:p>
        </w:tc>
        <w:tc>
          <w:tcPr>
            <w:tcW w:type="dxa" w:w="2436"/>
            <w:vAlign w:val="center"/>
          </w:tcPr>
          <w:p>
            <w:pPr>
              <w:spacing w:line="276" w:lineRule="auto" w:before="0" w:after="0"/>
            </w:pPr>
            <w:r/>
            <w:r>
              <w:rPr>
                <w:rFonts w:ascii="Figtree" w:hAnsi="Figtree"/>
                <w:b w:val="0"/>
                <w:i w:val="0"/>
                <w:sz w:val="20"/>
              </w:rPr>
              <w:t>EUR 62,000</w:t>
            </w:r>
          </w:p>
        </w:tc>
      </w:tr>
      <w:tr>
        <w:trPr>
          <w:trHeight w:val="425" w:hRule="atLeast"/>
        </w:trPr>
        <w:tc>
          <w:tcPr>
            <w:tcW w:type="dxa" w:w="2436"/>
            <w:vAlign w:val="center"/>
          </w:tcPr>
          <w:p>
            <w:pPr>
              <w:spacing w:line="276" w:lineRule="auto" w:before="0" w:after="0"/>
            </w:pPr>
            <w:r/>
            <w:r>
              <w:rPr>
                <w:rFonts w:ascii="Figtree" w:hAnsi="Figtree"/>
                <w:b w:val="0"/>
                <w:i w:val="0"/>
                <w:sz w:val="20"/>
              </w:rPr>
              <w:t>Phase 3: Integration</w:t>
            </w:r>
          </w:p>
        </w:tc>
        <w:tc>
          <w:tcPr>
            <w:tcW w:type="dxa" w:w="2436"/>
            <w:vAlign w:val="center"/>
          </w:tcPr>
          <w:p>
            <w:pPr>
              <w:spacing w:line="276" w:lineRule="auto" w:before="0" w:after="0"/>
            </w:pPr>
            <w:r/>
            <w:r>
              <w:rPr>
                <w:rFonts w:ascii="Figtree" w:hAnsi="Figtree"/>
                <w:b w:val="0"/>
                <w:i w:val="0"/>
                <w:sz w:val="20"/>
              </w:rPr>
              <w:t>Mobile banking API, DFNS passkey mobile SDK, N26 KYC claims, webhooks, analytics</w:t>
            </w:r>
          </w:p>
        </w:tc>
        <w:tc>
          <w:tcPr>
            <w:tcW w:type="dxa" w:w="2436"/>
            <w:vAlign w:val="center"/>
          </w:tcPr>
          <w:p>
            <w:pPr>
              <w:spacing w:line="276" w:lineRule="auto" w:before="0" w:after="0"/>
            </w:pPr>
            <w:r/>
            <w:r>
              <w:rPr>
                <w:rFonts w:ascii="Figtree" w:hAnsi="Figtree"/>
                <w:b w:val="0"/>
                <w:i w:val="0"/>
                <w:sz w:val="20"/>
              </w:rPr>
              <w:t>3 weeks</w:t>
            </w:r>
          </w:p>
        </w:tc>
        <w:tc>
          <w:tcPr>
            <w:tcW w:type="dxa" w:w="2436"/>
            <w:vAlign w:val="center"/>
          </w:tcPr>
          <w:p>
            <w:pPr>
              <w:spacing w:line="276" w:lineRule="auto" w:before="0" w:after="0"/>
            </w:pPr>
            <w:r/>
            <w:r>
              <w:rPr>
                <w:rFonts w:ascii="Figtree" w:hAnsi="Figtree"/>
                <w:b w:val="0"/>
                <w:i w:val="0"/>
                <w:sz w:val="20"/>
              </w:rPr>
              <w:t>EUR 105,000</w:t>
            </w:r>
          </w:p>
        </w:tc>
      </w:tr>
      <w:tr>
        <w:trPr>
          <w:trHeight w:val="425" w:hRule="atLeast"/>
        </w:trPr>
        <w:tc>
          <w:tcPr>
            <w:tcW w:type="dxa" w:w="2436"/>
            <w:vAlign w:val="center"/>
          </w:tcPr>
          <w:p>
            <w:pPr>
              <w:spacing w:line="276" w:lineRule="auto" w:before="0" w:after="0"/>
            </w:pPr>
            <w:r/>
            <w:r>
              <w:rPr>
                <w:rFonts w:ascii="Figtree" w:hAnsi="Figtree"/>
                <w:b w:val="0"/>
                <w:i w:val="0"/>
                <w:sz w:val="20"/>
              </w:rPr>
              <w:t>Phase 4: Testing</w:t>
            </w:r>
          </w:p>
        </w:tc>
        <w:tc>
          <w:tcPr>
            <w:tcW w:type="dxa" w:w="2436"/>
            <w:vAlign w:val="center"/>
          </w:tcPr>
          <w:p>
            <w:pPr>
              <w:spacing w:line="276" w:lineRule="auto" w:before="0" w:after="0"/>
            </w:pPr>
            <w:r/>
            <w:r>
              <w:rPr>
                <w:rFonts w:ascii="Figtree" w:hAnsi="Figtree"/>
                <w:b w:val="0"/>
                <w:i w:val="0"/>
                <w:sz w:val="20"/>
              </w:rPr>
              <w:t>Functional, security, performance, compliance validation, consumer UAT</w:t>
            </w:r>
          </w:p>
        </w:tc>
        <w:tc>
          <w:tcPr>
            <w:tcW w:type="dxa" w:w="2436"/>
            <w:vAlign w:val="center"/>
          </w:tcPr>
          <w:p>
            <w:pPr>
              <w:spacing w:line="276" w:lineRule="auto" w:before="0" w:after="0"/>
            </w:pPr>
            <w:r/>
            <w:r>
              <w:rPr>
                <w:rFonts w:ascii="Figtree" w:hAnsi="Figtree"/>
                <w:b w:val="0"/>
                <w:i w:val="0"/>
                <w:sz w:val="20"/>
              </w:rPr>
              <w:t>3 weeks</w:t>
            </w:r>
          </w:p>
        </w:tc>
        <w:tc>
          <w:tcPr>
            <w:tcW w:type="dxa" w:w="2436"/>
            <w:vAlign w:val="center"/>
          </w:tcPr>
          <w:p>
            <w:pPr>
              <w:spacing w:line="276" w:lineRule="auto" w:before="0" w:after="0"/>
            </w:pPr>
            <w:r/>
            <w:r>
              <w:rPr>
                <w:rFonts w:ascii="Figtree" w:hAnsi="Figtree"/>
                <w:b w:val="0"/>
                <w:i w:val="0"/>
                <w:sz w:val="20"/>
              </w:rPr>
              <w:t>EUR 82,000</w:t>
            </w:r>
          </w:p>
        </w:tc>
      </w:tr>
      <w:tr>
        <w:trPr>
          <w:trHeight w:val="425" w:hRule="atLeast"/>
        </w:trPr>
        <w:tc>
          <w:tcPr>
            <w:tcW w:type="dxa" w:w="2436"/>
            <w:vAlign w:val="center"/>
          </w:tcPr>
          <w:p>
            <w:pPr>
              <w:spacing w:line="276" w:lineRule="auto" w:before="0" w:after="0"/>
            </w:pPr>
            <w:r/>
            <w:r>
              <w:rPr>
                <w:rFonts w:ascii="Figtree" w:hAnsi="Figtree"/>
                <w:b w:val="0"/>
                <w:i w:val="0"/>
                <w:sz w:val="20"/>
              </w:rPr>
              <w:t>Phase 5: Go-Live</w:t>
            </w:r>
          </w:p>
        </w:tc>
        <w:tc>
          <w:tcPr>
            <w:tcW w:type="dxa" w:w="2436"/>
            <w:vAlign w:val="center"/>
          </w:tcPr>
          <w:p>
            <w:pPr>
              <w:spacing w:line="276" w:lineRule="auto" w:before="0" w:after="0"/>
            </w:pPr>
            <w:r/>
            <w:r>
              <w:rPr>
                <w:rFonts w:ascii="Figtree" w:hAnsi="Figtree"/>
                <w:b w:val="0"/>
                <w:i w:val="0"/>
                <w:sz w:val="20"/>
              </w:rPr>
              <w:t>Production deployment, beta cohort launch</w:t>
            </w:r>
          </w:p>
        </w:tc>
        <w:tc>
          <w:tcPr>
            <w:tcW w:type="dxa" w:w="2436"/>
            <w:vAlign w:val="center"/>
          </w:tcPr>
          <w:p>
            <w:pPr>
              <w:spacing w:line="276" w:lineRule="auto" w:before="0" w:after="0"/>
            </w:pPr>
            <w:r/>
            <w:r>
              <w:rPr>
                <w:rFonts w:ascii="Figtree" w:hAnsi="Figtree"/>
                <w:b w:val="0"/>
                <w:i w:val="0"/>
                <w:sz w:val="20"/>
              </w:rPr>
              <w:t>1 week</w:t>
            </w:r>
          </w:p>
        </w:tc>
        <w:tc>
          <w:tcPr>
            <w:tcW w:type="dxa" w:w="2436"/>
            <w:vAlign w:val="center"/>
          </w:tcPr>
          <w:p>
            <w:pPr>
              <w:spacing w:line="276" w:lineRule="auto" w:before="0" w:after="0"/>
            </w:pPr>
            <w:r/>
            <w:r>
              <w:rPr>
                <w:rFonts w:ascii="Figtree" w:hAnsi="Figtree"/>
                <w:b w:val="0"/>
                <w:i w:val="0"/>
                <w:sz w:val="20"/>
              </w:rPr>
              <w:t>EUR 43,000</w:t>
            </w:r>
          </w:p>
        </w:tc>
      </w:tr>
      <w:tr>
        <w:trPr>
          <w:trHeight w:val="425" w:hRule="atLeast"/>
        </w:trPr>
        <w:tc>
          <w:tcPr>
            <w:tcW w:type="dxa" w:w="2436"/>
            <w:vAlign w:val="center"/>
          </w:tcPr>
          <w:p>
            <w:pPr>
              <w:spacing w:line="276" w:lineRule="auto" w:before="0" w:after="0"/>
            </w:pPr>
            <w:r/>
            <w:r>
              <w:rPr>
                <w:rFonts w:ascii="Figtree" w:hAnsi="Figtree"/>
                <w:b w:val="0"/>
                <w:i w:val="0"/>
                <w:sz w:val="20"/>
              </w:rPr>
              <w:t>Phase 6: Hypercare</w:t>
            </w:r>
          </w:p>
        </w:tc>
        <w:tc>
          <w:tcPr>
            <w:tcW w:type="dxa" w:w="2436"/>
            <w:vAlign w:val="center"/>
          </w:tcPr>
          <w:p>
            <w:pPr>
              <w:spacing w:line="276" w:lineRule="auto" w:before="0" w:after="0"/>
            </w:pPr>
            <w:r/>
            <w:r>
              <w:rPr>
                <w:rFonts w:ascii="Figtree" w:hAnsi="Figtree"/>
                <w:b w:val="0"/>
                <w:i w:val="0"/>
                <w:sz w:val="20"/>
              </w:rPr>
              <w:t>Monitoring, optimization, knowledge transfer</w:t>
            </w:r>
          </w:p>
        </w:tc>
        <w:tc>
          <w:tcPr>
            <w:tcW w:type="dxa" w:w="2436"/>
            <w:vAlign w:val="center"/>
          </w:tcPr>
          <w:p>
            <w:pPr>
              <w:spacing w:line="276" w:lineRule="auto" w:before="0" w:after="0"/>
            </w:pPr>
            <w:r/>
            <w:r>
              <w:rPr>
                <w:rFonts w:ascii="Figtree" w:hAnsi="Figtree"/>
                <w:b w:val="0"/>
                <w:i w:val="0"/>
                <w:sz w:val="20"/>
              </w:rPr>
              <w:t>2 weeks</w:t>
            </w:r>
          </w:p>
        </w:tc>
        <w:tc>
          <w:tcPr>
            <w:tcW w:type="dxa" w:w="2436"/>
            <w:vAlign w:val="center"/>
          </w:tcPr>
          <w:p>
            <w:pPr>
              <w:spacing w:line="276" w:lineRule="auto" w:before="0" w:after="0"/>
            </w:pPr>
            <w:r/>
            <w:r>
              <w:rPr>
                <w:rFonts w:ascii="Figtree" w:hAnsi="Figtree"/>
                <w:b w:val="0"/>
                <w:i w:val="0"/>
                <w:sz w:val="20"/>
              </w:rPr>
              <w:t>EUR 40,000</w:t>
            </w:r>
          </w:p>
        </w:tc>
      </w:tr>
      <w:tr>
        <w:trPr>
          <w:trHeight w:val="425" w:hRule="atLeast"/>
        </w:trPr>
        <w:tc>
          <w:tcPr>
            <w:tcW w:type="dxa" w:w="2436"/>
            <w:vAlign w:val="center"/>
          </w:tcPr>
          <w:p>
            <w:pPr>
              <w:spacing w:line="276" w:lineRule="auto" w:before="0" w:after="0"/>
            </w:pPr>
            <w:r/>
            <w:r>
              <w:rPr>
                <w:rFonts w:ascii="Figtree" w:hAnsi="Figtree"/>
                <w:b/>
                <w:i w:val="0"/>
                <w:sz w:val="20"/>
              </w:rPr>
              <w:t>Total</w:t>
            </w:r>
          </w:p>
        </w:tc>
        <w:tc>
          <w:tcPr>
            <w:tcW w:type="dxa" w:w="2436"/>
            <w:vAlign w:val="center"/>
          </w:tcPr>
          <w:p>
            <w:pPr>
              <w:spacing w:line="276" w:lineRule="auto" w:before="0" w:after="0"/>
            </w:pPr>
            <w:r/>
          </w:p>
        </w:tc>
        <w:tc>
          <w:tcPr>
            <w:tcW w:type="dxa" w:w="2436"/>
            <w:vAlign w:val="center"/>
          </w:tcPr>
          <w:p>
            <w:pPr>
              <w:spacing w:line="276" w:lineRule="auto" w:before="0" w:after="0"/>
            </w:pPr>
            <w:r/>
            <w:r>
              <w:rPr>
                <w:rFonts w:ascii="Figtree" w:hAnsi="Figtree"/>
                <w:b/>
                <w:i w:val="0"/>
                <w:sz w:val="20"/>
              </w:rPr>
              <w:t>14 weeks</w:t>
            </w:r>
          </w:p>
        </w:tc>
        <w:tc>
          <w:tcPr>
            <w:tcW w:type="dxa" w:w="2436"/>
            <w:vAlign w:val="center"/>
          </w:tcPr>
          <w:p>
            <w:pPr>
              <w:spacing w:line="276" w:lineRule="auto" w:before="0" w:after="0"/>
            </w:pPr>
            <w:r/>
            <w:r>
              <w:rPr>
                <w:rFonts w:ascii="Figtree" w:hAnsi="Figtree"/>
                <w:b/>
                <w:i w:val="0"/>
                <w:sz w:val="20"/>
              </w:rPr>
              <w:t>EUR 370,000</w:t>
            </w:r>
          </w:p>
        </w:tc>
      </w:tr>
    </w:tbl>
    <w:p>
      <w:pPr>
        <w:spacing w:before="0" w:after="0" w:line="120" w:lineRule="exact"/>
      </w:pPr>
    </w:p>
    <w:p>
      <w:pPr>
        <w:pStyle w:val="H3"/>
        <w:numPr>
          <w:ilvl w:val="2"/>
          <w:numId w:val="1"/>
        </w:numPr>
      </w:pPr>
      <w:r>
        <w:t>Implementation Assumptions</w:t>
      </w:r>
    </w:p>
    <w:p>
      <w:r>
        <w:rPr>
          <w:rFonts w:ascii="Figtree" w:hAnsi="Figtree"/>
          <w:b w:val="0"/>
          <w:i w:val="0"/>
          <w:sz w:val="22"/>
        </w:rPr>
        <w:t>Technology readiness: N26 provides access to mobile banking core APIs and KYC claim issuance documentation within 1 week of Phase 2 start.</w:t>
      </w:r>
    </w:p>
    <w:p>
      <w:r>
        <w:rPr>
          <w:rFonts w:ascii="Figtree" w:hAnsi="Figtree"/>
          <w:b w:val="0"/>
          <w:i w:val="0"/>
          <w:sz w:val="22"/>
        </w:rPr>
        <w:t>Asset scope: Phase 1 covers EUR-denominated tokenized savings notes and deposit products. GBP and SEK products require Phase 2 (separately scoped). Stablecoin payment features require Phase 2 (separately scoped). Crypto asset custody services require Phase 3 (separately scoped).</w:t>
      </w:r>
    </w:p>
    <w:p>
      <w:r>
        <w:rPr>
          <w:rFonts w:ascii="Figtree" w:hAnsi="Figtree"/>
          <w:b w:val="0"/>
          <w:i w:val="0"/>
          <w:sz w:val="22"/>
        </w:rPr>
        <w:t>DFNS integration: pricing assumes DFNS passkey wallet management. Alternative custody provider requires separate assessment.</w:t>
      </w:r>
    </w:p>
    <w:p>
      <w:r>
        <w:rPr>
          <w:rFonts w:ascii="Figtree" w:hAnsi="Figtree"/>
          <w:b w:val="0"/>
          <w:i w:val="0"/>
          <w:sz w:val="22"/>
        </w:rPr>
        <w:t>Blockchain network: private Besu or Polygon PoS. Ethereum mainnet increases Phases 2-4 fees by approximately EUR 15,000.</w:t>
      </w:r>
    </w:p>
    <w:p>
      <w:r>
        <w:rPr>
          <w:rFonts w:ascii="Figtree" w:hAnsi="Figtree"/>
          <w:b w:val="0"/>
          <w:i w:val="0"/>
          <w:sz w:val="22"/>
        </w:rPr>
        <w:t>N26 Kubernetes: pricing assumes deployment on N26's existing Kubernetes cluster. Dedicated cluster provisioning increases infrastructure costs and may extend Phase 2 timeline.</w:t>
      </w:r>
    </w:p>
    <w:p>
      <w:pPr>
        <w:pStyle w:val="H3"/>
        <w:numPr>
          <w:ilvl w:val="2"/>
          <w:numId w:val="1"/>
        </w:numPr>
      </w:pPr>
      <w:r>
        <w:t>Out-of-Scope Items</w:t>
      </w:r>
    </w:p>
    <w:p>
      <w:pPr>
        <w:pStyle w:val="ListParagraph"/>
        <w:numPr>
          <w:ilvl w:val="0"/>
          <w:numId w:val="4"/>
        </w:numPr>
      </w:pPr>
      <w:r>
        <w:rPr>
          <w:rFonts w:ascii="Figtree" w:hAnsi="Figtree"/>
          <w:b w:val="0"/>
          <w:i w:val="0"/>
          <w:sz w:val="22"/>
        </w:rPr>
        <w:t>Custom signer adapter for non-DFNS custody</w:t>
      </w:r>
    </w:p>
    <w:p>
      <w:pPr>
        <w:pStyle w:val="ListParagraph"/>
        <w:numPr>
          <w:ilvl w:val="0"/>
          <w:numId w:val="4"/>
        </w:numPr>
      </w:pPr>
      <w:r>
        <w:rPr>
          <w:rFonts w:ascii="Figtree" w:hAnsi="Figtree"/>
          <w:b w:val="0"/>
          <w:i w:val="0"/>
          <w:sz w:val="22"/>
        </w:rPr>
        <w:t>Custom compliance module development</w:t>
      </w:r>
    </w:p>
    <w:p>
      <w:pPr>
        <w:pStyle w:val="ListParagraph"/>
        <w:numPr>
          <w:ilvl w:val="0"/>
          <w:numId w:val="4"/>
        </w:numPr>
      </w:pPr>
      <w:r>
        <w:rPr>
          <w:rFonts w:ascii="Figtree" w:hAnsi="Figtree"/>
          <w:b w:val="0"/>
          <w:i w:val="0"/>
          <w:sz w:val="22"/>
        </w:rPr>
        <w:t>Consumer data migration</w:t>
      </w:r>
    </w:p>
    <w:p>
      <w:pPr>
        <w:pStyle w:val="ListParagraph"/>
        <w:numPr>
          <w:ilvl w:val="0"/>
          <w:numId w:val="4"/>
        </w:numPr>
      </w:pPr>
      <w:r>
        <w:rPr>
          <w:rFonts w:ascii="Figtree" w:hAnsi="Figtree"/>
          <w:b w:val="0"/>
          <w:i w:val="0"/>
          <w:sz w:val="22"/>
        </w:rPr>
        <w:t>GBP, SEK, and additional currency savings products (Phase 2)</w:t>
      </w:r>
    </w:p>
    <w:p>
      <w:pPr>
        <w:pStyle w:val="ListParagraph"/>
        <w:numPr>
          <w:ilvl w:val="0"/>
          <w:numId w:val="4"/>
        </w:numPr>
      </w:pPr>
      <w:r>
        <w:rPr>
          <w:rFonts w:ascii="Figtree" w:hAnsi="Figtree"/>
          <w:b w:val="0"/>
          <w:i w:val="0"/>
          <w:sz w:val="22"/>
        </w:rPr>
        <w:t>Stablecoin payment features (Phase 2)</w:t>
      </w:r>
    </w:p>
    <w:p>
      <w:pPr>
        <w:pStyle w:val="ListParagraph"/>
        <w:numPr>
          <w:ilvl w:val="0"/>
          <w:numId w:val="4"/>
        </w:numPr>
      </w:pPr>
      <w:r>
        <w:rPr>
          <w:rFonts w:ascii="Figtree" w:hAnsi="Figtree"/>
          <w:b w:val="0"/>
          <w:i w:val="0"/>
          <w:sz w:val="22"/>
        </w:rPr>
        <w:t>Crypto asset custody services (Phase 3)</w:t>
      </w:r>
    </w:p>
    <w:p>
      <w:pPr>
        <w:pStyle w:val="ListParagraph"/>
        <w:numPr>
          <w:ilvl w:val="0"/>
          <w:numId w:val="4"/>
        </w:numPr>
      </w:pPr>
      <w:r>
        <w:rPr>
          <w:rFonts w:ascii="Figtree" w:hAnsi="Figtree"/>
          <w:b w:val="0"/>
          <w:i w:val="0"/>
          <w:sz w:val="22"/>
        </w:rPr>
        <w:t>Regulatory advisory or legal review</w:t>
      </w:r>
    </w:p>
    <w:p>
      <w:pPr>
        <w:pStyle w:val="H3"/>
        <w:numPr>
          <w:ilvl w:val="2"/>
          <w:numId w:val="1"/>
        </w:numPr>
      </w:pPr>
      <w:r>
        <w:t>Change Request Day Rates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5336"/>
        <w:gridCol w:w="3735"/>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Role</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Day Rate (EUR)</w:t>
            </w:r>
          </w:p>
        </w:tc>
      </w:tr>
      <w:tr>
        <w:trPr>
          <w:trHeight w:val="425" w:hRule="atLeast"/>
        </w:trPr>
        <w:tc>
          <w:tcPr>
            <w:tcW w:type="dxa" w:w="4873"/>
            <w:vAlign w:val="center"/>
          </w:tcPr>
          <w:p>
            <w:pPr>
              <w:spacing w:line="276" w:lineRule="auto" w:before="0" w:after="0"/>
            </w:pPr>
            <w:r/>
            <w:r>
              <w:rPr>
                <w:rFonts w:ascii="Figtree" w:hAnsi="Figtree"/>
                <w:b w:val="0"/>
                <w:i w:val="0"/>
                <w:sz w:val="20"/>
              </w:rPr>
              <w:t>Solution Architect</w:t>
            </w:r>
          </w:p>
        </w:tc>
        <w:tc>
          <w:tcPr>
            <w:tcW w:type="dxa" w:w="4873"/>
            <w:vAlign w:val="center"/>
          </w:tcPr>
          <w:p>
            <w:pPr>
              <w:spacing w:line="276" w:lineRule="auto" w:before="0" w:after="0"/>
            </w:pPr>
            <w:r/>
            <w:r>
              <w:rPr>
                <w:rFonts w:ascii="Figtree" w:hAnsi="Figtree"/>
                <w:b w:val="0"/>
                <w:i w:val="0"/>
                <w:sz w:val="20"/>
              </w:rPr>
              <w:t>2,500</w:t>
            </w:r>
          </w:p>
        </w:tc>
      </w:tr>
      <w:tr>
        <w:trPr>
          <w:trHeight w:val="425" w:hRule="atLeast"/>
        </w:trPr>
        <w:tc>
          <w:tcPr>
            <w:tcW w:type="dxa" w:w="4873"/>
            <w:vAlign w:val="center"/>
          </w:tcPr>
          <w:p>
            <w:pPr>
              <w:spacing w:line="276" w:lineRule="auto" w:before="0" w:after="0"/>
            </w:pPr>
            <w:r/>
            <w:r>
              <w:rPr>
                <w:rFonts w:ascii="Figtree" w:hAnsi="Figtree"/>
                <w:b w:val="0"/>
                <w:i w:val="0"/>
                <w:sz w:val="20"/>
              </w:rPr>
              <w:t>Platform Engineer</w:t>
            </w:r>
          </w:p>
        </w:tc>
        <w:tc>
          <w:tcPr>
            <w:tcW w:type="dxa" w:w="4873"/>
            <w:vAlign w:val="center"/>
          </w:tcPr>
          <w:p>
            <w:pPr>
              <w:spacing w:line="276" w:lineRule="auto" w:before="0" w:after="0"/>
            </w:pPr>
            <w:r/>
            <w:r>
              <w:rPr>
                <w:rFonts w:ascii="Figtree" w:hAnsi="Figtree"/>
                <w:b w:val="0"/>
                <w:i w:val="0"/>
                <w:sz w:val="20"/>
              </w:rPr>
              <w:t>2,000</w:t>
            </w:r>
          </w:p>
        </w:tc>
      </w:tr>
      <w:tr>
        <w:trPr>
          <w:trHeight w:val="425" w:hRule="atLeast"/>
        </w:trPr>
        <w:tc>
          <w:tcPr>
            <w:tcW w:type="dxa" w:w="4873"/>
            <w:vAlign w:val="center"/>
          </w:tcPr>
          <w:p>
            <w:pPr>
              <w:spacing w:line="276" w:lineRule="auto" w:before="0" w:after="0"/>
            </w:pPr>
            <w:r/>
            <w:r>
              <w:rPr>
                <w:rFonts w:ascii="Figtree" w:hAnsi="Figtree"/>
                <w:b w:val="0"/>
                <w:i w:val="0"/>
                <w:sz w:val="20"/>
              </w:rPr>
              <w:t>Integration Engineer</w:t>
            </w:r>
          </w:p>
        </w:tc>
        <w:tc>
          <w:tcPr>
            <w:tcW w:type="dxa" w:w="4873"/>
            <w:vAlign w:val="center"/>
          </w:tcPr>
          <w:p>
            <w:pPr>
              <w:spacing w:line="276" w:lineRule="auto" w:before="0" w:after="0"/>
            </w:pPr>
            <w:r/>
            <w:r>
              <w:rPr>
                <w:rFonts w:ascii="Figtree" w:hAnsi="Figtree"/>
                <w:b w:val="0"/>
                <w:i w:val="0"/>
                <w:sz w:val="20"/>
              </w:rPr>
              <w:t>2,000</w:t>
            </w:r>
          </w:p>
        </w:tc>
      </w:tr>
      <w:tr>
        <w:trPr>
          <w:trHeight w:val="425" w:hRule="atLeast"/>
        </w:trPr>
        <w:tc>
          <w:tcPr>
            <w:tcW w:type="dxa" w:w="4873"/>
            <w:vAlign w:val="center"/>
          </w:tcPr>
          <w:p>
            <w:pPr>
              <w:spacing w:line="276" w:lineRule="auto" w:before="0" w:after="0"/>
            </w:pPr>
            <w:r/>
            <w:r>
              <w:rPr>
                <w:rFonts w:ascii="Figtree" w:hAnsi="Figtree"/>
                <w:b w:val="0"/>
                <w:i w:val="0"/>
                <w:sz w:val="20"/>
              </w:rPr>
              <w:t>Security Engineer</w:t>
            </w:r>
          </w:p>
        </w:tc>
        <w:tc>
          <w:tcPr>
            <w:tcW w:type="dxa" w:w="4873"/>
            <w:vAlign w:val="center"/>
          </w:tcPr>
          <w:p>
            <w:pPr>
              <w:spacing w:line="276" w:lineRule="auto" w:before="0" w:after="0"/>
            </w:pPr>
            <w:r/>
            <w:r>
              <w:rPr>
                <w:rFonts w:ascii="Figtree" w:hAnsi="Figtree"/>
                <w:b w:val="0"/>
                <w:i w:val="0"/>
                <w:sz w:val="20"/>
              </w:rPr>
              <w:t>2,200</w:t>
            </w:r>
          </w:p>
        </w:tc>
      </w:tr>
      <w:tr>
        <w:trPr>
          <w:trHeight w:val="425" w:hRule="atLeast"/>
        </w:trPr>
        <w:tc>
          <w:tcPr>
            <w:tcW w:type="dxa" w:w="4873"/>
            <w:vAlign w:val="center"/>
          </w:tcPr>
          <w:p>
            <w:pPr>
              <w:spacing w:line="276" w:lineRule="auto" w:before="0" w:after="0"/>
            </w:pPr>
            <w:r/>
            <w:r>
              <w:rPr>
                <w:rFonts w:ascii="Figtree" w:hAnsi="Figtree"/>
                <w:b w:val="0"/>
                <w:i w:val="0"/>
                <w:sz w:val="20"/>
              </w:rPr>
              <w:t>Delivery Lead</w:t>
            </w:r>
          </w:p>
        </w:tc>
        <w:tc>
          <w:tcPr>
            <w:tcW w:type="dxa" w:w="4873"/>
            <w:vAlign w:val="center"/>
          </w:tcPr>
          <w:p>
            <w:pPr>
              <w:spacing w:line="276" w:lineRule="auto" w:before="0" w:after="0"/>
            </w:pPr>
            <w:r/>
            <w:r>
              <w:rPr>
                <w:rFonts w:ascii="Figtree" w:hAnsi="Figtree"/>
                <w:b w:val="0"/>
                <w:i w:val="0"/>
                <w:sz w:val="20"/>
              </w:rPr>
              <w:t>2,200</w:t>
            </w:r>
          </w:p>
        </w:tc>
      </w:tr>
    </w:tbl>
    <w:p>
      <w:pPr>
        <w:spacing w:before="0" w:after="0" w:line="120" w:lineRule="exact"/>
      </w:pPr>
    </w:p>
    <w:p>
      <w:r>
        <w:br w:type="page"/>
      </w:r>
    </w:p>
    <w:p>
      <w:pPr>
        <w:pStyle w:val="H2"/>
        <w:numPr>
          <w:ilvl w:val="1"/>
          <w:numId w:val="1"/>
        </w:numPr>
      </w:pPr>
      <w:r>
        <w:t>Commercial Terms</w:t>
      </w:r>
    </w:p>
    <w:p>
      <w:pPr>
        <w:pStyle w:val="H3"/>
        <w:numPr>
          <w:ilvl w:val="2"/>
          <w:numId w:val="1"/>
        </w:numPr>
      </w:pPr>
      <w:r>
        <w:t>Contract Structure</w:t>
      </w:r>
    </w:p>
    <w:p>
      <w:r>
        <w:rPr>
          <w:rFonts w:ascii="Figtree" w:hAnsi="Figtree"/>
          <w:b w:val="0"/>
          <w:i w:val="0"/>
          <w:sz w:val="22"/>
        </w:rPr>
        <w:t>Master Services Agreement with: Platform License Agreement (Enterprise tier, 3-year recommended); Implementation Statement of Work (6-phase, milestone-based); Support Services Agreement (Enterprise Support); Data Processing Agreement (GDPR); German law governing law option available.</w:t>
      </w:r>
    </w:p>
    <w:p>
      <w:pPr>
        <w:pStyle w:val="H3"/>
        <w:numPr>
          <w:ilvl w:val="2"/>
          <w:numId w:val="1"/>
        </w:numPr>
      </w:pPr>
      <w:r>
        <w:t>Payment Schedule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260"/>
        <w:gridCol w:w="4110"/>
        <w:gridCol w:w="1701"/>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Milestone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Payment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Amount (EUR)</w:t>
            </w:r>
          </w:p>
        </w:tc>
      </w:tr>
      <w:tr>
        <w:trPr>
          <w:trHeight w:val="425" w:hRule="atLeast"/>
        </w:trPr>
        <w:tc>
          <w:tcPr>
            <w:tcW w:type="dxa" w:w="3249"/>
            <w:vAlign w:val="center"/>
          </w:tcPr>
          <w:p>
            <w:pPr>
              <w:spacing w:line="276" w:lineRule="auto" w:before="0" w:after="0"/>
            </w:pPr>
            <w:r/>
            <w:r>
              <w:rPr>
                <w:rFonts w:ascii="Figtree" w:hAnsi="Figtree"/>
                <w:b w:val="0"/>
                <w:i w:val="0"/>
                <w:sz w:val="20"/>
              </w:rPr>
              <w:t>Contract execution</w:t>
            </w:r>
          </w:p>
        </w:tc>
        <w:tc>
          <w:tcPr>
            <w:tcW w:type="dxa" w:w="3249"/>
            <w:vAlign w:val="center"/>
          </w:tcPr>
          <w:p>
            <w:pPr>
              <w:spacing w:line="276" w:lineRule="auto" w:before="0" w:after="0"/>
            </w:pPr>
            <w:r/>
            <w:r>
              <w:rPr>
                <w:rFonts w:ascii="Figtree" w:hAnsi="Figtree"/>
                <w:b w:val="0"/>
                <w:i w:val="0"/>
                <w:sz w:val="20"/>
              </w:rPr>
              <w:t>Platform license Year 1 (50%)</w:t>
            </w:r>
          </w:p>
        </w:tc>
        <w:tc>
          <w:tcPr>
            <w:tcW w:type="dxa" w:w="3249"/>
            <w:vAlign w:val="center"/>
          </w:tcPr>
          <w:p>
            <w:pPr>
              <w:spacing w:line="276" w:lineRule="auto" w:before="0" w:after="0"/>
            </w:pPr>
            <w:r/>
            <w:r>
              <w:rPr>
                <w:rFonts w:ascii="Figtree" w:hAnsi="Figtree"/>
                <w:b w:val="0"/>
                <w:i w:val="0"/>
                <w:sz w:val="20"/>
              </w:rPr>
              <w:t>140,000</w:t>
            </w:r>
          </w:p>
        </w:tc>
      </w:tr>
      <w:tr>
        <w:trPr>
          <w:trHeight w:val="425" w:hRule="atLeast"/>
        </w:trPr>
        <w:tc>
          <w:tcPr>
            <w:tcW w:type="dxa" w:w="3249"/>
            <w:vAlign w:val="center"/>
          </w:tcPr>
          <w:p>
            <w:pPr>
              <w:spacing w:line="276" w:lineRule="auto" w:before="0" w:after="0"/>
            </w:pPr>
            <w:r/>
            <w:r>
              <w:rPr>
                <w:rFonts w:ascii="Figtree" w:hAnsi="Figtree"/>
                <w:b w:val="0"/>
                <w:i w:val="0"/>
                <w:sz w:val="20"/>
              </w:rPr>
              <w:t>Contract execution</w:t>
            </w:r>
          </w:p>
        </w:tc>
        <w:tc>
          <w:tcPr>
            <w:tcW w:type="dxa" w:w="3249"/>
            <w:vAlign w:val="center"/>
          </w:tcPr>
          <w:p>
            <w:pPr>
              <w:spacing w:line="276" w:lineRule="auto" w:before="0" w:after="0"/>
            </w:pPr>
            <w:r/>
            <w:r>
              <w:rPr>
                <w:rFonts w:ascii="Figtree" w:hAnsi="Figtree"/>
                <w:b w:val="0"/>
                <w:i w:val="0"/>
                <w:sz w:val="20"/>
              </w:rPr>
              <w:t>Phase 1: Discovery</w:t>
            </w:r>
          </w:p>
        </w:tc>
        <w:tc>
          <w:tcPr>
            <w:tcW w:type="dxa" w:w="3249"/>
            <w:vAlign w:val="center"/>
          </w:tcPr>
          <w:p>
            <w:pPr>
              <w:spacing w:line="276" w:lineRule="auto" w:before="0" w:after="0"/>
            </w:pPr>
            <w:r/>
            <w:r>
              <w:rPr>
                <w:rFonts w:ascii="Figtree" w:hAnsi="Figtree"/>
                <w:b w:val="0"/>
                <w:i w:val="0"/>
                <w:sz w:val="20"/>
              </w:rPr>
              <w:t>38,000</w:t>
            </w:r>
          </w:p>
        </w:tc>
      </w:tr>
      <w:tr>
        <w:trPr>
          <w:trHeight w:val="425" w:hRule="atLeast"/>
        </w:trPr>
        <w:tc>
          <w:tcPr>
            <w:tcW w:type="dxa" w:w="3249"/>
            <w:vAlign w:val="center"/>
          </w:tcPr>
          <w:p>
            <w:pPr>
              <w:spacing w:line="276" w:lineRule="auto" w:before="0" w:after="0"/>
            </w:pPr>
            <w:r/>
            <w:r>
              <w:rPr>
                <w:rFonts w:ascii="Figtree" w:hAnsi="Figtree"/>
                <w:b w:val="0"/>
                <w:i w:val="0"/>
                <w:sz w:val="20"/>
              </w:rPr>
              <w:t>Phase 1 gate review</w:t>
            </w:r>
          </w:p>
        </w:tc>
        <w:tc>
          <w:tcPr>
            <w:tcW w:type="dxa" w:w="3249"/>
            <w:vAlign w:val="center"/>
          </w:tcPr>
          <w:p>
            <w:pPr>
              <w:spacing w:line="276" w:lineRule="auto" w:before="0" w:after="0"/>
            </w:pPr>
            <w:r/>
            <w:r>
              <w:rPr>
                <w:rFonts w:ascii="Figtree" w:hAnsi="Figtree"/>
                <w:b w:val="0"/>
                <w:i w:val="0"/>
                <w:sz w:val="20"/>
              </w:rPr>
              <w:t>Phase 2: Configuration</w:t>
            </w:r>
          </w:p>
        </w:tc>
        <w:tc>
          <w:tcPr>
            <w:tcW w:type="dxa" w:w="3249"/>
            <w:vAlign w:val="center"/>
          </w:tcPr>
          <w:p>
            <w:pPr>
              <w:spacing w:line="276" w:lineRule="auto" w:before="0" w:after="0"/>
            </w:pPr>
            <w:r/>
            <w:r>
              <w:rPr>
                <w:rFonts w:ascii="Figtree" w:hAnsi="Figtree"/>
                <w:b w:val="0"/>
                <w:i w:val="0"/>
                <w:sz w:val="20"/>
              </w:rPr>
              <w:t>62,000</w:t>
            </w:r>
          </w:p>
        </w:tc>
      </w:tr>
      <w:tr>
        <w:trPr>
          <w:trHeight w:val="425" w:hRule="atLeast"/>
        </w:trPr>
        <w:tc>
          <w:tcPr>
            <w:tcW w:type="dxa" w:w="3249"/>
            <w:vAlign w:val="center"/>
          </w:tcPr>
          <w:p>
            <w:pPr>
              <w:spacing w:line="276" w:lineRule="auto" w:before="0" w:after="0"/>
            </w:pPr>
            <w:r/>
            <w:r>
              <w:rPr>
                <w:rFonts w:ascii="Figtree" w:hAnsi="Figtree"/>
                <w:b w:val="0"/>
                <w:i w:val="0"/>
                <w:sz w:val="20"/>
              </w:rPr>
              <w:t>Phase 2 gate review</w:t>
            </w:r>
          </w:p>
        </w:tc>
        <w:tc>
          <w:tcPr>
            <w:tcW w:type="dxa" w:w="3249"/>
            <w:vAlign w:val="center"/>
          </w:tcPr>
          <w:p>
            <w:pPr>
              <w:spacing w:line="276" w:lineRule="auto" w:before="0" w:after="0"/>
            </w:pPr>
            <w:r/>
            <w:r>
              <w:rPr>
                <w:rFonts w:ascii="Figtree" w:hAnsi="Figtree"/>
                <w:b w:val="0"/>
                <w:i w:val="0"/>
                <w:sz w:val="20"/>
              </w:rPr>
              <w:t>Phase 3 commencement</w:t>
            </w:r>
          </w:p>
        </w:tc>
        <w:tc>
          <w:tcPr>
            <w:tcW w:type="dxa" w:w="3249"/>
            <w:vAlign w:val="center"/>
          </w:tcPr>
          <w:p>
            <w:pPr>
              <w:spacing w:line="276" w:lineRule="auto" w:before="0" w:after="0"/>
            </w:pPr>
            <w:r/>
            <w:r>
              <w:rPr>
                <w:rFonts w:ascii="Figtree" w:hAnsi="Figtree"/>
                <w:b w:val="0"/>
                <w:i w:val="0"/>
                <w:sz w:val="20"/>
              </w:rPr>
              <w:t>52,500</w:t>
            </w:r>
          </w:p>
        </w:tc>
      </w:tr>
      <w:tr>
        <w:trPr>
          <w:trHeight w:val="425" w:hRule="atLeast"/>
        </w:trPr>
        <w:tc>
          <w:tcPr>
            <w:tcW w:type="dxa" w:w="3249"/>
            <w:vAlign w:val="center"/>
          </w:tcPr>
          <w:p>
            <w:pPr>
              <w:spacing w:line="276" w:lineRule="auto" w:before="0" w:after="0"/>
            </w:pPr>
            <w:r/>
            <w:r>
              <w:rPr>
                <w:rFonts w:ascii="Figtree" w:hAnsi="Figtree"/>
                <w:b w:val="0"/>
                <w:i w:val="0"/>
                <w:sz w:val="20"/>
              </w:rPr>
              <w:t>Phase 3 gate review</w:t>
            </w:r>
          </w:p>
        </w:tc>
        <w:tc>
          <w:tcPr>
            <w:tcW w:type="dxa" w:w="3249"/>
            <w:vAlign w:val="center"/>
          </w:tcPr>
          <w:p>
            <w:pPr>
              <w:spacing w:line="276" w:lineRule="auto" w:before="0" w:after="0"/>
            </w:pPr>
            <w:r/>
            <w:r>
              <w:rPr>
                <w:rFonts w:ascii="Figtree" w:hAnsi="Figtree"/>
                <w:b w:val="0"/>
                <w:i w:val="0"/>
                <w:sz w:val="20"/>
              </w:rPr>
              <w:t>Phase 4 commencement</w:t>
            </w:r>
          </w:p>
        </w:tc>
        <w:tc>
          <w:tcPr>
            <w:tcW w:type="dxa" w:w="3249"/>
            <w:vAlign w:val="center"/>
          </w:tcPr>
          <w:p>
            <w:pPr>
              <w:spacing w:line="276" w:lineRule="auto" w:before="0" w:after="0"/>
            </w:pPr>
            <w:r/>
            <w:r>
              <w:rPr>
                <w:rFonts w:ascii="Figtree" w:hAnsi="Figtree"/>
                <w:b w:val="0"/>
                <w:i w:val="0"/>
                <w:sz w:val="20"/>
              </w:rPr>
              <w:t>52,500</w:t>
            </w:r>
          </w:p>
        </w:tc>
      </w:tr>
      <w:tr>
        <w:trPr>
          <w:trHeight w:val="425" w:hRule="atLeast"/>
        </w:trPr>
        <w:tc>
          <w:tcPr>
            <w:tcW w:type="dxa" w:w="3249"/>
            <w:vAlign w:val="center"/>
          </w:tcPr>
          <w:p>
            <w:pPr>
              <w:spacing w:line="276" w:lineRule="auto" w:before="0" w:after="0"/>
            </w:pPr>
            <w:r/>
            <w:r>
              <w:rPr>
                <w:rFonts w:ascii="Figtree" w:hAnsi="Figtree"/>
                <w:b w:val="0"/>
                <w:i w:val="0"/>
                <w:sz w:val="20"/>
              </w:rPr>
              <w:t>Phase 4 gate review</w:t>
            </w:r>
          </w:p>
        </w:tc>
        <w:tc>
          <w:tcPr>
            <w:tcW w:type="dxa" w:w="3249"/>
            <w:vAlign w:val="center"/>
          </w:tcPr>
          <w:p>
            <w:pPr>
              <w:spacing w:line="276" w:lineRule="auto" w:before="0" w:after="0"/>
            </w:pPr>
            <w:r/>
            <w:r>
              <w:rPr>
                <w:rFonts w:ascii="Figtree" w:hAnsi="Figtree"/>
                <w:b w:val="0"/>
                <w:i w:val="0"/>
                <w:sz w:val="20"/>
              </w:rPr>
              <w:t>Phase 5 and 6 balance</w:t>
            </w:r>
          </w:p>
        </w:tc>
        <w:tc>
          <w:tcPr>
            <w:tcW w:type="dxa" w:w="3249"/>
            <w:vAlign w:val="center"/>
          </w:tcPr>
          <w:p>
            <w:pPr>
              <w:spacing w:line="276" w:lineRule="auto" w:before="0" w:after="0"/>
            </w:pPr>
            <w:r/>
            <w:r>
              <w:rPr>
                <w:rFonts w:ascii="Figtree" w:hAnsi="Figtree"/>
                <w:b w:val="0"/>
                <w:i w:val="0"/>
                <w:sz w:val="20"/>
              </w:rPr>
              <w:t>85,000</w:t>
            </w:r>
          </w:p>
        </w:tc>
      </w:tr>
      <w:tr>
        <w:trPr>
          <w:trHeight w:val="425" w:hRule="atLeast"/>
        </w:trPr>
        <w:tc>
          <w:tcPr>
            <w:tcW w:type="dxa" w:w="3249"/>
            <w:vAlign w:val="center"/>
          </w:tcPr>
          <w:p>
            <w:pPr>
              <w:spacing w:line="276" w:lineRule="auto" w:before="0" w:after="0"/>
            </w:pPr>
            <w:r/>
            <w:r>
              <w:rPr>
                <w:rFonts w:ascii="Figtree" w:hAnsi="Figtree"/>
                <w:b w:val="0"/>
                <w:i w:val="0"/>
                <w:sz w:val="20"/>
              </w:rPr>
              <w:t>Production go-live</w:t>
            </w:r>
          </w:p>
        </w:tc>
        <w:tc>
          <w:tcPr>
            <w:tcW w:type="dxa" w:w="3249"/>
            <w:vAlign w:val="center"/>
          </w:tcPr>
          <w:p>
            <w:pPr>
              <w:spacing w:line="276" w:lineRule="auto" w:before="0" w:after="0"/>
            </w:pPr>
            <w:r/>
            <w:r>
              <w:rPr>
                <w:rFonts w:ascii="Figtree" w:hAnsi="Figtree"/>
                <w:b w:val="0"/>
                <w:i w:val="0"/>
                <w:sz w:val="20"/>
              </w:rPr>
              <w:t>Platform license Year 1 (50%)</w:t>
            </w:r>
          </w:p>
        </w:tc>
        <w:tc>
          <w:tcPr>
            <w:tcW w:type="dxa" w:w="3249"/>
            <w:vAlign w:val="center"/>
          </w:tcPr>
          <w:p>
            <w:pPr>
              <w:spacing w:line="276" w:lineRule="auto" w:before="0" w:after="0"/>
            </w:pPr>
            <w:r/>
            <w:r>
              <w:rPr>
                <w:rFonts w:ascii="Figtree" w:hAnsi="Figtree"/>
                <w:b w:val="0"/>
                <w:i w:val="0"/>
                <w:sz w:val="20"/>
              </w:rPr>
              <w:t>140,000</w:t>
            </w:r>
          </w:p>
        </w:tc>
      </w:tr>
      <w:tr>
        <w:trPr>
          <w:trHeight w:val="425" w:hRule="atLeast"/>
        </w:trPr>
        <w:tc>
          <w:tcPr>
            <w:tcW w:type="dxa" w:w="3249"/>
            <w:vAlign w:val="center"/>
          </w:tcPr>
          <w:p>
            <w:pPr>
              <w:spacing w:line="276" w:lineRule="auto" w:before="0" w:after="0"/>
            </w:pPr>
            <w:r/>
            <w:r>
              <w:rPr>
                <w:rFonts w:ascii="Figtree" w:hAnsi="Figtree"/>
                <w:b w:val="0"/>
                <w:i w:val="0"/>
                <w:sz w:val="20"/>
              </w:rPr>
              <w:t>Annual renewal (Year 2)</w:t>
            </w:r>
          </w:p>
        </w:tc>
        <w:tc>
          <w:tcPr>
            <w:tcW w:type="dxa" w:w="3249"/>
            <w:vAlign w:val="center"/>
          </w:tcPr>
          <w:p>
            <w:pPr>
              <w:spacing w:line="276" w:lineRule="auto" w:before="0" w:after="0"/>
            </w:pPr>
            <w:r/>
            <w:r>
              <w:rPr>
                <w:rFonts w:ascii="Figtree" w:hAnsi="Figtree"/>
                <w:b w:val="0"/>
                <w:i w:val="0"/>
                <w:sz w:val="20"/>
              </w:rPr>
              <w:t>Platform license Year 2</w:t>
            </w:r>
          </w:p>
        </w:tc>
        <w:tc>
          <w:tcPr>
            <w:tcW w:type="dxa" w:w="3249"/>
            <w:vAlign w:val="center"/>
          </w:tcPr>
          <w:p>
            <w:pPr>
              <w:spacing w:line="276" w:lineRule="auto" w:before="0" w:after="0"/>
            </w:pPr>
            <w:r/>
            <w:r>
              <w:rPr>
                <w:rFonts w:ascii="Figtree" w:hAnsi="Figtree"/>
                <w:b w:val="0"/>
                <w:i w:val="0"/>
                <w:sz w:val="20"/>
              </w:rPr>
              <w:t>280,000</w:t>
            </w:r>
          </w:p>
        </w:tc>
      </w:tr>
      <w:tr>
        <w:trPr>
          <w:trHeight w:val="425" w:hRule="atLeast"/>
        </w:trPr>
        <w:tc>
          <w:tcPr>
            <w:tcW w:type="dxa" w:w="3249"/>
            <w:vAlign w:val="center"/>
          </w:tcPr>
          <w:p>
            <w:pPr>
              <w:spacing w:line="276" w:lineRule="auto" w:before="0" w:after="0"/>
            </w:pPr>
            <w:r/>
            <w:r>
              <w:rPr>
                <w:rFonts w:ascii="Figtree" w:hAnsi="Figtree"/>
                <w:b w:val="0"/>
                <w:i w:val="0"/>
                <w:sz w:val="20"/>
              </w:rPr>
              <w:t>Annual renewal (Year 2)</w:t>
            </w:r>
          </w:p>
        </w:tc>
        <w:tc>
          <w:tcPr>
            <w:tcW w:type="dxa" w:w="3249"/>
            <w:vAlign w:val="center"/>
          </w:tcPr>
          <w:p>
            <w:pPr>
              <w:spacing w:line="276" w:lineRule="auto" w:before="0" w:after="0"/>
            </w:pPr>
            <w:r/>
            <w:r>
              <w:rPr>
                <w:rFonts w:ascii="Figtree" w:hAnsi="Figtree"/>
                <w:b w:val="0"/>
                <w:i w:val="0"/>
                <w:sz w:val="20"/>
              </w:rPr>
              <w:t>Support Year 2</w:t>
            </w:r>
          </w:p>
        </w:tc>
        <w:tc>
          <w:tcPr>
            <w:tcW w:type="dxa" w:w="3249"/>
            <w:vAlign w:val="center"/>
          </w:tcPr>
          <w:p>
            <w:pPr>
              <w:spacing w:line="276" w:lineRule="auto" w:before="0" w:after="0"/>
            </w:pPr>
            <w:r/>
            <w:r>
              <w:rPr>
                <w:rFonts w:ascii="Figtree" w:hAnsi="Figtree"/>
                <w:b w:val="0"/>
                <w:i w:val="0"/>
                <w:sz w:val="20"/>
              </w:rPr>
              <w:t>120,000</w:t>
            </w:r>
          </w:p>
        </w:tc>
      </w:tr>
      <w:tr>
        <w:trPr>
          <w:trHeight w:val="425" w:hRule="atLeast"/>
        </w:trPr>
        <w:tc>
          <w:tcPr>
            <w:tcW w:type="dxa" w:w="3249"/>
            <w:vAlign w:val="center"/>
          </w:tcPr>
          <w:p>
            <w:pPr>
              <w:spacing w:line="276" w:lineRule="auto" w:before="0" w:after="0"/>
            </w:pPr>
            <w:r/>
            <w:r>
              <w:rPr>
                <w:rFonts w:ascii="Figtree" w:hAnsi="Figtree"/>
                <w:b w:val="0"/>
                <w:i w:val="0"/>
                <w:sz w:val="20"/>
              </w:rPr>
              <w:t>Annual renewal (Year 3)</w:t>
            </w:r>
          </w:p>
        </w:tc>
        <w:tc>
          <w:tcPr>
            <w:tcW w:type="dxa" w:w="3249"/>
            <w:vAlign w:val="center"/>
          </w:tcPr>
          <w:p>
            <w:pPr>
              <w:spacing w:line="276" w:lineRule="auto" w:before="0" w:after="0"/>
            </w:pPr>
            <w:r/>
            <w:r>
              <w:rPr>
                <w:rFonts w:ascii="Figtree" w:hAnsi="Figtree"/>
                <w:b w:val="0"/>
                <w:i w:val="0"/>
                <w:sz w:val="20"/>
              </w:rPr>
              <w:t>Platform license Year 3</w:t>
            </w:r>
          </w:p>
        </w:tc>
        <w:tc>
          <w:tcPr>
            <w:tcW w:type="dxa" w:w="3249"/>
            <w:vAlign w:val="center"/>
          </w:tcPr>
          <w:p>
            <w:pPr>
              <w:spacing w:line="276" w:lineRule="auto" w:before="0" w:after="0"/>
            </w:pPr>
            <w:r/>
            <w:r>
              <w:rPr>
                <w:rFonts w:ascii="Figtree" w:hAnsi="Figtree"/>
                <w:b w:val="0"/>
                <w:i w:val="0"/>
                <w:sz w:val="20"/>
              </w:rPr>
              <w:t>308,000</w:t>
            </w:r>
          </w:p>
        </w:tc>
      </w:tr>
      <w:tr>
        <w:trPr>
          <w:trHeight w:val="425" w:hRule="atLeast"/>
        </w:trPr>
        <w:tc>
          <w:tcPr>
            <w:tcW w:type="dxa" w:w="3249"/>
            <w:vAlign w:val="center"/>
          </w:tcPr>
          <w:p>
            <w:pPr>
              <w:spacing w:line="276" w:lineRule="auto" w:before="0" w:after="0"/>
            </w:pPr>
            <w:r/>
            <w:r>
              <w:rPr>
                <w:rFonts w:ascii="Figtree" w:hAnsi="Figtree"/>
                <w:b w:val="0"/>
                <w:i w:val="0"/>
                <w:sz w:val="20"/>
              </w:rPr>
              <w:t>Annual renewal (Year 3)</w:t>
            </w:r>
          </w:p>
        </w:tc>
        <w:tc>
          <w:tcPr>
            <w:tcW w:type="dxa" w:w="3249"/>
            <w:vAlign w:val="center"/>
          </w:tcPr>
          <w:p>
            <w:pPr>
              <w:spacing w:line="276" w:lineRule="auto" w:before="0" w:after="0"/>
            </w:pPr>
            <w:r/>
            <w:r>
              <w:rPr>
                <w:rFonts w:ascii="Figtree" w:hAnsi="Figtree"/>
                <w:b w:val="0"/>
                <w:i w:val="0"/>
                <w:sz w:val="20"/>
              </w:rPr>
              <w:t>Support Year 3</w:t>
            </w:r>
          </w:p>
        </w:tc>
        <w:tc>
          <w:tcPr>
            <w:tcW w:type="dxa" w:w="3249"/>
            <w:vAlign w:val="center"/>
          </w:tcPr>
          <w:p>
            <w:pPr>
              <w:spacing w:line="276" w:lineRule="auto" w:before="0" w:after="0"/>
            </w:pPr>
            <w:r/>
            <w:r>
              <w:rPr>
                <w:rFonts w:ascii="Figtree" w:hAnsi="Figtree"/>
                <w:b w:val="0"/>
                <w:i w:val="0"/>
                <w:sz w:val="20"/>
              </w:rPr>
              <w:t>120,000</w:t>
            </w:r>
          </w:p>
        </w:tc>
      </w:tr>
    </w:tbl>
    <w:p>
      <w:pPr>
        <w:spacing w:before="0" w:after="0" w:line="120" w:lineRule="exact"/>
      </w:pPr>
    </w:p>
    <w:p>
      <w:pPr>
        <w:pStyle w:val="H3"/>
        <w:numPr>
          <w:ilvl w:val="2"/>
          <w:numId w:val="1"/>
        </w:numPr>
      </w:pPr>
      <w:r>
        <w:t>Minimum Contract Term</w:t>
      </w:r>
    </w:p>
    <w:p>
      <w:r>
        <w:rPr>
          <w:rFonts w:ascii="Figtree" w:hAnsi="Figtree"/>
          <w:b w:val="0"/>
          <w:i w:val="0"/>
          <w:sz w:val="22"/>
        </w:rPr>
        <w:t>Recommended 3 years. Annual break right at each renewal with 90 days written notice.</w:t>
      </w:r>
    </w:p>
    <w:p>
      <w:pPr>
        <w:pStyle w:val="H3"/>
        <w:numPr>
          <w:ilvl w:val="2"/>
          <w:numId w:val="1"/>
        </w:numPr>
      </w:pPr>
      <w:r>
        <w:t>Intellectual Property and Data</w:t>
      </w:r>
    </w:p>
    <w:p>
      <w:r>
        <w:rPr>
          <w:rFonts w:ascii="Figtree" w:hAnsi="Figtree"/>
          <w:b w:val="0"/>
          <w:i w:val="0"/>
          <w:sz w:val="22"/>
        </w:rPr>
        <w:t>N26 retains ownership of all customer data and digital asset transaction records. DALP stores hashed customer references; personal data remains in N26's systems. Platform software licensed, not transferred. N26-specific configurations (consumer compliance module parameters, product configurations) remain N26's property.</w:t>
      </w:r>
    </w:p>
    <w:p>
      <w:pPr>
        <w:pStyle w:val="H3"/>
        <w:numPr>
          <w:ilvl w:val="2"/>
          <w:numId w:val="1"/>
        </w:numPr>
      </w:pPr>
      <w:r>
        <w:t>Exit Assistance</w:t>
      </w:r>
    </w:p>
    <w:p>
      <w:r>
        <w:rPr>
          <w:rFonts w:ascii="Figtree" w:hAnsi="Figtree"/>
          <w:b w:val="0"/>
          <w:i w:val="0"/>
          <w:sz w:val="22"/>
        </w:rPr>
        <w:t>Complete data export (JSON, CSV, structured database). 90-day post-termination data access. Technical handover (up to 3 days). Audit log preservation for BaFin retention requirements.</w:t>
      </w:r>
    </w:p>
    <w:p>
      <w:r>
        <w:br w:type="page"/>
      </w:r>
    </w:p>
    <w:p>
      <w:pPr>
        <w:pStyle w:val="H2"/>
        <w:numPr>
          <w:ilvl w:val="1"/>
          <w:numId w:val="1"/>
        </w:numPr>
      </w:pPr>
      <w:r>
        <w:t>Total Cost of Ownership</w:t>
      </w:r>
    </w:p>
    <w:p>
      <w:pPr>
        <w:pStyle w:val="H3"/>
        <w:numPr>
          <w:ilvl w:val="2"/>
          <w:numId w:val="1"/>
        </w:numPr>
      </w:pPr>
      <w:r>
        <w:t>3-Year TCO Model</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542"/>
        <w:gridCol w:w="1468"/>
        <w:gridCol w:w="1296"/>
        <w:gridCol w:w="1296"/>
        <w:gridCol w:w="1468"/>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Cost Category</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1</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2</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3</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3-Year Total</w:t>
            </w:r>
          </w:p>
        </w:tc>
      </w:tr>
      <w:tr>
        <w:trPr>
          <w:trHeight w:val="425" w:hRule="atLeast"/>
        </w:trPr>
        <w:tc>
          <w:tcPr>
            <w:tcW w:type="dxa" w:w="1949"/>
            <w:vAlign w:val="center"/>
          </w:tcPr>
          <w:p>
            <w:pPr>
              <w:spacing w:line="276" w:lineRule="auto" w:before="0" w:after="0"/>
            </w:pPr>
            <w:r/>
            <w:r>
              <w:rPr>
                <w:rFonts w:ascii="Figtree" w:hAnsi="Figtree"/>
                <w:b w:val="0"/>
                <w:i w:val="0"/>
                <w:sz w:val="20"/>
              </w:rPr>
              <w:t>Platform License (Enterprise Production)</w:t>
            </w:r>
          </w:p>
        </w:tc>
        <w:tc>
          <w:tcPr>
            <w:tcW w:type="dxa" w:w="1949"/>
            <w:vAlign w:val="center"/>
          </w:tcPr>
          <w:p>
            <w:pPr>
              <w:spacing w:line="276" w:lineRule="auto" w:before="0" w:after="0"/>
            </w:pPr>
            <w:r/>
            <w:r>
              <w:rPr>
                <w:rFonts w:ascii="Figtree" w:hAnsi="Figtree"/>
                <w:b w:val="0"/>
                <w:i w:val="0"/>
                <w:sz w:val="20"/>
              </w:rPr>
              <w:t>EUR 280,000</w:t>
            </w:r>
          </w:p>
        </w:tc>
        <w:tc>
          <w:tcPr>
            <w:tcW w:type="dxa" w:w="1949"/>
            <w:vAlign w:val="center"/>
          </w:tcPr>
          <w:p>
            <w:pPr>
              <w:spacing w:line="276" w:lineRule="auto" w:before="0" w:after="0"/>
            </w:pPr>
            <w:r/>
            <w:r>
              <w:rPr>
                <w:rFonts w:ascii="Figtree" w:hAnsi="Figtree"/>
                <w:b w:val="0"/>
                <w:i w:val="0"/>
                <w:sz w:val="20"/>
              </w:rPr>
              <w:t>EUR 280,000</w:t>
            </w:r>
          </w:p>
        </w:tc>
        <w:tc>
          <w:tcPr>
            <w:tcW w:type="dxa" w:w="1949"/>
            <w:vAlign w:val="center"/>
          </w:tcPr>
          <w:p>
            <w:pPr>
              <w:spacing w:line="276" w:lineRule="auto" w:before="0" w:after="0"/>
            </w:pPr>
            <w:r/>
            <w:r>
              <w:rPr>
                <w:rFonts w:ascii="Figtree" w:hAnsi="Figtree"/>
                <w:b w:val="0"/>
                <w:i w:val="0"/>
                <w:sz w:val="20"/>
              </w:rPr>
              <w:t>EUR 308,000</w:t>
            </w:r>
          </w:p>
        </w:tc>
        <w:tc>
          <w:tcPr>
            <w:tcW w:type="dxa" w:w="1949"/>
            <w:vAlign w:val="center"/>
          </w:tcPr>
          <w:p>
            <w:pPr>
              <w:spacing w:line="276" w:lineRule="auto" w:before="0" w:after="0"/>
            </w:pPr>
            <w:r/>
            <w:r>
              <w:rPr>
                <w:rFonts w:ascii="Figtree" w:hAnsi="Figtree"/>
                <w:b w:val="0"/>
                <w:i w:val="0"/>
                <w:sz w:val="20"/>
              </w:rPr>
              <w:t>EUR 868,000</w:t>
            </w:r>
          </w:p>
        </w:tc>
      </w:tr>
      <w:tr>
        <w:trPr>
          <w:trHeight w:val="425" w:hRule="atLeast"/>
        </w:trPr>
        <w:tc>
          <w:tcPr>
            <w:tcW w:type="dxa" w:w="1949"/>
            <w:vAlign w:val="center"/>
          </w:tcPr>
          <w:p>
            <w:pPr>
              <w:spacing w:line="276" w:lineRule="auto" w:before="0" w:after="0"/>
            </w:pPr>
            <w:r/>
            <w:r>
              <w:rPr>
                <w:rFonts w:ascii="Figtree" w:hAnsi="Figtree"/>
                <w:b w:val="0"/>
                <w:i w:val="0"/>
                <w:sz w:val="20"/>
              </w:rPr>
              <w:t>Platform License (Foundation Dev/Staging)</w:t>
            </w:r>
          </w:p>
        </w:tc>
        <w:tc>
          <w:tcPr>
            <w:tcW w:type="dxa" w:w="1949"/>
            <w:vAlign w:val="center"/>
          </w:tcPr>
          <w:p>
            <w:pPr>
              <w:spacing w:line="276" w:lineRule="auto" w:before="0" w:after="0"/>
            </w:pPr>
            <w:r/>
            <w:r>
              <w:rPr>
                <w:rFonts w:ascii="Figtree" w:hAnsi="Figtree"/>
                <w:b w:val="0"/>
                <w:i w:val="0"/>
                <w:sz w:val="20"/>
              </w:rPr>
              <w:t>EUR 60,000</w:t>
            </w:r>
          </w:p>
        </w:tc>
        <w:tc>
          <w:tcPr>
            <w:tcW w:type="dxa" w:w="1949"/>
            <w:vAlign w:val="center"/>
          </w:tcPr>
          <w:p>
            <w:pPr>
              <w:spacing w:line="276" w:lineRule="auto" w:before="0" w:after="0"/>
            </w:pPr>
            <w:r/>
            <w:r>
              <w:rPr>
                <w:rFonts w:ascii="Figtree" w:hAnsi="Figtree"/>
                <w:b w:val="0"/>
                <w:i w:val="0"/>
                <w:sz w:val="20"/>
              </w:rPr>
              <w:t>EUR 60,000</w:t>
            </w:r>
          </w:p>
        </w:tc>
        <w:tc>
          <w:tcPr>
            <w:tcW w:type="dxa" w:w="1949"/>
            <w:vAlign w:val="center"/>
          </w:tcPr>
          <w:p>
            <w:pPr>
              <w:spacing w:line="276" w:lineRule="auto" w:before="0" w:after="0"/>
            </w:pPr>
            <w:r/>
            <w:r>
              <w:rPr>
                <w:rFonts w:ascii="Figtree" w:hAnsi="Figtree"/>
                <w:b w:val="0"/>
                <w:i w:val="0"/>
                <w:sz w:val="20"/>
              </w:rPr>
              <w:t>EUR 66,000</w:t>
            </w:r>
          </w:p>
        </w:tc>
        <w:tc>
          <w:tcPr>
            <w:tcW w:type="dxa" w:w="1949"/>
            <w:vAlign w:val="center"/>
          </w:tcPr>
          <w:p>
            <w:pPr>
              <w:spacing w:line="276" w:lineRule="auto" w:before="0" w:after="0"/>
            </w:pPr>
            <w:r/>
            <w:r>
              <w:rPr>
                <w:rFonts w:ascii="Figtree" w:hAnsi="Figtree"/>
                <w:b w:val="0"/>
                <w:i w:val="0"/>
                <w:sz w:val="20"/>
              </w:rPr>
              <w:t>EUR 186,000</w:t>
            </w:r>
          </w:p>
        </w:tc>
      </w:tr>
      <w:tr>
        <w:trPr>
          <w:trHeight w:val="425" w:hRule="atLeast"/>
        </w:trPr>
        <w:tc>
          <w:tcPr>
            <w:tcW w:type="dxa" w:w="1949"/>
            <w:vAlign w:val="center"/>
          </w:tcPr>
          <w:p>
            <w:pPr>
              <w:spacing w:line="276" w:lineRule="auto" w:before="0" w:after="0"/>
            </w:pPr>
            <w:r/>
            <w:r>
              <w:rPr>
                <w:rFonts w:ascii="Figtree" w:hAnsi="Figtree"/>
                <w:b w:val="0"/>
                <w:i w:val="0"/>
                <w:sz w:val="20"/>
              </w:rPr>
              <w:t>Enterprise Support</w:t>
            </w:r>
          </w:p>
        </w:tc>
        <w:tc>
          <w:tcPr>
            <w:tcW w:type="dxa" w:w="1949"/>
            <w:vAlign w:val="center"/>
          </w:tcPr>
          <w:p>
            <w:pPr>
              <w:spacing w:line="276" w:lineRule="auto" w:before="0" w:after="0"/>
            </w:pPr>
            <w:r/>
            <w:r>
              <w:rPr>
                <w:rFonts w:ascii="Figtree" w:hAnsi="Figtree"/>
                <w:b w:val="0"/>
                <w:i w:val="0"/>
                <w:sz w:val="20"/>
              </w:rPr>
              <w:t>EUR 120,000</w:t>
            </w:r>
          </w:p>
        </w:tc>
        <w:tc>
          <w:tcPr>
            <w:tcW w:type="dxa" w:w="1949"/>
            <w:vAlign w:val="center"/>
          </w:tcPr>
          <w:p>
            <w:pPr>
              <w:spacing w:line="276" w:lineRule="auto" w:before="0" w:after="0"/>
            </w:pPr>
            <w:r/>
            <w:r>
              <w:rPr>
                <w:rFonts w:ascii="Figtree" w:hAnsi="Figtree"/>
                <w:b w:val="0"/>
                <w:i w:val="0"/>
                <w:sz w:val="20"/>
              </w:rPr>
              <w:t>EUR 120,000</w:t>
            </w:r>
          </w:p>
        </w:tc>
        <w:tc>
          <w:tcPr>
            <w:tcW w:type="dxa" w:w="1949"/>
            <w:vAlign w:val="center"/>
          </w:tcPr>
          <w:p>
            <w:pPr>
              <w:spacing w:line="276" w:lineRule="auto" w:before="0" w:after="0"/>
            </w:pPr>
            <w:r/>
            <w:r>
              <w:rPr>
                <w:rFonts w:ascii="Figtree" w:hAnsi="Figtree"/>
                <w:b w:val="0"/>
                <w:i w:val="0"/>
                <w:sz w:val="20"/>
              </w:rPr>
              <w:t>EUR 120,000</w:t>
            </w:r>
          </w:p>
        </w:tc>
        <w:tc>
          <w:tcPr>
            <w:tcW w:type="dxa" w:w="1949"/>
            <w:vAlign w:val="center"/>
          </w:tcPr>
          <w:p>
            <w:pPr>
              <w:spacing w:line="276" w:lineRule="auto" w:before="0" w:after="0"/>
            </w:pPr>
            <w:r/>
            <w:r>
              <w:rPr>
                <w:rFonts w:ascii="Figtree" w:hAnsi="Figtree"/>
                <w:b w:val="0"/>
                <w:i w:val="0"/>
                <w:sz w:val="20"/>
              </w:rPr>
              <w:t>EUR 360,000</w:t>
            </w:r>
          </w:p>
        </w:tc>
      </w:tr>
      <w:tr>
        <w:trPr>
          <w:trHeight w:val="425" w:hRule="atLeast"/>
        </w:trPr>
        <w:tc>
          <w:tcPr>
            <w:tcW w:type="dxa" w:w="1949"/>
            <w:vAlign w:val="center"/>
          </w:tcPr>
          <w:p>
            <w:pPr>
              <w:spacing w:line="276" w:lineRule="auto" w:before="0" w:after="0"/>
            </w:pPr>
            <w:r/>
            <w:r>
              <w:rPr>
                <w:rFonts w:ascii="Figtree" w:hAnsi="Figtree"/>
                <w:b w:val="0"/>
                <w:i w:val="0"/>
                <w:sz w:val="20"/>
              </w:rPr>
              <w:t>Implementation Phase 1</w:t>
            </w:r>
          </w:p>
        </w:tc>
        <w:tc>
          <w:tcPr>
            <w:tcW w:type="dxa" w:w="1949"/>
            <w:vAlign w:val="center"/>
          </w:tcPr>
          <w:p>
            <w:pPr>
              <w:spacing w:line="276" w:lineRule="auto" w:before="0" w:after="0"/>
            </w:pPr>
            <w:r/>
            <w:r>
              <w:rPr>
                <w:rFonts w:ascii="Figtree" w:hAnsi="Figtree"/>
                <w:b w:val="0"/>
                <w:i w:val="0"/>
                <w:sz w:val="20"/>
              </w:rPr>
              <w:t>EUR 370,000</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EUR 370,000</w:t>
            </w:r>
          </w:p>
        </w:tc>
      </w:tr>
      <w:tr>
        <w:trPr>
          <w:trHeight w:val="425" w:hRule="atLeast"/>
        </w:trPr>
        <w:tc>
          <w:tcPr>
            <w:tcW w:type="dxa" w:w="1949"/>
            <w:vAlign w:val="center"/>
          </w:tcPr>
          <w:p>
            <w:pPr>
              <w:spacing w:line="276" w:lineRule="auto" w:before="0" w:after="0"/>
            </w:pPr>
            <w:r/>
            <w:r>
              <w:rPr>
                <w:rFonts w:ascii="Figtree" w:hAnsi="Figtree"/>
                <w:b w:val="0"/>
                <w:i w:val="0"/>
                <w:sz w:val="20"/>
              </w:rPr>
              <w:t>Phase 2 (stablecoin, GBP/SEK savings)</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EUR 130,000</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EUR 130,000</w:t>
            </w:r>
          </w:p>
        </w:tc>
      </w:tr>
      <w:tr>
        <w:trPr>
          <w:trHeight w:val="425" w:hRule="atLeast"/>
        </w:trPr>
        <w:tc>
          <w:tcPr>
            <w:tcW w:type="dxa" w:w="1949"/>
            <w:vAlign w:val="center"/>
          </w:tcPr>
          <w:p>
            <w:pPr>
              <w:spacing w:line="276" w:lineRule="auto" w:before="0" w:after="0"/>
            </w:pPr>
            <w:r/>
            <w:r>
              <w:rPr>
                <w:rFonts w:ascii="Figtree" w:hAnsi="Figtree"/>
                <w:b w:val="0"/>
                <w:i w:val="0"/>
                <w:sz w:val="20"/>
              </w:rPr>
              <w:t>Phase 3 (crypto asset services)</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EUR 110,000</w:t>
            </w:r>
          </w:p>
        </w:tc>
        <w:tc>
          <w:tcPr>
            <w:tcW w:type="dxa" w:w="1949"/>
            <w:vAlign w:val="center"/>
          </w:tcPr>
          <w:p>
            <w:pPr>
              <w:spacing w:line="276" w:lineRule="auto" w:before="0" w:after="0"/>
            </w:pPr>
            <w:r/>
            <w:r>
              <w:rPr>
                <w:rFonts w:ascii="Figtree" w:hAnsi="Figtree"/>
                <w:b w:val="0"/>
                <w:i w:val="0"/>
                <w:sz w:val="20"/>
              </w:rPr>
              <w:t>EUR 110,000</w:t>
            </w:r>
          </w:p>
        </w:tc>
      </w:tr>
      <w:tr>
        <w:trPr>
          <w:trHeight w:val="425" w:hRule="atLeast"/>
        </w:trPr>
        <w:tc>
          <w:tcPr>
            <w:tcW w:type="dxa" w:w="1949"/>
            <w:vAlign w:val="center"/>
          </w:tcPr>
          <w:p>
            <w:pPr>
              <w:spacing w:line="276" w:lineRule="auto" w:before="0" w:after="0"/>
            </w:pPr>
            <w:r/>
            <w:r>
              <w:rPr>
                <w:rFonts w:ascii="Figtree" w:hAnsi="Figtree"/>
                <w:b w:val="0"/>
                <w:i w:val="0"/>
                <w:sz w:val="20"/>
              </w:rPr>
              <w:t>N26 Kubernetes infrastructure</w:t>
            </w:r>
          </w:p>
        </w:tc>
        <w:tc>
          <w:tcPr>
            <w:tcW w:type="dxa" w:w="1949"/>
            <w:vAlign w:val="center"/>
          </w:tcPr>
          <w:p>
            <w:pPr>
              <w:spacing w:line="276" w:lineRule="auto" w:before="0" w:after="0"/>
            </w:pPr>
            <w:r/>
            <w:r>
              <w:rPr>
                <w:rFonts w:ascii="Figtree" w:hAnsi="Figtree"/>
                <w:b w:val="0"/>
                <w:i w:val="0"/>
                <w:sz w:val="20"/>
              </w:rPr>
              <w:t>EUR 35,000</w:t>
            </w:r>
          </w:p>
        </w:tc>
        <w:tc>
          <w:tcPr>
            <w:tcW w:type="dxa" w:w="1949"/>
            <w:vAlign w:val="center"/>
          </w:tcPr>
          <w:p>
            <w:pPr>
              <w:spacing w:line="276" w:lineRule="auto" w:before="0" w:after="0"/>
            </w:pPr>
            <w:r/>
            <w:r>
              <w:rPr>
                <w:rFonts w:ascii="Figtree" w:hAnsi="Figtree"/>
                <w:b w:val="0"/>
                <w:i w:val="0"/>
                <w:sz w:val="20"/>
              </w:rPr>
              <w:t>EUR 40,000</w:t>
            </w:r>
          </w:p>
        </w:tc>
        <w:tc>
          <w:tcPr>
            <w:tcW w:type="dxa" w:w="1949"/>
            <w:vAlign w:val="center"/>
          </w:tcPr>
          <w:p>
            <w:pPr>
              <w:spacing w:line="276" w:lineRule="auto" w:before="0" w:after="0"/>
            </w:pPr>
            <w:r/>
            <w:r>
              <w:rPr>
                <w:rFonts w:ascii="Figtree" w:hAnsi="Figtree"/>
                <w:b w:val="0"/>
                <w:i w:val="0"/>
                <w:sz w:val="20"/>
              </w:rPr>
              <w:t>EUR 45,000</w:t>
            </w:r>
          </w:p>
        </w:tc>
        <w:tc>
          <w:tcPr>
            <w:tcW w:type="dxa" w:w="1949"/>
            <w:vAlign w:val="center"/>
          </w:tcPr>
          <w:p>
            <w:pPr>
              <w:spacing w:line="276" w:lineRule="auto" w:before="0" w:after="0"/>
            </w:pPr>
            <w:r/>
            <w:r>
              <w:rPr>
                <w:rFonts w:ascii="Figtree" w:hAnsi="Figtree"/>
                <w:b w:val="0"/>
                <w:i w:val="0"/>
                <w:sz w:val="20"/>
              </w:rPr>
              <w:t>EUR 120,000</w:t>
            </w:r>
          </w:p>
        </w:tc>
      </w:tr>
      <w:tr>
        <w:trPr>
          <w:trHeight w:val="425" w:hRule="atLeast"/>
        </w:trPr>
        <w:tc>
          <w:tcPr>
            <w:tcW w:type="dxa" w:w="1949"/>
            <w:vAlign w:val="center"/>
          </w:tcPr>
          <w:p>
            <w:pPr>
              <w:spacing w:line="276" w:lineRule="auto" w:before="0" w:after="0"/>
            </w:pPr>
            <w:r/>
            <w:r>
              <w:rPr>
                <w:rFonts w:ascii="Figtree" w:hAnsi="Figtree"/>
                <w:b w:val="0"/>
                <w:i w:val="0"/>
                <w:sz w:val="20"/>
              </w:rPr>
              <w:t>DFNS custody (consumer wallets)</w:t>
            </w:r>
          </w:p>
        </w:tc>
        <w:tc>
          <w:tcPr>
            <w:tcW w:type="dxa" w:w="1949"/>
            <w:vAlign w:val="center"/>
          </w:tcPr>
          <w:p>
            <w:pPr>
              <w:spacing w:line="276" w:lineRule="auto" w:before="0" w:after="0"/>
            </w:pPr>
            <w:r/>
            <w:r>
              <w:rPr>
                <w:rFonts w:ascii="Figtree" w:hAnsi="Figtree"/>
                <w:b w:val="0"/>
                <w:i w:val="0"/>
                <w:sz w:val="20"/>
              </w:rPr>
              <w:t>EUR 60,000</w:t>
            </w:r>
          </w:p>
        </w:tc>
        <w:tc>
          <w:tcPr>
            <w:tcW w:type="dxa" w:w="1949"/>
            <w:vAlign w:val="center"/>
          </w:tcPr>
          <w:p>
            <w:pPr>
              <w:spacing w:line="276" w:lineRule="auto" w:before="0" w:after="0"/>
            </w:pPr>
            <w:r/>
            <w:r>
              <w:rPr>
                <w:rFonts w:ascii="Figtree" w:hAnsi="Figtree"/>
                <w:b w:val="0"/>
                <w:i w:val="0"/>
                <w:sz w:val="20"/>
              </w:rPr>
              <w:t>EUR 65,000</w:t>
            </w:r>
          </w:p>
        </w:tc>
        <w:tc>
          <w:tcPr>
            <w:tcW w:type="dxa" w:w="1949"/>
            <w:vAlign w:val="center"/>
          </w:tcPr>
          <w:p>
            <w:pPr>
              <w:spacing w:line="276" w:lineRule="auto" w:before="0" w:after="0"/>
            </w:pPr>
            <w:r/>
            <w:r>
              <w:rPr>
                <w:rFonts w:ascii="Figtree" w:hAnsi="Figtree"/>
                <w:b w:val="0"/>
                <w:i w:val="0"/>
                <w:sz w:val="20"/>
              </w:rPr>
              <w:t>EUR 70,000</w:t>
            </w:r>
          </w:p>
        </w:tc>
        <w:tc>
          <w:tcPr>
            <w:tcW w:type="dxa" w:w="1949"/>
            <w:vAlign w:val="center"/>
          </w:tcPr>
          <w:p>
            <w:pPr>
              <w:spacing w:line="276" w:lineRule="auto" w:before="0" w:after="0"/>
            </w:pPr>
            <w:r/>
            <w:r>
              <w:rPr>
                <w:rFonts w:ascii="Figtree" w:hAnsi="Figtree"/>
                <w:b w:val="0"/>
                <w:i w:val="0"/>
                <w:sz w:val="20"/>
              </w:rPr>
              <w:t>EUR 195,000</w:t>
            </w:r>
          </w:p>
        </w:tc>
      </w:tr>
      <w:tr>
        <w:trPr>
          <w:trHeight w:val="425" w:hRule="atLeast"/>
        </w:trPr>
        <w:tc>
          <w:tcPr>
            <w:tcW w:type="dxa" w:w="1949"/>
            <w:vAlign w:val="center"/>
          </w:tcPr>
          <w:p>
            <w:pPr>
              <w:spacing w:line="276" w:lineRule="auto" w:before="0" w:after="0"/>
            </w:pPr>
            <w:r/>
            <w:r>
              <w:rPr>
                <w:rFonts w:ascii="Figtree" w:hAnsi="Figtree"/>
                <w:b w:val="0"/>
                <w:i w:val="0"/>
                <w:sz w:val="20"/>
              </w:rPr>
              <w:t>N26 internal (1.5 FTE Year 1)</w:t>
            </w:r>
          </w:p>
        </w:tc>
        <w:tc>
          <w:tcPr>
            <w:tcW w:type="dxa" w:w="1949"/>
            <w:vAlign w:val="center"/>
          </w:tcPr>
          <w:p>
            <w:pPr>
              <w:spacing w:line="276" w:lineRule="auto" w:before="0" w:after="0"/>
            </w:pPr>
            <w:r/>
            <w:r>
              <w:rPr>
                <w:rFonts w:ascii="Figtree" w:hAnsi="Figtree"/>
                <w:b w:val="0"/>
                <w:i w:val="0"/>
                <w:sz w:val="20"/>
              </w:rPr>
              <w:t>EUR 225,000</w:t>
            </w:r>
          </w:p>
        </w:tc>
        <w:tc>
          <w:tcPr>
            <w:tcW w:type="dxa" w:w="1949"/>
            <w:vAlign w:val="center"/>
          </w:tcPr>
          <w:p>
            <w:pPr>
              <w:spacing w:line="276" w:lineRule="auto" w:before="0" w:after="0"/>
            </w:pPr>
            <w:r/>
            <w:r>
              <w:rPr>
                <w:rFonts w:ascii="Figtree" w:hAnsi="Figtree"/>
                <w:b w:val="0"/>
                <w:i w:val="0"/>
                <w:sz w:val="20"/>
              </w:rPr>
              <w:t>EUR 75,000</w:t>
            </w:r>
          </w:p>
        </w:tc>
        <w:tc>
          <w:tcPr>
            <w:tcW w:type="dxa" w:w="1949"/>
            <w:vAlign w:val="center"/>
          </w:tcPr>
          <w:p>
            <w:pPr>
              <w:spacing w:line="276" w:lineRule="auto" w:before="0" w:after="0"/>
            </w:pPr>
            <w:r/>
            <w:r>
              <w:rPr>
                <w:rFonts w:ascii="Figtree" w:hAnsi="Figtree"/>
                <w:b w:val="0"/>
                <w:i w:val="0"/>
                <w:sz w:val="20"/>
              </w:rPr>
              <w:t>EUR 75,000</w:t>
            </w:r>
          </w:p>
        </w:tc>
        <w:tc>
          <w:tcPr>
            <w:tcW w:type="dxa" w:w="1949"/>
            <w:vAlign w:val="center"/>
          </w:tcPr>
          <w:p>
            <w:pPr>
              <w:spacing w:line="276" w:lineRule="auto" w:before="0" w:after="0"/>
            </w:pPr>
            <w:r/>
            <w:r>
              <w:rPr>
                <w:rFonts w:ascii="Figtree" w:hAnsi="Figtree"/>
                <w:b w:val="0"/>
                <w:i w:val="0"/>
                <w:sz w:val="20"/>
              </w:rPr>
              <w:t>EUR 375,000</w:t>
            </w:r>
          </w:p>
        </w:tc>
      </w:tr>
      <w:tr>
        <w:trPr>
          <w:trHeight w:val="425" w:hRule="atLeast"/>
        </w:trPr>
        <w:tc>
          <w:tcPr>
            <w:tcW w:type="dxa" w:w="1949"/>
            <w:vAlign w:val="center"/>
          </w:tcPr>
          <w:p>
            <w:pPr>
              <w:spacing w:line="276" w:lineRule="auto" w:before="0" w:after="0"/>
            </w:pPr>
            <w:r/>
            <w:r>
              <w:rPr>
                <w:rFonts w:ascii="Figtree" w:hAnsi="Figtree"/>
                <w:b/>
                <w:i w:val="0"/>
                <w:sz w:val="20"/>
              </w:rPr>
              <w:t>Total 3-Year TCO</w:t>
            </w:r>
          </w:p>
        </w:tc>
        <w:tc>
          <w:tcPr>
            <w:tcW w:type="dxa" w:w="1949"/>
            <w:vAlign w:val="center"/>
          </w:tcPr>
          <w:p>
            <w:pPr>
              <w:spacing w:line="276" w:lineRule="auto" w:before="0" w:after="0"/>
            </w:pPr>
            <w:r/>
            <w:r>
              <w:rPr>
                <w:rFonts w:ascii="Figtree" w:hAnsi="Figtree"/>
                <w:b/>
                <w:i w:val="0"/>
                <w:sz w:val="20"/>
              </w:rPr>
              <w:t>EUR 1,150,000</w:t>
            </w:r>
          </w:p>
        </w:tc>
        <w:tc>
          <w:tcPr>
            <w:tcW w:type="dxa" w:w="1949"/>
            <w:vAlign w:val="center"/>
          </w:tcPr>
          <w:p>
            <w:pPr>
              <w:spacing w:line="276" w:lineRule="auto" w:before="0" w:after="0"/>
            </w:pPr>
            <w:r/>
            <w:r>
              <w:rPr>
                <w:rFonts w:ascii="Figtree" w:hAnsi="Figtree"/>
                <w:b/>
                <w:i w:val="0"/>
                <w:sz w:val="20"/>
              </w:rPr>
              <w:t>EUR 770,000</w:t>
            </w:r>
          </w:p>
        </w:tc>
        <w:tc>
          <w:tcPr>
            <w:tcW w:type="dxa" w:w="1949"/>
            <w:vAlign w:val="center"/>
          </w:tcPr>
          <w:p>
            <w:pPr>
              <w:spacing w:line="276" w:lineRule="auto" w:before="0" w:after="0"/>
            </w:pPr>
            <w:r/>
            <w:r>
              <w:rPr>
                <w:rFonts w:ascii="Figtree" w:hAnsi="Figtree"/>
                <w:b/>
                <w:i w:val="0"/>
                <w:sz w:val="20"/>
              </w:rPr>
              <w:t>EUR 794,000</w:t>
            </w:r>
          </w:p>
        </w:tc>
        <w:tc>
          <w:tcPr>
            <w:tcW w:type="dxa" w:w="1949"/>
            <w:vAlign w:val="center"/>
          </w:tcPr>
          <w:p>
            <w:pPr>
              <w:spacing w:line="276" w:lineRule="auto" w:before="0" w:after="0"/>
            </w:pPr>
            <w:r/>
            <w:r>
              <w:rPr>
                <w:rFonts w:ascii="Figtree" w:hAnsi="Figtree"/>
                <w:b/>
                <w:i w:val="0"/>
                <w:sz w:val="20"/>
              </w:rPr>
              <w:t>EUR 2,714,000</w:t>
            </w:r>
          </w:p>
        </w:tc>
      </w:tr>
    </w:tbl>
    <w:p>
      <w:pPr>
        <w:spacing w:before="0" w:after="0" w:line="120" w:lineRule="exact"/>
      </w:pPr>
    </w:p>
    <w:p>
      <w:pPr>
        <w:pStyle w:val="H3"/>
        <w:numPr>
          <w:ilvl w:val="2"/>
          <w:numId w:val="1"/>
        </w:numPr>
      </w:pPr>
      <w:r>
        <w:t>5-Year TCO vs. Build Alternative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4632"/>
        <w:gridCol w:w="4439"/>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Scenario</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5-Year Total</w:t>
            </w:r>
          </w:p>
        </w:tc>
      </w:tr>
      <w:tr>
        <w:trPr>
          <w:trHeight w:val="425" w:hRule="atLeast"/>
        </w:trPr>
        <w:tc>
          <w:tcPr>
            <w:tcW w:type="dxa" w:w="4873"/>
            <w:vAlign w:val="center"/>
          </w:tcPr>
          <w:p>
            <w:pPr>
              <w:spacing w:line="276" w:lineRule="auto" w:before="0" w:after="0"/>
            </w:pPr>
            <w:r/>
            <w:r>
              <w:rPr>
                <w:rFonts w:ascii="Figtree" w:hAnsi="Figtree"/>
                <w:b w:val="0"/>
                <w:i w:val="0"/>
                <w:sz w:val="20"/>
              </w:rPr>
              <w:t>DALP platform approach</w:t>
            </w:r>
          </w:p>
        </w:tc>
        <w:tc>
          <w:tcPr>
            <w:tcW w:type="dxa" w:w="4873"/>
            <w:vAlign w:val="center"/>
          </w:tcPr>
          <w:p>
            <w:pPr>
              <w:spacing w:line="276" w:lineRule="auto" w:before="0" w:after="0"/>
            </w:pPr>
            <w:r/>
            <w:r>
              <w:rPr>
                <w:rFonts w:ascii="Figtree" w:hAnsi="Figtree"/>
                <w:b w:val="0"/>
                <w:i w:val="0"/>
                <w:sz w:val="20"/>
              </w:rPr>
              <w:t>EUR 4,000,000</w:t>
            </w:r>
          </w:p>
        </w:tc>
      </w:tr>
      <w:tr>
        <w:trPr>
          <w:trHeight w:val="425" w:hRule="atLeast"/>
        </w:trPr>
        <w:tc>
          <w:tcPr>
            <w:tcW w:type="dxa" w:w="4873"/>
            <w:vAlign w:val="center"/>
          </w:tcPr>
          <w:p>
            <w:pPr>
              <w:spacing w:line="276" w:lineRule="auto" w:before="0" w:after="0"/>
            </w:pPr>
            <w:r/>
            <w:r>
              <w:rPr>
                <w:rFonts w:ascii="Figtree" w:hAnsi="Figtree"/>
                <w:b w:val="0"/>
                <w:i w:val="0"/>
                <w:sz w:val="20"/>
              </w:rPr>
              <w:t>Custom build alternative</w:t>
            </w:r>
          </w:p>
        </w:tc>
        <w:tc>
          <w:tcPr>
            <w:tcW w:type="dxa" w:w="4873"/>
            <w:vAlign w:val="center"/>
          </w:tcPr>
          <w:p>
            <w:pPr>
              <w:spacing w:line="276" w:lineRule="auto" w:before="0" w:after="0"/>
            </w:pPr>
            <w:r/>
            <w:r>
              <w:rPr>
                <w:rFonts w:ascii="Figtree" w:hAnsi="Figtree"/>
                <w:b w:val="0"/>
                <w:i w:val="0"/>
                <w:sz w:val="20"/>
              </w:rPr>
              <w:t>EUR 5,800,000</w:t>
            </w:r>
          </w:p>
        </w:tc>
      </w:tr>
      <w:tr>
        <w:trPr>
          <w:trHeight w:val="425" w:hRule="atLeast"/>
        </w:trPr>
        <w:tc>
          <w:tcPr>
            <w:tcW w:type="dxa" w:w="4873"/>
            <w:vAlign w:val="center"/>
          </w:tcPr>
          <w:p>
            <w:pPr>
              <w:spacing w:line="276" w:lineRule="auto" w:before="0" w:after="0"/>
            </w:pPr>
            <w:r/>
            <w:r>
              <w:rPr>
                <w:rFonts w:ascii="Figtree" w:hAnsi="Figtree"/>
                <w:b/>
                <w:i w:val="0"/>
                <w:sz w:val="20"/>
              </w:rPr>
              <w:t>DALP savings</w:t>
            </w:r>
          </w:p>
        </w:tc>
        <w:tc>
          <w:tcPr>
            <w:tcW w:type="dxa" w:w="4873"/>
            <w:vAlign w:val="center"/>
          </w:tcPr>
          <w:p>
            <w:pPr>
              <w:spacing w:line="276" w:lineRule="auto" w:before="0" w:after="0"/>
            </w:pPr>
            <w:r/>
            <w:r>
              <w:rPr>
                <w:rFonts w:ascii="Figtree" w:hAnsi="Figtree"/>
                <w:b/>
                <w:i w:val="0"/>
                <w:sz w:val="20"/>
              </w:rPr>
              <w:t>EUR 1,800,000 (31%)</w:t>
            </w:r>
          </w:p>
        </w:tc>
      </w:tr>
    </w:tbl>
    <w:p>
      <w:pPr>
        <w:spacing w:before="0" w:after="0" w:line="120" w:lineRule="exact"/>
      </w:pPr>
    </w:p>
    <w:p>
      <w:r>
        <w:br w:type="page"/>
      </w:r>
    </w:p>
    <w:p>
      <w:pPr>
        <w:pStyle w:val="H2"/>
        <w:numPr>
          <w:ilvl w:val="1"/>
          <w:numId w:val="1"/>
        </w:numPr>
      </w:pPr>
      <w:r>
        <w:t>Reference Clients</w:t>
      </w:r>
    </w:p>
    <w:p>
      <w:pPr>
        <w:pStyle w:val="H3"/>
        <w:numPr>
          <w:ilvl w:val="2"/>
          <w:numId w:val="1"/>
        </w:numPr>
      </w:pPr>
      <w:r>
        <w:t>Nordea</w:t>
      </w:r>
    </w:p>
    <w:p>
      <w:r>
        <w:rPr>
          <w:rFonts w:ascii="Figtree" w:hAnsi="Figtree"/>
          <w:b w:val="0"/>
          <w:i w:val="0"/>
          <w:sz w:val="22"/>
        </w:rPr>
        <w:t>Nordea deployed DALP for tokenized funds distribution under Nordic regulatory frameworks comparable to Germany's BaFin requirements. The Nordea reference demonstrates DALP's ability to deliver consumer-facing digital asset savings products at a Tier-1 European retail bank with compliance controls, investor eligibility verification, and yield distribution automation.</w:t>
      </w:r>
    </w:p>
    <w:p>
      <w:pPr>
        <w:pStyle w:val="H3"/>
        <w:numPr>
          <w:ilvl w:val="2"/>
          <w:numId w:val="1"/>
        </w:numPr>
      </w:pPr>
      <w:r>
        <w:t>Commerzbank</w:t>
      </w:r>
    </w:p>
    <w:p>
      <w:r>
        <w:rPr>
          <w:rFonts w:ascii="Figtree" w:hAnsi="Figtree"/>
          <w:b w:val="0"/>
          <w:i w:val="0"/>
          <w:sz w:val="22"/>
        </w:rPr>
        <w:t>Commerzbank deployed DALP under BaFin supervision in Germany. The Commerzbank reference confirms DALP's BaFin-ready compliance posture and demonstrates DALP's ability to satisfy German institutional security review and vendor risk assessment processes. EUR 7 million in annual operational savings identified during Phase 1.</w:t>
      </w:r>
    </w:p>
    <w:p>
      <w:pPr>
        <w:pStyle w:val="H3"/>
        <w:numPr>
          <w:ilvl w:val="2"/>
          <w:numId w:val="1"/>
        </w:numPr>
      </w:pPr>
      <w:r>
        <w:t>ADI Finstreet</w:t>
      </w:r>
    </w:p>
    <w:p>
      <w:r>
        <w:rPr>
          <w:rFonts w:ascii="Figtree" w:hAnsi="Figtree"/>
          <w:b w:val="0"/>
          <w:i w:val="0"/>
          <w:sz w:val="22"/>
        </w:rPr>
        <w:t>ADI Finstreet deployed tokenized equity with DFNS custody integration and embedded mobile financial product features. The ADI reference demonstrates DALP powering mobile-embedded digital asset services through DFNS passkey wallets, directly paralleling N26's requirements for consumer savings products. Reference calls available subject to confidentiality constraints.</w:t>
      </w:r>
    </w:p>
    <w:p>
      <w:r>
        <w:br w:type="page"/>
      </w:r>
    </w:p>
    <w:p>
      <w:pPr>
        <w:pStyle w:val="H2"/>
        <w:numPr>
          <w:ilvl w:val="1"/>
          <w:numId w:val="1"/>
        </w:numPr>
      </w:pPr>
      <w:r>
        <w:t>Next Steps</w:t>
      </w:r>
    </w:p>
    <w:p>
      <w:r>
        <w:rPr>
          <w:rFonts w:ascii="Figtree" w:hAnsi="Figtree"/>
          <w:b/>
          <w:i w:val="0"/>
          <w:sz w:val="22"/>
        </w:rPr>
        <w:t>Clarification period (deadline 03 April 2026):</w:t>
      </w:r>
      <w:r>
        <w:rPr>
          <w:rFonts w:ascii="Figtree" w:hAnsi="Figtree"/>
          <w:b w:val="0"/>
          <w:i w:val="0"/>
          <w:sz w:val="22"/>
        </w:rPr>
        <w:t xml:space="preserve"> Clarification questions responded to within 2 business days. Contact: bids@settlemint.com.</w:t>
      </w:r>
    </w:p>
    <w:p>
      <w:r>
        <w:rPr>
          <w:rFonts w:ascii="Figtree" w:hAnsi="Figtree"/>
          <w:b/>
          <w:i w:val="0"/>
          <w:sz w:val="22"/>
        </w:rPr>
        <w:t>Shortlist notification (by 15 May 2026):</w:t>
      </w:r>
      <w:r>
        <w:rPr>
          <w:rFonts w:ascii="Figtree" w:hAnsi="Figtree"/>
          <w:b w:val="0"/>
          <w:i w:val="0"/>
          <w:sz w:val="22"/>
        </w:rPr>
        <w:t xml:space="preserve"> Architecture walkthrough (2 hours) with N26's platform engineering team, consumer experience deep-dive demonstrating DFNS passkey flow and N26 app integration pattern (1.5 hours), live platform demonstration with N26-specific scenarios.</w:t>
      </w:r>
    </w:p>
    <w:p>
      <w:r>
        <w:rPr>
          <w:rFonts w:ascii="Figtree" w:hAnsi="Figtree"/>
          <w:b/>
          <w:i w:val="0"/>
          <w:sz w:val="22"/>
        </w:rPr>
        <w:t>Deep-dive sessions (Late May 2026):</w:t>
      </w:r>
      <w:r>
        <w:rPr>
          <w:rFonts w:ascii="Figtree" w:hAnsi="Figtree"/>
          <w:b w:val="0"/>
          <w:i w:val="0"/>
          <w:sz w:val="22"/>
        </w:rPr>
        <w:t xml:space="preserve"> Day 1: technical architecture; BaFin and MiCA compliance framework. Day 2: DFNS passkey integration workshop; commercial discussion.</w:t>
      </w:r>
    </w:p>
    <w:p>
      <w:r>
        <w:rPr>
          <w:rFonts w:ascii="Figtree" w:hAnsi="Figtree"/>
          <w:b/>
          <w:i w:val="0"/>
          <w:sz w:val="22"/>
        </w:rPr>
        <w:t>Reference calls:</w:t>
      </w:r>
      <w:r>
        <w:rPr>
          <w:rFonts w:ascii="Figtree" w:hAnsi="Figtree"/>
          <w:b w:val="0"/>
          <w:i w:val="0"/>
          <w:sz w:val="22"/>
        </w:rPr>
        <w:t xml:space="preserve"> Available with Nordea, Commerzbank, and ADI Finstreet within 5 business days of written request.</w:t>
      </w:r>
    </w:p>
    <w:p>
      <w:r>
        <w:rPr>
          <w:rFonts w:ascii="Figtree" w:hAnsi="Figtree"/>
          <w:b/>
          <w:i w:val="0"/>
          <w:sz w:val="22"/>
        </w:rPr>
        <w:t>Implementation start (Q3 2026):</w:t>
      </w:r>
      <w:r>
        <w:rPr>
          <w:rFonts w:ascii="Figtree" w:hAnsi="Figtree"/>
          <w:b w:val="0"/>
          <w:i w:val="0"/>
          <w:sz w:val="22"/>
        </w:rPr>
        <w:t xml:space="preserve"> Contract execution by end of June 2026 enables Q4 2026 beta cohort launch. SettleMint mobilizes delivery team within 5 business days.</w:t>
      </w:r>
    </w:p>
    <w:p>
      <w:r>
        <w:br w:type="page"/>
      </w:r>
    </w:p>
    <w:p>
      <w:pPr>
        <w:pStyle w:val="H2"/>
        <w:numPr>
          <w:ilvl w:val="1"/>
          <w:numId w:val="1"/>
        </w:numPr>
      </w:pPr>
      <w:r>
        <w:t>Appendix: Commercial Assumptions and Dependencies Register</w:t>
      </w:r>
    </w:p>
    <w:p>
      <w:pPr>
        <w:pStyle w:val="H3"/>
        <w:numPr>
          <w:ilvl w:val="2"/>
          <w:numId w:val="1"/>
        </w:numPr>
      </w:pPr>
      <w:r>
        <w:t>Third-Party Dependencies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221"/>
        <w:gridCol w:w="1758"/>
        <w:gridCol w:w="1573"/>
        <w:gridCol w:w="1296"/>
        <w:gridCol w:w="2221"/>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Dependency</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Provider</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Annual Estimate</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Responsibility</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Risk</w:t>
            </w:r>
          </w:p>
        </w:tc>
      </w:tr>
      <w:tr>
        <w:trPr>
          <w:trHeight w:val="425" w:hRule="atLeast"/>
        </w:trPr>
        <w:tc>
          <w:tcPr>
            <w:tcW w:type="dxa" w:w="1949"/>
            <w:vAlign w:val="center"/>
          </w:tcPr>
          <w:p>
            <w:pPr>
              <w:spacing w:line="276" w:lineRule="auto" w:before="0" w:after="0"/>
            </w:pPr>
            <w:r/>
            <w:r>
              <w:rPr>
                <w:rFonts w:ascii="Figtree" w:hAnsi="Figtree"/>
                <w:b w:val="0"/>
                <w:i w:val="0"/>
                <w:sz w:val="20"/>
              </w:rPr>
              <w:t>Consumer Passkey Wallets</w:t>
            </w:r>
          </w:p>
        </w:tc>
        <w:tc>
          <w:tcPr>
            <w:tcW w:type="dxa" w:w="1949"/>
            <w:vAlign w:val="center"/>
          </w:tcPr>
          <w:p>
            <w:pPr>
              <w:spacing w:line="276" w:lineRule="auto" w:before="0" w:after="0"/>
            </w:pPr>
            <w:r/>
            <w:r>
              <w:rPr>
                <w:rFonts w:ascii="Figtree" w:hAnsi="Figtree"/>
                <w:b w:val="0"/>
                <w:i w:val="0"/>
                <w:sz w:val="20"/>
              </w:rPr>
              <w:t>DFNS</w:t>
            </w:r>
          </w:p>
        </w:tc>
        <w:tc>
          <w:tcPr>
            <w:tcW w:type="dxa" w:w="1949"/>
            <w:vAlign w:val="center"/>
          </w:tcPr>
          <w:p>
            <w:pPr>
              <w:spacing w:line="276" w:lineRule="auto" w:before="0" w:after="0"/>
            </w:pPr>
            <w:r/>
            <w:r>
              <w:rPr>
                <w:rFonts w:ascii="Figtree" w:hAnsi="Figtree"/>
                <w:b w:val="0"/>
                <w:i w:val="0"/>
                <w:sz w:val="20"/>
              </w:rPr>
              <w:t>EUR 50,000-80,000</w:t>
            </w:r>
          </w:p>
        </w:tc>
        <w:tc>
          <w:tcPr>
            <w:tcW w:type="dxa" w:w="1949"/>
            <w:vAlign w:val="center"/>
          </w:tcPr>
          <w:p>
            <w:pPr>
              <w:spacing w:line="276" w:lineRule="auto" w:before="0" w:after="0"/>
            </w:pPr>
            <w:r/>
            <w:r>
              <w:rPr>
                <w:rFonts w:ascii="Figtree" w:hAnsi="Figtree"/>
                <w:b w:val="0"/>
                <w:i w:val="0"/>
                <w:sz w:val="20"/>
              </w:rPr>
              <w:t>N26</w:t>
            </w:r>
          </w:p>
        </w:tc>
        <w:tc>
          <w:tcPr>
            <w:tcW w:type="dxa" w:w="1949"/>
            <w:vAlign w:val="center"/>
          </w:tcPr>
          <w:p>
            <w:pPr>
              <w:spacing w:line="276" w:lineRule="auto" w:before="0" w:after="0"/>
            </w:pPr>
            <w:r/>
            <w:r>
              <w:rPr>
                <w:rFonts w:ascii="Figtree" w:hAnsi="Figtree"/>
                <w:b w:val="0"/>
                <w:i w:val="0"/>
                <w:sz w:val="20"/>
              </w:rPr>
              <w:t>Medium: volume-dependent</w:t>
            </w:r>
          </w:p>
        </w:tc>
      </w:tr>
      <w:tr>
        <w:trPr>
          <w:trHeight w:val="425" w:hRule="atLeast"/>
        </w:trPr>
        <w:tc>
          <w:tcPr>
            <w:tcW w:type="dxa" w:w="1949"/>
            <w:vAlign w:val="center"/>
          </w:tcPr>
          <w:p>
            <w:pPr>
              <w:spacing w:line="276" w:lineRule="auto" w:before="0" w:after="0"/>
            </w:pPr>
            <w:r/>
            <w:r>
              <w:rPr>
                <w:rFonts w:ascii="Figtree" w:hAnsi="Figtree"/>
                <w:b w:val="0"/>
                <w:i w:val="0"/>
                <w:sz w:val="20"/>
              </w:rPr>
              <w:t>Blockchain RPC</w:t>
            </w:r>
          </w:p>
        </w:tc>
        <w:tc>
          <w:tcPr>
            <w:tcW w:type="dxa" w:w="1949"/>
            <w:vAlign w:val="center"/>
          </w:tcPr>
          <w:p>
            <w:pPr>
              <w:spacing w:line="276" w:lineRule="auto" w:before="0" w:after="0"/>
            </w:pPr>
            <w:r/>
            <w:r>
              <w:rPr>
                <w:rFonts w:ascii="Figtree" w:hAnsi="Figtree"/>
                <w:b w:val="0"/>
                <w:i w:val="0"/>
                <w:sz w:val="20"/>
              </w:rPr>
              <w:t>Infura/Alchemy (EU)</w:t>
            </w:r>
          </w:p>
        </w:tc>
        <w:tc>
          <w:tcPr>
            <w:tcW w:type="dxa" w:w="1949"/>
            <w:vAlign w:val="center"/>
          </w:tcPr>
          <w:p>
            <w:pPr>
              <w:spacing w:line="276" w:lineRule="auto" w:before="0" w:after="0"/>
            </w:pPr>
            <w:r/>
            <w:r>
              <w:rPr>
                <w:rFonts w:ascii="Figtree" w:hAnsi="Figtree"/>
                <w:b w:val="0"/>
                <w:i w:val="0"/>
                <w:sz w:val="20"/>
              </w:rPr>
              <w:t>EUR 5,000-10,000</w:t>
            </w:r>
          </w:p>
        </w:tc>
        <w:tc>
          <w:tcPr>
            <w:tcW w:type="dxa" w:w="1949"/>
            <w:vAlign w:val="center"/>
          </w:tcPr>
          <w:p>
            <w:pPr>
              <w:spacing w:line="276" w:lineRule="auto" w:before="0" w:after="0"/>
            </w:pPr>
            <w:r/>
            <w:r>
              <w:rPr>
                <w:rFonts w:ascii="Figtree" w:hAnsi="Figtree"/>
                <w:b w:val="0"/>
                <w:i w:val="0"/>
                <w:sz w:val="20"/>
              </w:rPr>
              <w:t>N26 (prod)</w:t>
            </w:r>
          </w:p>
        </w:tc>
        <w:tc>
          <w:tcPr>
            <w:tcW w:type="dxa" w:w="1949"/>
            <w:vAlign w:val="center"/>
          </w:tcPr>
          <w:p>
            <w:pPr>
              <w:spacing w:line="276" w:lineRule="auto" w:before="0" w:after="0"/>
            </w:pPr>
            <w:r/>
            <w:r>
              <w:rPr>
                <w:rFonts w:ascii="Figtree" w:hAnsi="Figtree"/>
                <w:b w:val="0"/>
                <w:i w:val="0"/>
                <w:sz w:val="20"/>
              </w:rPr>
              <w:t>Low</w:t>
            </w:r>
          </w:p>
        </w:tc>
      </w:tr>
      <w:tr>
        <w:trPr>
          <w:trHeight w:val="425" w:hRule="atLeast"/>
        </w:trPr>
        <w:tc>
          <w:tcPr>
            <w:tcW w:type="dxa" w:w="1949"/>
            <w:vAlign w:val="center"/>
          </w:tcPr>
          <w:p>
            <w:pPr>
              <w:spacing w:line="276" w:lineRule="auto" w:before="0" w:after="0"/>
            </w:pPr>
            <w:r/>
            <w:r>
              <w:rPr>
                <w:rFonts w:ascii="Figtree" w:hAnsi="Figtree"/>
                <w:b w:val="0"/>
                <w:i w:val="0"/>
                <w:sz w:val="20"/>
              </w:rPr>
              <w:t>Blockchain Validators</w:t>
            </w:r>
          </w:p>
        </w:tc>
        <w:tc>
          <w:tcPr>
            <w:tcW w:type="dxa" w:w="1949"/>
            <w:vAlign w:val="center"/>
          </w:tcPr>
          <w:p>
            <w:pPr>
              <w:spacing w:line="276" w:lineRule="auto" w:before="0" w:after="0"/>
            </w:pPr>
            <w:r/>
            <w:r>
              <w:rPr>
                <w:rFonts w:ascii="Figtree" w:hAnsi="Figtree"/>
                <w:b w:val="0"/>
                <w:i w:val="0"/>
                <w:sz w:val="20"/>
              </w:rPr>
              <w:t>N26-operated Besu</w:t>
            </w:r>
          </w:p>
        </w:tc>
        <w:tc>
          <w:tcPr>
            <w:tcW w:type="dxa" w:w="1949"/>
            <w:vAlign w:val="center"/>
          </w:tcPr>
          <w:p>
            <w:pPr>
              <w:spacing w:line="276" w:lineRule="auto" w:before="0" w:after="0"/>
            </w:pPr>
            <w:r/>
            <w:r>
              <w:rPr>
                <w:rFonts w:ascii="Figtree" w:hAnsi="Figtree"/>
                <w:b w:val="0"/>
                <w:i w:val="0"/>
                <w:sz w:val="20"/>
              </w:rPr>
              <w:t>EUR 15,000-20,000</w:t>
            </w:r>
          </w:p>
        </w:tc>
        <w:tc>
          <w:tcPr>
            <w:tcW w:type="dxa" w:w="1949"/>
            <w:vAlign w:val="center"/>
          </w:tcPr>
          <w:p>
            <w:pPr>
              <w:spacing w:line="276" w:lineRule="auto" w:before="0" w:after="0"/>
            </w:pPr>
            <w:r/>
            <w:r>
              <w:rPr>
                <w:rFonts w:ascii="Figtree" w:hAnsi="Figtree"/>
                <w:b w:val="0"/>
                <w:i w:val="0"/>
                <w:sz w:val="20"/>
              </w:rPr>
              <w:t>N26</w:t>
            </w:r>
          </w:p>
        </w:tc>
        <w:tc>
          <w:tcPr>
            <w:tcW w:type="dxa" w:w="1949"/>
            <w:vAlign w:val="center"/>
          </w:tcPr>
          <w:p>
            <w:pPr>
              <w:spacing w:line="276" w:lineRule="auto" w:before="0" w:after="0"/>
            </w:pPr>
            <w:r/>
            <w:r>
              <w:rPr>
                <w:rFonts w:ascii="Figtree" w:hAnsi="Figtree"/>
                <w:b w:val="0"/>
                <w:i w:val="0"/>
                <w:sz w:val="20"/>
              </w:rPr>
              <w:t>Low</w:t>
            </w:r>
          </w:p>
        </w:tc>
      </w:tr>
      <w:tr>
        <w:trPr>
          <w:trHeight w:val="425" w:hRule="atLeast"/>
        </w:trPr>
        <w:tc>
          <w:tcPr>
            <w:tcW w:type="dxa" w:w="1949"/>
            <w:vAlign w:val="center"/>
          </w:tcPr>
          <w:p>
            <w:pPr>
              <w:spacing w:line="276" w:lineRule="auto" w:before="0" w:after="0"/>
            </w:pPr>
            <w:r/>
            <w:r>
              <w:rPr>
                <w:rFonts w:ascii="Figtree" w:hAnsi="Figtree"/>
                <w:b w:val="0"/>
                <w:i w:val="0"/>
                <w:sz w:val="20"/>
              </w:rPr>
              <w:t>N26 KYC Provider</w:t>
            </w:r>
          </w:p>
        </w:tc>
        <w:tc>
          <w:tcPr>
            <w:tcW w:type="dxa" w:w="1949"/>
            <w:vAlign w:val="center"/>
          </w:tcPr>
          <w:p>
            <w:pPr>
              <w:spacing w:line="276" w:lineRule="auto" w:before="0" w:after="0"/>
            </w:pPr>
            <w:r/>
            <w:r>
              <w:rPr>
                <w:rFonts w:ascii="Figtree" w:hAnsi="Figtree"/>
                <w:b w:val="0"/>
                <w:i w:val="0"/>
                <w:sz w:val="20"/>
              </w:rPr>
              <w:t>N26's existing</w:t>
            </w:r>
          </w:p>
        </w:tc>
        <w:tc>
          <w:tcPr>
            <w:tcW w:type="dxa" w:w="1949"/>
            <w:vAlign w:val="center"/>
          </w:tcPr>
          <w:p>
            <w:pPr>
              <w:spacing w:line="276" w:lineRule="auto" w:before="0" w:after="0"/>
            </w:pPr>
            <w:r/>
            <w:r>
              <w:rPr>
                <w:rFonts w:ascii="Figtree" w:hAnsi="Figtree"/>
                <w:b w:val="0"/>
                <w:i w:val="0"/>
                <w:sz w:val="20"/>
              </w:rPr>
              <w:t>Existing contract</w:t>
            </w:r>
          </w:p>
        </w:tc>
        <w:tc>
          <w:tcPr>
            <w:tcW w:type="dxa" w:w="1949"/>
            <w:vAlign w:val="center"/>
          </w:tcPr>
          <w:p>
            <w:pPr>
              <w:spacing w:line="276" w:lineRule="auto" w:before="0" w:after="0"/>
            </w:pPr>
            <w:r/>
            <w:r>
              <w:rPr>
                <w:rFonts w:ascii="Figtree" w:hAnsi="Figtree"/>
                <w:b w:val="0"/>
                <w:i w:val="0"/>
                <w:sz w:val="20"/>
              </w:rPr>
              <w:t>N26</w:t>
            </w:r>
          </w:p>
        </w:tc>
        <w:tc>
          <w:tcPr>
            <w:tcW w:type="dxa" w:w="1949"/>
            <w:vAlign w:val="center"/>
          </w:tcPr>
          <w:p>
            <w:pPr>
              <w:spacing w:line="276" w:lineRule="auto" w:before="0" w:after="0"/>
            </w:pPr>
            <w:r/>
            <w:r>
              <w:rPr>
                <w:rFonts w:ascii="Figtree" w:hAnsi="Figtree"/>
                <w:b w:val="0"/>
                <w:i w:val="0"/>
                <w:sz w:val="20"/>
              </w:rPr>
              <w:t>Low</w:t>
            </w:r>
          </w:p>
        </w:tc>
      </w:tr>
      <w:tr>
        <w:trPr>
          <w:trHeight w:val="425" w:hRule="atLeast"/>
        </w:trPr>
        <w:tc>
          <w:tcPr>
            <w:tcW w:type="dxa" w:w="1949"/>
            <w:vAlign w:val="center"/>
          </w:tcPr>
          <w:p>
            <w:pPr>
              <w:spacing w:line="276" w:lineRule="auto" w:before="0" w:after="0"/>
            </w:pPr>
            <w:r/>
            <w:r>
              <w:rPr>
                <w:rFonts w:ascii="Figtree" w:hAnsi="Figtree"/>
                <w:b w:val="0"/>
                <w:i w:val="0"/>
                <w:sz w:val="20"/>
              </w:rPr>
              <w:t>Cloud Infrastructure</w:t>
            </w:r>
          </w:p>
        </w:tc>
        <w:tc>
          <w:tcPr>
            <w:tcW w:type="dxa" w:w="1949"/>
            <w:vAlign w:val="center"/>
          </w:tcPr>
          <w:p>
            <w:pPr>
              <w:spacing w:line="276" w:lineRule="auto" w:before="0" w:after="0"/>
            </w:pPr>
            <w:r/>
            <w:r>
              <w:rPr>
                <w:rFonts w:ascii="Figtree" w:hAnsi="Figtree"/>
                <w:b w:val="0"/>
                <w:i w:val="0"/>
                <w:sz w:val="20"/>
              </w:rPr>
              <w:t>AWS (Frankfurt)</w:t>
            </w:r>
          </w:p>
        </w:tc>
        <w:tc>
          <w:tcPr>
            <w:tcW w:type="dxa" w:w="1949"/>
            <w:vAlign w:val="center"/>
          </w:tcPr>
          <w:p>
            <w:pPr>
              <w:spacing w:line="276" w:lineRule="auto" w:before="0" w:after="0"/>
            </w:pPr>
            <w:r/>
            <w:r>
              <w:rPr>
                <w:rFonts w:ascii="Figtree" w:hAnsi="Figtree"/>
                <w:b w:val="0"/>
                <w:i w:val="0"/>
                <w:sz w:val="20"/>
              </w:rPr>
              <w:t>EUR 30,000-40,000</w:t>
            </w:r>
          </w:p>
        </w:tc>
        <w:tc>
          <w:tcPr>
            <w:tcW w:type="dxa" w:w="1949"/>
            <w:vAlign w:val="center"/>
          </w:tcPr>
          <w:p>
            <w:pPr>
              <w:spacing w:line="276" w:lineRule="auto" w:before="0" w:after="0"/>
            </w:pPr>
            <w:r/>
            <w:r>
              <w:rPr>
                <w:rFonts w:ascii="Figtree" w:hAnsi="Figtree"/>
                <w:b w:val="0"/>
                <w:i w:val="0"/>
                <w:sz w:val="20"/>
              </w:rPr>
              <w:t>N26</w:t>
            </w:r>
          </w:p>
        </w:tc>
        <w:tc>
          <w:tcPr>
            <w:tcW w:type="dxa" w:w="1949"/>
            <w:vAlign w:val="center"/>
          </w:tcPr>
          <w:p>
            <w:pPr>
              <w:spacing w:line="276" w:lineRule="auto" w:before="0" w:after="0"/>
            </w:pPr>
            <w:r/>
            <w:r>
              <w:rPr>
                <w:rFonts w:ascii="Figtree" w:hAnsi="Figtree"/>
                <w:b w:val="0"/>
                <w:i w:val="0"/>
                <w:sz w:val="20"/>
              </w:rPr>
              <w:t>Low</w:t>
            </w:r>
          </w:p>
        </w:tc>
      </w:tr>
    </w:tbl>
    <w:p>
      <w:pPr>
        <w:spacing w:before="0" w:after="0" w:line="120" w:lineRule="exact"/>
      </w:pPr>
    </w:p>
    <w:p>
      <w:pPr>
        <w:pStyle w:val="H3"/>
        <w:numPr>
          <w:ilvl w:val="2"/>
          <w:numId w:val="1"/>
        </w:numPr>
      </w:pPr>
      <w:r>
        <w:t>Volume Thresholds (Enterprise Tier)</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4176"/>
        <w:gridCol w:w="2304"/>
        <w:gridCol w:w="2592"/>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Metric</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Included</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Overage</w:t>
            </w:r>
          </w:p>
        </w:tc>
      </w:tr>
      <w:tr>
        <w:trPr>
          <w:trHeight w:val="425" w:hRule="atLeast"/>
        </w:trPr>
        <w:tc>
          <w:tcPr>
            <w:tcW w:type="dxa" w:w="3249"/>
            <w:vAlign w:val="center"/>
          </w:tcPr>
          <w:p>
            <w:pPr>
              <w:spacing w:line="276" w:lineRule="auto" w:before="0" w:after="0"/>
            </w:pPr>
            <w:r/>
            <w:r>
              <w:rPr>
                <w:rFonts w:ascii="Figtree" w:hAnsi="Figtree"/>
                <w:b w:val="0"/>
                <w:i w:val="0"/>
                <w:sz w:val="20"/>
              </w:rPr>
              <w:t>Active token types</w:t>
            </w:r>
          </w:p>
        </w:tc>
        <w:tc>
          <w:tcPr>
            <w:tcW w:type="dxa" w:w="3249"/>
            <w:vAlign w:val="center"/>
          </w:tcPr>
          <w:p>
            <w:pPr>
              <w:spacing w:line="276" w:lineRule="auto" w:before="0" w:after="0"/>
            </w:pPr>
            <w:r/>
            <w:r>
              <w:rPr>
                <w:rFonts w:ascii="Figtree" w:hAnsi="Figtree"/>
                <w:b w:val="0"/>
                <w:i w:val="0"/>
                <w:sz w:val="20"/>
              </w:rPr>
              <w:t>Unlimited</w:t>
            </w:r>
          </w:p>
        </w:tc>
        <w:tc>
          <w:tcPr>
            <w:tcW w:type="dxa" w:w="3249"/>
            <w:vAlign w:val="center"/>
          </w:tcPr>
          <w:p>
            <w:pPr>
              <w:spacing w:line="276" w:lineRule="auto" w:before="0" w:after="0"/>
            </w:pPr>
            <w:r/>
            <w:r>
              <w:rPr>
                <w:rFonts w:ascii="Figtree" w:hAnsi="Figtree"/>
                <w:b w:val="0"/>
                <w:i w:val="0"/>
                <w:sz w:val="20"/>
              </w:rPr>
              <w:t>N/A</w:t>
            </w:r>
          </w:p>
        </w:tc>
      </w:tr>
      <w:tr>
        <w:trPr>
          <w:trHeight w:val="425" w:hRule="atLeast"/>
        </w:trPr>
        <w:tc>
          <w:tcPr>
            <w:tcW w:type="dxa" w:w="3249"/>
            <w:vAlign w:val="center"/>
          </w:tcPr>
          <w:p>
            <w:pPr>
              <w:spacing w:line="276" w:lineRule="auto" w:before="0" w:after="0"/>
            </w:pPr>
            <w:r/>
            <w:r>
              <w:rPr>
                <w:rFonts w:ascii="Figtree" w:hAnsi="Figtree"/>
                <w:b w:val="0"/>
                <w:i w:val="0"/>
                <w:sz w:val="20"/>
              </w:rPr>
              <w:t>Monthly on-chain transactions</w:t>
            </w:r>
          </w:p>
        </w:tc>
        <w:tc>
          <w:tcPr>
            <w:tcW w:type="dxa" w:w="3249"/>
            <w:vAlign w:val="center"/>
          </w:tcPr>
          <w:p>
            <w:pPr>
              <w:spacing w:line="276" w:lineRule="auto" w:before="0" w:after="0"/>
            </w:pPr>
            <w:r/>
            <w:r>
              <w:rPr>
                <w:rFonts w:ascii="Figtree" w:hAnsi="Figtree"/>
                <w:b w:val="0"/>
                <w:i w:val="0"/>
                <w:sz w:val="20"/>
              </w:rPr>
              <w:t>Up to 1,000,000</w:t>
            </w:r>
          </w:p>
        </w:tc>
        <w:tc>
          <w:tcPr>
            <w:tcW w:type="dxa" w:w="3249"/>
            <w:vAlign w:val="center"/>
          </w:tcPr>
          <w:p>
            <w:pPr>
              <w:spacing w:line="276" w:lineRule="auto" w:before="0" w:after="0"/>
            </w:pPr>
            <w:r/>
            <w:r>
              <w:rPr>
                <w:rFonts w:ascii="Figtree" w:hAnsi="Figtree"/>
                <w:b w:val="0"/>
                <w:i w:val="0"/>
                <w:sz w:val="20"/>
              </w:rPr>
              <w:t>Contact SettleMint</w:t>
            </w:r>
          </w:p>
        </w:tc>
      </w:tr>
      <w:tr>
        <w:trPr>
          <w:trHeight w:val="425" w:hRule="atLeast"/>
        </w:trPr>
        <w:tc>
          <w:tcPr>
            <w:tcW w:type="dxa" w:w="3249"/>
            <w:vAlign w:val="center"/>
          </w:tcPr>
          <w:p>
            <w:pPr>
              <w:spacing w:line="276" w:lineRule="auto" w:before="0" w:after="0"/>
            </w:pPr>
            <w:r/>
            <w:r>
              <w:rPr>
                <w:rFonts w:ascii="Figtree" w:hAnsi="Figtree"/>
                <w:b w:val="0"/>
                <w:i w:val="0"/>
                <w:sz w:val="20"/>
              </w:rPr>
              <w:t>Active customer wallets</w:t>
            </w:r>
          </w:p>
        </w:tc>
        <w:tc>
          <w:tcPr>
            <w:tcW w:type="dxa" w:w="3249"/>
            <w:vAlign w:val="center"/>
          </w:tcPr>
          <w:p>
            <w:pPr>
              <w:spacing w:line="276" w:lineRule="auto" w:before="0" w:after="0"/>
            </w:pPr>
            <w:r/>
            <w:r>
              <w:rPr>
                <w:rFonts w:ascii="Figtree" w:hAnsi="Figtree"/>
                <w:b w:val="0"/>
                <w:i w:val="0"/>
                <w:sz w:val="20"/>
              </w:rPr>
              <w:t>Up to 100,000</w:t>
            </w:r>
          </w:p>
        </w:tc>
        <w:tc>
          <w:tcPr>
            <w:tcW w:type="dxa" w:w="3249"/>
            <w:vAlign w:val="center"/>
          </w:tcPr>
          <w:p>
            <w:pPr>
              <w:spacing w:line="276" w:lineRule="auto" w:before="0" w:after="0"/>
            </w:pPr>
            <w:r/>
            <w:r>
              <w:rPr>
                <w:rFonts w:ascii="Figtree" w:hAnsi="Figtree"/>
                <w:b w:val="0"/>
                <w:i w:val="0"/>
                <w:sz w:val="20"/>
              </w:rPr>
              <w:t>Contact SettleMint</w:t>
            </w:r>
          </w:p>
        </w:tc>
      </w:tr>
      <w:tr>
        <w:trPr>
          <w:trHeight w:val="425" w:hRule="atLeast"/>
        </w:trPr>
        <w:tc>
          <w:tcPr>
            <w:tcW w:type="dxa" w:w="3249"/>
            <w:vAlign w:val="center"/>
          </w:tcPr>
          <w:p>
            <w:pPr>
              <w:spacing w:line="276" w:lineRule="auto" w:before="0" w:after="0"/>
            </w:pPr>
            <w:r/>
            <w:r>
              <w:rPr>
                <w:rFonts w:ascii="Figtree" w:hAnsi="Figtree"/>
                <w:b w:val="0"/>
                <w:i w:val="0"/>
                <w:sz w:val="20"/>
              </w:rPr>
              <w:t>API requests (monthly)</w:t>
            </w:r>
          </w:p>
        </w:tc>
        <w:tc>
          <w:tcPr>
            <w:tcW w:type="dxa" w:w="3249"/>
            <w:vAlign w:val="center"/>
          </w:tcPr>
          <w:p>
            <w:pPr>
              <w:spacing w:line="276" w:lineRule="auto" w:before="0" w:after="0"/>
            </w:pPr>
            <w:r/>
            <w:r>
              <w:rPr>
                <w:rFonts w:ascii="Figtree" w:hAnsi="Figtree"/>
                <w:b w:val="0"/>
                <w:i w:val="0"/>
                <w:sz w:val="20"/>
              </w:rPr>
              <w:t>Up to 50,000,000</w:t>
            </w:r>
          </w:p>
        </w:tc>
        <w:tc>
          <w:tcPr>
            <w:tcW w:type="dxa" w:w="3249"/>
            <w:vAlign w:val="center"/>
          </w:tcPr>
          <w:p>
            <w:pPr>
              <w:spacing w:line="276" w:lineRule="auto" w:before="0" w:after="0"/>
            </w:pPr>
            <w:r/>
            <w:r>
              <w:rPr>
                <w:rFonts w:ascii="Figtree" w:hAnsi="Figtree"/>
                <w:b w:val="0"/>
                <w:i w:val="0"/>
                <w:sz w:val="20"/>
              </w:rPr>
              <w:t>EUR 0.01 per 1,000</w:t>
            </w:r>
          </w:p>
        </w:tc>
      </w:tr>
    </w:tbl>
    <w:p>
      <w:pPr>
        <w:spacing w:before="0" w:after="0" w:line="120" w:lineRule="exact"/>
      </w:pPr>
    </w:p>
    <w:p>
      <w:r>
        <w:rPr>
          <w:rFonts w:ascii="Figtree" w:hAnsi="Figtree"/>
          <w:b w:val="0"/>
          <w:i w:val="0"/>
          <w:sz w:val="22"/>
        </w:rPr>
        <w:t>Note: at 5% adoption of N26's 8 million customers, active wallets reach 400,000. This exceeds the standard Enterprise threshold. SettleMint provides enterprise volume pricing for N26's scale; wallet threshold is negotiated as part of contract terms based on N26's projected customer adoption curve. 60-day advance notice provided when approaching any volume threshold.</w:t>
      </w:r>
    </w:p>
    <w:p>
      <w:r>
        <w:br w:type="page"/>
      </w:r>
    </w:p>
    <w:p>
      <w:r>
        <w:rPr>
          <w:rFonts w:ascii="Figtree" w:hAnsi="Figtree"/>
          <w:b w:val="0"/>
          <w:i/>
          <w:sz w:val="22"/>
        </w:rPr>
        <w:t>Document Classification: SettleMint Confidential</w:t>
      </w:r>
    </w:p>
    <w:p>
      <w:r>
        <w:rPr>
          <w:rFonts w:ascii="Figtree" w:hAnsi="Figtree"/>
          <w:b w:val="0"/>
          <w:i/>
          <w:sz w:val="22"/>
        </w:rPr>
        <w:t>SettleMint NV | Simon Bolivarlaan 5, 2600 Antwerp, Belgium | www.settlemint.com</w:t>
      </w:r>
    </w:p>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 w:numId="6">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