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Commercial Proposal for Revolut Ltd</w:t>
          </w:r>
          <w:r>
            <w:tab/>
          </w:r>
          <w:r>
            <w:t xml:space="preserve">3</w:t>
          </w:r>
        </w:p>
        <w:p>
          <w:pPr>
            <w:pStyle w:val="TOC3"/>
            <w:tabs>
              <w:tab w:val="right" w:leader="dot" w:pos="9072"/>
            </w:tabs>
          </w:pPr>
          <w:r>
            <w:t xml:space="preserve">SettleMint | March 2026 | v1.0 | SettleMint Confidential</w:t>
          </w:r>
          <w:r>
            <w:tab/>
          </w:r>
          <w:r>
            <w:t xml:space="preserve">4</w:t>
          </w:r>
        </w:p>
        <w:p>
          <w:pPr>
            <w:pStyle w:val="TOC2"/>
            <w:tabs>
              <w:tab w:val="right" w:leader="dot" w:pos="9072"/>
            </w:tabs>
          </w:pPr>
          <w:r>
            <w:t xml:space="preserve">Table of Contents</w:t>
          </w:r>
          <w:r>
            <w:tab/>
          </w:r>
          <w:r>
            <w:t xml:space="preserve">5</w:t>
          </w:r>
        </w:p>
        <w:p>
          <w:pPr>
            <w:pStyle w:val="TOC2"/>
            <w:tabs>
              <w:tab w:val="right" w:leader="dot" w:pos="9072"/>
            </w:tabs>
          </w:pPr>
          <w:r>
            <w:t xml:space="preserve">1. Executive Summary</w:t>
          </w:r>
          <w:r>
            <w:tab/>
          </w:r>
          <w:r>
            <w:t xml:space="preserve">6</w:t>
          </w:r>
        </w:p>
        <w:p>
          <w:pPr>
            <w:pStyle w:val="TOC3"/>
            <w:tabs>
              <w:tab w:val="right" w:leader="dot" w:pos="9072"/>
            </w:tabs>
          </w:pPr>
          <w:r>
            <w:t xml:space="preserve">Investment Summary</w:t>
          </w:r>
          <w:r>
            <w:tab/>
          </w:r>
          <w:r>
            <w:t xml:space="preserve">7</w:t>
          </w:r>
        </w:p>
        <w:p>
          <w:pPr>
            <w:pStyle w:val="TOC2"/>
            <w:tabs>
              <w:tab w:val="right" w:leader="dot" w:pos="9072"/>
            </w:tabs>
          </w:pPr>
          <w:r>
            <w:t xml:space="preserve">2. Investment Rationale</w:t>
          </w:r>
          <w:r>
            <w:tab/>
          </w:r>
          <w:r>
            <w:t xml:space="preserve">8</w:t>
          </w:r>
        </w:p>
        <w:p>
          <w:pPr>
            <w:pStyle w:val="TOC3"/>
            <w:tabs>
              <w:tab w:val="right" w:leader="dot" w:pos="9072"/>
            </w:tabs>
          </w:pPr>
          <w:r>
            <w:t xml:space="preserve">The Competitive Case</w:t>
          </w:r>
          <w:r>
            <w:tab/>
          </w:r>
          <w:r>
            <w:t xml:space="preserve">9</w:t>
          </w:r>
        </w:p>
        <w:p>
          <w:pPr>
            <w:pStyle w:val="TOC3"/>
            <w:tabs>
              <w:tab w:val="right" w:leader="dot" w:pos="9072"/>
            </w:tabs>
          </w:pPr>
          <w:r>
            <w:t xml:space="preserve">Revenue Creation</w:t>
          </w:r>
          <w:r>
            <w:tab/>
          </w:r>
          <w:r>
            <w:t xml:space="preserve">10</w:t>
          </w:r>
        </w:p>
        <w:p>
          <w:pPr>
            <w:pStyle w:val="TOC3"/>
            <w:tabs>
              <w:tab w:val="right" w:leader="dot" w:pos="9072"/>
            </w:tabs>
          </w:pPr>
          <w:r>
            <w:t xml:space="preserve">Build vs. Buy Analysis</w:t>
          </w:r>
          <w:r>
            <w:tab/>
          </w:r>
          <w:r>
            <w:t xml:space="preserve">11</w:t>
          </w:r>
        </w:p>
        <w:p>
          <w:pPr>
            <w:pStyle w:val="TOC2"/>
            <w:tabs>
              <w:tab w:val="right" w:leader="dot" w:pos="9072"/>
            </w:tabs>
          </w:pPr>
          <w:r>
            <w:t xml:space="preserve">3. Licensing Model</w:t>
          </w:r>
          <w:r>
            <w:tab/>
          </w:r>
          <w:r>
            <w:t xml:space="preserve">12</w:t>
          </w:r>
        </w:p>
        <w:p>
          <w:pPr>
            <w:pStyle w:val="TOC3"/>
            <w:tabs>
              <w:tab w:val="right" w:leader="dot" w:pos="9072"/>
            </w:tabs>
          </w:pPr>
          <w:r>
            <w:t xml:space="preserve">Platform Tiers</w:t>
          </w:r>
          <w:r>
            <w:tab/>
          </w:r>
          <w:r>
            <w:t xml:space="preserve">13</w:t>
          </w:r>
        </w:p>
        <w:p>
          <w:pPr>
            <w:pStyle w:val="TOC2"/>
            <w:tabs>
              <w:tab w:val="right" w:leader="dot" w:pos="9072"/>
            </w:tabs>
          </w:pPr>
          <w:r>
            <w:t xml:space="preserve">4. Deployment Options and Pricing</w:t>
          </w:r>
          <w:r>
            <w:tab/>
          </w:r>
          <w:r>
            <w:t xml:space="preserve">14</w:t>
          </w:r>
        </w:p>
        <w:p>
          <w:pPr>
            <w:pStyle w:val="TOC3"/>
            <w:tabs>
              <w:tab w:val="right" w:leader="dot" w:pos="9072"/>
            </w:tabs>
          </w:pPr>
          <w:r>
            <w:t xml:space="preserve">Recommended: Revolut Private Cloud (Kubernetes, EU Region)</w:t>
          </w:r>
          <w:r>
            <w:tab/>
          </w:r>
          <w:r>
            <w:t xml:space="preserve">15</w:t>
          </w:r>
        </w:p>
        <w:p>
          <w:pPr>
            <w:pStyle w:val="TOC2"/>
            <w:tabs>
              <w:tab w:val="right" w:leader="dot" w:pos="9072"/>
            </w:tabs>
          </w:pPr>
          <w:r>
            <w:t xml:space="preserve">5. Support and SLA Framework</w:t>
          </w:r>
          <w:r>
            <w:tab/>
          </w:r>
          <w:r>
            <w:t xml:space="preserve">16</w:t>
          </w:r>
        </w:p>
        <w:p>
          <w:pPr>
            <w:pStyle w:val="TOC3"/>
            <w:tabs>
              <w:tab w:val="right" w:leader="dot" w:pos="9072"/>
            </w:tabs>
          </w:pPr>
          <w:r>
            <w:t xml:space="preserve">Enterprise Support</w:t>
          </w:r>
          <w:r>
            <w:tab/>
          </w:r>
          <w:r>
            <w:t xml:space="preserve">17</w:t>
          </w:r>
        </w:p>
        <w:p>
          <w:pPr>
            <w:pStyle w:val="TOC2"/>
            <w:tabs>
              <w:tab w:val="right" w:leader="dot" w:pos="9072"/>
            </w:tabs>
          </w:pPr>
          <w:r>
            <w:t xml:space="preserve">6. Implementation Investment</w:t>
          </w:r>
          <w:r>
            <w:tab/>
          </w:r>
          <w:r>
            <w:t xml:space="preserve">18</w:t>
          </w:r>
        </w:p>
        <w:p>
          <w:pPr>
            <w:pStyle w:val="TOC3"/>
            <w:tabs>
              <w:tab w:val="right" w:leader="dot" w:pos="9072"/>
            </w:tabs>
          </w:pPr>
          <w:r>
            <w:t xml:space="preserve">Phase-by-Phase Fees</w:t>
          </w:r>
          <w:r>
            <w:tab/>
          </w:r>
          <w:r>
            <w:t xml:space="preserve">19</w:t>
          </w:r>
        </w:p>
        <w:p>
          <w:pPr>
            <w:pStyle w:val="TOC3"/>
            <w:tabs>
              <w:tab w:val="right" w:leader="dot" w:pos="9072"/>
            </w:tabs>
          </w:pPr>
          <w:r>
            <w:t xml:space="preserve">Implementation Assumptions</w:t>
          </w:r>
          <w:r>
            <w:tab/>
          </w:r>
          <w:r>
            <w:t xml:space="preserve">20</w:t>
          </w:r>
        </w:p>
        <w:p>
          <w:pPr>
            <w:pStyle w:val="TOC3"/>
            <w:tabs>
              <w:tab w:val="right" w:leader="dot" w:pos="9072"/>
            </w:tabs>
          </w:pPr>
          <w:r>
            <w:t xml:space="preserve">Out-of-Scope</w:t>
          </w:r>
          <w:r>
            <w:tab/>
          </w:r>
          <w:r>
            <w:t xml:space="preserve">21</w:t>
          </w:r>
        </w:p>
        <w:p>
          <w:pPr>
            <w:pStyle w:val="TOC3"/>
            <w:tabs>
              <w:tab w:val="right" w:leader="dot" w:pos="9072"/>
            </w:tabs>
          </w:pPr>
          <w:r>
            <w:t xml:space="preserve">Change Request Day Rates</w:t>
          </w:r>
          <w:r>
            <w:tab/>
          </w:r>
          <w:r>
            <w:t xml:space="preserve">22</w:t>
          </w:r>
        </w:p>
        <w:p>
          <w:pPr>
            <w:pStyle w:val="TOC2"/>
            <w:tabs>
              <w:tab w:val="right" w:leader="dot" w:pos="9072"/>
            </w:tabs>
          </w:pPr>
          <w:r>
            <w:t xml:space="preserve">7. Commercial Terms</w:t>
          </w:r>
          <w:r>
            <w:tab/>
          </w:r>
          <w:r>
            <w:t xml:space="preserve">23</w:t>
          </w:r>
        </w:p>
        <w:p>
          <w:pPr>
            <w:pStyle w:val="TOC3"/>
            <w:tabs>
              <w:tab w:val="right" w:leader="dot" w:pos="9072"/>
            </w:tabs>
          </w:pPr>
          <w:r>
            <w:t xml:space="preserve">Contract Structure</w:t>
          </w:r>
          <w:r>
            <w:tab/>
          </w:r>
          <w:r>
            <w:t xml:space="preserve">24</w:t>
          </w:r>
        </w:p>
        <w:p>
          <w:pPr>
            <w:pStyle w:val="TOC3"/>
            <w:tabs>
              <w:tab w:val="right" w:leader="dot" w:pos="9072"/>
            </w:tabs>
          </w:pPr>
          <w:r>
            <w:t xml:space="preserve">Payment Schedule</w:t>
          </w:r>
          <w:r>
            <w:tab/>
          </w:r>
          <w:r>
            <w:t xml:space="preserve">25</w:t>
          </w:r>
        </w:p>
        <w:p>
          <w:pPr>
            <w:pStyle w:val="TOC3"/>
            <w:tabs>
              <w:tab w:val="right" w:leader="dot" w:pos="9072"/>
            </w:tabs>
          </w:pPr>
          <w:r>
            <w:t xml:space="preserve">Minimum Term and Exit</w:t>
          </w:r>
          <w:r>
            <w:tab/>
          </w:r>
          <w:r>
            <w:t xml:space="preserve">26</w:t>
          </w:r>
        </w:p>
        <w:p>
          <w:pPr>
            <w:pStyle w:val="TOC2"/>
            <w:tabs>
              <w:tab w:val="right" w:leader="dot" w:pos="9072"/>
            </w:tabs>
          </w:pPr>
          <w:r>
            <w:t xml:space="preserve">8. Total Cost of Ownership</w:t>
          </w:r>
          <w:r>
            <w:tab/>
          </w:r>
          <w:r>
            <w:t xml:space="preserve">27</w:t>
          </w:r>
        </w:p>
        <w:p>
          <w:pPr>
            <w:pStyle w:val="TOC3"/>
            <w:tabs>
              <w:tab w:val="right" w:leader="dot" w:pos="9072"/>
            </w:tabs>
          </w:pPr>
          <w:r>
            <w:t xml:space="preserve">3-Year TCO Model</w:t>
          </w:r>
          <w:r>
            <w:tab/>
          </w:r>
          <w:r>
            <w:t xml:space="preserve">28</w:t>
          </w:r>
        </w:p>
        <w:p>
          <w:pPr>
            <w:pStyle w:val="TOC3"/>
            <w:tabs>
              <w:tab w:val="right" w:leader="dot" w:pos="9072"/>
            </w:tabs>
          </w:pPr>
          <w:r>
            <w:t xml:space="preserve">5-Year TCO vs. Build Alternative</w:t>
          </w:r>
          <w:r>
            <w:tab/>
          </w:r>
          <w:r>
            <w:t xml:space="preserve">29</w:t>
          </w:r>
        </w:p>
        <w:p>
          <w:pPr>
            <w:pStyle w:val="TOC2"/>
            <w:tabs>
              <w:tab w:val="right" w:leader="dot" w:pos="9072"/>
            </w:tabs>
          </w:pPr>
          <w:r>
            <w:t xml:space="preserve">9. Reference Clients</w:t>
          </w:r>
          <w:r>
            <w:tab/>
          </w:r>
          <w:r>
            <w:t xml:space="preserve">30</w:t>
          </w:r>
        </w:p>
        <w:p>
          <w:pPr>
            <w:pStyle w:val="TOC3"/>
            <w:tabs>
              <w:tab w:val="right" w:leader="dot" w:pos="9072"/>
            </w:tabs>
          </w:pPr>
          <w:r>
            <w:t xml:space="preserve">Barclays (FCA Supervised, UK)</w:t>
          </w:r>
          <w:r>
            <w:tab/>
          </w:r>
          <w:r>
            <w:t xml:space="preserve">31</w:t>
          </w:r>
        </w:p>
        <w:p>
          <w:pPr>
            <w:pStyle w:val="TOC3"/>
            <w:tabs>
              <w:tab w:val="right" w:leader="dot" w:pos="9072"/>
            </w:tabs>
          </w:pPr>
          <w:r>
            <w:t xml:space="preserve">UBS (Tokenized Equities, Switzerland)</w:t>
          </w:r>
          <w:r>
            <w:tab/>
          </w:r>
          <w:r>
            <w:t xml:space="preserve">32</w:t>
          </w:r>
        </w:p>
        <w:p>
          <w:pPr>
            <w:pStyle w:val="TOC3"/>
            <w:tabs>
              <w:tab w:val="right" w:leader="dot" w:pos="9072"/>
            </w:tabs>
          </w:pPr>
          <w:r>
            <w:t xml:space="preserve">Standard Chartered (Fractional Securities, Multi-Jurisdiction)</w:t>
          </w:r>
          <w:r>
            <w:tab/>
          </w:r>
          <w:r>
            <w:t xml:space="preserve">33</w:t>
          </w:r>
        </w:p>
        <w:p>
          <w:pPr>
            <w:pStyle w:val="TOC2"/>
            <w:tabs>
              <w:tab w:val="right" w:leader="dot" w:pos="9072"/>
            </w:tabs>
          </w:pPr>
          <w:r>
            <w:t xml:space="preserve">10. Next Steps</w:t>
          </w:r>
          <w:r>
            <w:tab/>
          </w:r>
          <w:r>
            <w:t xml:space="preserve">34</w:t>
          </w:r>
        </w:p>
        <w:p>
          <w:pPr>
            <w:pStyle w:val="TOC2"/>
            <w:tabs>
              <w:tab w:val="right" w:leader="dot" w:pos="9072"/>
            </w:tabs>
          </w:pPr>
          <w:r>
            <w:t xml:space="preserve">Appendix: Commercial Assumptions and Dependencies</w:t>
          </w:r>
          <w:r>
            <w:tab/>
          </w:r>
          <w:r>
            <w:t xml:space="preserve">35</w:t>
          </w:r>
        </w:p>
        <w:p>
          <w:pPr>
            <w:pStyle w:val="TOC3"/>
            <w:tabs>
              <w:tab w:val="right" w:leader="dot" w:pos="9072"/>
            </w:tabs>
          </w:pPr>
          <w:r>
            <w:t xml:space="preserve">Volume Thresholds (Enterprise Tier)</w:t>
          </w:r>
          <w:r>
            <w:tab/>
          </w:r>
          <w:r>
            <w:t xml:space="preserve">36</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pPr>
        <w:pStyle w:val="H2"/>
        <w:numPr>
          <w:ilvl w:val="1"/>
          <w:numId w:val="1"/>
        </w:numPr>
      </w:pPr>
      <w:r>
        <w:t>Commercial Proposal for Revolut Ltd</w:t>
      </w:r>
    </w:p>
    <w:p>
      <w:pPr>
        <w:pStyle w:val="H3"/>
        <w:numPr>
          <w:ilvl w:val="2"/>
          <w:numId w:val="1"/>
        </w:numPr>
      </w:pPr>
      <w:r>
        <w:t>SettleMint | March 2026 | v1.0 | SettleMint Confidential</w:t>
      </w:r>
    </w:p>
    <w:p>
      <w:r>
        <w:br w:type="page"/>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Prepared for:</w:t>
      </w:r>
      <w:r>
        <w:rPr>
          <w:rFonts w:ascii="Figtree" w:hAnsi="Figtree"/>
          <w:b w:val="0"/>
          <w:i w:val="0"/>
          <w:sz w:val="22"/>
        </w:rPr>
        <w:t xml:space="preserve"> Revolut Ltd, London, United Kingdom</w:t>
      </w:r>
    </w:p>
    <w:p>
      <w:r>
        <w:rPr>
          <w:rFonts w:ascii="Figtree" w:hAnsi="Figtree"/>
          <w:b/>
          <w:i w:val="0"/>
          <w:sz w:val="22"/>
        </w:rPr>
        <w:t>Document reference:</w:t>
      </w:r>
      <w:r>
        <w:rPr>
          <w:rFonts w:ascii="Figtree" w:hAnsi="Figtree"/>
          <w:b w:val="0"/>
          <w:i w:val="0"/>
          <w:sz w:val="22"/>
        </w:rPr>
        <w:t xml:space="preserve"> SM-COMM-REVOLUT-2026-001</w:t>
      </w:r>
    </w:p>
    <w:p>
      <w:r>
        <w:rPr>
          <w:rFonts w:ascii="Figtree" w:hAnsi="Figtree"/>
          <w:b/>
          <w:i w:val="0"/>
          <w:sz w:val="22"/>
        </w:rPr>
        <w:t>Classification:</w:t>
      </w:r>
      <w:r>
        <w:rPr>
          <w:rFonts w:ascii="Figtree" w:hAnsi="Figtree"/>
          <w:b w:val="0"/>
          <w:i w:val="0"/>
          <w:sz w:val="22"/>
        </w:rPr>
        <w:t xml:space="preserve"> Strictly Confidential</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Date:</w:t>
      </w:r>
      <w:r>
        <w:rPr>
          <w:rFonts w:ascii="Figtree" w:hAnsi="Figtree"/>
          <w:b w:val="0"/>
          <w:i w:val="0"/>
          <w:sz w:val="22"/>
        </w:rPr>
        <w:t xml:space="preserve"> March 2026</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w:t>
      </w:r>
    </w:p>
    <w:p>
      <w:pPr>
        <w:pStyle w:val="ListParagraph"/>
        <w:numPr>
          <w:ilvl w:val="0"/>
          <w:numId w:val="6"/>
        </w:numPr>
      </w:pPr>
      <w:r>
        <w:rPr>
          <w:rFonts w:ascii="Figtree" w:hAnsi="Figtree"/>
          <w:b w:val="0"/>
          <w:i w:val="0"/>
          <w:sz w:val="22"/>
        </w:rPr>
        <w:t>Licensing Model</w:t>
      </w:r>
    </w:p>
    <w:p>
      <w:pPr>
        <w:pStyle w:val="ListParagraph"/>
        <w:numPr>
          <w:ilvl w:val="0"/>
          <w:numId w:val="6"/>
        </w:numPr>
      </w:pPr>
      <w:r>
        <w:rPr>
          <w:rFonts w:ascii="Figtree" w:hAnsi="Figtree"/>
          <w:b w:val="0"/>
          <w:i w:val="0"/>
          <w:sz w:val="22"/>
        </w:rPr>
        <w:t>Deployment Options and Pricing</w:t>
      </w:r>
    </w:p>
    <w:p>
      <w:pPr>
        <w:pStyle w:val="ListParagraph"/>
        <w:numPr>
          <w:ilvl w:val="0"/>
          <w:numId w:val="6"/>
        </w:numPr>
      </w:pPr>
      <w:r>
        <w:rPr>
          <w:rFonts w:ascii="Figtree" w:hAnsi="Figtree"/>
          <w:b w:val="0"/>
          <w:i w:val="0"/>
          <w:sz w:val="22"/>
        </w:rPr>
        <w:t>Support and SLA Framework</w:t>
      </w:r>
    </w:p>
    <w:p>
      <w:pPr>
        <w:pStyle w:val="ListParagraph"/>
        <w:numPr>
          <w:ilvl w:val="0"/>
          <w:numId w:val="6"/>
        </w:numPr>
      </w:pPr>
      <w:r>
        <w:rPr>
          <w:rFonts w:ascii="Figtree" w:hAnsi="Figtree"/>
          <w:b w:val="0"/>
          <w:i w:val="0"/>
          <w:sz w:val="22"/>
        </w:rPr>
        <w:t>Implementation Investment</w:t>
      </w:r>
    </w:p>
    <w:p>
      <w:pPr>
        <w:pStyle w:val="ListParagraph"/>
        <w:numPr>
          <w:ilvl w:val="0"/>
          <w:numId w:val="6"/>
        </w:numPr>
      </w:pPr>
      <w:r>
        <w:rPr>
          <w:rFonts w:ascii="Figtree" w:hAnsi="Figtree"/>
          <w:b w:val="0"/>
          <w:i w:val="0"/>
          <w:sz w:val="22"/>
        </w:rPr>
        <w:t>Commercial Terms</w:t>
      </w:r>
    </w:p>
    <w:p>
      <w:pPr>
        <w:pStyle w:val="ListParagraph"/>
        <w:numPr>
          <w:ilvl w:val="0"/>
          <w:numId w:val="6"/>
        </w:numPr>
      </w:pPr>
      <w:r>
        <w:rPr>
          <w:rFonts w:ascii="Figtree" w:hAnsi="Figtree"/>
          <w:b w:val="0"/>
          <w:i w:val="0"/>
          <w:sz w:val="22"/>
        </w:rPr>
        <w:t>Total Cost of Ownership</w:t>
      </w:r>
    </w:p>
    <w:p>
      <w:pPr>
        <w:pStyle w:val="ListParagraph"/>
        <w:numPr>
          <w:ilvl w:val="0"/>
          <w:numId w:val="6"/>
        </w:numPr>
      </w:pPr>
      <w:r>
        <w:rPr>
          <w:rFonts w:ascii="Figtree" w:hAnsi="Figtree"/>
          <w:b w:val="0"/>
          <w:i w:val="0"/>
          <w:sz w:val="22"/>
        </w:rPr>
        <w:t>Reference Clients</w:t>
      </w:r>
    </w:p>
    <w:p>
      <w:pPr>
        <w:pStyle w:val="ListParagraph"/>
        <w:numPr>
          <w:ilvl w:val="0"/>
          <w:numId w:val="6"/>
        </w:numPr>
      </w:pPr>
      <w:r>
        <w:rPr>
          <w:rFonts w:ascii="Figtree" w:hAnsi="Figtree"/>
          <w:b w:val="0"/>
          <w:i w:val="0"/>
          <w:sz w:val="22"/>
        </w:rPr>
        <w:t>Next Steps</w:t>
      </w:r>
    </w:p>
    <w:p>
      <w:r>
        <w:br w:type="page"/>
      </w:r>
    </w:p>
    <w:p>
      <w:pPr>
        <w:pStyle w:val="H2"/>
        <w:numPr>
          <w:ilvl w:val="1"/>
          <w:numId w:val="1"/>
        </w:numPr>
      </w:pPr>
      <w:r>
        <w:t>1. Executive Summary</w:t>
      </w:r>
    </w:p>
    <w:p>
      <w:r>
        <w:rPr>
          <w:rFonts w:ascii="Figtree" w:hAnsi="Figtree"/>
          <w:b w:val="0"/>
          <w:i w:val="0"/>
          <w:sz w:val="22"/>
        </w:rPr>
        <w:t>Revolut's tokenized securities trading platform is a capability industrialization play, not a prototype. With 45 million customers across 38 markets, Revolut already distributes financial products at consumer scale. The investment case for DALP is not "can we do tokenized securities" -- it is "can we do it with institutional-grade control infrastructure that satisfies FCA and MiCA simultaneously, at Revolut's operating velocity."</w:t>
      </w:r>
    </w:p>
    <w:p>
      <w:r>
        <w:rPr>
          <w:rFonts w:ascii="Figtree" w:hAnsi="Figtree"/>
          <w:b w:val="0"/>
          <w:i w:val="0"/>
          <w:sz w:val="22"/>
        </w:rPr>
        <w:t>DALP delivers the institutional control layer for Revolut's tokenized securities programme in 14 to 18 weeks at a fraction of the cost of internal build. Total Year 1 investment: approximately EUR 960,000 including implementation (EUR 420,000), Enterprise license (EUR 280,000), Enterprise support (EUR 120,000), infrastructure (EUR 80,000), and custody (EUR 60,000).</w:t>
      </w:r>
    </w:p>
    <w:p>
      <w:r>
        <w:rPr>
          <w:rFonts w:ascii="Figtree" w:hAnsi="Figtree"/>
          <w:b w:val="0"/>
          <w:i w:val="0"/>
          <w:sz w:val="22"/>
        </w:rPr>
        <w:t>The commercial case rests on three drivers: revenue from tokenized securities trading spreads and management fees, regulatory efficiency through a single compliance control plane for FCA and MiCA obligations, and engineering efficiency by eliminating the need for Revolut to build and maintain a proprietary tokenized securities settlement stack.</w:t>
      </w:r>
    </w:p>
    <w:p>
      <w:pPr>
        <w:pStyle w:val="H3"/>
        <w:numPr>
          <w:ilvl w:val="2"/>
          <w:numId w:val="1"/>
        </w:numPr>
      </w:pPr>
      <w:r>
        <w:t>Investment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24"/>
        <w:gridCol w:w="1463"/>
        <w:gridCol w:w="1463"/>
        <w:gridCol w:w="1463"/>
        <w:gridCol w:w="1658"/>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(one-time)</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420,000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(Enterprise)</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Infrastructure (Kubernetes, EU)</w:t>
            </w:r>
          </w:p>
        </w:tc>
        <w:tc>
          <w:tcPr>
            <w:tcW w:type="dxa" w:w="1949"/>
            <w:vAlign w:val="center"/>
          </w:tcPr>
          <w:p>
            <w:pPr>
              <w:spacing w:line="276" w:lineRule="auto" w:before="0" w:after="0"/>
            </w:pPr>
            <w:r/>
            <w:r>
              <w:rPr>
                <w:rFonts w:ascii="Figtree" w:hAnsi="Figtree"/>
                <w:b w:val="0"/>
                <w:i w:val="0"/>
                <w:sz w:val="20"/>
              </w:rPr>
              <w:t>EUR 80,000</w:t>
            </w:r>
          </w:p>
        </w:tc>
        <w:tc>
          <w:tcPr>
            <w:tcW w:type="dxa" w:w="1949"/>
            <w:vAlign w:val="center"/>
          </w:tcPr>
          <w:p>
            <w:pPr>
              <w:spacing w:line="276" w:lineRule="auto" w:before="0" w:after="0"/>
            </w:pPr>
            <w:r/>
            <w:r>
              <w:rPr>
                <w:rFonts w:ascii="Figtree" w:hAnsi="Figtree"/>
                <w:b w:val="0"/>
                <w:i w:val="0"/>
                <w:sz w:val="20"/>
              </w:rPr>
              <w:t>EUR 90,000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270,000</w:t>
            </w:r>
          </w:p>
        </w:tc>
      </w:tr>
      <w:tr>
        <w:trPr>
          <w:trHeight w:val="425" w:hRule="atLeast"/>
        </w:trPr>
        <w:tc>
          <w:tcPr>
            <w:tcW w:type="dxa" w:w="1949"/>
            <w:vAlign w:val="center"/>
          </w:tcPr>
          <w:p>
            <w:pPr>
              <w:spacing w:line="276" w:lineRule="auto" w:before="0" w:after="0"/>
            </w:pPr>
            <w:r/>
            <w:r>
              <w:rPr>
                <w:rFonts w:ascii="Figtree" w:hAnsi="Figtree"/>
                <w:b w:val="0"/>
                <w:i w:val="0"/>
                <w:sz w:val="20"/>
              </w:rPr>
              <w:t>Custody (Fireblocks + DFNS)</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80,000</w:t>
            </w:r>
          </w:p>
        </w:tc>
        <w:tc>
          <w:tcPr>
            <w:tcW w:type="dxa" w:w="1949"/>
            <w:vAlign w:val="center"/>
          </w:tcPr>
          <w:p>
            <w:pPr>
              <w:spacing w:line="276" w:lineRule="auto" w:before="0" w:after="0"/>
            </w:pPr>
            <w:r/>
            <w:r>
              <w:rPr>
                <w:rFonts w:ascii="Figtree" w:hAnsi="Figtree"/>
                <w:b w:val="0"/>
                <w:i w:val="0"/>
                <w:sz w:val="20"/>
              </w:rPr>
              <w:t>EUR 210,000</w:t>
            </w:r>
          </w:p>
        </w:tc>
      </w:tr>
      <w:tr>
        <w:trPr>
          <w:trHeight w:val="425" w:hRule="atLeast"/>
        </w:trPr>
        <w:tc>
          <w:tcPr>
            <w:tcW w:type="dxa" w:w="1949"/>
            <w:vAlign w:val="center"/>
          </w:tcPr>
          <w:p>
            <w:pPr>
              <w:spacing w:line="276" w:lineRule="auto" w:before="0" w:after="0"/>
            </w:pPr>
            <w:r/>
            <w:r>
              <w:rPr>
                <w:rFonts w:ascii="Figtree" w:hAnsi="Figtree"/>
                <w:b/>
                <w:i w:val="0"/>
                <w:sz w:val="20"/>
              </w:rPr>
              <w:t>Total</w:t>
            </w:r>
          </w:p>
        </w:tc>
        <w:tc>
          <w:tcPr>
            <w:tcW w:type="dxa" w:w="1949"/>
            <w:vAlign w:val="center"/>
          </w:tcPr>
          <w:p>
            <w:pPr>
              <w:spacing w:line="276" w:lineRule="auto" w:before="0" w:after="0"/>
            </w:pPr>
            <w:r/>
            <w:r>
              <w:rPr>
                <w:rFonts w:ascii="Figtree" w:hAnsi="Figtree"/>
                <w:b/>
                <w:i w:val="0"/>
                <w:sz w:val="20"/>
              </w:rPr>
              <w:t>EUR 960,000</w:t>
            </w:r>
          </w:p>
        </w:tc>
        <w:tc>
          <w:tcPr>
            <w:tcW w:type="dxa" w:w="1949"/>
            <w:vAlign w:val="center"/>
          </w:tcPr>
          <w:p>
            <w:pPr>
              <w:spacing w:line="276" w:lineRule="auto" w:before="0" w:after="0"/>
            </w:pPr>
            <w:r/>
            <w:r>
              <w:rPr>
                <w:rFonts w:ascii="Figtree" w:hAnsi="Figtree"/>
                <w:b/>
                <w:i w:val="0"/>
                <w:sz w:val="20"/>
              </w:rPr>
              <w:t>EUR 560,000</w:t>
            </w:r>
          </w:p>
        </w:tc>
        <w:tc>
          <w:tcPr>
            <w:tcW w:type="dxa" w:w="1949"/>
            <w:vAlign w:val="center"/>
          </w:tcPr>
          <w:p>
            <w:pPr>
              <w:spacing w:line="276" w:lineRule="auto" w:before="0" w:after="0"/>
            </w:pPr>
            <w:r/>
            <w:r>
              <w:rPr>
                <w:rFonts w:ascii="Figtree" w:hAnsi="Figtree"/>
                <w:b/>
                <w:i w:val="0"/>
                <w:sz w:val="20"/>
              </w:rPr>
              <w:t>EUR 608,000</w:t>
            </w:r>
          </w:p>
        </w:tc>
        <w:tc>
          <w:tcPr>
            <w:tcW w:type="dxa" w:w="1949"/>
            <w:vAlign w:val="center"/>
          </w:tcPr>
          <w:p>
            <w:pPr>
              <w:spacing w:line="276" w:lineRule="auto" w:before="0" w:after="0"/>
            </w:pPr>
            <w:r/>
            <w:r>
              <w:rPr>
                <w:rFonts w:ascii="Figtree" w:hAnsi="Figtree"/>
                <w:b/>
                <w:i w:val="0"/>
                <w:sz w:val="20"/>
              </w:rPr>
              <w:t>EUR 2,128,000</w:t>
            </w:r>
          </w:p>
        </w:tc>
      </w:tr>
    </w:tbl>
    <w:p>
      <w:pPr>
        <w:spacing w:before="0" w:after="0" w:line="120" w:lineRule="exact"/>
      </w:pPr>
    </w:p>
    <w:p>
      <w:r>
        <w:br w:type="page"/>
      </w:r>
    </w:p>
    <w:p>
      <w:pPr>
        <w:pStyle w:val="H2"/>
        <w:numPr>
          <w:ilvl w:val="1"/>
          <w:numId w:val="1"/>
        </w:numPr>
      </w:pPr>
      <w:r>
        <w:t>2. Investment Rationale</w:t>
      </w:r>
    </w:p>
    <w:p>
      <w:pPr>
        <w:pStyle w:val="H3"/>
        <w:numPr>
          <w:ilvl w:val="2"/>
          <w:numId w:val="1"/>
        </w:numPr>
      </w:pPr>
      <w:r>
        <w:t>The Competitive Case</w:t>
      </w:r>
    </w:p>
    <w:p>
      <w:r>
        <w:rPr>
          <w:rFonts w:ascii="Figtree" w:hAnsi="Figtree"/>
          <w:b w:val="0"/>
          <w:i w:val="0"/>
          <w:sz w:val="22"/>
        </w:rPr>
        <w:t>Revolut competes directly with Trade Republic, Scalable Capital, Bitpanda, and traditional brokers for European retail securities trading. Tokenized securities -- tokenized equities and ETFs with same-session settlement, fractional positions, and on-chain dividend automation -- create a product differentiation that these competitors cannot quickly replicate without the same infrastructure investment. First-mover advantage in regulated tokenized securities trading within a super-app is a meaningful competitive moat.</w:t>
      </w:r>
    </w:p>
    <w:p>
      <w:pPr>
        <w:pStyle w:val="H3"/>
        <w:numPr>
          <w:ilvl w:val="2"/>
          <w:numId w:val="1"/>
        </w:numPr>
      </w:pPr>
      <w:r>
        <w:t>Revenue Creation</w:t>
      </w:r>
    </w:p>
    <w:p>
      <w:r>
        <w:rPr>
          <w:rFonts w:ascii="Figtree" w:hAnsi="Figtree"/>
          <w:b w:val="0"/>
          <w:i w:val="0"/>
          <w:sz w:val="22"/>
        </w:rPr>
        <w:t>Trading spread revenue: tokenized securities trading at 25-50 basis points spread on EUR 500 million average daily volume generates EUR 1.25 to 2.5 million daily revenue. FX conversion on cross-currency tokenized securities adds additional spread.</w:t>
      </w:r>
    </w:p>
    <w:p>
      <w:r>
        <w:rPr>
          <w:rFonts w:ascii="Figtree" w:hAnsi="Figtree"/>
          <w:b w:val="0"/>
          <w:i w:val="0"/>
          <w:sz w:val="22"/>
        </w:rPr>
        <w:t>Management fees on ETF AUM: tokenized ETF assets under management at 20-30 basis points generates EUR 2 to 3 million annually at EUR 1 billion AUM.</w:t>
      </w:r>
    </w:p>
    <w:p>
      <w:r>
        <w:rPr>
          <w:rFonts w:ascii="Figtree" w:hAnsi="Figtree"/>
          <w:b w:val="0"/>
          <w:i w:val="0"/>
          <w:sz w:val="22"/>
        </w:rPr>
        <w:t>Custody and staking fees: optional custody fees for investors holding tokenized equity positions in Revolut's custody infrastructure.</w:t>
      </w:r>
    </w:p>
    <w:p>
      <w:pPr>
        <w:pStyle w:val="H3"/>
        <w:numPr>
          <w:ilvl w:val="2"/>
          <w:numId w:val="1"/>
        </w:numPr>
      </w:pPr>
      <w:r>
        <w:t>Build vs. Buy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28"/>
        <w:gridCol w:w="2822"/>
        <w:gridCol w:w="272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Custom Build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Time to production</w:t>
            </w:r>
          </w:p>
        </w:tc>
        <w:tc>
          <w:tcPr>
            <w:tcW w:type="dxa" w:w="3249"/>
            <w:vAlign w:val="center"/>
          </w:tcPr>
          <w:p>
            <w:pPr>
              <w:spacing w:line="276" w:lineRule="auto" w:before="0" w:after="0"/>
            </w:pPr>
            <w:r/>
            <w:r>
              <w:rPr>
                <w:rFonts w:ascii="Figtree" w:hAnsi="Figtree"/>
                <w:b w:val="0"/>
                <w:i w:val="0"/>
                <w:sz w:val="20"/>
              </w:rPr>
              <w:t>18-24 months</w:t>
            </w:r>
          </w:p>
        </w:tc>
        <w:tc>
          <w:tcPr>
            <w:tcW w:type="dxa" w:w="3249"/>
            <w:vAlign w:val="center"/>
          </w:tcPr>
          <w:p>
            <w:pPr>
              <w:spacing w:line="276" w:lineRule="auto" w:before="0" w:after="0"/>
            </w:pPr>
            <w:r/>
            <w:r>
              <w:rPr>
                <w:rFonts w:ascii="Figtree" w:hAnsi="Figtree"/>
                <w:b w:val="0"/>
                <w:i w:val="0"/>
                <w:sz w:val="20"/>
              </w:rPr>
              <w:t>14-18 weeks</w:t>
            </w:r>
          </w:p>
        </w:tc>
      </w:tr>
      <w:tr>
        <w:trPr>
          <w:trHeight w:val="425" w:hRule="atLeast"/>
        </w:trPr>
        <w:tc>
          <w:tcPr>
            <w:tcW w:type="dxa" w:w="3249"/>
            <w:vAlign w:val="center"/>
          </w:tcPr>
          <w:p>
            <w:pPr>
              <w:spacing w:line="276" w:lineRule="auto" w:before="0" w:after="0"/>
            </w:pPr>
            <w:r/>
            <w:r>
              <w:rPr>
                <w:rFonts w:ascii="Figtree" w:hAnsi="Figtree"/>
                <w:b w:val="0"/>
                <w:i w:val="0"/>
                <w:sz w:val="20"/>
              </w:rPr>
              <w:t>Initial development cost</w:t>
            </w:r>
          </w:p>
        </w:tc>
        <w:tc>
          <w:tcPr>
            <w:tcW w:type="dxa" w:w="3249"/>
            <w:vAlign w:val="center"/>
          </w:tcPr>
          <w:p>
            <w:pPr>
              <w:spacing w:line="276" w:lineRule="auto" w:before="0" w:after="0"/>
            </w:pPr>
            <w:r/>
            <w:r>
              <w:rPr>
                <w:rFonts w:ascii="Figtree" w:hAnsi="Figtree"/>
                <w:b w:val="0"/>
                <w:i w:val="0"/>
                <w:sz w:val="20"/>
              </w:rPr>
              <w:t>EUR 4-8 million</w:t>
            </w:r>
          </w:p>
        </w:tc>
        <w:tc>
          <w:tcPr>
            <w:tcW w:type="dxa" w:w="3249"/>
            <w:vAlign w:val="center"/>
          </w:tcPr>
          <w:p>
            <w:pPr>
              <w:spacing w:line="276" w:lineRule="auto" w:before="0" w:after="0"/>
            </w:pPr>
            <w:r/>
            <w:r>
              <w:rPr>
                <w:rFonts w:ascii="Figtree" w:hAnsi="Figtree"/>
                <w:b w:val="0"/>
                <w:i w:val="0"/>
                <w:sz w:val="20"/>
              </w:rPr>
              <w:t>EUR 420,000</w:t>
            </w:r>
          </w:p>
        </w:tc>
      </w:tr>
      <w:tr>
        <w:trPr>
          <w:trHeight w:val="425" w:hRule="atLeast"/>
        </w:trPr>
        <w:tc>
          <w:tcPr>
            <w:tcW w:type="dxa" w:w="3249"/>
            <w:vAlign w:val="center"/>
          </w:tcPr>
          <w:p>
            <w:pPr>
              <w:spacing w:line="276" w:lineRule="auto" w:before="0" w:after="0"/>
            </w:pPr>
            <w:r/>
            <w:r>
              <w:rPr>
                <w:rFonts w:ascii="Figtree" w:hAnsi="Figtree"/>
                <w:b w:val="0"/>
                <w:i w:val="0"/>
                <w:sz w:val="20"/>
              </w:rPr>
              <w:t>Annual maintenance</w:t>
            </w:r>
          </w:p>
        </w:tc>
        <w:tc>
          <w:tcPr>
            <w:tcW w:type="dxa" w:w="3249"/>
            <w:vAlign w:val="center"/>
          </w:tcPr>
          <w:p>
            <w:pPr>
              <w:spacing w:line="276" w:lineRule="auto" w:before="0" w:after="0"/>
            </w:pPr>
            <w:r/>
            <w:r>
              <w:rPr>
                <w:rFonts w:ascii="Figtree" w:hAnsi="Figtree"/>
                <w:b w:val="0"/>
                <w:i w:val="0"/>
                <w:sz w:val="20"/>
              </w:rPr>
              <w:t>EUR 1.5-3 million</w:t>
            </w:r>
          </w:p>
        </w:tc>
        <w:tc>
          <w:tcPr>
            <w:tcW w:type="dxa" w:w="3249"/>
            <w:vAlign w:val="center"/>
          </w:tcPr>
          <w:p>
            <w:pPr>
              <w:spacing w:line="276" w:lineRule="auto" w:before="0" w:after="0"/>
            </w:pPr>
            <w:r/>
            <w:r>
              <w:rPr>
                <w:rFonts w:ascii="Figtree" w:hAnsi="Figtree"/>
                <w:b w:val="0"/>
                <w:i w:val="0"/>
                <w:sz w:val="20"/>
              </w:rPr>
              <w:t>EUR 280,000</w:t>
            </w:r>
          </w:p>
        </w:tc>
      </w:tr>
      <w:tr>
        <w:trPr>
          <w:trHeight w:val="425" w:hRule="atLeast"/>
        </w:trPr>
        <w:tc>
          <w:tcPr>
            <w:tcW w:type="dxa" w:w="3249"/>
            <w:vAlign w:val="center"/>
          </w:tcPr>
          <w:p>
            <w:pPr>
              <w:spacing w:line="276" w:lineRule="auto" w:before="0" w:after="0"/>
            </w:pPr>
            <w:r/>
            <w:r>
              <w:rPr>
                <w:rFonts w:ascii="Figtree" w:hAnsi="Figtree"/>
                <w:b w:val="0"/>
                <w:i w:val="0"/>
                <w:sz w:val="20"/>
              </w:rPr>
              <w:t>FCA compliance framework</w:t>
            </w:r>
          </w:p>
        </w:tc>
        <w:tc>
          <w:tcPr>
            <w:tcW w:type="dxa" w:w="3249"/>
            <w:vAlign w:val="center"/>
          </w:tcPr>
          <w:p>
            <w:pPr>
              <w:spacing w:line="276" w:lineRule="auto" w:before="0" w:after="0"/>
            </w:pPr>
            <w:r/>
            <w:r>
              <w:rPr>
                <w:rFonts w:ascii="Figtree" w:hAnsi="Figtree"/>
                <w:b w:val="0"/>
                <w:i w:val="0"/>
                <w:sz w:val="20"/>
              </w:rPr>
              <w:t>Custom per regulatory change</w:t>
            </w:r>
          </w:p>
        </w:tc>
        <w:tc>
          <w:tcPr>
            <w:tcW w:type="dxa" w:w="3249"/>
            <w:vAlign w:val="center"/>
          </w:tcPr>
          <w:p>
            <w:pPr>
              <w:spacing w:line="276" w:lineRule="auto" w:before="0" w:after="0"/>
            </w:pPr>
            <w:r/>
            <w:r>
              <w:rPr>
                <w:rFonts w:ascii="Figtree" w:hAnsi="Figtree"/>
                <w:b w:val="0"/>
                <w:i w:val="0"/>
                <w:sz w:val="20"/>
              </w:rPr>
              <w:t>Included in license</w:t>
            </w:r>
          </w:p>
        </w:tc>
      </w:tr>
      <w:tr>
        <w:trPr>
          <w:trHeight w:val="425" w:hRule="atLeast"/>
        </w:trPr>
        <w:tc>
          <w:tcPr>
            <w:tcW w:type="dxa" w:w="3249"/>
            <w:vAlign w:val="center"/>
          </w:tcPr>
          <w:p>
            <w:pPr>
              <w:spacing w:line="276" w:lineRule="auto" w:before="0" w:after="0"/>
            </w:pPr>
            <w:r/>
            <w:r>
              <w:rPr>
                <w:rFonts w:ascii="Figtree" w:hAnsi="Figtree"/>
                <w:b w:val="0"/>
                <w:i w:val="0"/>
                <w:sz w:val="20"/>
              </w:rPr>
              <w:t>MiCA compliance (dual-jurisdiction)</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 per-entity config</w:t>
            </w:r>
          </w:p>
        </w:tc>
      </w:tr>
      <w:tr>
        <w:trPr>
          <w:trHeight w:val="425" w:hRule="atLeast"/>
        </w:trPr>
        <w:tc>
          <w:tcPr>
            <w:tcW w:type="dxa" w:w="3249"/>
            <w:vAlign w:val="center"/>
          </w:tcPr>
          <w:p>
            <w:pPr>
              <w:spacing w:line="276" w:lineRule="auto" w:before="0" w:after="0"/>
            </w:pPr>
            <w:r/>
            <w:r>
              <w:rPr>
                <w:rFonts w:ascii="Figtree" w:hAnsi="Figtree"/>
                <w:b w:val="0"/>
                <w:i w:val="0"/>
                <w:sz w:val="20"/>
              </w:rPr>
              <w:t>DvP settlement engine</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w:t>
            </w:r>
          </w:p>
        </w:tc>
      </w:tr>
      <w:tr>
        <w:trPr>
          <w:trHeight w:val="425" w:hRule="atLeast"/>
        </w:trPr>
        <w:tc>
          <w:tcPr>
            <w:tcW w:type="dxa" w:w="3249"/>
            <w:vAlign w:val="center"/>
          </w:tcPr>
          <w:p>
            <w:pPr>
              <w:spacing w:line="276" w:lineRule="auto" w:before="0" w:after="0"/>
            </w:pPr>
            <w:r/>
            <w:r>
              <w:rPr>
                <w:rFonts w:ascii="Figtree" w:hAnsi="Figtree"/>
                <w:b w:val="0"/>
                <w:i w:val="0"/>
                <w:sz w:val="20"/>
              </w:rPr>
              <w:t>Corporate action automation</w:t>
            </w:r>
          </w:p>
        </w:tc>
        <w:tc>
          <w:tcPr>
            <w:tcW w:type="dxa" w:w="3249"/>
            <w:vAlign w:val="center"/>
          </w:tcPr>
          <w:p>
            <w:pPr>
              <w:spacing w:line="276" w:lineRule="auto" w:before="0" w:after="0"/>
            </w:pPr>
            <w:r/>
            <w:r>
              <w:rPr>
                <w:rFonts w:ascii="Figtree" w:hAnsi="Figtree"/>
                <w:b w:val="0"/>
                <w:i w:val="0"/>
                <w:sz w:val="20"/>
              </w:rPr>
              <w:t>Custom development</w:t>
            </w:r>
          </w:p>
        </w:tc>
        <w:tc>
          <w:tcPr>
            <w:tcW w:type="dxa" w:w="3249"/>
            <w:vAlign w:val="center"/>
          </w:tcPr>
          <w:p>
            <w:pPr>
              <w:spacing w:line="276" w:lineRule="auto" w:before="0" w:after="0"/>
            </w:pPr>
            <w:r/>
            <w:r>
              <w:rPr>
                <w:rFonts w:ascii="Figtree" w:hAnsi="Figtree"/>
                <w:b w:val="0"/>
                <w:i w:val="0"/>
                <w:sz w:val="20"/>
              </w:rPr>
              <w:t>Included</w:t>
            </w:r>
          </w:p>
        </w:tc>
      </w:tr>
    </w:tbl>
    <w:p>
      <w:pPr>
        <w:spacing w:before="0" w:after="0" w:line="120" w:lineRule="exact"/>
      </w:pPr>
    </w:p>
    <w:p>
      <w:r>
        <w:br w:type="page"/>
      </w:r>
    </w:p>
    <w:p>
      <w:pPr>
        <w:pStyle w:val="H2"/>
        <w:numPr>
          <w:ilvl w:val="1"/>
          <w:numId w:val="1"/>
        </w:numPr>
      </w:pPr>
      <w:r>
        <w:t>3. Licensing Model</w:t>
      </w:r>
    </w:p>
    <w:p>
      <w:pPr>
        <w:pStyle w:val="H3"/>
        <w:numPr>
          <w:ilvl w:val="2"/>
          <w:numId w:val="1"/>
        </w:numPr>
      </w:pPr>
      <w:r>
        <w:t>Platform Tiers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91"/>
        <w:gridCol w:w="2228"/>
        <w:gridCol w:w="525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Tier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License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r>
      <w:tr>
        <w:trPr>
          <w:trHeight w:val="425" w:hRule="atLeast"/>
        </w:trPr>
        <w:tc>
          <w:tcPr>
            <w:tcW w:type="dxa" w:w="3249"/>
            <w:vAlign w:val="center"/>
          </w:tcPr>
          <w:p>
            <w:pPr>
              <w:spacing w:line="276" w:lineRule="auto" w:before="0" w:after="0"/>
            </w:pPr>
            <w:r/>
            <w:r>
              <w:rPr>
                <w:rFonts w:ascii="Figtree" w:hAnsi="Figtree"/>
                <w:b w:val="0"/>
                <w:i w:val="0"/>
                <w:sz w:val="20"/>
              </w:rPr>
              <w:t>Foundation</w:t>
            </w:r>
          </w:p>
        </w:tc>
        <w:tc>
          <w:tcPr>
            <w:tcW w:type="dxa" w:w="3249"/>
            <w:vAlign w:val="center"/>
          </w:tcPr>
          <w:p>
            <w:pPr>
              <w:spacing w:line="276" w:lineRule="auto" w:before="0" w:after="0"/>
            </w:pPr>
            <w:r/>
            <w:r>
              <w:rPr>
                <w:rFonts w:ascii="Figtree" w:hAnsi="Figtree"/>
                <w:b w:val="0"/>
                <w:i w:val="0"/>
                <w:sz w:val="20"/>
              </w:rPr>
              <w:t>EUR 80,000</w:t>
            </w:r>
          </w:p>
        </w:tc>
        <w:tc>
          <w:tcPr>
            <w:tcW w:type="dxa" w:w="3249"/>
            <w:vAlign w:val="center"/>
          </w:tcPr>
          <w:p>
            <w:pPr>
              <w:spacing w:line="276" w:lineRule="auto" w:before="0" w:after="0"/>
            </w:pPr>
            <w:r/>
            <w:r>
              <w:rPr>
                <w:rFonts w:ascii="Figtree" w:hAnsi="Figtree"/>
                <w:b w:val="0"/>
                <w:i w:val="0"/>
                <w:sz w:val="20"/>
              </w:rPr>
              <w:t>Development, staging</w:t>
            </w:r>
          </w:p>
        </w:tc>
      </w:tr>
      <w:tr>
        <w:trPr>
          <w:trHeight w:val="425" w:hRule="atLeast"/>
        </w:trPr>
        <w:tc>
          <w:tcPr>
            <w:tcW w:type="dxa" w:w="3249"/>
            <w:vAlign w:val="center"/>
          </w:tcPr>
          <w:p>
            <w:pPr>
              <w:spacing w:line="276" w:lineRule="auto" w:before="0" w:after="0"/>
            </w:pPr>
            <w:r/>
            <w:r>
              <w:rPr>
                <w:rFonts w:ascii="Figtree" w:hAnsi="Figtree"/>
                <w:b w:val="0"/>
                <w:i w:val="0"/>
                <w:sz w:val="20"/>
              </w:rPr>
              <w:t>Enterprise</w:t>
            </w:r>
          </w:p>
        </w:tc>
        <w:tc>
          <w:tcPr>
            <w:tcW w:type="dxa" w:w="3249"/>
            <w:vAlign w:val="center"/>
          </w:tcPr>
          <w:p>
            <w:pPr>
              <w:spacing w:line="276" w:lineRule="auto" w:before="0" w:after="0"/>
            </w:pPr>
            <w:r/>
            <w:r>
              <w:rPr>
                <w:rFonts w:ascii="Figtree" w:hAnsi="Figtree"/>
                <w:b w:val="0"/>
                <w:i w:val="0"/>
                <w:sz w:val="20"/>
              </w:rPr>
              <w:t>EUR 280,000</w:t>
            </w:r>
          </w:p>
        </w:tc>
        <w:tc>
          <w:tcPr>
            <w:tcW w:type="dxa" w:w="3249"/>
            <w:vAlign w:val="center"/>
          </w:tcPr>
          <w:p>
            <w:pPr>
              <w:spacing w:line="276" w:lineRule="auto" w:before="0" w:after="0"/>
            </w:pPr>
            <w:r/>
            <w:r>
              <w:rPr>
                <w:rFonts w:ascii="Figtree" w:hAnsi="Figtree"/>
                <w:b w:val="0"/>
                <w:i w:val="0"/>
                <w:sz w:val="20"/>
              </w:rPr>
              <w:t>Production consumer-scale trading</w:t>
            </w:r>
          </w:p>
        </w:tc>
      </w:tr>
      <w:tr>
        <w:trPr>
          <w:trHeight w:val="425" w:hRule="atLeast"/>
        </w:trPr>
        <w:tc>
          <w:tcPr>
            <w:tcW w:type="dxa" w:w="3249"/>
            <w:vAlign w:val="center"/>
          </w:tcPr>
          <w:p>
            <w:pPr>
              <w:spacing w:line="276" w:lineRule="auto" w:before="0" w:after="0"/>
            </w:pPr>
            <w:r/>
            <w:r>
              <w:rPr>
                <w:rFonts w:ascii="Figtree" w:hAnsi="Figtree"/>
                <w:b w:val="0"/>
                <w:i w:val="0"/>
                <w:sz w:val="20"/>
              </w:rPr>
              <w:t>Sovereign</w:t>
            </w:r>
          </w:p>
        </w:tc>
        <w:tc>
          <w:tcPr>
            <w:tcW w:type="dxa" w:w="3249"/>
            <w:vAlign w:val="center"/>
          </w:tcPr>
          <w:p>
            <w:pPr>
              <w:spacing w:line="276" w:lineRule="auto" w:before="0" w:after="0"/>
            </w:pPr>
            <w:r/>
            <w:r>
              <w:rPr>
                <w:rFonts w:ascii="Figtree" w:hAnsi="Figtree"/>
                <w:b w:val="0"/>
                <w:i w:val="0"/>
                <w:sz w:val="20"/>
              </w:rPr>
              <w:t>EUR 480,000</w:t>
            </w:r>
          </w:p>
        </w:tc>
        <w:tc>
          <w:tcPr>
            <w:tcW w:type="dxa" w:w="3249"/>
            <w:vAlign w:val="center"/>
          </w:tcPr>
          <w:p>
            <w:pPr>
              <w:spacing w:line="276" w:lineRule="auto" w:before="0" w:after="0"/>
            </w:pPr>
            <w:r/>
            <w:r>
              <w:rPr>
                <w:rFonts w:ascii="Figtree" w:hAnsi="Figtree"/>
                <w:b w:val="0"/>
                <w:i w:val="0"/>
                <w:sz w:val="20"/>
              </w:rPr>
              <w:t>Maximum-security, sovereign-scale</w:t>
            </w:r>
          </w:p>
        </w:tc>
      </w:tr>
    </w:tbl>
    <w:p>
      <w:pPr>
        <w:spacing w:before="0" w:after="0" w:line="120" w:lineRule="exact"/>
      </w:pPr>
    </w:p>
    <w:p>
      <w:r>
        <w:rPr>
          <w:rFonts w:ascii="Figtree" w:hAnsi="Figtree"/>
          <w:b w:val="0"/>
          <w:i w:val="0"/>
          <w:sz w:val="22"/>
        </w:rPr>
        <w:t>Enterprise tier recommended for Revolut's production tokenized securities programme. The Enterprise tier covers unlimited tokenized security types, unlimited markets, and up to 1 million monthly transactions.</w:t>
      </w:r>
    </w:p>
    <w:p>
      <w:r>
        <w:rPr>
          <w:rFonts w:ascii="Figtree" w:hAnsi="Figtree"/>
          <w:b w:val="0"/>
          <w:i w:val="0"/>
          <w:sz w:val="22"/>
        </w:rPr>
        <w:t>Multi-environment pricing:</w:t>
      </w:r>
    </w:p>
    <w:p>
      <w:pPr>
        <w:pStyle w:val="ListParagraph"/>
        <w:numPr>
          <w:ilvl w:val="0"/>
          <w:numId w:val="4"/>
        </w:numPr>
      </w:pPr>
      <w:r>
        <w:rPr>
          <w:rFonts w:ascii="Figtree" w:hAnsi="Figtree"/>
          <w:b w:val="0"/>
          <w:i w:val="0"/>
          <w:sz w:val="22"/>
        </w:rPr>
        <w:t>Production (Enterprise): EUR 280,000</w:t>
      </w:r>
    </w:p>
    <w:p>
      <w:pPr>
        <w:pStyle w:val="ListParagraph"/>
        <w:numPr>
          <w:ilvl w:val="0"/>
          <w:numId w:val="4"/>
        </w:numPr>
      </w:pPr>
      <w:r>
        <w:rPr>
          <w:rFonts w:ascii="Figtree" w:hAnsi="Figtree"/>
          <w:b w:val="0"/>
          <w:i w:val="0"/>
          <w:sz w:val="22"/>
        </w:rPr>
        <w:t>Staging (Foundation, 50%): EUR 40,000</w:t>
      </w:r>
    </w:p>
    <w:p>
      <w:pPr>
        <w:pStyle w:val="ListParagraph"/>
        <w:numPr>
          <w:ilvl w:val="0"/>
          <w:numId w:val="4"/>
        </w:numPr>
      </w:pPr>
      <w:r>
        <w:rPr>
          <w:rFonts w:ascii="Figtree" w:hAnsi="Figtree"/>
          <w:b w:val="0"/>
          <w:i w:val="0"/>
          <w:sz w:val="22"/>
        </w:rPr>
        <w:t>Development (Foundation, 75%): EUR 20,000</w:t>
      </w:r>
    </w:p>
    <w:p>
      <w:pPr>
        <w:pStyle w:val="ListParagraph"/>
        <w:numPr>
          <w:ilvl w:val="0"/>
          <w:numId w:val="4"/>
        </w:numPr>
      </w:pPr>
      <w:r>
        <w:rPr>
          <w:rFonts w:ascii="Figtree" w:hAnsi="Figtree"/>
          <w:b/>
          <w:i w:val="0"/>
          <w:sz w:val="22"/>
        </w:rPr>
        <w:t>Total: EUR 340,000/year</w:t>
      </w:r>
    </w:p>
    <w:p>
      <w:r>
        <w:br w:type="page"/>
      </w:r>
    </w:p>
    <w:p>
      <w:pPr>
        <w:pStyle w:val="H2"/>
        <w:numPr>
          <w:ilvl w:val="1"/>
          <w:numId w:val="1"/>
        </w:numPr>
      </w:pPr>
      <w:r>
        <w:t>4. Deployment Options and Pricing</w:t>
      </w:r>
    </w:p>
    <w:p>
      <w:pPr>
        <w:pStyle w:val="H3"/>
        <w:numPr>
          <w:ilvl w:val="2"/>
          <w:numId w:val="1"/>
        </w:numPr>
      </w:pPr>
      <w:r>
        <w:t>Recommended: Revolut Private Cloud (Kubernetes, EU Region)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816"/>
        <w:gridCol w:w="2128"/>
        <w:gridCol w:w="212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w:t>
            </w:r>
          </w:p>
        </w:tc>
      </w:tr>
      <w:tr>
        <w:trPr>
          <w:trHeight w:val="425" w:hRule="atLeast"/>
        </w:trPr>
        <w:tc>
          <w:tcPr>
            <w:tcW w:type="dxa" w:w="3249"/>
            <w:vAlign w:val="center"/>
          </w:tcPr>
          <w:p>
            <w:pPr>
              <w:spacing w:line="276" w:lineRule="auto" w:before="0" w:after="0"/>
            </w:pPr>
            <w:r/>
            <w:r>
              <w:rPr>
                <w:rFonts w:ascii="Figtree" w:hAnsi="Figtree"/>
                <w:b w:val="0"/>
                <w:i w:val="0"/>
                <w:sz w:val="20"/>
              </w:rPr>
              <w:t>Kubernetes resources (production namespace)</w:t>
            </w:r>
          </w:p>
        </w:tc>
        <w:tc>
          <w:tcPr>
            <w:tcW w:type="dxa" w:w="3249"/>
            <w:vAlign w:val="center"/>
          </w:tcPr>
          <w:p>
            <w:pPr>
              <w:spacing w:line="276" w:lineRule="auto" w:before="0" w:after="0"/>
            </w:pPr>
            <w:r/>
            <w:r>
              <w:rPr>
                <w:rFonts w:ascii="Figtree" w:hAnsi="Figtree"/>
                <w:b w:val="0"/>
                <w:i w:val="0"/>
                <w:sz w:val="20"/>
              </w:rPr>
              <w:t>EUR 1,500</w:t>
            </w:r>
          </w:p>
        </w:tc>
        <w:tc>
          <w:tcPr>
            <w:tcW w:type="dxa" w:w="3249"/>
            <w:vAlign w:val="center"/>
          </w:tcPr>
          <w:p>
            <w:pPr>
              <w:spacing w:line="276" w:lineRule="auto" w:before="0" w:after="0"/>
            </w:pPr>
            <w:r/>
            <w:r>
              <w:rPr>
                <w:rFonts w:ascii="Figtree" w:hAnsi="Figtree"/>
                <w:b w:val="0"/>
                <w:i w:val="0"/>
                <w:sz w:val="20"/>
              </w:rPr>
              <w:t>EUR 18,000</w:t>
            </w:r>
          </w:p>
        </w:tc>
      </w:tr>
      <w:tr>
        <w:trPr>
          <w:trHeight w:val="425" w:hRule="atLeast"/>
        </w:trPr>
        <w:tc>
          <w:tcPr>
            <w:tcW w:type="dxa" w:w="3249"/>
            <w:vAlign w:val="center"/>
          </w:tcPr>
          <w:p>
            <w:pPr>
              <w:spacing w:line="276" w:lineRule="auto" w:before="0" w:after="0"/>
            </w:pPr>
            <w:r/>
            <w:r>
              <w:rPr>
                <w:rFonts w:ascii="Figtree" w:hAnsi="Figtree"/>
                <w:b w:val="0"/>
                <w:i w:val="0"/>
                <w:sz w:val="20"/>
              </w:rPr>
              <w:t>PostgreSQL Multi-AZ</w:t>
            </w:r>
          </w:p>
        </w:tc>
        <w:tc>
          <w:tcPr>
            <w:tcW w:type="dxa" w:w="3249"/>
            <w:vAlign w:val="center"/>
          </w:tcPr>
          <w:p>
            <w:pPr>
              <w:spacing w:line="276" w:lineRule="auto" w:before="0" w:after="0"/>
            </w:pPr>
            <w:r/>
            <w:r>
              <w:rPr>
                <w:rFonts w:ascii="Figtree" w:hAnsi="Figtree"/>
                <w:b w:val="0"/>
                <w:i w:val="0"/>
                <w:sz w:val="20"/>
              </w:rPr>
              <w:t>EUR 1,200</w:t>
            </w:r>
          </w:p>
        </w:tc>
        <w:tc>
          <w:tcPr>
            <w:tcW w:type="dxa" w:w="3249"/>
            <w:vAlign w:val="center"/>
          </w:tcPr>
          <w:p>
            <w:pPr>
              <w:spacing w:line="276" w:lineRule="auto" w:before="0" w:after="0"/>
            </w:pPr>
            <w:r/>
            <w:r>
              <w:rPr>
                <w:rFonts w:ascii="Figtree" w:hAnsi="Figtree"/>
                <w:b w:val="0"/>
                <w:i w:val="0"/>
                <w:sz w:val="20"/>
              </w:rPr>
              <w:t>EUR 14,400</w:t>
            </w:r>
          </w:p>
        </w:tc>
      </w:tr>
      <w:tr>
        <w:trPr>
          <w:trHeight w:val="425" w:hRule="atLeast"/>
        </w:trPr>
        <w:tc>
          <w:tcPr>
            <w:tcW w:type="dxa" w:w="3249"/>
            <w:vAlign w:val="center"/>
          </w:tcPr>
          <w:p>
            <w:pPr>
              <w:spacing w:line="276" w:lineRule="auto" w:before="0" w:after="0"/>
            </w:pPr>
            <w:r/>
            <w:r>
              <w:rPr>
                <w:rFonts w:ascii="Figtree" w:hAnsi="Figtree"/>
                <w:b w:val="0"/>
                <w:i w:val="0"/>
                <w:sz w:val="20"/>
              </w:rPr>
              <w:t>S3 object storage (5TB)</w:t>
            </w:r>
          </w:p>
        </w:tc>
        <w:tc>
          <w:tcPr>
            <w:tcW w:type="dxa" w:w="3249"/>
            <w:vAlign w:val="center"/>
          </w:tcPr>
          <w:p>
            <w:pPr>
              <w:spacing w:line="276" w:lineRule="auto" w:before="0" w:after="0"/>
            </w:pPr>
            <w:r/>
            <w:r>
              <w:rPr>
                <w:rFonts w:ascii="Figtree" w:hAnsi="Figtree"/>
                <w:b w:val="0"/>
                <w:i w:val="0"/>
                <w:sz w:val="20"/>
              </w:rPr>
              <w:t>EUR 120</w:t>
            </w:r>
          </w:p>
        </w:tc>
        <w:tc>
          <w:tcPr>
            <w:tcW w:type="dxa" w:w="3249"/>
            <w:vAlign w:val="center"/>
          </w:tcPr>
          <w:p>
            <w:pPr>
              <w:spacing w:line="276" w:lineRule="auto" w:before="0" w:after="0"/>
            </w:pPr>
            <w:r/>
            <w:r>
              <w:rPr>
                <w:rFonts w:ascii="Figtree" w:hAnsi="Figtree"/>
                <w:b w:val="0"/>
                <w:i w:val="0"/>
                <w:sz w:val="20"/>
              </w:rPr>
              <w:t>EUR 1,440</w:t>
            </w:r>
          </w:p>
        </w:tc>
      </w:tr>
      <w:tr>
        <w:trPr>
          <w:trHeight w:val="425" w:hRule="atLeast"/>
        </w:trPr>
        <w:tc>
          <w:tcPr>
            <w:tcW w:type="dxa" w:w="3249"/>
            <w:vAlign w:val="center"/>
          </w:tcPr>
          <w:p>
            <w:pPr>
              <w:spacing w:line="276" w:lineRule="auto" w:before="0" w:after="0"/>
            </w:pPr>
            <w:r/>
            <w:r>
              <w:rPr>
                <w:rFonts w:ascii="Figtree" w:hAnsi="Figtree"/>
                <w:b w:val="0"/>
                <w:i w:val="0"/>
                <w:sz w:val="20"/>
              </w:rPr>
              <w:t>KMS encryption</w:t>
            </w:r>
          </w:p>
        </w:tc>
        <w:tc>
          <w:tcPr>
            <w:tcW w:type="dxa" w:w="3249"/>
            <w:vAlign w:val="center"/>
          </w:tcPr>
          <w:p>
            <w:pPr>
              <w:spacing w:line="276" w:lineRule="auto" w:before="0" w:after="0"/>
            </w:pPr>
            <w:r/>
            <w:r>
              <w:rPr>
                <w:rFonts w:ascii="Figtree" w:hAnsi="Figtree"/>
                <w:b w:val="0"/>
                <w:i w:val="0"/>
                <w:sz w:val="20"/>
              </w:rPr>
              <w:t>EUR 250</w:t>
            </w:r>
          </w:p>
        </w:tc>
        <w:tc>
          <w:tcPr>
            <w:tcW w:type="dxa" w:w="3249"/>
            <w:vAlign w:val="center"/>
          </w:tcPr>
          <w:p>
            <w:pPr>
              <w:spacing w:line="276" w:lineRule="auto" w:before="0" w:after="0"/>
            </w:pPr>
            <w:r/>
            <w:r>
              <w:rPr>
                <w:rFonts w:ascii="Figtree" w:hAnsi="Figtree"/>
                <w:b w:val="0"/>
                <w:i w:val="0"/>
                <w:sz w:val="20"/>
              </w:rPr>
              <w:t>EUR 3,000</w:t>
            </w:r>
          </w:p>
        </w:tc>
      </w:tr>
      <w:tr>
        <w:trPr>
          <w:trHeight w:val="425" w:hRule="atLeast"/>
        </w:trPr>
        <w:tc>
          <w:tcPr>
            <w:tcW w:type="dxa" w:w="3249"/>
            <w:vAlign w:val="center"/>
          </w:tcPr>
          <w:p>
            <w:pPr>
              <w:spacing w:line="276" w:lineRule="auto" w:before="0" w:after="0"/>
            </w:pPr>
            <w:r/>
            <w:r>
              <w:rPr>
                <w:rFonts w:ascii="Figtree" w:hAnsi="Figtree"/>
                <w:b w:val="0"/>
                <w:i w:val="0"/>
                <w:sz w:val="20"/>
              </w:rPr>
              <w:t>Network and data transfer</w:t>
            </w:r>
          </w:p>
        </w:tc>
        <w:tc>
          <w:tcPr>
            <w:tcW w:type="dxa" w:w="3249"/>
            <w:vAlign w:val="center"/>
          </w:tcPr>
          <w:p>
            <w:pPr>
              <w:spacing w:line="276" w:lineRule="auto" w:before="0" w:after="0"/>
            </w:pPr>
            <w:r/>
            <w:r>
              <w:rPr>
                <w:rFonts w:ascii="Figtree" w:hAnsi="Figtree"/>
                <w:b w:val="0"/>
                <w:i w:val="0"/>
                <w:sz w:val="20"/>
              </w:rPr>
              <w:t>EUR 300</w:t>
            </w:r>
          </w:p>
        </w:tc>
        <w:tc>
          <w:tcPr>
            <w:tcW w:type="dxa" w:w="3249"/>
            <w:vAlign w:val="center"/>
          </w:tcPr>
          <w:p>
            <w:pPr>
              <w:spacing w:line="276" w:lineRule="auto" w:before="0" w:after="0"/>
            </w:pPr>
            <w:r/>
            <w:r>
              <w:rPr>
                <w:rFonts w:ascii="Figtree" w:hAnsi="Figtree"/>
                <w:b w:val="0"/>
                <w:i w:val="0"/>
                <w:sz w:val="20"/>
              </w:rPr>
              <w:t>EUR 3,600</w:t>
            </w:r>
          </w:p>
        </w:tc>
      </w:tr>
      <w:tr>
        <w:trPr>
          <w:trHeight w:val="425" w:hRule="atLeast"/>
        </w:trPr>
        <w:tc>
          <w:tcPr>
            <w:tcW w:type="dxa" w:w="3249"/>
            <w:vAlign w:val="center"/>
          </w:tcPr>
          <w:p>
            <w:pPr>
              <w:spacing w:line="276" w:lineRule="auto" w:before="0" w:after="0"/>
            </w:pPr>
            <w:r/>
            <w:r>
              <w:rPr>
                <w:rFonts w:ascii="Figtree" w:hAnsi="Figtree"/>
                <w:b w:val="0"/>
                <w:i w:val="0"/>
                <w:sz w:val="20"/>
              </w:rPr>
              <w:t>Besu validator nodes (4x, c5.2xlarge)</w:t>
            </w:r>
          </w:p>
        </w:tc>
        <w:tc>
          <w:tcPr>
            <w:tcW w:type="dxa" w:w="3249"/>
            <w:vAlign w:val="center"/>
          </w:tcPr>
          <w:p>
            <w:pPr>
              <w:spacing w:line="276" w:lineRule="auto" w:before="0" w:after="0"/>
            </w:pPr>
            <w:r/>
            <w:r>
              <w:rPr>
                <w:rFonts w:ascii="Figtree" w:hAnsi="Figtree"/>
                <w:b w:val="0"/>
                <w:i w:val="0"/>
                <w:sz w:val="20"/>
              </w:rPr>
              <w:t>EUR 500</w:t>
            </w:r>
          </w:p>
        </w:tc>
        <w:tc>
          <w:tcPr>
            <w:tcW w:type="dxa" w:w="3249"/>
            <w:vAlign w:val="center"/>
          </w:tcPr>
          <w:p>
            <w:pPr>
              <w:spacing w:line="276" w:lineRule="auto" w:before="0" w:after="0"/>
            </w:pPr>
            <w:r/>
            <w:r>
              <w:rPr>
                <w:rFonts w:ascii="Figtree" w:hAnsi="Figtree"/>
                <w:b w:val="0"/>
                <w:i w:val="0"/>
                <w:sz w:val="20"/>
              </w:rPr>
              <w:t>EUR 6,000</w:t>
            </w:r>
          </w:p>
        </w:tc>
      </w:tr>
      <w:tr>
        <w:trPr>
          <w:trHeight w:val="425" w:hRule="atLeast"/>
        </w:trPr>
        <w:tc>
          <w:tcPr>
            <w:tcW w:type="dxa" w:w="3249"/>
            <w:vAlign w:val="center"/>
          </w:tcPr>
          <w:p>
            <w:pPr>
              <w:spacing w:line="276" w:lineRule="auto" w:before="0" w:after="0"/>
            </w:pPr>
            <w:r/>
            <w:r>
              <w:rPr>
                <w:rFonts w:ascii="Figtree" w:hAnsi="Figtree"/>
                <w:b w:val="0"/>
                <w:i w:val="0"/>
                <w:sz w:val="20"/>
              </w:rPr>
              <w:t>Load balancer and networking</w:t>
            </w:r>
          </w:p>
        </w:tc>
        <w:tc>
          <w:tcPr>
            <w:tcW w:type="dxa" w:w="3249"/>
            <w:vAlign w:val="center"/>
          </w:tcPr>
          <w:p>
            <w:pPr>
              <w:spacing w:line="276" w:lineRule="auto" w:before="0" w:after="0"/>
            </w:pPr>
            <w:r/>
            <w:r>
              <w:rPr>
                <w:rFonts w:ascii="Figtree" w:hAnsi="Figtree"/>
                <w:b w:val="0"/>
                <w:i w:val="0"/>
                <w:sz w:val="20"/>
              </w:rPr>
              <w:t>EUR 200</w:t>
            </w:r>
          </w:p>
        </w:tc>
        <w:tc>
          <w:tcPr>
            <w:tcW w:type="dxa" w:w="3249"/>
            <w:vAlign w:val="center"/>
          </w:tcPr>
          <w:p>
            <w:pPr>
              <w:spacing w:line="276" w:lineRule="auto" w:before="0" w:after="0"/>
            </w:pPr>
            <w:r/>
            <w:r>
              <w:rPr>
                <w:rFonts w:ascii="Figtree" w:hAnsi="Figtree"/>
                <w:b w:val="0"/>
                <w:i w:val="0"/>
                <w:sz w:val="20"/>
              </w:rPr>
              <w:t>EUR 2,400</w:t>
            </w:r>
          </w:p>
        </w:tc>
      </w:tr>
      <w:tr>
        <w:trPr>
          <w:trHeight w:val="425" w:hRule="atLeast"/>
        </w:trPr>
        <w:tc>
          <w:tcPr>
            <w:tcW w:type="dxa" w:w="3249"/>
            <w:vAlign w:val="center"/>
          </w:tcPr>
          <w:p>
            <w:pPr>
              <w:spacing w:line="276" w:lineRule="auto" w:before="0" w:after="0"/>
            </w:pPr>
            <w:r/>
            <w:r>
              <w:rPr>
                <w:rFonts w:ascii="Figtree" w:hAnsi="Figtree"/>
                <w:b/>
                <w:i w:val="0"/>
                <w:sz w:val="20"/>
              </w:rPr>
              <w:t>Total infrastructure estimate</w:t>
            </w:r>
          </w:p>
        </w:tc>
        <w:tc>
          <w:tcPr>
            <w:tcW w:type="dxa" w:w="3249"/>
            <w:vAlign w:val="center"/>
          </w:tcPr>
          <w:p>
            <w:pPr>
              <w:spacing w:line="276" w:lineRule="auto" w:before="0" w:after="0"/>
            </w:pPr>
            <w:r/>
            <w:r>
              <w:rPr>
                <w:rFonts w:ascii="Figtree" w:hAnsi="Figtree"/>
                <w:b/>
                <w:i w:val="0"/>
                <w:sz w:val="20"/>
              </w:rPr>
              <w:t>EUR 4,070/month</w:t>
            </w:r>
          </w:p>
        </w:tc>
        <w:tc>
          <w:tcPr>
            <w:tcW w:type="dxa" w:w="3249"/>
            <w:vAlign w:val="center"/>
          </w:tcPr>
          <w:p>
            <w:pPr>
              <w:spacing w:line="276" w:lineRule="auto" w:before="0" w:after="0"/>
            </w:pPr>
            <w:r/>
            <w:r>
              <w:rPr>
                <w:rFonts w:ascii="Figtree" w:hAnsi="Figtree"/>
                <w:b/>
                <w:i w:val="0"/>
                <w:sz w:val="20"/>
              </w:rPr>
              <w:t>EUR 48,840/year</w:t>
            </w:r>
          </w:p>
        </w:tc>
      </w:tr>
    </w:tbl>
    <w:p>
      <w:pPr>
        <w:spacing w:before="0" w:after="0" w:line="120" w:lineRule="exact"/>
      </w:pPr>
    </w:p>
    <w:p>
      <w:r>
        <w:rPr>
          <w:rFonts w:ascii="Figtree" w:hAnsi="Figtree"/>
          <w:b/>
          <w:i w:val="0"/>
          <w:sz w:val="22"/>
        </w:rPr>
        <w:t>Fireblocks institutional custody:</w:t>
      </w:r>
      <w:r>
        <w:rPr>
          <w:rFonts w:ascii="Figtree" w:hAnsi="Figtree"/>
          <w:b w:val="0"/>
          <w:i w:val="0"/>
          <w:sz w:val="22"/>
        </w:rPr>
        <w:t xml:space="preserve"> EUR 30,000 to EUR 50,000 per year for institutional MPC operations. Fireblocks pricing driven by transaction volume; SettleMint negotiates preferred Fireblocks pricing for Enterprise customers.</w:t>
      </w:r>
    </w:p>
    <w:p>
      <w:r>
        <w:rPr>
          <w:rFonts w:ascii="Figtree" w:hAnsi="Figtree"/>
          <w:b/>
          <w:i w:val="0"/>
          <w:sz w:val="22"/>
        </w:rPr>
        <w:t>DFNS consumer wallets:</w:t>
      </w:r>
      <w:r>
        <w:rPr>
          <w:rFonts w:ascii="Figtree" w:hAnsi="Figtree"/>
          <w:b w:val="0"/>
          <w:i w:val="0"/>
          <w:sz w:val="22"/>
        </w:rPr>
        <w:t xml:space="preserve"> EUR 20,000 to EUR 30,000 per year for consumer investor wallet management. Consumer wallet volume drives DFNS pricing.</w:t>
      </w:r>
    </w:p>
    <w:p>
      <w:r>
        <w:br w:type="page"/>
      </w:r>
    </w:p>
    <w:p>
      <w:pPr>
        <w:pStyle w:val="H2"/>
        <w:numPr>
          <w:ilvl w:val="1"/>
          <w:numId w:val="1"/>
        </w:numPr>
      </w:pPr>
      <w:r>
        <w:t>5. Support and SLA Framework</w:t>
      </w:r>
    </w:p>
    <w:p>
      <w:pPr>
        <w:pStyle w:val="H3"/>
        <w:numPr>
          <w:ilvl w:val="2"/>
          <w:numId w:val="1"/>
        </w:numPr>
      </w:pPr>
      <w:r>
        <w:t>Enterprise Support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880"/>
        <w:gridCol w:w="31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w:t>
            </w:r>
          </w:p>
        </w:tc>
      </w:tr>
      <w:tr>
        <w:trPr>
          <w:trHeight w:val="425" w:hRule="atLeast"/>
        </w:trPr>
        <w:tc>
          <w:tcPr>
            <w:tcW w:type="dxa" w:w="4873"/>
            <w:vAlign w:val="center"/>
          </w:tcPr>
          <w:p>
            <w:pPr>
              <w:spacing w:line="276" w:lineRule="auto" w:before="0" w:after="0"/>
            </w:pPr>
            <w:r/>
            <w:r>
              <w:rPr>
                <w:rFonts w:ascii="Figtree" w:hAnsi="Figtree"/>
                <w:b w:val="0"/>
                <w:i w:val="0"/>
                <w:sz w:val="20"/>
              </w:rPr>
              <w:t>Annual Fee</w:t>
            </w:r>
          </w:p>
        </w:tc>
        <w:tc>
          <w:tcPr>
            <w:tcW w:type="dxa" w:w="4873"/>
            <w:vAlign w:val="center"/>
          </w:tcPr>
          <w:p>
            <w:pPr>
              <w:spacing w:line="276" w:lineRule="auto" w:before="0" w:after="0"/>
            </w:pPr>
            <w:r/>
            <w:r>
              <w:rPr>
                <w:rFonts w:ascii="Figtree" w:hAnsi="Figtree"/>
                <w:b w:val="0"/>
                <w:i w:val="0"/>
                <w:sz w:val="20"/>
              </w:rPr>
              <w:t>EUR 120,000</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 Target</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Dedicated Team</w:t>
            </w:r>
          </w:p>
        </w:tc>
        <w:tc>
          <w:tcPr>
            <w:tcW w:type="dxa" w:w="4873"/>
            <w:vAlign w:val="center"/>
          </w:tcPr>
          <w:p>
            <w:pPr>
              <w:spacing w:line="276" w:lineRule="auto" w:before="0" w:after="0"/>
            </w:pPr>
            <w:r/>
            <w:r>
              <w:rPr>
                <w:rFonts w:ascii="Figtree" w:hAnsi="Figtree"/>
                <w:b w:val="0"/>
                <w:i w:val="0"/>
                <w:sz w:val="20"/>
              </w:rPr>
              <w:t>Named</w:t>
            </w:r>
          </w:p>
        </w:tc>
      </w:tr>
      <w:tr>
        <w:trPr>
          <w:trHeight w:val="425" w:hRule="atLeast"/>
        </w:trPr>
        <w:tc>
          <w:tcPr>
            <w:tcW w:type="dxa" w:w="4873"/>
            <w:vAlign w:val="center"/>
          </w:tcPr>
          <w:p>
            <w:pPr>
              <w:spacing w:line="276" w:lineRule="auto" w:before="0" w:after="0"/>
            </w:pPr>
            <w:r/>
            <w:r>
              <w:rPr>
                <w:rFonts w:ascii="Figtree" w:hAnsi="Figtree"/>
                <w:b w:val="0"/>
                <w:i w:val="0"/>
                <w:sz w:val="20"/>
              </w:rPr>
              <w:t>CSM</w:t>
            </w:r>
          </w:p>
        </w:tc>
        <w:tc>
          <w:tcPr>
            <w:tcW w:type="dxa" w:w="4873"/>
            <w:vAlign w:val="center"/>
          </w:tcPr>
          <w:p>
            <w:pPr>
              <w:spacing w:line="276" w:lineRule="auto" w:before="0" w:after="0"/>
            </w:pPr>
            <w:r/>
            <w:r>
              <w:rPr>
                <w:rFonts w:ascii="Figtree" w:hAnsi="Figtree"/>
                <w:b w:val="0"/>
                <w:i w:val="0"/>
                <w:sz w:val="20"/>
              </w:rPr>
              <w:t>Named</w:t>
            </w:r>
          </w:p>
        </w:tc>
      </w:tr>
      <w:tr>
        <w:trPr>
          <w:trHeight w:val="425" w:hRule="atLeast"/>
        </w:trPr>
        <w:tc>
          <w:tcPr>
            <w:tcW w:type="dxa" w:w="4873"/>
            <w:vAlign w:val="center"/>
          </w:tcPr>
          <w:p>
            <w:pPr>
              <w:spacing w:line="276" w:lineRule="auto" w:before="0" w:after="0"/>
            </w:pPr>
            <w:r/>
            <w:r>
              <w:rPr>
                <w:rFonts w:ascii="Figtree" w:hAnsi="Figtree"/>
                <w:b w:val="0"/>
                <w:i w:val="0"/>
                <w:sz w:val="20"/>
              </w:rPr>
              <w:t>Quarterly Architecture Review</w:t>
            </w:r>
          </w:p>
        </w:tc>
        <w:tc>
          <w:tcPr>
            <w:tcW w:type="dxa" w:w="4873"/>
            <w:vAlign w:val="center"/>
          </w:tcPr>
          <w:p>
            <w:pPr>
              <w:spacing w:line="276" w:lineRule="auto" w:before="0" w:after="0"/>
            </w:pPr>
            <w:r/>
            <w:r>
              <w:rPr>
                <w:rFonts w:ascii="Figtree" w:hAnsi="Figtree"/>
                <w:b w:val="0"/>
                <w:i w:val="0"/>
                <w:sz w:val="20"/>
              </w:rPr>
              <w:t>Included</w:t>
            </w:r>
          </w:p>
        </w:tc>
      </w:tr>
    </w:tbl>
    <w:p>
      <w:pPr>
        <w:spacing w:before="0" w:after="0" w:line="120" w:lineRule="exact"/>
      </w:pPr>
    </w:p>
    <w:p>
      <w:r>
        <w:rPr>
          <w:rFonts w:ascii="Figtree" w:hAnsi="Figtree"/>
          <w:b w:val="0"/>
          <w:i w:val="0"/>
          <w:sz w:val="22"/>
        </w:rPr>
        <w:t>Trade settlement failures and corporate action processing errors for Revolut's 45 million customers require Enterprise support. Standard business-hours support is not appropriate for a consumer-scale trading platform.</w:t>
      </w:r>
    </w:p>
    <w:p>
      <w:r>
        <w:br w:type="page"/>
      </w:r>
    </w:p>
    <w:p>
      <w:pPr>
        <w:pStyle w:val="H2"/>
        <w:numPr>
          <w:ilvl w:val="1"/>
          <w:numId w:val="1"/>
        </w:numPr>
      </w:pPr>
      <w:r>
        <w:t>6. Implementation Investment</w:t>
      </w:r>
    </w:p>
    <w:p>
      <w:pPr>
        <w:pStyle w:val="H3"/>
        <w:numPr>
          <w:ilvl w:val="2"/>
          <w:numId w:val="1"/>
        </w:numPr>
      </w:pPr>
      <w:r>
        <w:t>Phase-by-Phase Fees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78"/>
        <w:gridCol w:w="5555"/>
        <w:gridCol w:w="861"/>
        <w:gridCol w:w="107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Scope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Fee</w:t>
            </w:r>
          </w:p>
        </w:tc>
      </w:tr>
      <w:tr>
        <w:trPr>
          <w:trHeight w:val="425" w:hRule="atLeast"/>
        </w:trPr>
        <w:tc>
          <w:tcPr>
            <w:tcW w:type="dxa" w:w="2436"/>
            <w:vAlign w:val="center"/>
          </w:tcPr>
          <w:p>
            <w:pPr>
              <w:spacing w:line="276" w:lineRule="auto" w:before="0" w:after="0"/>
            </w:pPr>
            <w:r/>
            <w:r>
              <w:rPr>
                <w:rFonts w:ascii="Figtree" w:hAnsi="Figtree"/>
                <w:b w:val="0"/>
                <w:i w:val="0"/>
                <w:sz w:val="20"/>
              </w:rPr>
              <w:t>Phase 1: Discovery</w:t>
            </w:r>
          </w:p>
        </w:tc>
        <w:tc>
          <w:tcPr>
            <w:tcW w:type="dxa" w:w="2436"/>
            <w:vAlign w:val="center"/>
          </w:tcPr>
          <w:p>
            <w:pPr>
              <w:spacing w:line="276" w:lineRule="auto" w:before="0" w:after="0"/>
            </w:pPr>
            <w:r/>
            <w:r>
              <w:rPr>
                <w:rFonts w:ascii="Figtree" w:hAnsi="Figtree"/>
                <w:b w:val="0"/>
                <w:i w:val="0"/>
                <w:sz w:val="20"/>
              </w:rPr>
              <w:t>FCA/MiCA mapping, trading API assessment, architecture</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42,000</w:t>
            </w:r>
          </w:p>
        </w:tc>
      </w:tr>
      <w:tr>
        <w:trPr>
          <w:trHeight w:val="425" w:hRule="atLeast"/>
        </w:trPr>
        <w:tc>
          <w:tcPr>
            <w:tcW w:type="dxa" w:w="2436"/>
            <w:vAlign w:val="center"/>
          </w:tcPr>
          <w:p>
            <w:pPr>
              <w:spacing w:line="276" w:lineRule="auto" w:before="0" w:after="0"/>
            </w:pPr>
            <w:r/>
            <w:r>
              <w:rPr>
                <w:rFonts w:ascii="Figtree" w:hAnsi="Figtree"/>
                <w:b w:val="0"/>
                <w:i w:val="0"/>
                <w:sz w:val="20"/>
              </w:rPr>
              <w:t>Phase 2: Configuration</w:t>
            </w:r>
          </w:p>
        </w:tc>
        <w:tc>
          <w:tcPr>
            <w:tcW w:type="dxa" w:w="2436"/>
            <w:vAlign w:val="center"/>
          </w:tcPr>
          <w:p>
            <w:pPr>
              <w:spacing w:line="276" w:lineRule="auto" w:before="0" w:after="0"/>
            </w:pPr>
            <w:r/>
            <w:r>
              <w:rPr>
                <w:rFonts w:ascii="Figtree" w:hAnsi="Figtree"/>
                <w:b w:val="0"/>
                <w:i w:val="0"/>
                <w:sz w:val="20"/>
              </w:rPr>
              <w:t>Kubernetes, equity/ETF tokens, FCA/MiCA modules, Fireblocks/DFNS, stablecoin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72,000</w:t>
            </w:r>
          </w:p>
        </w:tc>
      </w:tr>
      <w:tr>
        <w:trPr>
          <w:trHeight w:val="425" w:hRule="atLeast"/>
        </w:trPr>
        <w:tc>
          <w:tcPr>
            <w:tcW w:type="dxa" w:w="2436"/>
            <w:vAlign w:val="center"/>
          </w:tcPr>
          <w:p>
            <w:pPr>
              <w:spacing w:line="276" w:lineRule="auto" w:before="0" w:after="0"/>
            </w:pPr>
            <w:r/>
            <w:r>
              <w:rPr>
                <w:rFonts w:ascii="Figtree" w:hAnsi="Figtree"/>
                <w:b w:val="0"/>
                <w:i w:val="0"/>
                <w:sz w:val="20"/>
              </w:rPr>
              <w:t>Phase 3: Integration</w:t>
            </w:r>
          </w:p>
        </w:tc>
        <w:tc>
          <w:tcPr>
            <w:tcW w:type="dxa" w:w="2436"/>
            <w:vAlign w:val="center"/>
          </w:tcPr>
          <w:p>
            <w:pPr>
              <w:spacing w:line="276" w:lineRule="auto" w:before="0" w:after="0"/>
            </w:pPr>
            <w:r/>
            <w:r>
              <w:rPr>
                <w:rFonts w:ascii="Figtree" w:hAnsi="Figtree"/>
                <w:b w:val="0"/>
                <w:i w:val="0"/>
                <w:sz w:val="20"/>
              </w:rPr>
              <w:t>Trading engine, ledger sync, KYC claims, corporate actions, webhooks</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120,000</w:t>
            </w:r>
          </w:p>
        </w:tc>
      </w:tr>
      <w:tr>
        <w:trPr>
          <w:trHeight w:val="425" w:hRule="atLeast"/>
        </w:trPr>
        <w:tc>
          <w:tcPr>
            <w:tcW w:type="dxa" w:w="2436"/>
            <w:vAlign w:val="center"/>
          </w:tcPr>
          <w:p>
            <w:pPr>
              <w:spacing w:line="276" w:lineRule="auto" w:before="0" w:after="0"/>
            </w:pPr>
            <w:r/>
            <w:r>
              <w:rPr>
                <w:rFonts w:ascii="Figtree" w:hAnsi="Figtree"/>
                <w:b w:val="0"/>
                <w:i w:val="0"/>
                <w:sz w:val="20"/>
              </w:rPr>
              <w:t>Phase 4: Testing</w:t>
            </w:r>
          </w:p>
        </w:tc>
        <w:tc>
          <w:tcPr>
            <w:tcW w:type="dxa" w:w="2436"/>
            <w:vAlign w:val="center"/>
          </w:tcPr>
          <w:p>
            <w:pPr>
              <w:spacing w:line="276" w:lineRule="auto" w:before="0" w:after="0"/>
            </w:pPr>
            <w:r/>
            <w:r>
              <w:rPr>
                <w:rFonts w:ascii="Figtree" w:hAnsi="Figtree"/>
                <w:b w:val="0"/>
                <w:i w:val="0"/>
                <w:sz w:val="20"/>
              </w:rPr>
              <w:t>Functional, security, performance (100K concurrent), corporate action validation</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EUR 92,000</w:t>
            </w:r>
          </w:p>
        </w:tc>
      </w:tr>
      <w:tr>
        <w:trPr>
          <w:trHeight w:val="425" w:hRule="atLeast"/>
        </w:trPr>
        <w:tc>
          <w:tcPr>
            <w:tcW w:type="dxa" w:w="2436"/>
            <w:vAlign w:val="center"/>
          </w:tcPr>
          <w:p>
            <w:pPr>
              <w:spacing w:line="276" w:lineRule="auto" w:before="0" w:after="0"/>
            </w:pPr>
            <w:r/>
            <w:r>
              <w:rPr>
                <w:rFonts w:ascii="Figtree" w:hAnsi="Figtree"/>
                <w:b w:val="0"/>
                <w:i w:val="0"/>
                <w:sz w:val="20"/>
              </w:rPr>
              <w:t>Phase 5: Go-Live</w:t>
            </w:r>
          </w:p>
        </w:tc>
        <w:tc>
          <w:tcPr>
            <w:tcW w:type="dxa" w:w="2436"/>
            <w:vAlign w:val="center"/>
          </w:tcPr>
          <w:p>
            <w:pPr>
              <w:spacing w:line="276" w:lineRule="auto" w:before="0" w:after="0"/>
            </w:pPr>
            <w:r/>
            <w:r>
              <w:rPr>
                <w:rFonts w:ascii="Figtree" w:hAnsi="Figtree"/>
                <w:b w:val="0"/>
                <w:i w:val="0"/>
                <w:sz w:val="20"/>
              </w:rPr>
              <w:t>Production deployment, beta trading cohort</w:t>
            </w:r>
          </w:p>
        </w:tc>
        <w:tc>
          <w:tcPr>
            <w:tcW w:type="dxa" w:w="2436"/>
            <w:vAlign w:val="center"/>
          </w:tcPr>
          <w:p>
            <w:pPr>
              <w:spacing w:line="276" w:lineRule="auto" w:before="0" w:after="0"/>
            </w:pPr>
            <w:r/>
            <w:r>
              <w:rPr>
                <w:rFonts w:ascii="Figtree" w:hAnsi="Figtree"/>
                <w:b w:val="0"/>
                <w:i w:val="0"/>
                <w:sz w:val="20"/>
              </w:rPr>
              <w:t>1 week</w:t>
            </w:r>
          </w:p>
        </w:tc>
        <w:tc>
          <w:tcPr>
            <w:tcW w:type="dxa" w:w="2436"/>
            <w:vAlign w:val="center"/>
          </w:tcPr>
          <w:p>
            <w:pPr>
              <w:spacing w:line="276" w:lineRule="auto" w:before="0" w:after="0"/>
            </w:pPr>
            <w:r/>
            <w:r>
              <w:rPr>
                <w:rFonts w:ascii="Figtree" w:hAnsi="Figtree"/>
                <w:b w:val="0"/>
                <w:i w:val="0"/>
                <w:sz w:val="20"/>
              </w:rPr>
              <w:t>EUR 48,000</w:t>
            </w:r>
          </w:p>
        </w:tc>
      </w:tr>
      <w:tr>
        <w:trPr>
          <w:trHeight w:val="425" w:hRule="atLeast"/>
        </w:trPr>
        <w:tc>
          <w:tcPr>
            <w:tcW w:type="dxa" w:w="2436"/>
            <w:vAlign w:val="center"/>
          </w:tcPr>
          <w:p>
            <w:pPr>
              <w:spacing w:line="276" w:lineRule="auto" w:before="0" w:after="0"/>
            </w:pPr>
            <w:r/>
            <w:r>
              <w:rPr>
                <w:rFonts w:ascii="Figtree" w:hAnsi="Figtree"/>
                <w:b w:val="0"/>
                <w:i w:val="0"/>
                <w:sz w:val="20"/>
              </w:rPr>
              <w:t>Phase 6: Hypercare</w:t>
            </w:r>
          </w:p>
        </w:tc>
        <w:tc>
          <w:tcPr>
            <w:tcW w:type="dxa" w:w="2436"/>
            <w:vAlign w:val="center"/>
          </w:tcPr>
          <w:p>
            <w:pPr>
              <w:spacing w:line="276" w:lineRule="auto" w:before="0" w:after="0"/>
            </w:pPr>
            <w:r/>
            <w:r>
              <w:rPr>
                <w:rFonts w:ascii="Figtree" w:hAnsi="Figtree"/>
                <w:b w:val="0"/>
                <w:i w:val="0"/>
                <w:sz w:val="20"/>
              </w:rPr>
              <w:t>Monitoring, optimization, knowledge transfer</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EUR 46,000</w:t>
            </w:r>
          </w:p>
        </w:tc>
      </w:tr>
      <w:tr>
        <w:trPr>
          <w:trHeight w:val="425" w:hRule="atLeast"/>
        </w:trPr>
        <w:tc>
          <w:tcPr>
            <w:tcW w:type="dxa" w:w="2436"/>
            <w:vAlign w:val="center"/>
          </w:tcPr>
          <w:p>
            <w:pPr>
              <w:spacing w:line="276" w:lineRule="auto" w:before="0" w:after="0"/>
            </w:pPr>
            <w:r/>
            <w:r>
              <w:rPr>
                <w:rFonts w:ascii="Figtree" w:hAnsi="Figtree"/>
                <w:b/>
                <w:i w:val="0"/>
                <w:sz w:val="20"/>
              </w:rPr>
              <w:t>Total</w:t>
            </w:r>
          </w:p>
        </w:tc>
        <w:tc>
          <w:tcPr>
            <w:tcW w:type="dxa" w:w="2436"/>
            <w:vAlign w:val="center"/>
          </w:tcPr>
          <w:p>
            <w:pPr>
              <w:spacing w:line="276" w:lineRule="auto" w:before="0" w:after="0"/>
            </w:pPr>
            <w:r/>
          </w:p>
        </w:tc>
        <w:tc>
          <w:tcPr>
            <w:tcW w:type="dxa" w:w="2436"/>
            <w:vAlign w:val="center"/>
          </w:tcPr>
          <w:p>
            <w:pPr>
              <w:spacing w:line="276" w:lineRule="auto" w:before="0" w:after="0"/>
            </w:pPr>
            <w:r/>
            <w:r>
              <w:rPr>
                <w:rFonts w:ascii="Figtree" w:hAnsi="Figtree"/>
                <w:b/>
                <w:i w:val="0"/>
                <w:sz w:val="20"/>
              </w:rPr>
              <w:t>14 weeks</w:t>
            </w:r>
          </w:p>
        </w:tc>
        <w:tc>
          <w:tcPr>
            <w:tcW w:type="dxa" w:w="2436"/>
            <w:vAlign w:val="center"/>
          </w:tcPr>
          <w:p>
            <w:pPr>
              <w:spacing w:line="276" w:lineRule="auto" w:before="0" w:after="0"/>
            </w:pPr>
            <w:r/>
            <w:r>
              <w:rPr>
                <w:rFonts w:ascii="Figtree" w:hAnsi="Figtree"/>
                <w:b/>
                <w:i w:val="0"/>
                <w:sz w:val="20"/>
              </w:rPr>
              <w:t>EUR 420,000</w:t>
            </w:r>
          </w:p>
        </w:tc>
      </w:tr>
    </w:tbl>
    <w:p>
      <w:pPr>
        <w:spacing w:before="0" w:after="0" w:line="120" w:lineRule="exact"/>
      </w:pPr>
    </w:p>
    <w:p>
      <w:pPr>
        <w:pStyle w:val="H3"/>
        <w:numPr>
          <w:ilvl w:val="2"/>
          <w:numId w:val="1"/>
        </w:numPr>
      </w:pPr>
      <w:r>
        <w:t>Implementation Assumptions</w:t>
      </w:r>
    </w:p>
    <w:p>
      <w:pPr>
        <w:pStyle w:val="ListParagraph"/>
        <w:numPr>
          <w:ilvl w:val="0"/>
          <w:numId w:val="4"/>
        </w:numPr>
      </w:pPr>
      <w:r>
        <w:rPr>
          <w:rFonts w:ascii="Figtree" w:hAnsi="Figtree"/>
          <w:b w:val="0"/>
          <w:i w:val="0"/>
          <w:sz w:val="22"/>
        </w:rPr>
        <w:t>Revolut provides trading engine API documentation by start of Phase 3</w:t>
      </w:r>
    </w:p>
    <w:p>
      <w:pPr>
        <w:pStyle w:val="ListParagraph"/>
        <w:numPr>
          <w:ilvl w:val="0"/>
          <w:numId w:val="4"/>
        </w:numPr>
      </w:pPr>
      <w:r>
        <w:rPr>
          <w:rFonts w:ascii="Figtree" w:hAnsi="Figtree"/>
          <w:b w:val="0"/>
          <w:i w:val="0"/>
          <w:sz w:val="22"/>
        </w:rPr>
        <w:t>Phase 1 covers tokenized equities and ETFs with EUR, USD, GBP stablecoin settlement</w:t>
      </w:r>
    </w:p>
    <w:p>
      <w:pPr>
        <w:pStyle w:val="ListParagraph"/>
        <w:numPr>
          <w:ilvl w:val="0"/>
          <w:numId w:val="4"/>
        </w:numPr>
      </w:pPr>
      <w:r>
        <w:rPr>
          <w:rFonts w:ascii="Figtree" w:hAnsi="Figtree"/>
          <w:b w:val="0"/>
          <w:i w:val="0"/>
          <w:sz w:val="22"/>
        </w:rPr>
        <w:t>Fireblocks and DFNS accounts active before Phase 2 start</w:t>
      </w:r>
    </w:p>
    <w:p>
      <w:pPr>
        <w:pStyle w:val="ListParagraph"/>
        <w:numPr>
          <w:ilvl w:val="0"/>
          <w:numId w:val="4"/>
        </w:numPr>
      </w:pPr>
      <w:r>
        <w:rPr>
          <w:rFonts w:ascii="Figtree" w:hAnsi="Figtree"/>
          <w:b w:val="0"/>
          <w:i w:val="0"/>
          <w:sz w:val="22"/>
        </w:rPr>
        <w:t>Phase 2 includes single EVM network (private Besu); public network adds EUR 15,000</w:t>
      </w:r>
    </w:p>
    <w:p>
      <w:pPr>
        <w:pStyle w:val="H3"/>
        <w:numPr>
          <w:ilvl w:val="2"/>
          <w:numId w:val="1"/>
        </w:numPr>
      </w:pPr>
      <w:r>
        <w:t>Out-of-Scope</w:t>
      </w:r>
    </w:p>
    <w:p>
      <w:pPr>
        <w:pStyle w:val="ListParagraph"/>
        <w:numPr>
          <w:ilvl w:val="0"/>
          <w:numId w:val="4"/>
        </w:numPr>
      </w:pPr>
      <w:r>
        <w:rPr>
          <w:rFonts w:ascii="Figtree" w:hAnsi="Figtree"/>
          <w:b w:val="0"/>
          <w:i w:val="0"/>
          <w:sz w:val="22"/>
        </w:rPr>
        <w:t>Custom signer adapters for non-Fireblocks/DFNS custody</w:t>
      </w:r>
    </w:p>
    <w:p>
      <w:pPr>
        <w:pStyle w:val="ListParagraph"/>
        <w:numPr>
          <w:ilvl w:val="0"/>
          <w:numId w:val="4"/>
        </w:numPr>
      </w:pPr>
      <w:r>
        <w:rPr>
          <w:rFonts w:ascii="Figtree" w:hAnsi="Figtree"/>
          <w:b w:val="0"/>
          <w:i w:val="0"/>
          <w:sz w:val="22"/>
        </w:rPr>
        <w:t>Custom MiFID II suitability assessment integration (Revolut's existing system handles this)</w:t>
      </w:r>
    </w:p>
    <w:p>
      <w:pPr>
        <w:pStyle w:val="ListParagraph"/>
        <w:numPr>
          <w:ilvl w:val="0"/>
          <w:numId w:val="4"/>
        </w:numPr>
      </w:pPr>
      <w:r>
        <w:rPr>
          <w:rFonts w:ascii="Figtree" w:hAnsi="Figtree"/>
          <w:b w:val="0"/>
          <w:i w:val="0"/>
          <w:sz w:val="22"/>
        </w:rPr>
        <w:t>Custom regulatory reporting formats beyond structured JSON/CSV</w:t>
      </w:r>
    </w:p>
    <w:p>
      <w:pPr>
        <w:pStyle w:val="ListParagraph"/>
        <w:numPr>
          <w:ilvl w:val="0"/>
          <w:numId w:val="4"/>
        </w:numPr>
      </w:pPr>
      <w:r>
        <w:rPr>
          <w:rFonts w:ascii="Figtree" w:hAnsi="Figtree"/>
          <w:b w:val="0"/>
          <w:i w:val="0"/>
          <w:sz w:val="22"/>
        </w:rPr>
        <w:t>Physical securities settlement or CSD connectivity (tokenized securities only)</w:t>
      </w:r>
    </w:p>
    <w:p>
      <w:pPr>
        <w:pStyle w:val="H3"/>
        <w:numPr>
          <w:ilvl w:val="2"/>
          <w:numId w:val="1"/>
        </w:numPr>
      </w:pPr>
      <w:r>
        <w:t>Change Request Day Rates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979"/>
        <w:gridCol w:w="309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Day Rate</w:t>
            </w:r>
          </w:p>
        </w:tc>
      </w:tr>
      <w:tr>
        <w:trPr>
          <w:trHeight w:val="425" w:hRule="atLeast"/>
        </w:trPr>
        <w:tc>
          <w:tcPr>
            <w:tcW w:type="dxa" w:w="4873"/>
            <w:vAlign w:val="center"/>
          </w:tcPr>
          <w:p>
            <w:pPr>
              <w:spacing w:line="276" w:lineRule="auto" w:before="0" w:after="0"/>
            </w:pPr>
            <w:r/>
            <w:r>
              <w:rPr>
                <w:rFonts w:ascii="Figtree" w:hAnsi="Figtree"/>
                <w:b w:val="0"/>
                <w:i w:val="0"/>
                <w:sz w:val="20"/>
              </w:rPr>
              <w:t>Solution Architect</w:t>
            </w:r>
          </w:p>
        </w:tc>
        <w:tc>
          <w:tcPr>
            <w:tcW w:type="dxa" w:w="4873"/>
            <w:vAlign w:val="center"/>
          </w:tcPr>
          <w:p>
            <w:pPr>
              <w:spacing w:line="276" w:lineRule="auto" w:before="0" w:after="0"/>
            </w:pPr>
            <w:r/>
            <w:r>
              <w:rPr>
                <w:rFonts w:ascii="Figtree" w:hAnsi="Figtree"/>
                <w:b w:val="0"/>
                <w:i w:val="0"/>
                <w:sz w:val="20"/>
              </w:rPr>
              <w:t>EUR 2,500</w:t>
            </w:r>
          </w:p>
        </w:tc>
      </w:tr>
      <w:tr>
        <w:trPr>
          <w:trHeight w:val="425" w:hRule="atLeast"/>
        </w:trPr>
        <w:tc>
          <w:tcPr>
            <w:tcW w:type="dxa" w:w="4873"/>
            <w:vAlign w:val="center"/>
          </w:tcPr>
          <w:p>
            <w:pPr>
              <w:spacing w:line="276" w:lineRule="auto" w:before="0" w:after="0"/>
            </w:pPr>
            <w:r/>
            <w:r>
              <w:rPr>
                <w:rFonts w:ascii="Figtree" w:hAnsi="Figtree"/>
                <w:b w:val="0"/>
                <w:i w:val="0"/>
                <w:sz w:val="20"/>
              </w:rPr>
              <w:t>Platform Engineer</w:t>
            </w:r>
          </w:p>
        </w:tc>
        <w:tc>
          <w:tcPr>
            <w:tcW w:type="dxa" w:w="4873"/>
            <w:vAlign w:val="center"/>
          </w:tcPr>
          <w:p>
            <w:pPr>
              <w:spacing w:line="276" w:lineRule="auto" w:before="0" w:after="0"/>
            </w:pPr>
            <w:r/>
            <w:r>
              <w:rPr>
                <w:rFonts w:ascii="Figtree" w:hAnsi="Figtree"/>
                <w:b w:val="0"/>
                <w:i w:val="0"/>
                <w:sz w:val="20"/>
              </w:rPr>
              <w:t>EUR 2,000</w:t>
            </w:r>
          </w:p>
        </w:tc>
      </w:tr>
      <w:tr>
        <w:trPr>
          <w:trHeight w:val="425" w:hRule="atLeast"/>
        </w:trPr>
        <w:tc>
          <w:tcPr>
            <w:tcW w:type="dxa" w:w="4873"/>
            <w:vAlign w:val="center"/>
          </w:tcPr>
          <w:p>
            <w:pPr>
              <w:spacing w:line="276" w:lineRule="auto" w:before="0" w:after="0"/>
            </w:pPr>
            <w:r/>
            <w:r>
              <w:rPr>
                <w:rFonts w:ascii="Figtree" w:hAnsi="Figtree"/>
                <w:b w:val="0"/>
                <w:i w:val="0"/>
                <w:sz w:val="20"/>
              </w:rPr>
              <w:t>Integration Engineer</w:t>
            </w:r>
          </w:p>
        </w:tc>
        <w:tc>
          <w:tcPr>
            <w:tcW w:type="dxa" w:w="4873"/>
            <w:vAlign w:val="center"/>
          </w:tcPr>
          <w:p>
            <w:pPr>
              <w:spacing w:line="276" w:lineRule="auto" w:before="0" w:after="0"/>
            </w:pPr>
            <w:r/>
            <w:r>
              <w:rPr>
                <w:rFonts w:ascii="Figtree" w:hAnsi="Figtree"/>
                <w:b w:val="0"/>
                <w:i w:val="0"/>
                <w:sz w:val="20"/>
              </w:rPr>
              <w:t>EUR 2,000</w:t>
            </w:r>
          </w:p>
        </w:tc>
      </w:tr>
      <w:tr>
        <w:trPr>
          <w:trHeight w:val="425" w:hRule="atLeast"/>
        </w:trPr>
        <w:tc>
          <w:tcPr>
            <w:tcW w:type="dxa" w:w="4873"/>
            <w:vAlign w:val="center"/>
          </w:tcPr>
          <w:p>
            <w:pPr>
              <w:spacing w:line="276" w:lineRule="auto" w:before="0" w:after="0"/>
            </w:pPr>
            <w:r/>
            <w:r>
              <w:rPr>
                <w:rFonts w:ascii="Figtree" w:hAnsi="Figtree"/>
                <w:b w:val="0"/>
                <w:i w:val="0"/>
                <w:sz w:val="20"/>
              </w:rPr>
              <w:t>Security Engineer</w:t>
            </w:r>
          </w:p>
        </w:tc>
        <w:tc>
          <w:tcPr>
            <w:tcW w:type="dxa" w:w="4873"/>
            <w:vAlign w:val="center"/>
          </w:tcPr>
          <w:p>
            <w:pPr>
              <w:spacing w:line="276" w:lineRule="auto" w:before="0" w:after="0"/>
            </w:pPr>
            <w:r/>
            <w:r>
              <w:rPr>
                <w:rFonts w:ascii="Figtree" w:hAnsi="Figtree"/>
                <w:b w:val="0"/>
                <w:i w:val="0"/>
                <w:sz w:val="20"/>
              </w:rPr>
              <w:t>EUR 2,200</w:t>
            </w:r>
          </w:p>
        </w:tc>
      </w:tr>
      <w:tr>
        <w:trPr>
          <w:trHeight w:val="425" w:hRule="atLeast"/>
        </w:trPr>
        <w:tc>
          <w:tcPr>
            <w:tcW w:type="dxa" w:w="4873"/>
            <w:vAlign w:val="center"/>
          </w:tcPr>
          <w:p>
            <w:pPr>
              <w:spacing w:line="276" w:lineRule="auto" w:before="0" w:after="0"/>
            </w:pPr>
            <w:r/>
            <w:r>
              <w:rPr>
                <w:rFonts w:ascii="Figtree" w:hAnsi="Figtree"/>
                <w:b w:val="0"/>
                <w:i w:val="0"/>
                <w:sz w:val="20"/>
              </w:rPr>
              <w:t>Delivery Lead</w:t>
            </w:r>
          </w:p>
        </w:tc>
        <w:tc>
          <w:tcPr>
            <w:tcW w:type="dxa" w:w="4873"/>
            <w:vAlign w:val="center"/>
          </w:tcPr>
          <w:p>
            <w:pPr>
              <w:spacing w:line="276" w:lineRule="auto" w:before="0" w:after="0"/>
            </w:pPr>
            <w:r/>
            <w:r>
              <w:rPr>
                <w:rFonts w:ascii="Figtree" w:hAnsi="Figtree"/>
                <w:b w:val="0"/>
                <w:i w:val="0"/>
                <w:sz w:val="20"/>
              </w:rPr>
              <w:t>EUR 2,200</w:t>
            </w:r>
          </w:p>
        </w:tc>
      </w:tr>
    </w:tbl>
    <w:p>
      <w:pPr>
        <w:spacing w:before="0" w:after="0" w:line="120" w:lineRule="exact"/>
      </w:pPr>
    </w:p>
    <w:p>
      <w:r>
        <w:br w:type="page"/>
      </w:r>
    </w:p>
    <w:p>
      <w:pPr>
        <w:pStyle w:val="H2"/>
        <w:numPr>
          <w:ilvl w:val="1"/>
          <w:numId w:val="1"/>
        </w:numPr>
      </w:pPr>
      <w:r>
        <w:t>7. Commercial Terms</w:t>
      </w:r>
    </w:p>
    <w:p>
      <w:pPr>
        <w:pStyle w:val="H3"/>
        <w:numPr>
          <w:ilvl w:val="2"/>
          <w:numId w:val="1"/>
        </w:numPr>
      </w:pPr>
      <w:r>
        <w:t>Contract Structure</w:t>
      </w:r>
    </w:p>
    <w:p>
      <w:r>
        <w:rPr>
          <w:rFonts w:ascii="Figtree" w:hAnsi="Figtree"/>
          <w:b w:val="0"/>
          <w:i w:val="0"/>
          <w:sz w:val="22"/>
        </w:rPr>
        <w:t>Master Services Agreement covering: Platform License (Enterprise, 3-year recommended), Implementation Statement of Work (6-phase), Support Services Agreement (Enterprise), Data Processing Agreements (UK GDPR and EU GDPR), English law (UK entity) and Belgian law (EU entity) options.</w:t>
      </w:r>
    </w:p>
    <w:p>
      <w:pPr>
        <w:pStyle w:val="H3"/>
        <w:numPr>
          <w:ilvl w:val="2"/>
          <w:numId w:val="1"/>
        </w:numPr>
      </w:pPr>
      <w:r>
        <w:t>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02"/>
        <w:gridCol w:w="3888"/>
        <w:gridCol w:w="17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Milestone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License Year 1 (50%)</w:t>
            </w:r>
          </w:p>
        </w:tc>
        <w:tc>
          <w:tcPr>
            <w:tcW w:type="dxa" w:w="3249"/>
            <w:vAlign w:val="center"/>
          </w:tcPr>
          <w:p>
            <w:pPr>
              <w:spacing w:line="276" w:lineRule="auto" w:before="0" w:after="0"/>
            </w:pPr>
            <w:r/>
            <w:r>
              <w:rPr>
                <w:rFonts w:ascii="Figtree" w:hAnsi="Figtree"/>
                <w:b w:val="0"/>
                <w:i w:val="0"/>
                <w:sz w:val="20"/>
              </w:rPr>
              <w:t>EUR 140,000</w:t>
            </w:r>
          </w:p>
        </w:tc>
      </w:tr>
      <w:tr>
        <w:trPr>
          <w:trHeight w:val="425" w:hRule="atLeast"/>
        </w:trPr>
        <w:tc>
          <w:tcPr>
            <w:tcW w:type="dxa" w:w="3249"/>
            <w:vAlign w:val="center"/>
          </w:tcPr>
          <w:p>
            <w:pPr>
              <w:spacing w:line="276" w:lineRule="auto" w:before="0" w:after="0"/>
            </w:pPr>
            <w:r/>
            <w:r>
              <w:rPr>
                <w:rFonts w:ascii="Figtree" w:hAnsi="Figtree"/>
                <w:b w:val="0"/>
                <w:i w:val="0"/>
                <w:sz w:val="20"/>
              </w:rPr>
              <w:t>Contract execution</w:t>
            </w:r>
          </w:p>
        </w:tc>
        <w:tc>
          <w:tcPr>
            <w:tcW w:type="dxa" w:w="3249"/>
            <w:vAlign w:val="center"/>
          </w:tcPr>
          <w:p>
            <w:pPr>
              <w:spacing w:line="276" w:lineRule="auto" w:before="0" w:after="0"/>
            </w:pPr>
            <w:r/>
            <w:r>
              <w:rPr>
                <w:rFonts w:ascii="Figtree" w:hAnsi="Figtree"/>
                <w:b w:val="0"/>
                <w:i w:val="0"/>
                <w:sz w:val="20"/>
              </w:rPr>
              <w:t>Phase 1</w:t>
            </w:r>
          </w:p>
        </w:tc>
        <w:tc>
          <w:tcPr>
            <w:tcW w:type="dxa" w:w="3249"/>
            <w:vAlign w:val="center"/>
          </w:tcPr>
          <w:p>
            <w:pPr>
              <w:spacing w:line="276" w:lineRule="auto" w:before="0" w:after="0"/>
            </w:pPr>
            <w:r/>
            <w:r>
              <w:rPr>
                <w:rFonts w:ascii="Figtree" w:hAnsi="Figtree"/>
                <w:b w:val="0"/>
                <w:i w:val="0"/>
                <w:sz w:val="20"/>
              </w:rPr>
              <w:t>EUR 42,000</w:t>
            </w:r>
          </w:p>
        </w:tc>
      </w:tr>
      <w:tr>
        <w:trPr>
          <w:trHeight w:val="425" w:hRule="atLeast"/>
        </w:trPr>
        <w:tc>
          <w:tcPr>
            <w:tcW w:type="dxa" w:w="3249"/>
            <w:vAlign w:val="center"/>
          </w:tcPr>
          <w:p>
            <w:pPr>
              <w:spacing w:line="276" w:lineRule="auto" w:before="0" w:after="0"/>
            </w:pPr>
            <w:r/>
            <w:r>
              <w:rPr>
                <w:rFonts w:ascii="Figtree" w:hAnsi="Figtree"/>
                <w:b w:val="0"/>
                <w:i w:val="0"/>
                <w:sz w:val="20"/>
              </w:rPr>
              <w:t>Phase 1 gate</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EUR 72,000</w:t>
            </w:r>
          </w:p>
        </w:tc>
      </w:tr>
      <w:tr>
        <w:trPr>
          <w:trHeight w:val="425" w:hRule="atLeast"/>
        </w:trPr>
        <w:tc>
          <w:tcPr>
            <w:tcW w:type="dxa" w:w="3249"/>
            <w:vAlign w:val="center"/>
          </w:tcPr>
          <w:p>
            <w:pPr>
              <w:spacing w:line="276" w:lineRule="auto" w:before="0" w:after="0"/>
            </w:pPr>
            <w:r/>
            <w:r>
              <w:rPr>
                <w:rFonts w:ascii="Figtree" w:hAnsi="Figtree"/>
                <w:b w:val="0"/>
                <w:i w:val="0"/>
                <w:sz w:val="20"/>
              </w:rPr>
              <w:t>Phase 2 gate</w:t>
            </w:r>
          </w:p>
        </w:tc>
        <w:tc>
          <w:tcPr>
            <w:tcW w:type="dxa" w:w="3249"/>
            <w:vAlign w:val="center"/>
          </w:tcPr>
          <w:p>
            <w:pPr>
              <w:spacing w:line="276" w:lineRule="auto" w:before="0" w:after="0"/>
            </w:pPr>
            <w:r/>
            <w:r>
              <w:rPr>
                <w:rFonts w:ascii="Figtree" w:hAnsi="Figtree"/>
                <w:b w:val="0"/>
                <w:i w:val="0"/>
                <w:sz w:val="20"/>
              </w:rPr>
              <w:t>Phase 3 (50%)</w:t>
            </w:r>
          </w:p>
        </w:tc>
        <w:tc>
          <w:tcPr>
            <w:tcW w:type="dxa" w:w="3249"/>
            <w:vAlign w:val="center"/>
          </w:tcPr>
          <w:p>
            <w:pPr>
              <w:spacing w:line="276" w:lineRule="auto" w:before="0" w:after="0"/>
            </w:pPr>
            <w:r/>
            <w:r>
              <w:rPr>
                <w:rFonts w:ascii="Figtree" w:hAnsi="Figtree"/>
                <w:b w:val="0"/>
                <w:i w:val="0"/>
                <w:sz w:val="20"/>
              </w:rPr>
              <w:t>EUR 60,000</w:t>
            </w:r>
          </w:p>
        </w:tc>
      </w:tr>
      <w:tr>
        <w:trPr>
          <w:trHeight w:val="425" w:hRule="atLeast"/>
        </w:trPr>
        <w:tc>
          <w:tcPr>
            <w:tcW w:type="dxa" w:w="3249"/>
            <w:vAlign w:val="center"/>
          </w:tcPr>
          <w:p>
            <w:pPr>
              <w:spacing w:line="276" w:lineRule="auto" w:before="0" w:after="0"/>
            </w:pPr>
            <w:r/>
            <w:r>
              <w:rPr>
                <w:rFonts w:ascii="Figtree" w:hAnsi="Figtree"/>
                <w:b w:val="0"/>
                <w:i w:val="0"/>
                <w:sz w:val="20"/>
              </w:rPr>
              <w:t>Phase 3 gate</w:t>
            </w:r>
          </w:p>
        </w:tc>
        <w:tc>
          <w:tcPr>
            <w:tcW w:type="dxa" w:w="3249"/>
            <w:vAlign w:val="center"/>
          </w:tcPr>
          <w:p>
            <w:pPr>
              <w:spacing w:line="276" w:lineRule="auto" w:before="0" w:after="0"/>
            </w:pPr>
            <w:r/>
            <w:r>
              <w:rPr>
                <w:rFonts w:ascii="Figtree" w:hAnsi="Figtree"/>
                <w:b w:val="0"/>
                <w:i w:val="0"/>
                <w:sz w:val="20"/>
              </w:rPr>
              <w:t>Phase 3 (50%) + Phase 4</w:t>
            </w:r>
          </w:p>
        </w:tc>
        <w:tc>
          <w:tcPr>
            <w:tcW w:type="dxa" w:w="3249"/>
            <w:vAlign w:val="center"/>
          </w:tcPr>
          <w:p>
            <w:pPr>
              <w:spacing w:line="276" w:lineRule="auto" w:before="0" w:after="0"/>
            </w:pPr>
            <w:r/>
            <w:r>
              <w:rPr>
                <w:rFonts w:ascii="Figtree" w:hAnsi="Figtree"/>
                <w:b w:val="0"/>
                <w:i w:val="0"/>
                <w:sz w:val="20"/>
              </w:rPr>
              <w:t>EUR 152,000</w:t>
            </w:r>
          </w:p>
        </w:tc>
      </w:tr>
      <w:tr>
        <w:trPr>
          <w:trHeight w:val="425" w:hRule="atLeast"/>
        </w:trPr>
        <w:tc>
          <w:tcPr>
            <w:tcW w:type="dxa" w:w="3249"/>
            <w:vAlign w:val="center"/>
          </w:tcPr>
          <w:p>
            <w:pPr>
              <w:spacing w:line="276" w:lineRule="auto" w:before="0" w:after="0"/>
            </w:pPr>
            <w:r/>
            <w:r>
              <w:rPr>
                <w:rFonts w:ascii="Figtree" w:hAnsi="Figtree"/>
                <w:b w:val="0"/>
                <w:i w:val="0"/>
                <w:sz w:val="20"/>
              </w:rPr>
              <w:t>Phase 4 gate</w:t>
            </w:r>
          </w:p>
        </w:tc>
        <w:tc>
          <w:tcPr>
            <w:tcW w:type="dxa" w:w="3249"/>
            <w:vAlign w:val="center"/>
          </w:tcPr>
          <w:p>
            <w:pPr>
              <w:spacing w:line="276" w:lineRule="auto" w:before="0" w:after="0"/>
            </w:pPr>
            <w:r/>
            <w:r>
              <w:rPr>
                <w:rFonts w:ascii="Figtree" w:hAnsi="Figtree"/>
                <w:b w:val="0"/>
                <w:i w:val="0"/>
                <w:sz w:val="20"/>
              </w:rPr>
              <w:t>Phase 5 + 6</w:t>
            </w:r>
          </w:p>
        </w:tc>
        <w:tc>
          <w:tcPr>
            <w:tcW w:type="dxa" w:w="3249"/>
            <w:vAlign w:val="center"/>
          </w:tcPr>
          <w:p>
            <w:pPr>
              <w:spacing w:line="276" w:lineRule="auto" w:before="0" w:after="0"/>
            </w:pPr>
            <w:r/>
            <w:r>
              <w:rPr>
                <w:rFonts w:ascii="Figtree" w:hAnsi="Figtree"/>
                <w:b w:val="0"/>
                <w:i w:val="0"/>
                <w:sz w:val="20"/>
              </w:rPr>
              <w:t>EUR 94,000</w:t>
            </w:r>
          </w:p>
        </w:tc>
      </w:tr>
      <w:tr>
        <w:trPr>
          <w:trHeight w:val="425" w:hRule="atLeast"/>
        </w:trPr>
        <w:tc>
          <w:tcPr>
            <w:tcW w:type="dxa" w:w="3249"/>
            <w:vAlign w:val="center"/>
          </w:tcPr>
          <w:p>
            <w:pPr>
              <w:spacing w:line="276" w:lineRule="auto" w:before="0" w:after="0"/>
            </w:pPr>
            <w:r/>
            <w:r>
              <w:rPr>
                <w:rFonts w:ascii="Figtree" w:hAnsi="Figtree"/>
                <w:b w:val="0"/>
                <w:i w:val="0"/>
                <w:sz w:val="20"/>
              </w:rPr>
              <w:t>Production go-live</w:t>
            </w:r>
          </w:p>
        </w:tc>
        <w:tc>
          <w:tcPr>
            <w:tcW w:type="dxa" w:w="3249"/>
            <w:vAlign w:val="center"/>
          </w:tcPr>
          <w:p>
            <w:pPr>
              <w:spacing w:line="276" w:lineRule="auto" w:before="0" w:after="0"/>
            </w:pPr>
            <w:r/>
            <w:r>
              <w:rPr>
                <w:rFonts w:ascii="Figtree" w:hAnsi="Figtree"/>
                <w:b w:val="0"/>
                <w:i w:val="0"/>
                <w:sz w:val="20"/>
              </w:rPr>
              <w:t>License Year 1 (50%)</w:t>
            </w:r>
          </w:p>
        </w:tc>
        <w:tc>
          <w:tcPr>
            <w:tcW w:type="dxa" w:w="3249"/>
            <w:vAlign w:val="center"/>
          </w:tcPr>
          <w:p>
            <w:pPr>
              <w:spacing w:line="276" w:lineRule="auto" w:before="0" w:after="0"/>
            </w:pPr>
            <w:r/>
            <w:r>
              <w:rPr>
                <w:rFonts w:ascii="Figtree" w:hAnsi="Figtree"/>
                <w:b w:val="0"/>
                <w:i w:val="0"/>
                <w:sz w:val="20"/>
              </w:rPr>
              <w:t>EUR 140,000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2</w:t>
            </w:r>
          </w:p>
        </w:tc>
        <w:tc>
          <w:tcPr>
            <w:tcW w:type="dxa" w:w="3249"/>
            <w:vAlign w:val="center"/>
          </w:tcPr>
          <w:p>
            <w:pPr>
              <w:spacing w:line="276" w:lineRule="auto" w:before="0" w:after="0"/>
            </w:pPr>
            <w:r/>
            <w:r>
              <w:rPr>
                <w:rFonts w:ascii="Figtree" w:hAnsi="Figtree"/>
                <w:b w:val="0"/>
                <w:i w:val="0"/>
                <w:sz w:val="20"/>
              </w:rPr>
              <w:t>License Year 2 + Support</w:t>
            </w:r>
          </w:p>
        </w:tc>
        <w:tc>
          <w:tcPr>
            <w:tcW w:type="dxa" w:w="3249"/>
            <w:vAlign w:val="center"/>
          </w:tcPr>
          <w:p>
            <w:pPr>
              <w:spacing w:line="276" w:lineRule="auto" w:before="0" w:after="0"/>
            </w:pPr>
            <w:r/>
            <w:r>
              <w:rPr>
                <w:rFonts w:ascii="Figtree" w:hAnsi="Figtree"/>
                <w:b w:val="0"/>
                <w:i w:val="0"/>
                <w:sz w:val="20"/>
              </w:rPr>
              <w:t>EUR 400,000</w:t>
            </w:r>
          </w:p>
        </w:tc>
      </w:tr>
      <w:tr>
        <w:trPr>
          <w:trHeight w:val="425" w:hRule="atLeast"/>
        </w:trPr>
        <w:tc>
          <w:tcPr>
            <w:tcW w:type="dxa" w:w="3249"/>
            <w:vAlign w:val="center"/>
          </w:tcPr>
          <w:p>
            <w:pPr>
              <w:spacing w:line="276" w:lineRule="auto" w:before="0" w:after="0"/>
            </w:pPr>
            <w:r/>
            <w:r>
              <w:rPr>
                <w:rFonts w:ascii="Figtree" w:hAnsi="Figtree"/>
                <w:b w:val="0"/>
                <w:i w:val="0"/>
                <w:sz w:val="20"/>
              </w:rPr>
              <w:t>Annual renewal Year 3</w:t>
            </w:r>
          </w:p>
        </w:tc>
        <w:tc>
          <w:tcPr>
            <w:tcW w:type="dxa" w:w="3249"/>
            <w:vAlign w:val="center"/>
          </w:tcPr>
          <w:p>
            <w:pPr>
              <w:spacing w:line="276" w:lineRule="auto" w:before="0" w:after="0"/>
            </w:pPr>
            <w:r/>
            <w:r>
              <w:rPr>
                <w:rFonts w:ascii="Figtree" w:hAnsi="Figtree"/>
                <w:b w:val="0"/>
                <w:i w:val="0"/>
                <w:sz w:val="20"/>
              </w:rPr>
              <w:t>License Year 3 + Support</w:t>
            </w:r>
          </w:p>
        </w:tc>
        <w:tc>
          <w:tcPr>
            <w:tcW w:type="dxa" w:w="3249"/>
            <w:vAlign w:val="center"/>
          </w:tcPr>
          <w:p>
            <w:pPr>
              <w:spacing w:line="276" w:lineRule="auto" w:before="0" w:after="0"/>
            </w:pPr>
            <w:r/>
            <w:r>
              <w:rPr>
                <w:rFonts w:ascii="Figtree" w:hAnsi="Figtree"/>
                <w:b w:val="0"/>
                <w:i w:val="0"/>
                <w:sz w:val="20"/>
              </w:rPr>
              <w:t>EUR 428,000</w:t>
            </w:r>
          </w:p>
        </w:tc>
      </w:tr>
    </w:tbl>
    <w:p>
      <w:pPr>
        <w:spacing w:before="0" w:after="0" w:line="120" w:lineRule="exact"/>
      </w:pPr>
    </w:p>
    <w:p>
      <w:pPr>
        <w:pStyle w:val="H3"/>
        <w:numPr>
          <w:ilvl w:val="2"/>
          <w:numId w:val="1"/>
        </w:numPr>
      </w:pPr>
      <w:r>
        <w:t>Minimum Term and Exit</w:t>
      </w:r>
    </w:p>
    <w:p>
      <w:r>
        <w:rPr>
          <w:rFonts w:ascii="Figtree" w:hAnsi="Figtree"/>
          <w:b w:val="0"/>
          <w:i w:val="0"/>
          <w:sz w:val="22"/>
        </w:rPr>
        <w:t>3-year recommended term. Annual break right with 90 days notice. Exit: complete data export (JSON, CSV), 90-day post-termination data access, technical handover up to 5 days.</w:t>
      </w:r>
    </w:p>
    <w:p>
      <w:r>
        <w:br w:type="page"/>
      </w:r>
    </w:p>
    <w:p>
      <w:pPr>
        <w:pStyle w:val="H2"/>
        <w:numPr>
          <w:ilvl w:val="1"/>
          <w:numId w:val="1"/>
        </w:numPr>
      </w:pPr>
      <w:r>
        <w:t>8. Total Cost of Ownership</w:t>
      </w:r>
    </w:p>
    <w:p>
      <w:pPr>
        <w:pStyle w:val="H3"/>
        <w:numPr>
          <w:ilvl w:val="2"/>
          <w:numId w:val="1"/>
        </w:numPr>
      </w:pPr>
      <w:r>
        <w:t>3-Year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79"/>
        <w:gridCol w:w="1512"/>
        <w:gridCol w:w="1334"/>
        <w:gridCol w:w="1334"/>
        <w:gridCol w:w="1512"/>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Cost Category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3-Year Total</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(Production)</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280,000</w:t>
            </w:r>
          </w:p>
        </w:tc>
        <w:tc>
          <w:tcPr>
            <w:tcW w:type="dxa" w:w="1949"/>
            <w:vAlign w:val="center"/>
          </w:tcPr>
          <w:p>
            <w:pPr>
              <w:spacing w:line="276" w:lineRule="auto" w:before="0" w:after="0"/>
            </w:pPr>
            <w:r/>
            <w:r>
              <w:rPr>
                <w:rFonts w:ascii="Figtree" w:hAnsi="Figtree"/>
                <w:b w:val="0"/>
                <w:i w:val="0"/>
                <w:sz w:val="20"/>
              </w:rPr>
              <w:t>EUR 308,000</w:t>
            </w:r>
          </w:p>
        </w:tc>
        <w:tc>
          <w:tcPr>
            <w:tcW w:type="dxa" w:w="1949"/>
            <w:vAlign w:val="center"/>
          </w:tcPr>
          <w:p>
            <w:pPr>
              <w:spacing w:line="276" w:lineRule="auto" w:before="0" w:after="0"/>
            </w:pPr>
            <w:r/>
            <w:r>
              <w:rPr>
                <w:rFonts w:ascii="Figtree" w:hAnsi="Figtree"/>
                <w:b w:val="0"/>
                <w:i w:val="0"/>
                <w:sz w:val="20"/>
              </w:rPr>
              <w:t>EUR 868,000</w:t>
            </w:r>
          </w:p>
        </w:tc>
      </w:tr>
      <w:tr>
        <w:trPr>
          <w:trHeight w:val="425" w:hRule="atLeast"/>
        </w:trPr>
        <w:tc>
          <w:tcPr>
            <w:tcW w:type="dxa" w:w="1949"/>
            <w:vAlign w:val="center"/>
          </w:tcPr>
          <w:p>
            <w:pPr>
              <w:spacing w:line="276" w:lineRule="auto" w:before="0" w:after="0"/>
            </w:pPr>
            <w:r/>
            <w:r>
              <w:rPr>
                <w:rFonts w:ascii="Figtree" w:hAnsi="Figtree"/>
                <w:b w:val="0"/>
                <w:i w:val="0"/>
                <w:sz w:val="20"/>
              </w:rPr>
              <w:t>Platform License (Dev/Staging)</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66,000</w:t>
            </w:r>
          </w:p>
        </w:tc>
        <w:tc>
          <w:tcPr>
            <w:tcW w:type="dxa" w:w="1949"/>
            <w:vAlign w:val="center"/>
          </w:tcPr>
          <w:p>
            <w:pPr>
              <w:spacing w:line="276" w:lineRule="auto" w:before="0" w:after="0"/>
            </w:pPr>
            <w:r/>
            <w:r>
              <w:rPr>
                <w:rFonts w:ascii="Figtree" w:hAnsi="Figtree"/>
                <w:b w:val="0"/>
                <w:i w:val="0"/>
                <w:sz w:val="20"/>
              </w:rPr>
              <w:t>EUR 186,000</w:t>
            </w:r>
          </w:p>
        </w:tc>
      </w:tr>
      <w:tr>
        <w:trPr>
          <w:trHeight w:val="425" w:hRule="atLeast"/>
        </w:trPr>
        <w:tc>
          <w:tcPr>
            <w:tcW w:type="dxa" w:w="1949"/>
            <w:vAlign w:val="center"/>
          </w:tcPr>
          <w:p>
            <w:pPr>
              <w:spacing w:line="276" w:lineRule="auto" w:before="0" w:after="0"/>
            </w:pPr>
            <w:r/>
            <w:r>
              <w:rPr>
                <w:rFonts w:ascii="Figtree" w:hAnsi="Figtree"/>
                <w:b w:val="0"/>
                <w:i w:val="0"/>
                <w:sz w:val="20"/>
              </w:rPr>
              <w:t>Enterprise Support</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120,000</w:t>
            </w:r>
          </w:p>
        </w:tc>
        <w:tc>
          <w:tcPr>
            <w:tcW w:type="dxa" w:w="1949"/>
            <w:vAlign w:val="center"/>
          </w:tcPr>
          <w:p>
            <w:pPr>
              <w:spacing w:line="276" w:lineRule="auto" w:before="0" w:after="0"/>
            </w:pPr>
            <w:r/>
            <w:r>
              <w:rPr>
                <w:rFonts w:ascii="Figtree" w:hAnsi="Figtree"/>
                <w:b w:val="0"/>
                <w:i w:val="0"/>
                <w:sz w:val="20"/>
              </w:rPr>
              <w:t>EUR 360,000</w:t>
            </w:r>
          </w:p>
        </w:tc>
      </w:tr>
      <w:tr>
        <w:trPr>
          <w:trHeight w:val="425" w:hRule="atLeast"/>
        </w:trPr>
        <w:tc>
          <w:tcPr>
            <w:tcW w:type="dxa" w:w="1949"/>
            <w:vAlign w:val="center"/>
          </w:tcPr>
          <w:p>
            <w:pPr>
              <w:spacing w:line="276" w:lineRule="auto" w:before="0" w:after="0"/>
            </w:pPr>
            <w:r/>
            <w:r>
              <w:rPr>
                <w:rFonts w:ascii="Figtree" w:hAnsi="Figtree"/>
                <w:b w:val="0"/>
                <w:i w:val="0"/>
                <w:sz w:val="20"/>
              </w:rPr>
              <w:t>Implementation Phase 1</w:t>
            </w:r>
          </w:p>
        </w:tc>
        <w:tc>
          <w:tcPr>
            <w:tcW w:type="dxa" w:w="1949"/>
            <w:vAlign w:val="center"/>
          </w:tcPr>
          <w:p>
            <w:pPr>
              <w:spacing w:line="276" w:lineRule="auto" w:before="0" w:after="0"/>
            </w:pPr>
            <w:r/>
            <w:r>
              <w:rPr>
                <w:rFonts w:ascii="Figtree" w:hAnsi="Figtree"/>
                <w:b w:val="0"/>
                <w:i w:val="0"/>
                <w:sz w:val="20"/>
              </w:rPr>
              <w:t>EUR 420,000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420,000</w:t>
            </w:r>
          </w:p>
        </w:tc>
      </w:tr>
      <w:tr>
        <w:trPr>
          <w:trHeight w:val="425" w:hRule="atLeast"/>
        </w:trPr>
        <w:tc>
          <w:tcPr>
            <w:tcW w:type="dxa" w:w="1949"/>
            <w:vAlign w:val="center"/>
          </w:tcPr>
          <w:p>
            <w:pPr>
              <w:spacing w:line="276" w:lineRule="auto" w:before="0" w:after="0"/>
            </w:pPr>
            <w:r/>
            <w:r>
              <w:rPr>
                <w:rFonts w:ascii="Figtree" w:hAnsi="Figtree"/>
                <w:b w:val="0"/>
                <w:i w:val="0"/>
                <w:sz w:val="20"/>
              </w:rPr>
              <w:t>Phase 2 expansion (bonds, new markets)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150,000</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150,000</w:t>
            </w:r>
          </w:p>
        </w:tc>
      </w:tr>
      <w:tr>
        <w:trPr>
          <w:trHeight w:val="425" w:hRule="atLeast"/>
        </w:trPr>
        <w:tc>
          <w:tcPr>
            <w:tcW w:type="dxa" w:w="1949"/>
            <w:vAlign w:val="center"/>
          </w:tcPr>
          <w:p>
            <w:pPr>
              <w:spacing w:line="276" w:lineRule="auto" w:before="0" w:after="0"/>
            </w:pPr>
            <w:r/>
            <w:r>
              <w:rPr>
                <w:rFonts w:ascii="Figtree" w:hAnsi="Figtree"/>
                <w:b w:val="0"/>
                <w:i w:val="0"/>
                <w:sz w:val="20"/>
              </w:rPr>
              <w:t>Phase 3 (stablecoin payments)</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r>
      <w:tr>
        <w:trPr>
          <w:trHeight w:val="425" w:hRule="atLeast"/>
        </w:trPr>
        <w:tc>
          <w:tcPr>
            <w:tcW w:type="dxa" w:w="1949"/>
            <w:vAlign w:val="center"/>
          </w:tcPr>
          <w:p>
            <w:pPr>
              <w:spacing w:line="276" w:lineRule="auto" w:before="0" w:after="0"/>
            </w:pPr>
            <w:r/>
            <w:r>
              <w:rPr>
                <w:rFonts w:ascii="Figtree" w:hAnsi="Figtree"/>
                <w:b w:val="0"/>
                <w:i w:val="0"/>
                <w:sz w:val="20"/>
              </w:rPr>
              <w:t>Kubernetes infrastructure</w:t>
            </w:r>
          </w:p>
        </w:tc>
        <w:tc>
          <w:tcPr>
            <w:tcW w:type="dxa" w:w="1949"/>
            <w:vAlign w:val="center"/>
          </w:tcPr>
          <w:p>
            <w:pPr>
              <w:spacing w:line="276" w:lineRule="auto" w:before="0" w:after="0"/>
            </w:pPr>
            <w:r/>
            <w:r>
              <w:rPr>
                <w:rFonts w:ascii="Figtree" w:hAnsi="Figtree"/>
                <w:b w:val="0"/>
                <w:i w:val="0"/>
                <w:sz w:val="20"/>
              </w:rPr>
              <w:t>EUR 50,000</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180,000</w:t>
            </w:r>
          </w:p>
        </w:tc>
      </w:tr>
      <w:tr>
        <w:trPr>
          <w:trHeight w:val="425" w:hRule="atLeast"/>
        </w:trPr>
        <w:tc>
          <w:tcPr>
            <w:tcW w:type="dxa" w:w="1949"/>
            <w:vAlign w:val="center"/>
          </w:tcPr>
          <w:p>
            <w:pPr>
              <w:spacing w:line="276" w:lineRule="auto" w:before="0" w:after="0"/>
            </w:pPr>
            <w:r/>
            <w:r>
              <w:rPr>
                <w:rFonts w:ascii="Figtree" w:hAnsi="Figtree"/>
                <w:b w:val="0"/>
                <w:i w:val="0"/>
                <w:sz w:val="20"/>
              </w:rPr>
              <w:t>Fireblocks + DFNS custody</w:t>
            </w:r>
          </w:p>
        </w:tc>
        <w:tc>
          <w:tcPr>
            <w:tcW w:type="dxa" w:w="1949"/>
            <w:vAlign w:val="center"/>
          </w:tcPr>
          <w:p>
            <w:pPr>
              <w:spacing w:line="276" w:lineRule="auto" w:before="0" w:after="0"/>
            </w:pPr>
            <w:r/>
            <w:r>
              <w:rPr>
                <w:rFonts w:ascii="Figtree" w:hAnsi="Figtree"/>
                <w:b w:val="0"/>
                <w:i w:val="0"/>
                <w:sz w:val="20"/>
              </w:rPr>
              <w:t>EUR 60,000</w:t>
            </w:r>
          </w:p>
        </w:tc>
        <w:tc>
          <w:tcPr>
            <w:tcW w:type="dxa" w:w="1949"/>
            <w:vAlign w:val="center"/>
          </w:tcPr>
          <w:p>
            <w:pPr>
              <w:spacing w:line="276" w:lineRule="auto" w:before="0" w:after="0"/>
            </w:pPr>
            <w:r/>
            <w:r>
              <w:rPr>
                <w:rFonts w:ascii="Figtree" w:hAnsi="Figtree"/>
                <w:b w:val="0"/>
                <w:i w:val="0"/>
                <w:sz w:val="20"/>
              </w:rPr>
              <w:t>EUR 70,000</w:t>
            </w:r>
          </w:p>
        </w:tc>
        <w:tc>
          <w:tcPr>
            <w:tcW w:type="dxa" w:w="1949"/>
            <w:vAlign w:val="center"/>
          </w:tcPr>
          <w:p>
            <w:pPr>
              <w:spacing w:line="276" w:lineRule="auto" w:before="0" w:after="0"/>
            </w:pPr>
            <w:r/>
            <w:r>
              <w:rPr>
                <w:rFonts w:ascii="Figtree" w:hAnsi="Figtree"/>
                <w:b w:val="0"/>
                <w:i w:val="0"/>
                <w:sz w:val="20"/>
              </w:rPr>
              <w:t>EUR 80,000</w:t>
            </w:r>
          </w:p>
        </w:tc>
        <w:tc>
          <w:tcPr>
            <w:tcW w:type="dxa" w:w="1949"/>
            <w:vAlign w:val="center"/>
          </w:tcPr>
          <w:p>
            <w:pPr>
              <w:spacing w:line="276" w:lineRule="auto" w:before="0" w:after="0"/>
            </w:pPr>
            <w:r/>
            <w:r>
              <w:rPr>
                <w:rFonts w:ascii="Figtree" w:hAnsi="Figtree"/>
                <w:b w:val="0"/>
                <w:i w:val="0"/>
                <w:sz w:val="20"/>
              </w:rPr>
              <w:t>EUR 210,000</w:t>
            </w:r>
          </w:p>
        </w:tc>
      </w:tr>
      <w:tr>
        <w:trPr>
          <w:trHeight w:val="425" w:hRule="atLeast"/>
        </w:trPr>
        <w:tc>
          <w:tcPr>
            <w:tcW w:type="dxa" w:w="1949"/>
            <w:vAlign w:val="center"/>
          </w:tcPr>
          <w:p>
            <w:pPr>
              <w:spacing w:line="276" w:lineRule="auto" w:before="0" w:after="0"/>
            </w:pPr>
            <w:r/>
            <w:r>
              <w:rPr>
                <w:rFonts w:ascii="Figtree" w:hAnsi="Figtree"/>
                <w:b w:val="0"/>
                <w:i w:val="0"/>
                <w:sz w:val="20"/>
              </w:rPr>
              <w:t>Revolut internal (2 FTE Year 1)</w:t>
            </w:r>
          </w:p>
        </w:tc>
        <w:tc>
          <w:tcPr>
            <w:tcW w:type="dxa" w:w="1949"/>
            <w:vAlign w:val="center"/>
          </w:tcPr>
          <w:p>
            <w:pPr>
              <w:spacing w:line="276" w:lineRule="auto" w:before="0" w:after="0"/>
            </w:pPr>
            <w:r/>
            <w:r>
              <w:rPr>
                <w:rFonts w:ascii="Figtree" w:hAnsi="Figtree"/>
                <w:b w:val="0"/>
                <w:i w:val="0"/>
                <w:sz w:val="20"/>
              </w:rPr>
              <w:t>EUR 300,000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100,000</w:t>
            </w:r>
          </w:p>
        </w:tc>
        <w:tc>
          <w:tcPr>
            <w:tcW w:type="dxa" w:w="1949"/>
            <w:vAlign w:val="center"/>
          </w:tcPr>
          <w:p>
            <w:pPr>
              <w:spacing w:line="276" w:lineRule="auto" w:before="0" w:after="0"/>
            </w:pPr>
            <w:r/>
            <w:r>
              <w:rPr>
                <w:rFonts w:ascii="Figtree" w:hAnsi="Figtree"/>
                <w:b w:val="0"/>
                <w:i w:val="0"/>
                <w:sz w:val="20"/>
              </w:rPr>
              <w:t>EUR 500,000</w:t>
            </w:r>
          </w:p>
        </w:tc>
      </w:tr>
      <w:tr>
        <w:trPr>
          <w:trHeight w:val="425" w:hRule="atLeast"/>
        </w:trPr>
        <w:tc>
          <w:tcPr>
            <w:tcW w:type="dxa" w:w="1949"/>
            <w:vAlign w:val="center"/>
          </w:tcPr>
          <w:p>
            <w:pPr>
              <w:spacing w:line="276" w:lineRule="auto" w:before="0" w:after="0"/>
            </w:pPr>
            <w:r/>
            <w:r>
              <w:rPr>
                <w:rFonts w:ascii="Figtree" w:hAnsi="Figtree"/>
                <w:b/>
                <w:i w:val="0"/>
                <w:sz w:val="20"/>
              </w:rPr>
              <w:t>Total 3-Year TCO</w:t>
            </w:r>
          </w:p>
        </w:tc>
        <w:tc>
          <w:tcPr>
            <w:tcW w:type="dxa" w:w="1949"/>
            <w:vAlign w:val="center"/>
          </w:tcPr>
          <w:p>
            <w:pPr>
              <w:spacing w:line="276" w:lineRule="auto" w:before="0" w:after="0"/>
            </w:pPr>
            <w:r/>
            <w:r>
              <w:rPr>
                <w:rFonts w:ascii="Figtree" w:hAnsi="Figtree"/>
                <w:b/>
                <w:i w:val="0"/>
                <w:sz w:val="20"/>
              </w:rPr>
              <w:t>EUR 1,290,000</w:t>
            </w:r>
          </w:p>
        </w:tc>
        <w:tc>
          <w:tcPr>
            <w:tcW w:type="dxa" w:w="1949"/>
            <w:vAlign w:val="center"/>
          </w:tcPr>
          <w:p>
            <w:pPr>
              <w:spacing w:line="276" w:lineRule="auto" w:before="0" w:after="0"/>
            </w:pPr>
            <w:r/>
            <w:r>
              <w:rPr>
                <w:rFonts w:ascii="Figtree" w:hAnsi="Figtree"/>
                <w:b/>
                <w:i w:val="0"/>
                <w:sz w:val="20"/>
              </w:rPr>
              <w:t>EUR 840,000</w:t>
            </w:r>
          </w:p>
        </w:tc>
        <w:tc>
          <w:tcPr>
            <w:tcW w:type="dxa" w:w="1949"/>
            <w:vAlign w:val="center"/>
          </w:tcPr>
          <w:p>
            <w:pPr>
              <w:spacing w:line="276" w:lineRule="auto" w:before="0" w:after="0"/>
            </w:pPr>
            <w:r/>
            <w:r>
              <w:rPr>
                <w:rFonts w:ascii="Figtree" w:hAnsi="Figtree"/>
                <w:b/>
                <w:i w:val="0"/>
                <w:sz w:val="20"/>
              </w:rPr>
              <w:t>EUR 844,000</w:t>
            </w:r>
          </w:p>
        </w:tc>
        <w:tc>
          <w:tcPr>
            <w:tcW w:type="dxa" w:w="1949"/>
            <w:vAlign w:val="center"/>
          </w:tcPr>
          <w:p>
            <w:pPr>
              <w:spacing w:line="276" w:lineRule="auto" w:before="0" w:after="0"/>
            </w:pPr>
            <w:r/>
            <w:r>
              <w:rPr>
                <w:rFonts w:ascii="Figtree" w:hAnsi="Figtree"/>
                <w:b/>
                <w:i w:val="0"/>
                <w:sz w:val="20"/>
              </w:rPr>
              <w:t>EUR 2,974,000</w:t>
            </w:r>
          </w:p>
        </w:tc>
      </w:tr>
    </w:tbl>
    <w:p>
      <w:pPr>
        <w:spacing w:before="0" w:after="0" w:line="120" w:lineRule="exact"/>
      </w:pPr>
    </w:p>
    <w:p>
      <w:pPr>
        <w:pStyle w:val="H3"/>
        <w:numPr>
          <w:ilvl w:val="2"/>
          <w:numId w:val="1"/>
        </w:numPr>
      </w:pPr>
      <w:r>
        <w:t>5-Year TCO vs. Build Alternative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32"/>
        <w:gridCol w:w="44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Scenario</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4873"/>
            <w:vAlign w:val="center"/>
          </w:tcPr>
          <w:p>
            <w:pPr>
              <w:spacing w:line="276" w:lineRule="auto" w:before="0" w:after="0"/>
            </w:pPr>
            <w:r/>
            <w:r>
              <w:rPr>
                <w:rFonts w:ascii="Figtree" w:hAnsi="Figtree"/>
                <w:b w:val="0"/>
                <w:i w:val="0"/>
                <w:sz w:val="20"/>
              </w:rPr>
              <w:t>DALP platform approach</w:t>
            </w:r>
          </w:p>
        </w:tc>
        <w:tc>
          <w:tcPr>
            <w:tcW w:type="dxa" w:w="4873"/>
            <w:vAlign w:val="center"/>
          </w:tcPr>
          <w:p>
            <w:pPr>
              <w:spacing w:line="276" w:lineRule="auto" w:before="0" w:after="0"/>
            </w:pPr>
            <w:r/>
            <w:r>
              <w:rPr>
                <w:rFonts w:ascii="Figtree" w:hAnsi="Figtree"/>
                <w:b w:val="0"/>
                <w:i w:val="0"/>
                <w:sz w:val="20"/>
              </w:rPr>
              <w:t>EUR 4,500,000</w:t>
            </w:r>
          </w:p>
        </w:tc>
      </w:tr>
      <w:tr>
        <w:trPr>
          <w:trHeight w:val="425" w:hRule="atLeast"/>
        </w:trPr>
        <w:tc>
          <w:tcPr>
            <w:tcW w:type="dxa" w:w="4873"/>
            <w:vAlign w:val="center"/>
          </w:tcPr>
          <w:p>
            <w:pPr>
              <w:spacing w:line="276" w:lineRule="auto" w:before="0" w:after="0"/>
            </w:pPr>
            <w:r/>
            <w:r>
              <w:rPr>
                <w:rFonts w:ascii="Figtree" w:hAnsi="Figtree"/>
                <w:b w:val="0"/>
                <w:i w:val="0"/>
                <w:sz w:val="20"/>
              </w:rPr>
              <w:t>Custom build alternative</w:t>
            </w:r>
          </w:p>
        </w:tc>
        <w:tc>
          <w:tcPr>
            <w:tcW w:type="dxa" w:w="4873"/>
            <w:vAlign w:val="center"/>
          </w:tcPr>
          <w:p>
            <w:pPr>
              <w:spacing w:line="276" w:lineRule="auto" w:before="0" w:after="0"/>
            </w:pPr>
            <w:r/>
            <w:r>
              <w:rPr>
                <w:rFonts w:ascii="Figtree" w:hAnsi="Figtree"/>
                <w:b w:val="0"/>
                <w:i w:val="0"/>
                <w:sz w:val="20"/>
              </w:rPr>
              <w:t>EUR 7,200,000</w:t>
            </w:r>
          </w:p>
        </w:tc>
      </w:tr>
      <w:tr>
        <w:trPr>
          <w:trHeight w:val="425" w:hRule="atLeast"/>
        </w:trPr>
        <w:tc>
          <w:tcPr>
            <w:tcW w:type="dxa" w:w="4873"/>
            <w:vAlign w:val="center"/>
          </w:tcPr>
          <w:p>
            <w:pPr>
              <w:spacing w:line="276" w:lineRule="auto" w:before="0" w:after="0"/>
            </w:pPr>
            <w:r/>
            <w:r>
              <w:rPr>
                <w:rFonts w:ascii="Figtree" w:hAnsi="Figtree"/>
                <w:b/>
                <w:i w:val="0"/>
                <w:sz w:val="20"/>
              </w:rPr>
              <w:t>DALP savings</w:t>
            </w:r>
          </w:p>
        </w:tc>
        <w:tc>
          <w:tcPr>
            <w:tcW w:type="dxa" w:w="4873"/>
            <w:vAlign w:val="center"/>
          </w:tcPr>
          <w:p>
            <w:pPr>
              <w:spacing w:line="276" w:lineRule="auto" w:before="0" w:after="0"/>
            </w:pPr>
            <w:r/>
            <w:r>
              <w:rPr>
                <w:rFonts w:ascii="Figtree" w:hAnsi="Figtree"/>
                <w:b/>
                <w:i w:val="0"/>
                <w:sz w:val="20"/>
              </w:rPr>
              <w:t>EUR 2,700,000 (38%)</w:t>
            </w:r>
          </w:p>
        </w:tc>
      </w:tr>
    </w:tbl>
    <w:p>
      <w:pPr>
        <w:spacing w:before="0" w:after="0" w:line="120" w:lineRule="exact"/>
      </w:pPr>
    </w:p>
    <w:p>
      <w:r>
        <w:br w:type="page"/>
      </w:r>
    </w:p>
    <w:p>
      <w:pPr>
        <w:pStyle w:val="H2"/>
        <w:numPr>
          <w:ilvl w:val="1"/>
          <w:numId w:val="1"/>
        </w:numPr>
      </w:pPr>
      <w:r>
        <w:t>9. Reference Clients</w:t>
      </w:r>
    </w:p>
    <w:p>
      <w:pPr>
        <w:pStyle w:val="H3"/>
        <w:numPr>
          <w:ilvl w:val="2"/>
          <w:numId w:val="1"/>
        </w:numPr>
      </w:pPr>
      <w:r>
        <w:t>Barclays (FCA Supervised, UK)</w:t>
      </w:r>
    </w:p>
    <w:p>
      <w:r>
        <w:rPr>
          <w:rFonts w:ascii="Figtree" w:hAnsi="Figtree"/>
          <w:b w:val="0"/>
          <w:i w:val="0"/>
          <w:sz w:val="22"/>
        </w:rPr>
        <w:t>Barclays deployed DALP for digital securities infrastructure under FCA supervision. Directly relevant as the most comparable regulated reference for Revolut's UK entity. EUR 8 million in annual operational savings identified in Phase 1.</w:t>
      </w:r>
    </w:p>
    <w:p>
      <w:pPr>
        <w:pStyle w:val="H3"/>
        <w:numPr>
          <w:ilvl w:val="2"/>
          <w:numId w:val="1"/>
        </w:numPr>
      </w:pPr>
      <w:r>
        <w:t>UBS (Tokenized Equities, Switzerland)</w:t>
      </w:r>
    </w:p>
    <w:p>
      <w:r>
        <w:rPr>
          <w:rFonts w:ascii="Figtree" w:hAnsi="Figtree"/>
          <w:b w:val="0"/>
          <w:i w:val="0"/>
          <w:sz w:val="22"/>
        </w:rPr>
        <w:t>UBS deployed DALP for tokenized equities trading with dividend automation and DvP settlement. Settlement cycle reduced from T+2 to same-session (under 5 seconds). Corporate action automation for 250,000 investor positions. Directly relevant to Revolut's equity tokenization requirements.</w:t>
      </w:r>
    </w:p>
    <w:p>
      <w:pPr>
        <w:pStyle w:val="H3"/>
        <w:numPr>
          <w:ilvl w:val="2"/>
          <w:numId w:val="1"/>
        </w:numPr>
      </w:pPr>
      <w:r>
        <w:t>Standard Chartered (Fractional Securities, Multi-Jurisdiction)</w:t>
      </w:r>
    </w:p>
    <w:p>
      <w:r>
        <w:rPr>
          <w:rFonts w:ascii="Figtree" w:hAnsi="Figtree"/>
          <w:b w:val="0"/>
          <w:i w:val="0"/>
          <w:sz w:val="22"/>
        </w:rPr>
        <w:t>Standard Chartered deployed DALP for fractional tokenized securities across multiple jurisdictions. Demonstrates DALP managing fractional positions, multi-jurisdiction investor eligibility, and reconciliation between on-chain and traditional account records.</w:t>
      </w:r>
    </w:p>
    <w:p>
      <w:r>
        <w:br w:type="page"/>
      </w:r>
    </w:p>
    <w:p>
      <w:pPr>
        <w:pStyle w:val="H2"/>
        <w:numPr>
          <w:ilvl w:val="1"/>
          <w:numId w:val="1"/>
        </w:numPr>
      </w:pPr>
      <w:r>
        <w:t>10. Next Steps</w:t>
      </w:r>
    </w:p>
    <w:p>
      <w:r>
        <w:rPr>
          <w:rFonts w:ascii="Figtree" w:hAnsi="Figtree"/>
          <w:b/>
          <w:i w:val="0"/>
          <w:sz w:val="22"/>
        </w:rPr>
        <w:t>Clarification period (deadline 03 April 2026):</w:t>
      </w:r>
      <w:r>
        <w:rPr>
          <w:rFonts w:ascii="Figtree" w:hAnsi="Figtree"/>
          <w:b w:val="0"/>
          <w:i w:val="0"/>
          <w:sz w:val="22"/>
        </w:rPr>
        <w:t xml:space="preserve"> SettleMint responds to clarifications within 2 business days.</w:t>
      </w:r>
    </w:p>
    <w:p>
      <w:r>
        <w:rPr>
          <w:rFonts w:ascii="Figtree" w:hAnsi="Figtree"/>
          <w:b/>
          <w:i w:val="0"/>
          <w:sz w:val="22"/>
        </w:rPr>
        <w:t>Shortlist (by 15 May 2026):</w:t>
      </w:r>
      <w:r>
        <w:rPr>
          <w:rFonts w:ascii="Figtree" w:hAnsi="Figtree"/>
          <w:b w:val="0"/>
          <w:i w:val="0"/>
          <w:sz w:val="22"/>
        </w:rPr>
        <w:t xml:space="preserve"> Technical architecture walkthrough (2 hours), live DvP settlement demonstration with Revolut-specific tokenized equity scenario (1.5 hours), FCA/MiCA compliance deep-dive (1 hour).</w:t>
      </w:r>
    </w:p>
    <w:p>
      <w:r>
        <w:rPr>
          <w:rFonts w:ascii="Figtree" w:hAnsi="Figtree"/>
          <w:b/>
          <w:i w:val="0"/>
          <w:sz w:val="22"/>
        </w:rPr>
        <w:t>Deep-dive sessions (Late May 2026):</w:t>
      </w:r>
      <w:r>
        <w:rPr>
          <w:rFonts w:ascii="Figtree" w:hAnsi="Figtree"/>
          <w:b w:val="0"/>
          <w:i w:val="0"/>
          <w:sz w:val="22"/>
        </w:rPr>
        <w:t xml:space="preserve"> Day 1: technical architecture, FCA and MiCA dual-jurisdiction compliance; Day 2: Fireblocks/DFNS integration workshop, trading engine API integration.</w:t>
      </w:r>
    </w:p>
    <w:p>
      <w:r>
        <w:rPr>
          <w:rFonts w:ascii="Figtree" w:hAnsi="Figtree"/>
          <w:b/>
          <w:i w:val="0"/>
          <w:sz w:val="22"/>
        </w:rPr>
        <w:t>Reference calls:</w:t>
      </w:r>
      <w:r>
        <w:rPr>
          <w:rFonts w:ascii="Figtree" w:hAnsi="Figtree"/>
          <w:b w:val="0"/>
          <w:i w:val="0"/>
          <w:sz w:val="22"/>
        </w:rPr>
        <w:t xml:space="preserve"> Available with Barclays, UBS, and Standard Chartered within 5 business days of written request.</w:t>
      </w:r>
    </w:p>
    <w:p>
      <w:r>
        <w:rPr>
          <w:rFonts w:ascii="Figtree" w:hAnsi="Figtree"/>
          <w:b/>
          <w:i w:val="0"/>
          <w:sz w:val="22"/>
        </w:rPr>
        <w:t>Implementation start (Q3 2026):</w:t>
      </w:r>
      <w:r>
        <w:rPr>
          <w:rFonts w:ascii="Figtree" w:hAnsi="Figtree"/>
          <w:b w:val="0"/>
          <w:i w:val="0"/>
          <w:sz w:val="22"/>
        </w:rPr>
        <w:t xml:space="preserve"> Contract execution by June 2026 enables Q4 2026 beta trading cohort launch.</w:t>
      </w:r>
    </w:p>
    <w:p>
      <w:r>
        <w:br w:type="page"/>
      </w:r>
    </w:p>
    <w:p>
      <w:pPr>
        <w:pStyle w:val="H2"/>
        <w:numPr>
          <w:ilvl w:val="1"/>
          <w:numId w:val="1"/>
        </w:numPr>
      </w:pPr>
      <w:r>
        <w:t>Appendix: Commercial Assumptions and Dependencies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01"/>
        <w:gridCol w:w="2134"/>
        <w:gridCol w:w="2268"/>
        <w:gridCol w:w="186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Dependency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Provider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Annual Estimate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2436"/>
            <w:vAlign w:val="center"/>
          </w:tcPr>
          <w:p>
            <w:pPr>
              <w:spacing w:line="276" w:lineRule="auto" w:before="0" w:after="0"/>
            </w:pPr>
            <w:r/>
            <w:r>
              <w:rPr>
                <w:rFonts w:ascii="Figtree" w:hAnsi="Figtree"/>
                <w:b w:val="0"/>
                <w:i w:val="0"/>
                <w:sz w:val="20"/>
              </w:rPr>
              <w:t>Institutional Custody</w:t>
            </w:r>
          </w:p>
        </w:tc>
        <w:tc>
          <w:tcPr>
            <w:tcW w:type="dxa" w:w="2436"/>
            <w:vAlign w:val="center"/>
          </w:tcPr>
          <w:p>
            <w:pPr>
              <w:spacing w:line="276" w:lineRule="auto" w:before="0" w:after="0"/>
            </w:pPr>
            <w:r/>
            <w:r>
              <w:rPr>
                <w:rFonts w:ascii="Figtree" w:hAnsi="Figtree"/>
                <w:b w:val="0"/>
                <w:i w:val="0"/>
                <w:sz w:val="20"/>
              </w:rPr>
              <w:t>Fireblocks</w:t>
            </w:r>
          </w:p>
        </w:tc>
        <w:tc>
          <w:tcPr>
            <w:tcW w:type="dxa" w:w="2436"/>
            <w:vAlign w:val="center"/>
          </w:tcPr>
          <w:p>
            <w:pPr>
              <w:spacing w:line="276" w:lineRule="auto" w:before="0" w:after="0"/>
            </w:pPr>
            <w:r/>
            <w:r>
              <w:rPr>
                <w:rFonts w:ascii="Figtree" w:hAnsi="Figtree"/>
                <w:b w:val="0"/>
                <w:i w:val="0"/>
                <w:sz w:val="20"/>
              </w:rPr>
              <w:t>EUR 30,000-50,000</w:t>
            </w:r>
          </w:p>
        </w:tc>
        <w:tc>
          <w:tcPr>
            <w:tcW w:type="dxa" w:w="2436"/>
            <w:vAlign w:val="center"/>
          </w:tcPr>
          <w:p>
            <w:pPr>
              <w:spacing w:line="276" w:lineRule="auto" w:before="0" w:after="0"/>
            </w:pPr>
            <w:r/>
            <w:r>
              <w:rPr>
                <w:rFonts w:ascii="Figtree" w:hAnsi="Figtree"/>
                <w:b w:val="0"/>
                <w:i w:val="0"/>
                <w:sz w:val="20"/>
              </w:rPr>
              <w:t>Revolut</w:t>
            </w:r>
          </w:p>
        </w:tc>
      </w:tr>
      <w:tr>
        <w:trPr>
          <w:trHeight w:val="425" w:hRule="atLeast"/>
        </w:trPr>
        <w:tc>
          <w:tcPr>
            <w:tcW w:type="dxa" w:w="2436"/>
            <w:vAlign w:val="center"/>
          </w:tcPr>
          <w:p>
            <w:pPr>
              <w:spacing w:line="276" w:lineRule="auto" w:before="0" w:after="0"/>
            </w:pPr>
            <w:r/>
            <w:r>
              <w:rPr>
                <w:rFonts w:ascii="Figtree" w:hAnsi="Figtree"/>
                <w:b w:val="0"/>
                <w:i w:val="0"/>
                <w:sz w:val="20"/>
              </w:rPr>
              <w:t>Consumer Wallets</w:t>
            </w:r>
          </w:p>
        </w:tc>
        <w:tc>
          <w:tcPr>
            <w:tcW w:type="dxa" w:w="2436"/>
            <w:vAlign w:val="center"/>
          </w:tcPr>
          <w:p>
            <w:pPr>
              <w:spacing w:line="276" w:lineRule="auto" w:before="0" w:after="0"/>
            </w:pPr>
            <w:r/>
            <w:r>
              <w:rPr>
                <w:rFonts w:ascii="Figtree" w:hAnsi="Figtree"/>
                <w:b w:val="0"/>
                <w:i w:val="0"/>
                <w:sz w:val="20"/>
              </w:rPr>
              <w:t>DFNS</w:t>
            </w:r>
          </w:p>
        </w:tc>
        <w:tc>
          <w:tcPr>
            <w:tcW w:type="dxa" w:w="2436"/>
            <w:vAlign w:val="center"/>
          </w:tcPr>
          <w:p>
            <w:pPr>
              <w:spacing w:line="276" w:lineRule="auto" w:before="0" w:after="0"/>
            </w:pPr>
            <w:r/>
            <w:r>
              <w:rPr>
                <w:rFonts w:ascii="Figtree" w:hAnsi="Figtree"/>
                <w:b w:val="0"/>
                <w:i w:val="0"/>
                <w:sz w:val="20"/>
              </w:rPr>
              <w:t>EUR 20,000-30,000</w:t>
            </w:r>
          </w:p>
        </w:tc>
        <w:tc>
          <w:tcPr>
            <w:tcW w:type="dxa" w:w="2436"/>
            <w:vAlign w:val="center"/>
          </w:tcPr>
          <w:p>
            <w:pPr>
              <w:spacing w:line="276" w:lineRule="auto" w:before="0" w:after="0"/>
            </w:pPr>
            <w:r/>
            <w:r>
              <w:rPr>
                <w:rFonts w:ascii="Figtree" w:hAnsi="Figtree"/>
                <w:b w:val="0"/>
                <w:i w:val="0"/>
                <w:sz w:val="20"/>
              </w:rPr>
              <w:t>Revolut</w:t>
            </w:r>
          </w:p>
        </w:tc>
      </w:tr>
      <w:tr>
        <w:trPr>
          <w:trHeight w:val="425" w:hRule="atLeast"/>
        </w:trPr>
        <w:tc>
          <w:tcPr>
            <w:tcW w:type="dxa" w:w="2436"/>
            <w:vAlign w:val="center"/>
          </w:tcPr>
          <w:p>
            <w:pPr>
              <w:spacing w:line="276" w:lineRule="auto" w:before="0" w:after="0"/>
            </w:pPr>
            <w:r/>
            <w:r>
              <w:rPr>
                <w:rFonts w:ascii="Figtree" w:hAnsi="Figtree"/>
                <w:b w:val="0"/>
                <w:i w:val="0"/>
                <w:sz w:val="20"/>
              </w:rPr>
              <w:t>Blockchain RPC</w:t>
            </w:r>
          </w:p>
        </w:tc>
        <w:tc>
          <w:tcPr>
            <w:tcW w:type="dxa" w:w="2436"/>
            <w:vAlign w:val="center"/>
          </w:tcPr>
          <w:p>
            <w:pPr>
              <w:spacing w:line="276" w:lineRule="auto" w:before="0" w:after="0"/>
            </w:pPr>
            <w:r/>
            <w:r>
              <w:rPr>
                <w:rFonts w:ascii="Figtree" w:hAnsi="Figtree"/>
                <w:b w:val="0"/>
                <w:i w:val="0"/>
                <w:sz w:val="20"/>
              </w:rPr>
              <w:t>Infura/Alchemy</w:t>
            </w:r>
          </w:p>
        </w:tc>
        <w:tc>
          <w:tcPr>
            <w:tcW w:type="dxa" w:w="2436"/>
            <w:vAlign w:val="center"/>
          </w:tcPr>
          <w:p>
            <w:pPr>
              <w:spacing w:line="276" w:lineRule="auto" w:before="0" w:after="0"/>
            </w:pPr>
            <w:r/>
            <w:r>
              <w:rPr>
                <w:rFonts w:ascii="Figtree" w:hAnsi="Figtree"/>
                <w:b w:val="0"/>
                <w:i w:val="0"/>
                <w:sz w:val="20"/>
              </w:rPr>
              <w:t>EUR 10,000-15,000</w:t>
            </w:r>
          </w:p>
        </w:tc>
        <w:tc>
          <w:tcPr>
            <w:tcW w:type="dxa" w:w="2436"/>
            <w:vAlign w:val="center"/>
          </w:tcPr>
          <w:p>
            <w:pPr>
              <w:spacing w:line="276" w:lineRule="auto" w:before="0" w:after="0"/>
            </w:pPr>
            <w:r/>
            <w:r>
              <w:rPr>
                <w:rFonts w:ascii="Figtree" w:hAnsi="Figtree"/>
                <w:b w:val="0"/>
                <w:i w:val="0"/>
                <w:sz w:val="20"/>
              </w:rPr>
              <w:t>Revolut</w:t>
            </w:r>
          </w:p>
        </w:tc>
      </w:tr>
      <w:tr>
        <w:trPr>
          <w:trHeight w:val="425" w:hRule="atLeast"/>
        </w:trPr>
        <w:tc>
          <w:tcPr>
            <w:tcW w:type="dxa" w:w="2436"/>
            <w:vAlign w:val="center"/>
          </w:tcPr>
          <w:p>
            <w:pPr>
              <w:spacing w:line="276" w:lineRule="auto" w:before="0" w:after="0"/>
            </w:pPr>
            <w:r/>
            <w:r>
              <w:rPr>
                <w:rFonts w:ascii="Figtree" w:hAnsi="Figtree"/>
                <w:b w:val="0"/>
                <w:i w:val="0"/>
                <w:sz w:val="20"/>
              </w:rPr>
              <w:t>Besu Validators</w:t>
            </w:r>
          </w:p>
        </w:tc>
        <w:tc>
          <w:tcPr>
            <w:tcW w:type="dxa" w:w="2436"/>
            <w:vAlign w:val="center"/>
          </w:tcPr>
          <w:p>
            <w:pPr>
              <w:spacing w:line="276" w:lineRule="auto" w:before="0" w:after="0"/>
            </w:pPr>
            <w:r/>
            <w:r>
              <w:rPr>
                <w:rFonts w:ascii="Figtree" w:hAnsi="Figtree"/>
                <w:b w:val="0"/>
                <w:i w:val="0"/>
                <w:sz w:val="20"/>
              </w:rPr>
              <w:t>Revolut-operated</w:t>
            </w:r>
          </w:p>
        </w:tc>
        <w:tc>
          <w:tcPr>
            <w:tcW w:type="dxa" w:w="2436"/>
            <w:vAlign w:val="center"/>
          </w:tcPr>
          <w:p>
            <w:pPr>
              <w:spacing w:line="276" w:lineRule="auto" w:before="0" w:after="0"/>
            </w:pPr>
            <w:r/>
            <w:r>
              <w:rPr>
                <w:rFonts w:ascii="Figtree" w:hAnsi="Figtree"/>
                <w:b w:val="0"/>
                <w:i w:val="0"/>
                <w:sz w:val="20"/>
              </w:rPr>
              <w:t>EUR 20,000-25,000</w:t>
            </w:r>
          </w:p>
        </w:tc>
        <w:tc>
          <w:tcPr>
            <w:tcW w:type="dxa" w:w="2436"/>
            <w:vAlign w:val="center"/>
          </w:tcPr>
          <w:p>
            <w:pPr>
              <w:spacing w:line="276" w:lineRule="auto" w:before="0" w:after="0"/>
            </w:pPr>
            <w:r/>
            <w:r>
              <w:rPr>
                <w:rFonts w:ascii="Figtree" w:hAnsi="Figtree"/>
                <w:b w:val="0"/>
                <w:i w:val="0"/>
                <w:sz w:val="20"/>
              </w:rPr>
              <w:t>Revolut</w:t>
            </w:r>
          </w:p>
        </w:tc>
      </w:tr>
      <w:tr>
        <w:trPr>
          <w:trHeight w:val="425" w:hRule="atLeast"/>
        </w:trPr>
        <w:tc>
          <w:tcPr>
            <w:tcW w:type="dxa" w:w="2436"/>
            <w:vAlign w:val="center"/>
          </w:tcPr>
          <w:p>
            <w:pPr>
              <w:spacing w:line="276" w:lineRule="auto" w:before="0" w:after="0"/>
            </w:pPr>
            <w:r/>
            <w:r>
              <w:rPr>
                <w:rFonts w:ascii="Figtree" w:hAnsi="Figtree"/>
                <w:b w:val="0"/>
                <w:i w:val="0"/>
                <w:sz w:val="20"/>
              </w:rPr>
              <w:t>Cloud Infrastructure</w:t>
            </w:r>
          </w:p>
        </w:tc>
        <w:tc>
          <w:tcPr>
            <w:tcW w:type="dxa" w:w="2436"/>
            <w:vAlign w:val="center"/>
          </w:tcPr>
          <w:p>
            <w:pPr>
              <w:spacing w:line="276" w:lineRule="auto" w:before="0" w:after="0"/>
            </w:pPr>
            <w:r/>
            <w:r>
              <w:rPr>
                <w:rFonts w:ascii="Figtree" w:hAnsi="Figtree"/>
                <w:b w:val="0"/>
                <w:i w:val="0"/>
                <w:sz w:val="20"/>
              </w:rPr>
              <w:t>AWS/GCP (EU)</w:t>
            </w:r>
          </w:p>
        </w:tc>
        <w:tc>
          <w:tcPr>
            <w:tcW w:type="dxa" w:w="2436"/>
            <w:vAlign w:val="center"/>
          </w:tcPr>
          <w:p>
            <w:pPr>
              <w:spacing w:line="276" w:lineRule="auto" w:before="0" w:after="0"/>
            </w:pPr>
            <w:r/>
            <w:r>
              <w:rPr>
                <w:rFonts w:ascii="Figtree" w:hAnsi="Figtree"/>
                <w:b w:val="0"/>
                <w:i w:val="0"/>
                <w:sz w:val="20"/>
              </w:rPr>
              <w:t>EUR 50,000-70,000</w:t>
            </w:r>
          </w:p>
        </w:tc>
        <w:tc>
          <w:tcPr>
            <w:tcW w:type="dxa" w:w="2436"/>
            <w:vAlign w:val="center"/>
          </w:tcPr>
          <w:p>
            <w:pPr>
              <w:spacing w:line="276" w:lineRule="auto" w:before="0" w:after="0"/>
            </w:pPr>
            <w:r/>
            <w:r>
              <w:rPr>
                <w:rFonts w:ascii="Figtree" w:hAnsi="Figtree"/>
                <w:b w:val="0"/>
                <w:i w:val="0"/>
                <w:sz w:val="20"/>
              </w:rPr>
              <w:t>Revolut</w:t>
            </w:r>
          </w:p>
        </w:tc>
      </w:tr>
    </w:tbl>
    <w:p>
      <w:pPr>
        <w:spacing w:before="0" w:after="0" w:line="120" w:lineRule="exact"/>
      </w:pPr>
    </w:p>
    <w:p>
      <w:pPr>
        <w:pStyle w:val="H3"/>
        <w:numPr>
          <w:ilvl w:val="2"/>
          <w:numId w:val="1"/>
        </w:numPr>
      </w:pPr>
      <w:r>
        <w:t>Volume Thresholds (Enterprise Tier)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176"/>
        <w:gridCol w:w="2304"/>
        <w:gridCol w:w="25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Included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Overage</w:t>
            </w:r>
          </w:p>
        </w:tc>
      </w:tr>
      <w:tr>
        <w:trPr>
          <w:trHeight w:val="425" w:hRule="atLeast"/>
        </w:trPr>
        <w:tc>
          <w:tcPr>
            <w:tcW w:type="dxa" w:w="3249"/>
            <w:vAlign w:val="center"/>
          </w:tcPr>
          <w:p>
            <w:pPr>
              <w:spacing w:line="276" w:lineRule="auto" w:before="0" w:after="0"/>
            </w:pPr>
            <w:r/>
            <w:r>
              <w:rPr>
                <w:rFonts w:ascii="Figtree" w:hAnsi="Figtree"/>
                <w:b w:val="0"/>
                <w:i w:val="0"/>
                <w:sz w:val="20"/>
              </w:rPr>
              <w:t>Monthly on-chain transactions</w:t>
            </w:r>
          </w:p>
        </w:tc>
        <w:tc>
          <w:tcPr>
            <w:tcW w:type="dxa" w:w="3249"/>
            <w:vAlign w:val="center"/>
          </w:tcPr>
          <w:p>
            <w:pPr>
              <w:spacing w:line="276" w:lineRule="auto" w:before="0" w:after="0"/>
            </w:pPr>
            <w:r/>
            <w:r>
              <w:rPr>
                <w:rFonts w:ascii="Figtree" w:hAnsi="Figtree"/>
                <w:b w:val="0"/>
                <w:i w:val="0"/>
                <w:sz w:val="20"/>
              </w:rPr>
              <w:t>Up to 1,000,000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Active investor wallets</w:t>
            </w:r>
          </w:p>
        </w:tc>
        <w:tc>
          <w:tcPr>
            <w:tcW w:type="dxa" w:w="3249"/>
            <w:vAlign w:val="center"/>
          </w:tcPr>
          <w:p>
            <w:pPr>
              <w:spacing w:line="276" w:lineRule="auto" w:before="0" w:after="0"/>
            </w:pPr>
            <w:r/>
            <w:r>
              <w:rPr>
                <w:rFonts w:ascii="Figtree" w:hAnsi="Figtree"/>
                <w:b w:val="0"/>
                <w:i w:val="0"/>
                <w:sz w:val="20"/>
              </w:rPr>
              <w:t>Up to 100,000</w:t>
            </w:r>
          </w:p>
        </w:tc>
        <w:tc>
          <w:tcPr>
            <w:tcW w:type="dxa" w:w="3249"/>
            <w:vAlign w:val="center"/>
          </w:tcPr>
          <w:p>
            <w:pPr>
              <w:spacing w:line="276" w:lineRule="auto" w:before="0" w:after="0"/>
            </w:pPr>
            <w:r/>
            <w:r>
              <w:rPr>
                <w:rFonts w:ascii="Figtree" w:hAnsi="Figtree"/>
                <w:b w:val="0"/>
                <w:i w:val="0"/>
                <w:sz w:val="20"/>
              </w:rPr>
              <w:t>Contact SettleMint</w:t>
            </w:r>
          </w:p>
        </w:tc>
      </w:tr>
      <w:tr>
        <w:trPr>
          <w:trHeight w:val="425" w:hRule="atLeast"/>
        </w:trPr>
        <w:tc>
          <w:tcPr>
            <w:tcW w:type="dxa" w:w="3249"/>
            <w:vAlign w:val="center"/>
          </w:tcPr>
          <w:p>
            <w:pPr>
              <w:spacing w:line="276" w:lineRule="auto" w:before="0" w:after="0"/>
            </w:pPr>
            <w:r/>
            <w:r>
              <w:rPr>
                <w:rFonts w:ascii="Figtree" w:hAnsi="Figtree"/>
                <w:b w:val="0"/>
                <w:i w:val="0"/>
                <w:sz w:val="20"/>
              </w:rPr>
              <w:t>API requests (monthly)</w:t>
            </w:r>
          </w:p>
        </w:tc>
        <w:tc>
          <w:tcPr>
            <w:tcW w:type="dxa" w:w="3249"/>
            <w:vAlign w:val="center"/>
          </w:tcPr>
          <w:p>
            <w:pPr>
              <w:spacing w:line="276" w:lineRule="auto" w:before="0" w:after="0"/>
            </w:pPr>
            <w:r/>
            <w:r>
              <w:rPr>
                <w:rFonts w:ascii="Figtree" w:hAnsi="Figtree"/>
                <w:b w:val="0"/>
                <w:i w:val="0"/>
                <w:sz w:val="20"/>
              </w:rPr>
              <w:t>Up to 50,000,000</w:t>
            </w:r>
          </w:p>
        </w:tc>
        <w:tc>
          <w:tcPr>
            <w:tcW w:type="dxa" w:w="3249"/>
            <w:vAlign w:val="center"/>
          </w:tcPr>
          <w:p>
            <w:pPr>
              <w:spacing w:line="276" w:lineRule="auto" w:before="0" w:after="0"/>
            </w:pPr>
            <w:r/>
            <w:r>
              <w:rPr>
                <w:rFonts w:ascii="Figtree" w:hAnsi="Figtree"/>
                <w:b w:val="0"/>
                <w:i w:val="0"/>
                <w:sz w:val="20"/>
              </w:rPr>
              <w:t>EUR 0.01 per 1,000</w:t>
            </w:r>
          </w:p>
        </w:tc>
      </w:tr>
      <w:tr>
        <w:trPr>
          <w:trHeight w:val="425" w:hRule="atLeast"/>
        </w:trPr>
        <w:tc>
          <w:tcPr>
            <w:tcW w:type="dxa" w:w="3249"/>
            <w:vAlign w:val="center"/>
          </w:tcPr>
          <w:p>
            <w:pPr>
              <w:spacing w:line="276" w:lineRule="auto" w:before="0" w:after="0"/>
            </w:pPr>
            <w:r/>
            <w:r>
              <w:rPr>
                <w:rFonts w:ascii="Figtree" w:hAnsi="Figtree"/>
                <w:b w:val="0"/>
                <w:i w:val="0"/>
                <w:sz w:val="20"/>
              </w:rPr>
              <w:t>Active security types</w:t>
            </w:r>
          </w:p>
        </w:tc>
        <w:tc>
          <w:tcPr>
            <w:tcW w:type="dxa" w:w="3249"/>
            <w:vAlign w:val="center"/>
          </w:tcPr>
          <w:p>
            <w:pPr>
              <w:spacing w:line="276" w:lineRule="auto" w:before="0" w:after="0"/>
            </w:pPr>
            <w:r/>
            <w:r>
              <w:rPr>
                <w:rFonts w:ascii="Figtree" w:hAnsi="Figtree"/>
                <w:b w:val="0"/>
                <w:i w:val="0"/>
                <w:sz w:val="20"/>
              </w:rPr>
              <w:t>Unlimited</w:t>
            </w:r>
          </w:p>
        </w:tc>
        <w:tc>
          <w:tcPr>
            <w:tcW w:type="dxa" w:w="3249"/>
            <w:vAlign w:val="center"/>
          </w:tcPr>
          <w:p>
            <w:pPr>
              <w:spacing w:line="276" w:lineRule="auto" w:before="0" w:after="0"/>
            </w:pPr>
            <w:r/>
            <w:r>
              <w:rPr>
                <w:rFonts w:ascii="Figtree" w:hAnsi="Figtree"/>
                <w:b w:val="0"/>
                <w:i w:val="0"/>
                <w:sz w:val="20"/>
              </w:rPr>
              <w:t>N/A</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SettleMint NV | Simon Bolivarlaan 5, 2600 Antwerp,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