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Scalable Capital GmbH</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2. Investment Rationale</w:t>
          </w:r>
          <w:r>
            <w:tab/>
          </w:r>
          <w:r>
            <w:t xml:space="preserve">8</w:t>
          </w:r>
        </w:p>
        <w:p>
          <w:pPr>
            <w:pStyle w:val="TOC3"/>
            <w:tabs>
              <w:tab w:val="right" w:leader="dot" w:pos="9072"/>
            </w:tabs>
          </w:pPr>
          <w:r>
            <w:t xml:space="preserve">The Competitive Case</w:t>
          </w:r>
          <w:r>
            <w:tab/>
          </w:r>
          <w:r>
            <w:t xml:space="preserve">9</w:t>
          </w:r>
        </w:p>
        <w:p>
          <w:pPr>
            <w:pStyle w:val="TOC3"/>
            <w:tabs>
              <w:tab w:val="right" w:leader="dot" w:pos="9072"/>
            </w:tabs>
          </w:pPr>
          <w:r>
            <w:t xml:space="preserve">Revenue Creation</w:t>
          </w:r>
          <w:r>
            <w:tab/>
          </w:r>
          <w:r>
            <w:t xml:space="preserve">10</w:t>
          </w:r>
        </w:p>
        <w:p>
          <w:pPr>
            <w:pStyle w:val="TOC3"/>
            <w:tabs>
              <w:tab w:val="right" w:leader="dot" w:pos="9072"/>
            </w:tabs>
          </w:pPr>
          <w:r>
            <w:t xml:space="preserve">Build vs. Buy</w:t>
          </w:r>
          <w:r>
            <w:tab/>
          </w:r>
          <w:r>
            <w:t xml:space="preserve">11</w:t>
          </w:r>
        </w:p>
        <w:p>
          <w:pPr>
            <w:pStyle w:val="TOC2"/>
            <w:tabs>
              <w:tab w:val="right" w:leader="dot" w:pos="9072"/>
            </w:tabs>
          </w:pPr>
          <w:r>
            <w:t xml:space="preserve">3. Licensing Model</w:t>
          </w:r>
          <w:r>
            <w:tab/>
          </w:r>
          <w:r>
            <w:t xml:space="preserve">12</w:t>
          </w:r>
        </w:p>
        <w:p>
          <w:pPr>
            <w:pStyle w:val="TOC3"/>
            <w:tabs>
              <w:tab w:val="right" w:leader="dot" w:pos="9072"/>
            </w:tabs>
          </w:pPr>
          <w:r>
            <w:t xml:space="preserve">Platform Tiers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Recommended: Private Cloud (Frankfurt, Kubernetes)</w:t>
          </w:r>
          <w:r>
            <w:tab/>
          </w:r>
          <w:r>
            <w:t xml:space="preserve">15</w:t>
          </w:r>
        </w:p>
        <w:p>
          <w:pPr>
            <w:pStyle w:val="TOC2"/>
            <w:tabs>
              <w:tab w:val="right" w:leader="dot" w:pos="9072"/>
            </w:tabs>
          </w:pPr>
          <w:r>
            <w:t xml:space="preserve">5. Support and SLA Framework</w:t>
          </w:r>
          <w:r>
            <w:tab/>
          </w:r>
          <w:r>
            <w:t xml:space="preserve">16</w:t>
          </w:r>
        </w:p>
        <w:p>
          <w:pPr>
            <w:pStyle w:val="TOC2"/>
            <w:tabs>
              <w:tab w:val="right" w:leader="dot" w:pos="9072"/>
            </w:tabs>
          </w:pPr>
          <w:r>
            <w:t xml:space="preserve">6. Implementation Investment</w:t>
          </w:r>
          <w:r>
            <w:tab/>
          </w:r>
          <w:r>
            <w:t xml:space="preserve">17</w:t>
          </w:r>
        </w:p>
        <w:p>
          <w:pPr>
            <w:pStyle w:val="TOC3"/>
            <w:tabs>
              <w:tab w:val="right" w:leader="dot" w:pos="9072"/>
            </w:tabs>
          </w:pPr>
          <w:r>
            <w:t xml:space="preserve">Assumptions</w:t>
          </w:r>
          <w:r>
            <w:tab/>
          </w:r>
          <w:r>
            <w:t xml:space="preserve">18</w:t>
          </w:r>
        </w:p>
        <w:p>
          <w:pPr>
            <w:pStyle w:val="TOC3"/>
            <w:tabs>
              <w:tab w:val="right" w:leader="dot" w:pos="9072"/>
            </w:tabs>
          </w:pPr>
          <w:r>
            <w:t xml:space="preserve">Out-of-Scope</w:t>
          </w:r>
          <w:r>
            <w:tab/>
          </w:r>
          <w:r>
            <w:t xml:space="preserve">19</w:t>
          </w:r>
        </w:p>
        <w:p>
          <w:pPr>
            <w:pStyle w:val="TOC2"/>
            <w:tabs>
              <w:tab w:val="right" w:leader="dot" w:pos="9072"/>
            </w:tabs>
          </w:pPr>
          <w:r>
            <w:t xml:space="preserve">7. Commercial Terms</w:t>
          </w:r>
          <w:r>
            <w:tab/>
          </w:r>
          <w:r>
            <w:t xml:space="preserve">20</w:t>
          </w:r>
        </w:p>
        <w:p>
          <w:pPr>
            <w:pStyle w:val="TOC3"/>
            <w:tabs>
              <w:tab w:val="right" w:leader="dot" w:pos="9072"/>
            </w:tabs>
          </w:pPr>
          <w:r>
            <w:t xml:space="preserve">Payment Schedule</w:t>
          </w:r>
          <w:r>
            <w:tab/>
          </w:r>
          <w:r>
            <w:t xml:space="preserve">21</w:t>
          </w:r>
        </w:p>
        <w:p>
          <w:pPr>
            <w:pStyle w:val="TOC2"/>
            <w:tabs>
              <w:tab w:val="right" w:leader="dot" w:pos="9072"/>
            </w:tabs>
          </w:pPr>
          <w:r>
            <w:t xml:space="preserve">8. Total Cost of Ownership</w:t>
          </w:r>
          <w:r>
            <w:tab/>
          </w:r>
          <w:r>
            <w:t xml:space="preserve">22</w:t>
          </w:r>
        </w:p>
        <w:p>
          <w:pPr>
            <w:pStyle w:val="TOC3"/>
            <w:tabs>
              <w:tab w:val="right" w:leader="dot" w:pos="9072"/>
            </w:tabs>
          </w:pPr>
          <w:r>
            <w:t xml:space="preserve">5-Year Build vs. Buy</w:t>
          </w:r>
          <w:r>
            <w:tab/>
          </w:r>
          <w:r>
            <w:t xml:space="preserve">23</w:t>
          </w:r>
        </w:p>
        <w:p>
          <w:pPr>
            <w:pStyle w:val="TOC2"/>
            <w:tabs>
              <w:tab w:val="right" w:leader="dot" w:pos="9072"/>
            </w:tabs>
          </w:pPr>
          <w:r>
            <w:t xml:space="preserve">9. Reference Clients</w:t>
          </w:r>
          <w:r>
            <w:tab/>
          </w:r>
          <w:r>
            <w:t xml:space="preserve">24</w:t>
          </w:r>
        </w:p>
        <w:p>
          <w:pPr>
            <w:pStyle w:val="TOC2"/>
            <w:tabs>
              <w:tab w:val="right" w:leader="dot" w:pos="9072"/>
            </w:tabs>
          </w:pPr>
          <w:r>
            <w:t xml:space="preserve">10. Next Steps</w:t>
          </w:r>
          <w:r>
            <w:tab/>
          </w:r>
          <w:r>
            <w:t xml:space="preserve">25</w:t>
          </w:r>
        </w:p>
        <w:p>
          <w:pPr>
            <w:pStyle w:val="TOC2"/>
            <w:tabs>
              <w:tab w:val="right" w:leader="dot" w:pos="9072"/>
            </w:tabs>
          </w:pPr>
          <w:r>
            <w:t xml:space="preserve">Appendix: Commercial Assumptions and Dependencies</w:t>
          </w:r>
          <w:r>
            <w:tab/>
          </w:r>
          <w:r>
            <w:t xml:space="preserve">26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Scalable Capital GmbH</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Scalable Capital GmbH, Munich, Germany</w:t>
      </w:r>
    </w:p>
    <w:p>
      <w:r>
        <w:rPr>
          <w:rFonts w:ascii="Figtree" w:hAnsi="Figtree"/>
          <w:b/>
          <w:i w:val="0"/>
          <w:sz w:val="22"/>
        </w:rPr>
        <w:t>Document reference:</w:t>
      </w:r>
      <w:r>
        <w:rPr>
          <w:rFonts w:ascii="Figtree" w:hAnsi="Figtree"/>
          <w:b w:val="0"/>
          <w:i w:val="0"/>
          <w:sz w:val="22"/>
        </w:rPr>
        <w:t xml:space="preserve"> SM-COMM-SCALABLE-2026-001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Scalable Capital's tokenized investment platform requires an automation-first infrastructure that matches the lean, automated philosophy behind Scalable Capital's existing wealth management and brokerage operations. The investment case is straightforward: DALP delivers tokenized fund subscription, redemption, NAV-linked pricing, and automated distribution in 12 to 16 weeks, eliminating the need for Scalable Capital to build a separate operations team for its tokenized fund products.</w:t>
      </w:r>
    </w:p>
    <w:p>
      <w:r>
        <w:rPr>
          <w:rFonts w:ascii="Figtree" w:hAnsi="Figtree"/>
          <w:b w:val="0"/>
          <w:i w:val="0"/>
          <w:sz w:val="22"/>
        </w:rPr>
        <w:t>Total Year 1 investment: approximately EUR 840,000 (implementation EUR 340,000, Enterprise license EUR 280,000, Enterprise support EUR 120,000, infrastructure EUR 60,000, DFNS custody EUR 40,000).</w:t>
      </w:r>
    </w:p>
    <w:p>
      <w:r>
        <w:rPr>
          <w:rFonts w:ascii="Figtree" w:hAnsi="Figtree"/>
          <w:b w:val="0"/>
          <w:i w:val="0"/>
          <w:sz w:val="22"/>
        </w:rPr>
        <w:t>Revenue drivers: management fee revenue on tokenized fund AUM at Scalable Capital's 7 million customer base; T+0 settlement as a product differentiator over traditional fund distribution; new fund product categories (tokenized ETFs, tokenized UCITS) accessible through Scalable Capital's existing mobile and broker interfaces.</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63"/>
        <w:gridCol w:w="1463"/>
        <w:gridCol w:w="1463"/>
        <w:gridCol w:w="16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340,000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340,000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(Kubernetes)</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65,000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195,000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 (investor wallets)</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135,000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840,000</w:t>
            </w:r>
          </w:p>
        </w:tc>
        <w:tc>
          <w:tcPr>
            <w:tcW w:type="dxa" w:w="1949"/>
            <w:vAlign w:val="center"/>
          </w:tcPr>
          <w:p>
            <w:pPr>
              <w:spacing w:line="276" w:lineRule="auto" w:before="0" w:after="0"/>
            </w:pPr>
            <w:r/>
            <w:r>
              <w:rPr>
                <w:rFonts w:ascii="Figtree" w:hAnsi="Figtree"/>
                <w:b/>
                <w:i w:val="0"/>
                <w:sz w:val="20"/>
              </w:rPr>
              <w:t>EUR 510,000</w:t>
            </w:r>
          </w:p>
        </w:tc>
        <w:tc>
          <w:tcPr>
            <w:tcW w:type="dxa" w:w="1949"/>
            <w:vAlign w:val="center"/>
          </w:tcPr>
          <w:p>
            <w:pPr>
              <w:spacing w:line="276" w:lineRule="auto" w:before="0" w:after="0"/>
            </w:pPr>
            <w:r/>
            <w:r>
              <w:rPr>
                <w:rFonts w:ascii="Figtree" w:hAnsi="Figtree"/>
                <w:b/>
                <w:i w:val="0"/>
                <w:sz w:val="20"/>
              </w:rPr>
              <w:t>EUR 548,000</w:t>
            </w:r>
          </w:p>
        </w:tc>
        <w:tc>
          <w:tcPr>
            <w:tcW w:type="dxa" w:w="1949"/>
            <w:vAlign w:val="center"/>
          </w:tcPr>
          <w:p>
            <w:pPr>
              <w:spacing w:line="276" w:lineRule="auto" w:before="0" w:after="0"/>
            </w:pPr>
            <w:r/>
            <w:r>
              <w:rPr>
                <w:rFonts w:ascii="Figtree" w:hAnsi="Figtree"/>
                <w:b/>
                <w:i w:val="0"/>
                <w:sz w:val="20"/>
              </w:rPr>
              <w:t>EUR 1,898,000</w:t>
            </w:r>
          </w:p>
        </w:tc>
      </w:tr>
    </w:tbl>
    <w:p>
      <w:pPr>
        <w:spacing w:before="0" w:after="0" w:line="120" w:lineRule="exact"/>
      </w:pPr>
    </w:p>
    <w:p>
      <w:r>
        <w:br w:type="page"/>
      </w:r>
    </w:p>
    <w:p>
      <w:pPr>
        <w:pStyle w:val="H2"/>
        <w:numPr>
          <w:ilvl w:val="1"/>
          <w:numId w:val="1"/>
        </w:numPr>
      </w:pPr>
      <w:r>
        <w:t>2. Investment Rationale</w:t>
      </w:r>
    </w:p>
    <w:p>
      <w:pPr>
        <w:pStyle w:val="H3"/>
        <w:numPr>
          <w:ilvl w:val="2"/>
          <w:numId w:val="1"/>
        </w:numPr>
      </w:pPr>
      <w:r>
        <w:t>The Competitive Case</w:t>
      </w:r>
    </w:p>
    <w:p>
      <w:r>
        <w:rPr>
          <w:rFonts w:ascii="Figtree" w:hAnsi="Figtree"/>
          <w:b w:val="0"/>
          <w:i w:val="0"/>
          <w:sz w:val="22"/>
        </w:rPr>
        <w:t>Scalable Capital competes for digital wealth customers against Trade Republic, N26, Bitpanda, and traditional asset managers. Tokenized fund products with T+0 settlement, fractional positions from EUR 1, and automated distribution create a product capability that traditional fund distribution cannot match in settlement speed or operational efficiency.</w:t>
      </w:r>
    </w:p>
    <w:p>
      <w:r>
        <w:rPr>
          <w:rFonts w:ascii="Figtree" w:hAnsi="Figtree"/>
          <w:b w:val="0"/>
          <w:i w:val="0"/>
          <w:sz w:val="22"/>
        </w:rPr>
        <w:t>BaFin's KAGB framework and MiCA's fund product provisions create a clear regulatory path for Scalable Capital's tokenized fund programme as a licensed investment firm. Scalable Capital's existing BaFin authorization is a head start over non-bank digital asset providers.</w:t>
      </w:r>
    </w:p>
    <w:p>
      <w:pPr>
        <w:pStyle w:val="H3"/>
        <w:numPr>
          <w:ilvl w:val="2"/>
          <w:numId w:val="1"/>
        </w:numPr>
      </w:pPr>
      <w:r>
        <w:t>Revenue Creation</w:t>
      </w:r>
    </w:p>
    <w:p>
      <w:r>
        <w:rPr>
          <w:rFonts w:ascii="Figtree" w:hAnsi="Figtree"/>
          <w:b w:val="0"/>
          <w:i w:val="0"/>
          <w:sz w:val="22"/>
        </w:rPr>
        <w:t>Management fee revenue: EUR 500 million in tokenized fund AUM at 20 basis points generates EUR 1 million annually. EUR 2 billion AUM at 20 basis points generates EUR 4 million annually. At Scalable Capital's 7 million customer base, 5% adoption with EUR 1,500 average position creates EUR 525 million AUM within 18 months.</w:t>
      </w:r>
    </w:p>
    <w:p>
      <w:r>
        <w:rPr>
          <w:rFonts w:ascii="Figtree" w:hAnsi="Figtree"/>
          <w:b w:val="0"/>
          <w:i w:val="0"/>
          <w:sz w:val="22"/>
        </w:rPr>
        <w:t>Settlement efficiency: T+0 settlement reduces Scalable Capital's operational costs for fund settlement from T+2 manual reconciliation to automated on-chain settlement confirmation. Estimated EUR 500,000 annual operations savings at scale.</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56"/>
        <w:gridCol w:w="4032"/>
        <w:gridCol w:w="15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12-16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3-6 million</w:t>
            </w:r>
          </w:p>
        </w:tc>
        <w:tc>
          <w:tcPr>
            <w:tcW w:type="dxa" w:w="3249"/>
            <w:vAlign w:val="center"/>
          </w:tcPr>
          <w:p>
            <w:pPr>
              <w:spacing w:line="276" w:lineRule="auto" w:before="0" w:after="0"/>
            </w:pPr>
            <w:r/>
            <w:r>
              <w:rPr>
                <w:rFonts w:ascii="Figtree" w:hAnsi="Figtree"/>
                <w:b w:val="0"/>
                <w:i w:val="0"/>
                <w:sz w:val="20"/>
              </w:rPr>
              <w:t>EUR 340,000</w:t>
            </w:r>
          </w:p>
        </w:tc>
      </w:tr>
      <w:tr>
        <w:trPr>
          <w:trHeight w:val="425" w:hRule="atLeast"/>
        </w:trPr>
        <w:tc>
          <w:tcPr>
            <w:tcW w:type="dxa" w:w="3249"/>
            <w:vAlign w:val="center"/>
          </w:tcPr>
          <w:p>
            <w:pPr>
              <w:spacing w:line="276" w:lineRule="auto" w:before="0" w:after="0"/>
            </w:pPr>
            <w:r/>
            <w:r>
              <w:rPr>
                <w:rFonts w:ascii="Figtree" w:hAnsi="Figtree"/>
                <w:b w:val="0"/>
                <w:i w:val="0"/>
                <w:sz w:val="20"/>
              </w:rPr>
              <w:t>Annual maintenance</w:t>
            </w:r>
          </w:p>
        </w:tc>
        <w:tc>
          <w:tcPr>
            <w:tcW w:type="dxa" w:w="3249"/>
            <w:vAlign w:val="center"/>
          </w:tcPr>
          <w:p>
            <w:pPr>
              <w:spacing w:line="276" w:lineRule="auto" w:before="0" w:after="0"/>
            </w:pPr>
            <w:r/>
            <w:r>
              <w:rPr>
                <w:rFonts w:ascii="Figtree" w:hAnsi="Figtree"/>
                <w:b w:val="0"/>
                <w:i w:val="0"/>
                <w:sz w:val="20"/>
              </w:rPr>
              <w:t>EUR 1-2 million</w:t>
            </w:r>
          </w:p>
        </w:tc>
        <w:tc>
          <w:tcPr>
            <w:tcW w:type="dxa" w:w="3249"/>
            <w:vAlign w:val="center"/>
          </w:tcPr>
          <w:p>
            <w:pPr>
              <w:spacing w:line="276" w:lineRule="auto" w:before="0" w:after="0"/>
            </w:pPr>
            <w:r/>
            <w:r>
              <w:rPr>
                <w:rFonts w:ascii="Figtree" w:hAnsi="Figtree"/>
                <w:b w:val="0"/>
                <w:i w:val="0"/>
                <w:sz w:val="20"/>
              </w:rPr>
              <w:t>EUR 280,000</w:t>
            </w:r>
          </w:p>
        </w:tc>
      </w:tr>
      <w:tr>
        <w:trPr>
          <w:trHeight w:val="425" w:hRule="atLeast"/>
        </w:trPr>
        <w:tc>
          <w:tcPr>
            <w:tcW w:type="dxa" w:w="3249"/>
            <w:vAlign w:val="center"/>
          </w:tcPr>
          <w:p>
            <w:pPr>
              <w:spacing w:line="276" w:lineRule="auto" w:before="0" w:after="0"/>
            </w:pPr>
            <w:r/>
            <w:r>
              <w:rPr>
                <w:rFonts w:ascii="Figtree" w:hAnsi="Figtree"/>
                <w:b w:val="0"/>
                <w:i w:val="0"/>
                <w:sz w:val="20"/>
              </w:rPr>
              <w:t>NAV feed integration</w:t>
            </w:r>
          </w:p>
        </w:tc>
        <w:tc>
          <w:tcPr>
            <w:tcW w:type="dxa" w:w="3249"/>
            <w:vAlign w:val="center"/>
          </w:tcPr>
          <w:p>
            <w:pPr>
              <w:spacing w:line="276" w:lineRule="auto" w:before="0" w:after="0"/>
            </w:pPr>
            <w:r/>
            <w:r>
              <w:rPr>
                <w:rFonts w:ascii="Figtree" w:hAnsi="Figtree"/>
                <w:b w:val="0"/>
                <w:i w:val="0"/>
                <w:sz w:val="20"/>
              </w:rPr>
              <w:t>Custom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Distribution automation</w:t>
            </w:r>
          </w:p>
        </w:tc>
        <w:tc>
          <w:tcPr>
            <w:tcW w:type="dxa" w:w="3249"/>
            <w:vAlign w:val="center"/>
          </w:tcPr>
          <w:p>
            <w:pPr>
              <w:spacing w:line="276" w:lineRule="auto" w:before="0" w:after="0"/>
            </w:pPr>
            <w:r/>
            <w:r>
              <w:rPr>
                <w:rFonts w:ascii="Figtree" w:hAnsi="Figtree"/>
                <w:b w:val="0"/>
                <w:i w:val="0"/>
                <w:sz w:val="20"/>
              </w:rPr>
              <w:t>Custom</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BaFin KAGB compliance</w:t>
            </w:r>
          </w:p>
        </w:tc>
        <w:tc>
          <w:tcPr>
            <w:tcW w:type="dxa" w:w="3249"/>
            <w:vAlign w:val="center"/>
          </w:tcPr>
          <w:p>
            <w:pPr>
              <w:spacing w:line="276" w:lineRule="auto" w:before="0" w:after="0"/>
            </w:pPr>
            <w:r/>
            <w:r>
              <w:rPr>
                <w:rFonts w:ascii="Figtree" w:hAnsi="Figtree"/>
                <w:b w:val="0"/>
                <w:i w:val="0"/>
                <w:sz w:val="20"/>
              </w:rPr>
              <w:t>Custom per regulation change</w:t>
            </w:r>
          </w:p>
        </w:tc>
        <w:tc>
          <w:tcPr>
            <w:tcW w:type="dxa" w:w="3249"/>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2116"/>
        <w:gridCol w:w="544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tokenized fund operations</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 scale</w:t>
            </w:r>
          </w:p>
        </w:tc>
      </w:tr>
    </w:tbl>
    <w:p>
      <w:pPr>
        <w:spacing w:before="0" w:after="0" w:line="120" w:lineRule="exact"/>
      </w:pPr>
    </w:p>
    <w:p>
      <w:r>
        <w:rPr>
          <w:rFonts w:ascii="Figtree" w:hAnsi="Figtree"/>
          <w:b w:val="0"/>
          <w:i w:val="0"/>
          <w:sz w:val="22"/>
        </w:rPr>
        <w:t>Enterprise tier covers unlimited fund product types, unlimited markets, up to 1 million monthly transactions.</w:t>
      </w:r>
    </w:p>
    <w:p>
      <w:r>
        <w:rPr>
          <w:rFonts w:ascii="Figtree" w:hAnsi="Figtree"/>
          <w:b w:val="0"/>
          <w:i w:val="0"/>
          <w:sz w:val="22"/>
        </w:rPr>
        <w:t>Multi-environment: Production EUR 280,000, Staging EUR 40,000, Development EUR 20,000. Total EUR 340,000/year.</w:t>
      </w:r>
    </w:p>
    <w:p>
      <w:r>
        <w:br w:type="page"/>
      </w:r>
    </w:p>
    <w:p>
      <w:pPr>
        <w:pStyle w:val="H2"/>
        <w:numPr>
          <w:ilvl w:val="1"/>
          <w:numId w:val="1"/>
        </w:numPr>
      </w:pPr>
      <w:r>
        <w:t>4. Deployment Options and Pricing</w:t>
      </w:r>
    </w:p>
    <w:p>
      <w:pPr>
        <w:pStyle w:val="H3"/>
        <w:numPr>
          <w:ilvl w:val="2"/>
          <w:numId w:val="1"/>
        </w:numPr>
      </w:pPr>
      <w:r>
        <w:t>Recommended: Private Cloud (Frankfurt, Kubernetes)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02"/>
        <w:gridCol w:w="2534"/>
        <w:gridCol w:w="25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Kubernetes namespace resources</w:t>
            </w:r>
          </w:p>
        </w:tc>
        <w:tc>
          <w:tcPr>
            <w:tcW w:type="dxa" w:w="3249"/>
            <w:vAlign w:val="center"/>
          </w:tcPr>
          <w:p>
            <w:pPr>
              <w:spacing w:line="276" w:lineRule="auto" w:before="0" w:after="0"/>
            </w:pPr>
            <w:r/>
            <w:r>
              <w:rPr>
                <w:rFonts w:ascii="Figtree" w:hAnsi="Figtree"/>
                <w:b w:val="0"/>
                <w:i w:val="0"/>
                <w:sz w:val="20"/>
              </w:rPr>
              <w:t>EUR 800</w:t>
            </w:r>
          </w:p>
        </w:tc>
        <w:tc>
          <w:tcPr>
            <w:tcW w:type="dxa" w:w="3249"/>
            <w:vAlign w:val="center"/>
          </w:tcPr>
          <w:p>
            <w:pPr>
              <w:spacing w:line="276" w:lineRule="auto" w:before="0" w:after="0"/>
            </w:pPr>
            <w:r/>
            <w:r>
              <w:rPr>
                <w:rFonts w:ascii="Figtree" w:hAnsi="Figtree"/>
                <w:b w:val="0"/>
                <w:i w:val="0"/>
                <w:sz w:val="20"/>
              </w:rPr>
              <w:t>EUR 9,600</w:t>
            </w:r>
          </w:p>
        </w:tc>
      </w:tr>
      <w:tr>
        <w:trPr>
          <w:trHeight w:val="425" w:hRule="atLeast"/>
        </w:trPr>
        <w:tc>
          <w:tcPr>
            <w:tcW w:type="dxa" w:w="3249"/>
            <w:vAlign w:val="center"/>
          </w:tcPr>
          <w:p>
            <w:pPr>
              <w:spacing w:line="276" w:lineRule="auto" w:before="0" w:after="0"/>
            </w:pPr>
            <w:r/>
            <w:r>
              <w:rPr>
                <w:rFonts w:ascii="Figtree" w:hAnsi="Figtree"/>
                <w:b w:val="0"/>
                <w:i w:val="0"/>
                <w:sz w:val="20"/>
              </w:rPr>
              <w:t>PostgreSQL Multi-AZ (RDS)</w:t>
            </w:r>
          </w:p>
        </w:tc>
        <w:tc>
          <w:tcPr>
            <w:tcW w:type="dxa" w:w="3249"/>
            <w:vAlign w:val="center"/>
          </w:tcPr>
          <w:p>
            <w:pPr>
              <w:spacing w:line="276" w:lineRule="auto" w:before="0" w:after="0"/>
            </w:pPr>
            <w:r/>
            <w:r>
              <w:rPr>
                <w:rFonts w:ascii="Figtree" w:hAnsi="Figtree"/>
                <w:b w:val="0"/>
                <w:i w:val="0"/>
                <w:sz w:val="20"/>
              </w:rPr>
              <w:t>EUR 900</w:t>
            </w:r>
          </w:p>
        </w:tc>
        <w:tc>
          <w:tcPr>
            <w:tcW w:type="dxa" w:w="3249"/>
            <w:vAlign w:val="center"/>
          </w:tcPr>
          <w:p>
            <w:pPr>
              <w:spacing w:line="276" w:lineRule="auto" w:before="0" w:after="0"/>
            </w:pPr>
            <w:r/>
            <w:r>
              <w:rPr>
                <w:rFonts w:ascii="Figtree" w:hAnsi="Figtree"/>
                <w:b w:val="0"/>
                <w:i w:val="0"/>
                <w:sz w:val="20"/>
              </w:rPr>
              <w:t>EUR 10,800</w:t>
            </w:r>
          </w:p>
        </w:tc>
      </w:tr>
      <w:tr>
        <w:trPr>
          <w:trHeight w:val="425" w:hRule="atLeast"/>
        </w:trPr>
        <w:tc>
          <w:tcPr>
            <w:tcW w:type="dxa" w:w="3249"/>
            <w:vAlign w:val="center"/>
          </w:tcPr>
          <w:p>
            <w:pPr>
              <w:spacing w:line="276" w:lineRule="auto" w:before="0" w:after="0"/>
            </w:pPr>
            <w:r/>
            <w:r>
              <w:rPr>
                <w:rFonts w:ascii="Figtree" w:hAnsi="Figtree"/>
                <w:b w:val="0"/>
                <w:i w:val="0"/>
                <w:sz w:val="20"/>
              </w:rPr>
              <w:t>S3 (5TB, audit 10yr)</w:t>
            </w:r>
          </w:p>
        </w:tc>
        <w:tc>
          <w:tcPr>
            <w:tcW w:type="dxa" w:w="3249"/>
            <w:vAlign w:val="center"/>
          </w:tcPr>
          <w:p>
            <w:pPr>
              <w:spacing w:line="276" w:lineRule="auto" w:before="0" w:after="0"/>
            </w:pPr>
            <w:r/>
            <w:r>
              <w:rPr>
                <w:rFonts w:ascii="Figtree" w:hAnsi="Figtree"/>
                <w:b w:val="0"/>
                <w:i w:val="0"/>
                <w:sz w:val="20"/>
              </w:rPr>
              <w:t>EUR 100</w:t>
            </w:r>
          </w:p>
        </w:tc>
        <w:tc>
          <w:tcPr>
            <w:tcW w:type="dxa" w:w="3249"/>
            <w:vAlign w:val="center"/>
          </w:tcPr>
          <w:p>
            <w:pPr>
              <w:spacing w:line="276" w:lineRule="auto" w:before="0" w:after="0"/>
            </w:pPr>
            <w:r/>
            <w:r>
              <w:rPr>
                <w:rFonts w:ascii="Figtree" w:hAnsi="Figtree"/>
                <w:b w:val="0"/>
                <w:i w:val="0"/>
                <w:sz w:val="20"/>
              </w:rPr>
              <w:t>EUR 1,200</w:t>
            </w:r>
          </w:p>
        </w:tc>
      </w:tr>
      <w:tr>
        <w:trPr>
          <w:trHeight w:val="425" w:hRule="atLeast"/>
        </w:trPr>
        <w:tc>
          <w:tcPr>
            <w:tcW w:type="dxa" w:w="3249"/>
            <w:vAlign w:val="center"/>
          </w:tcPr>
          <w:p>
            <w:pPr>
              <w:spacing w:line="276" w:lineRule="auto" w:before="0" w:after="0"/>
            </w:pPr>
            <w:r/>
            <w:r>
              <w:rPr>
                <w:rFonts w:ascii="Figtree" w:hAnsi="Figtree"/>
                <w:b w:val="0"/>
                <w:i w:val="0"/>
                <w:sz w:val="20"/>
              </w:rPr>
              <w:t>KMS</w:t>
            </w:r>
          </w:p>
        </w:tc>
        <w:tc>
          <w:tcPr>
            <w:tcW w:type="dxa" w:w="3249"/>
            <w:vAlign w:val="center"/>
          </w:tcPr>
          <w:p>
            <w:pPr>
              <w:spacing w:line="276" w:lineRule="auto" w:before="0" w:after="0"/>
            </w:pPr>
            <w:r/>
            <w:r>
              <w:rPr>
                <w:rFonts w:ascii="Figtree" w:hAnsi="Figtree"/>
                <w:b w:val="0"/>
                <w:i w:val="0"/>
                <w:sz w:val="20"/>
              </w:rPr>
              <w:t>EUR 180</w:t>
            </w:r>
          </w:p>
        </w:tc>
        <w:tc>
          <w:tcPr>
            <w:tcW w:type="dxa" w:w="3249"/>
            <w:vAlign w:val="center"/>
          </w:tcPr>
          <w:p>
            <w:pPr>
              <w:spacing w:line="276" w:lineRule="auto" w:before="0" w:after="0"/>
            </w:pPr>
            <w:r/>
            <w:r>
              <w:rPr>
                <w:rFonts w:ascii="Figtree" w:hAnsi="Figtree"/>
                <w:b w:val="0"/>
                <w:i w:val="0"/>
                <w:sz w:val="20"/>
              </w:rPr>
              <w:t>EUR 2,160</w:t>
            </w:r>
          </w:p>
        </w:tc>
      </w:tr>
      <w:tr>
        <w:trPr>
          <w:trHeight w:val="425" w:hRule="atLeast"/>
        </w:trPr>
        <w:tc>
          <w:tcPr>
            <w:tcW w:type="dxa" w:w="3249"/>
            <w:vAlign w:val="center"/>
          </w:tcPr>
          <w:p>
            <w:pPr>
              <w:spacing w:line="276" w:lineRule="auto" w:before="0" w:after="0"/>
            </w:pPr>
            <w:r/>
            <w:r>
              <w:rPr>
                <w:rFonts w:ascii="Figtree" w:hAnsi="Figtree"/>
                <w:b w:val="0"/>
                <w:i w:val="0"/>
                <w:sz w:val="20"/>
              </w:rPr>
              <w:t>Network/data transfer</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validators (4x)</w:t>
            </w:r>
          </w:p>
        </w:tc>
        <w:tc>
          <w:tcPr>
            <w:tcW w:type="dxa" w:w="3249"/>
            <w:vAlign w:val="center"/>
          </w:tcPr>
          <w:p>
            <w:pPr>
              <w:spacing w:line="276" w:lineRule="auto" w:before="0" w:after="0"/>
            </w:pPr>
            <w:r/>
            <w:r>
              <w:rPr>
                <w:rFonts w:ascii="Figtree" w:hAnsi="Figtree"/>
                <w:b w:val="0"/>
                <w:i w:val="0"/>
                <w:sz w:val="20"/>
              </w:rPr>
              <w:t>EUR 350</w:t>
            </w:r>
          </w:p>
        </w:tc>
        <w:tc>
          <w:tcPr>
            <w:tcW w:type="dxa" w:w="3249"/>
            <w:vAlign w:val="center"/>
          </w:tcPr>
          <w:p>
            <w:pPr>
              <w:spacing w:line="276" w:lineRule="auto" w:before="0" w:after="0"/>
            </w:pPr>
            <w:r/>
            <w:r>
              <w:rPr>
                <w:rFonts w:ascii="Figtree" w:hAnsi="Figtree"/>
                <w:b w:val="0"/>
                <w:i w:val="0"/>
                <w:sz w:val="20"/>
              </w:rPr>
              <w:t>EUR 4,200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EUR 2,530/month</w:t>
            </w:r>
          </w:p>
        </w:tc>
        <w:tc>
          <w:tcPr>
            <w:tcW w:type="dxa" w:w="3249"/>
            <w:vAlign w:val="center"/>
          </w:tcPr>
          <w:p>
            <w:pPr>
              <w:spacing w:line="276" w:lineRule="auto" w:before="0" w:after="0"/>
            </w:pPr>
            <w:r/>
            <w:r>
              <w:rPr>
                <w:rFonts w:ascii="Figtree" w:hAnsi="Figtree"/>
                <w:b/>
                <w:i w:val="0"/>
                <w:sz w:val="20"/>
              </w:rPr>
              <w:t>EUR 30,360/year</w:t>
            </w:r>
          </w:p>
        </w:tc>
      </w:tr>
    </w:tbl>
    <w:p>
      <w:pPr>
        <w:spacing w:before="0" w:after="0" w:line="120" w:lineRule="exact"/>
      </w:pPr>
    </w:p>
    <w:p>
      <w:r>
        <w:rPr>
          <w:rFonts w:ascii="Figtree" w:hAnsi="Figtree"/>
          <w:b/>
          <w:i w:val="0"/>
          <w:sz w:val="22"/>
        </w:rPr>
        <w:t>DFNS investor wallets:</w:t>
      </w:r>
      <w:r>
        <w:rPr>
          <w:rFonts w:ascii="Figtree" w:hAnsi="Figtree"/>
          <w:b w:val="0"/>
          <w:i w:val="0"/>
          <w:sz w:val="22"/>
        </w:rPr>
        <w:t xml:space="preserve"> EUR 35,000 to EUR 45,000 per year. Volume-driven; SettleMint negotiates preferred DFNS pricing for Enterprise customers.</w:t>
      </w:r>
    </w:p>
    <w:p>
      <w:r>
        <w:br w:type="page"/>
      </w:r>
    </w:p>
    <w:p>
      <w:pPr>
        <w:pStyle w:val="H2"/>
        <w:numPr>
          <w:ilvl w:val="1"/>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080"/>
        <w:gridCol w:w="39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Team</w:t>
            </w:r>
          </w:p>
        </w:tc>
        <w:tc>
          <w:tcPr>
            <w:tcW w:type="dxa" w:w="4873"/>
            <w:vAlign w:val="center"/>
          </w:tcPr>
          <w:p>
            <w:pPr>
              <w:spacing w:line="276" w:lineRule="auto" w:before="0" w:after="0"/>
            </w:pPr>
            <w:r/>
            <w:r>
              <w:rPr>
                <w:rFonts w:ascii="Figtree" w:hAnsi="Figtree"/>
                <w:b w:val="0"/>
                <w:i w:val="0"/>
                <w:sz w:val="20"/>
              </w:rPr>
              <w:t>Named</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w:t>
            </w:r>
          </w:p>
        </w:tc>
      </w:tr>
    </w:tbl>
    <w:p>
      <w:pPr>
        <w:spacing w:before="0" w:after="0" w:line="120" w:lineRule="exact"/>
      </w:pPr>
    </w:p>
    <w:p>
      <w:r>
        <w:br w:type="page"/>
      </w:r>
    </w:p>
    <w:p>
      <w:pPr>
        <w:pStyle w:val="H2"/>
        <w:numPr>
          <w:ilvl w:val="1"/>
          <w:numId w:val="1"/>
        </w:numPr>
      </w:pPr>
      <w:r>
        <w:t>6.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6"/>
        <w:gridCol w:w="5138"/>
        <w:gridCol w:w="963"/>
        <w:gridCol w:w="12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BaFin/MiCA mapping, portfolio API assessment, NAV architecture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34,000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Kubernetes, fund tokens, KAGB/MiCA modules, NAV feeds, DFNS</w:t>
            </w:r>
          </w:p>
        </w:tc>
        <w:tc>
          <w:tcPr>
            <w:tcW w:type="dxa" w:w="2436"/>
            <w:vAlign w:val="center"/>
          </w:tcPr>
          <w:p>
            <w:pPr>
              <w:spacing w:line="276" w:lineRule="auto" w:before="0" w:after="0"/>
            </w:pPr>
            <w:r/>
            <w:r>
              <w:rPr>
                <w:rFonts w:ascii="Figtree" w:hAnsi="Figtree"/>
                <w:b w:val="0"/>
                <w:i w:val="0"/>
                <w:sz w:val="20"/>
              </w:rPr>
              <w:t>3.5 weeks</w:t>
            </w:r>
          </w:p>
        </w:tc>
        <w:tc>
          <w:tcPr>
            <w:tcW w:type="dxa" w:w="2436"/>
            <w:vAlign w:val="center"/>
          </w:tcPr>
          <w:p>
            <w:pPr>
              <w:spacing w:line="276" w:lineRule="auto" w:before="0" w:after="0"/>
            </w:pPr>
            <w:r/>
            <w:r>
              <w:rPr>
                <w:rFonts w:ascii="Figtree" w:hAnsi="Figtree"/>
                <w:b w:val="0"/>
                <w:i w:val="0"/>
                <w:sz w:val="20"/>
              </w:rPr>
              <w:t>EUR 68,000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Portfolio management, brokerage settlement, KYC claims, webhooks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96,000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NAV validation, distribution performance,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78,000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beta investor cohort</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38,000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Monitoring, knowledge transfer</w:t>
            </w:r>
          </w:p>
        </w:tc>
        <w:tc>
          <w:tcPr>
            <w:tcW w:type="dxa" w:w="2436"/>
            <w:vAlign w:val="center"/>
          </w:tcPr>
          <w:p>
            <w:pPr>
              <w:spacing w:line="276" w:lineRule="auto" w:before="0" w:after="0"/>
            </w:pPr>
            <w:r/>
            <w:r>
              <w:rPr>
                <w:rFonts w:ascii="Figtree" w:hAnsi="Figtree"/>
                <w:b w:val="0"/>
                <w:i w:val="0"/>
                <w:sz w:val="20"/>
              </w:rPr>
              <w:t>1.5 weeks</w:t>
            </w:r>
          </w:p>
        </w:tc>
        <w:tc>
          <w:tcPr>
            <w:tcW w:type="dxa" w:w="2436"/>
            <w:vAlign w:val="center"/>
          </w:tcPr>
          <w:p>
            <w:pPr>
              <w:spacing w:line="276" w:lineRule="auto" w:before="0" w:after="0"/>
            </w:pPr>
            <w:r/>
            <w:r>
              <w:rPr>
                <w:rFonts w:ascii="Figtree" w:hAnsi="Figtree"/>
                <w:b w:val="0"/>
                <w:i w:val="0"/>
                <w:sz w:val="20"/>
              </w:rPr>
              <w:t>EUR 26,000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14 weeks</w:t>
            </w:r>
          </w:p>
        </w:tc>
        <w:tc>
          <w:tcPr>
            <w:tcW w:type="dxa" w:w="2436"/>
            <w:vAlign w:val="center"/>
          </w:tcPr>
          <w:p>
            <w:pPr>
              <w:spacing w:line="276" w:lineRule="auto" w:before="0" w:after="0"/>
            </w:pPr>
            <w:r/>
            <w:r>
              <w:rPr>
                <w:rFonts w:ascii="Figtree" w:hAnsi="Figtree"/>
                <w:b/>
                <w:i w:val="0"/>
                <w:sz w:val="20"/>
              </w:rPr>
              <w:t>EUR 340,000</w:t>
            </w:r>
          </w:p>
        </w:tc>
      </w:tr>
    </w:tbl>
    <w:p>
      <w:pPr>
        <w:spacing w:before="0" w:after="0" w:line="120" w:lineRule="exact"/>
      </w:pPr>
    </w:p>
    <w:p>
      <w:pPr>
        <w:pStyle w:val="H3"/>
        <w:numPr>
          <w:ilvl w:val="2"/>
          <w:numId w:val="1"/>
        </w:numPr>
      </w:pPr>
      <w:r>
        <w:t>Assumptions</w:t>
      </w:r>
    </w:p>
    <w:p>
      <w:pPr>
        <w:pStyle w:val="ListParagraph"/>
        <w:numPr>
          <w:ilvl w:val="0"/>
          <w:numId w:val="4"/>
        </w:numPr>
      </w:pPr>
      <w:r>
        <w:rPr>
          <w:rFonts w:ascii="Figtree" w:hAnsi="Figtree"/>
          <w:b w:val="0"/>
          <w:i w:val="0"/>
          <w:sz w:val="22"/>
        </w:rPr>
        <w:t>Fund scope: tokenized UCITS and ETF products with EUR denomination and optional GBP for UK market</w:t>
      </w:r>
    </w:p>
    <w:p>
      <w:pPr>
        <w:pStyle w:val="ListParagraph"/>
        <w:numPr>
          <w:ilvl w:val="0"/>
          <w:numId w:val="4"/>
        </w:numPr>
      </w:pPr>
      <w:r>
        <w:rPr>
          <w:rFonts w:ascii="Figtree" w:hAnsi="Figtree"/>
          <w:b w:val="0"/>
          <w:i w:val="0"/>
          <w:sz w:val="22"/>
        </w:rPr>
        <w:t>NAV feed: Bloomberg or Refinitiv connector (standard adapters); custom feed source adds EUR 8,000</w:t>
      </w:r>
    </w:p>
    <w:p>
      <w:pPr>
        <w:pStyle w:val="ListParagraph"/>
        <w:numPr>
          <w:ilvl w:val="0"/>
          <w:numId w:val="4"/>
        </w:numPr>
      </w:pPr>
      <w:r>
        <w:rPr>
          <w:rFonts w:ascii="Figtree" w:hAnsi="Figtree"/>
          <w:b w:val="0"/>
          <w:i w:val="0"/>
          <w:sz w:val="22"/>
        </w:rPr>
        <w:t>Scalable Capital provides portfolio management API documentation by Phase 3 start</w:t>
      </w:r>
    </w:p>
    <w:p>
      <w:pPr>
        <w:pStyle w:val="ListParagraph"/>
        <w:numPr>
          <w:ilvl w:val="0"/>
          <w:numId w:val="4"/>
        </w:numPr>
      </w:pPr>
      <w:r>
        <w:rPr>
          <w:rFonts w:ascii="Figtree" w:hAnsi="Figtree"/>
          <w:b w:val="0"/>
          <w:i w:val="0"/>
          <w:sz w:val="22"/>
        </w:rPr>
        <w:t>DFNS passkey integration for Scalable Capital's mobile app; Phase 2 proof-of-concept included</w:t>
      </w:r>
    </w:p>
    <w:p>
      <w:pPr>
        <w:pStyle w:val="H3"/>
        <w:numPr>
          <w:ilvl w:val="2"/>
          <w:numId w:val="1"/>
        </w:numPr>
      </w:pPr>
      <w:r>
        <w:t>Out-of-Scope</w:t>
      </w:r>
    </w:p>
    <w:p>
      <w:pPr>
        <w:pStyle w:val="ListParagraph"/>
        <w:numPr>
          <w:ilvl w:val="0"/>
          <w:numId w:val="4"/>
        </w:numPr>
      </w:pPr>
      <w:r>
        <w:rPr>
          <w:rFonts w:ascii="Figtree" w:hAnsi="Figtree"/>
          <w:b w:val="0"/>
          <w:i w:val="0"/>
          <w:sz w:val="22"/>
        </w:rPr>
        <w:t>MiFID II suitability assessment (Scalable Capital's existing system)</w:t>
      </w:r>
    </w:p>
    <w:p>
      <w:pPr>
        <w:pStyle w:val="ListParagraph"/>
        <w:numPr>
          <w:ilvl w:val="0"/>
          <w:numId w:val="4"/>
        </w:numPr>
      </w:pPr>
      <w:r>
        <w:rPr>
          <w:rFonts w:ascii="Figtree" w:hAnsi="Figtree"/>
          <w:b w:val="0"/>
          <w:i w:val="0"/>
          <w:sz w:val="22"/>
        </w:rPr>
        <w:t>Fund prospectus or regulatory filing preparation</w:t>
      </w:r>
    </w:p>
    <w:p>
      <w:pPr>
        <w:pStyle w:val="ListParagraph"/>
        <w:numPr>
          <w:ilvl w:val="0"/>
          <w:numId w:val="4"/>
        </w:numPr>
      </w:pPr>
      <w:r>
        <w:rPr>
          <w:rFonts w:ascii="Figtree" w:hAnsi="Figtree"/>
          <w:b w:val="0"/>
          <w:i w:val="0"/>
          <w:sz w:val="22"/>
        </w:rPr>
        <w:t>Traditional CSD settlement (tokenized only)</w:t>
      </w:r>
    </w:p>
    <w:p>
      <w:pPr>
        <w:pStyle w:val="ListParagraph"/>
        <w:numPr>
          <w:ilvl w:val="0"/>
          <w:numId w:val="4"/>
        </w:numPr>
      </w:pPr>
      <w:r>
        <w:rPr>
          <w:rFonts w:ascii="Figtree" w:hAnsi="Figtree"/>
          <w:b w:val="0"/>
          <w:i w:val="0"/>
          <w:sz w:val="22"/>
        </w:rPr>
        <w:t>GBP/CHF denomination (Phase 2, separately scoped)</w:t>
      </w:r>
    </w:p>
    <w:p>
      <w:r>
        <w:br w:type="page"/>
      </w:r>
    </w:p>
    <w:p>
      <w:pPr>
        <w:pStyle w:val="H2"/>
        <w:numPr>
          <w:ilvl w:val="1"/>
          <w:numId w:val="1"/>
        </w:numPr>
      </w:pPr>
      <w:r>
        <w:t>7. Commercial Terms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73"/>
        <w:gridCol w:w="239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License Year 1 (50%)</w:t>
            </w:r>
          </w:p>
        </w:tc>
        <w:tc>
          <w:tcPr>
            <w:tcW w:type="dxa" w:w="4873"/>
            <w:vAlign w:val="center"/>
          </w:tcPr>
          <w:p>
            <w:pPr>
              <w:spacing w:line="276" w:lineRule="auto" w:before="0" w:after="0"/>
            </w:pPr>
            <w:r/>
            <w:r>
              <w:rPr>
                <w:rFonts w:ascii="Figtree" w:hAnsi="Figtree"/>
                <w:b w:val="0"/>
                <w:i w:val="0"/>
                <w:sz w:val="20"/>
              </w:rPr>
              <w:t>EUR 140,000</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Phase 1</w:t>
            </w:r>
          </w:p>
        </w:tc>
        <w:tc>
          <w:tcPr>
            <w:tcW w:type="dxa" w:w="4873"/>
            <w:vAlign w:val="center"/>
          </w:tcPr>
          <w:p>
            <w:pPr>
              <w:spacing w:line="276" w:lineRule="auto" w:before="0" w:after="0"/>
            </w:pPr>
            <w:r/>
            <w:r>
              <w:rPr>
                <w:rFonts w:ascii="Figtree" w:hAnsi="Figtree"/>
                <w:b w:val="0"/>
                <w:i w:val="0"/>
                <w:sz w:val="20"/>
              </w:rPr>
              <w:t>EUR 34,000</w:t>
            </w:r>
          </w:p>
        </w:tc>
      </w:tr>
      <w:tr>
        <w:trPr>
          <w:trHeight w:val="425" w:hRule="atLeast"/>
        </w:trPr>
        <w:tc>
          <w:tcPr>
            <w:tcW w:type="dxa" w:w="4873"/>
            <w:vAlign w:val="center"/>
          </w:tcPr>
          <w:p>
            <w:pPr>
              <w:spacing w:line="276" w:lineRule="auto" w:before="0" w:after="0"/>
            </w:pPr>
            <w:r/>
            <w:r>
              <w:rPr>
                <w:rFonts w:ascii="Figtree" w:hAnsi="Figtree"/>
                <w:b w:val="0"/>
                <w:i w:val="0"/>
                <w:sz w:val="20"/>
              </w:rPr>
              <w:t>P1 Gate: Phase 2</w:t>
            </w:r>
          </w:p>
        </w:tc>
        <w:tc>
          <w:tcPr>
            <w:tcW w:type="dxa" w:w="4873"/>
            <w:vAlign w:val="center"/>
          </w:tcPr>
          <w:p>
            <w:pPr>
              <w:spacing w:line="276" w:lineRule="auto" w:before="0" w:after="0"/>
            </w:pPr>
            <w:r/>
            <w:r>
              <w:rPr>
                <w:rFonts w:ascii="Figtree" w:hAnsi="Figtree"/>
                <w:b w:val="0"/>
                <w:i w:val="0"/>
                <w:sz w:val="20"/>
              </w:rPr>
              <w:t>EUR 68,000</w:t>
            </w:r>
          </w:p>
        </w:tc>
      </w:tr>
      <w:tr>
        <w:trPr>
          <w:trHeight w:val="425" w:hRule="atLeast"/>
        </w:trPr>
        <w:tc>
          <w:tcPr>
            <w:tcW w:type="dxa" w:w="4873"/>
            <w:vAlign w:val="center"/>
          </w:tcPr>
          <w:p>
            <w:pPr>
              <w:spacing w:line="276" w:lineRule="auto" w:before="0" w:after="0"/>
            </w:pPr>
            <w:r/>
            <w:r>
              <w:rPr>
                <w:rFonts w:ascii="Figtree" w:hAnsi="Figtree"/>
                <w:b w:val="0"/>
                <w:i w:val="0"/>
                <w:sz w:val="20"/>
              </w:rPr>
              <w:t>P2 Gate: Phase 3 (50%)</w:t>
            </w:r>
          </w:p>
        </w:tc>
        <w:tc>
          <w:tcPr>
            <w:tcW w:type="dxa" w:w="4873"/>
            <w:vAlign w:val="center"/>
          </w:tcPr>
          <w:p>
            <w:pPr>
              <w:spacing w:line="276" w:lineRule="auto" w:before="0" w:after="0"/>
            </w:pPr>
            <w:r/>
            <w:r>
              <w:rPr>
                <w:rFonts w:ascii="Figtree" w:hAnsi="Figtree"/>
                <w:b w:val="0"/>
                <w:i w:val="0"/>
                <w:sz w:val="20"/>
              </w:rPr>
              <w:t>EUR 48,000</w:t>
            </w:r>
          </w:p>
        </w:tc>
      </w:tr>
      <w:tr>
        <w:trPr>
          <w:trHeight w:val="425" w:hRule="atLeast"/>
        </w:trPr>
        <w:tc>
          <w:tcPr>
            <w:tcW w:type="dxa" w:w="4873"/>
            <w:vAlign w:val="center"/>
          </w:tcPr>
          <w:p>
            <w:pPr>
              <w:spacing w:line="276" w:lineRule="auto" w:before="0" w:after="0"/>
            </w:pPr>
            <w:r/>
            <w:r>
              <w:rPr>
                <w:rFonts w:ascii="Figtree" w:hAnsi="Figtree"/>
                <w:b w:val="0"/>
                <w:i w:val="0"/>
                <w:sz w:val="20"/>
              </w:rPr>
              <w:t>P3 Gate: Phase 3 (50%) + Phase 4</w:t>
            </w:r>
          </w:p>
        </w:tc>
        <w:tc>
          <w:tcPr>
            <w:tcW w:type="dxa" w:w="4873"/>
            <w:vAlign w:val="center"/>
          </w:tcPr>
          <w:p>
            <w:pPr>
              <w:spacing w:line="276" w:lineRule="auto" w:before="0" w:after="0"/>
            </w:pPr>
            <w:r/>
            <w:r>
              <w:rPr>
                <w:rFonts w:ascii="Figtree" w:hAnsi="Figtree"/>
                <w:b w:val="0"/>
                <w:i w:val="0"/>
                <w:sz w:val="20"/>
              </w:rPr>
              <w:t>EUR 126,000</w:t>
            </w:r>
          </w:p>
        </w:tc>
      </w:tr>
      <w:tr>
        <w:trPr>
          <w:trHeight w:val="425" w:hRule="atLeast"/>
        </w:trPr>
        <w:tc>
          <w:tcPr>
            <w:tcW w:type="dxa" w:w="4873"/>
            <w:vAlign w:val="center"/>
          </w:tcPr>
          <w:p>
            <w:pPr>
              <w:spacing w:line="276" w:lineRule="auto" w:before="0" w:after="0"/>
            </w:pPr>
            <w:r/>
            <w:r>
              <w:rPr>
                <w:rFonts w:ascii="Figtree" w:hAnsi="Figtree"/>
                <w:b w:val="0"/>
                <w:i w:val="0"/>
                <w:sz w:val="20"/>
              </w:rPr>
              <w:t>P4 Gate: Phase 5 + 6</w:t>
            </w:r>
          </w:p>
        </w:tc>
        <w:tc>
          <w:tcPr>
            <w:tcW w:type="dxa" w:w="4873"/>
            <w:vAlign w:val="center"/>
          </w:tcPr>
          <w:p>
            <w:pPr>
              <w:spacing w:line="276" w:lineRule="auto" w:before="0" w:after="0"/>
            </w:pPr>
            <w:r/>
            <w:r>
              <w:rPr>
                <w:rFonts w:ascii="Figtree" w:hAnsi="Figtree"/>
                <w:b w:val="0"/>
                <w:i w:val="0"/>
                <w:sz w:val="20"/>
              </w:rPr>
              <w:t>EUR 64,000</w:t>
            </w:r>
          </w:p>
        </w:tc>
      </w:tr>
      <w:tr>
        <w:trPr>
          <w:trHeight w:val="425" w:hRule="atLeast"/>
        </w:trPr>
        <w:tc>
          <w:tcPr>
            <w:tcW w:type="dxa" w:w="4873"/>
            <w:vAlign w:val="center"/>
          </w:tcPr>
          <w:p>
            <w:pPr>
              <w:spacing w:line="276" w:lineRule="auto" w:before="0" w:after="0"/>
            </w:pPr>
            <w:r/>
            <w:r>
              <w:rPr>
                <w:rFonts w:ascii="Figtree" w:hAnsi="Figtree"/>
                <w:b w:val="0"/>
                <w:i w:val="0"/>
                <w:sz w:val="20"/>
              </w:rPr>
              <w:t>Go-Live: License Year 1 (50%)</w:t>
            </w:r>
          </w:p>
        </w:tc>
        <w:tc>
          <w:tcPr>
            <w:tcW w:type="dxa" w:w="4873"/>
            <w:vAlign w:val="center"/>
          </w:tcPr>
          <w:p>
            <w:pPr>
              <w:spacing w:line="276" w:lineRule="auto" w:before="0" w:after="0"/>
            </w:pPr>
            <w:r/>
            <w:r>
              <w:rPr>
                <w:rFonts w:ascii="Figtree" w:hAnsi="Figtree"/>
                <w:b w:val="0"/>
                <w:i w:val="0"/>
                <w:sz w:val="20"/>
              </w:rPr>
              <w:t>EUR 140,000</w:t>
            </w:r>
          </w:p>
        </w:tc>
      </w:tr>
      <w:tr>
        <w:trPr>
          <w:trHeight w:val="425" w:hRule="atLeast"/>
        </w:trPr>
        <w:tc>
          <w:tcPr>
            <w:tcW w:type="dxa" w:w="4873"/>
            <w:vAlign w:val="center"/>
          </w:tcPr>
          <w:p>
            <w:pPr>
              <w:spacing w:line="276" w:lineRule="auto" w:before="0" w:after="0"/>
            </w:pPr>
            <w:r/>
            <w:r>
              <w:rPr>
                <w:rFonts w:ascii="Figtree" w:hAnsi="Figtree"/>
                <w:b w:val="0"/>
                <w:i w:val="0"/>
                <w:sz w:val="20"/>
              </w:rPr>
              <w:t>Year 2 renewal: License + Support</w:t>
            </w:r>
          </w:p>
        </w:tc>
        <w:tc>
          <w:tcPr>
            <w:tcW w:type="dxa" w:w="4873"/>
            <w:vAlign w:val="center"/>
          </w:tcPr>
          <w:p>
            <w:pPr>
              <w:spacing w:line="276" w:lineRule="auto" w:before="0" w:after="0"/>
            </w:pPr>
            <w:r/>
            <w:r>
              <w:rPr>
                <w:rFonts w:ascii="Figtree" w:hAnsi="Figtree"/>
                <w:b w:val="0"/>
                <w:i w:val="0"/>
                <w:sz w:val="20"/>
              </w:rPr>
              <w:t>EUR 400,000</w:t>
            </w:r>
          </w:p>
        </w:tc>
      </w:tr>
      <w:tr>
        <w:trPr>
          <w:trHeight w:val="425" w:hRule="atLeast"/>
        </w:trPr>
        <w:tc>
          <w:tcPr>
            <w:tcW w:type="dxa" w:w="4873"/>
            <w:vAlign w:val="center"/>
          </w:tcPr>
          <w:p>
            <w:pPr>
              <w:spacing w:line="276" w:lineRule="auto" w:before="0" w:after="0"/>
            </w:pPr>
            <w:r/>
            <w:r>
              <w:rPr>
                <w:rFonts w:ascii="Figtree" w:hAnsi="Figtree"/>
                <w:b w:val="0"/>
                <w:i w:val="0"/>
                <w:sz w:val="20"/>
              </w:rPr>
              <w:t>Year 3 renewal: License + Support</w:t>
            </w:r>
          </w:p>
        </w:tc>
        <w:tc>
          <w:tcPr>
            <w:tcW w:type="dxa" w:w="4873"/>
            <w:vAlign w:val="center"/>
          </w:tcPr>
          <w:p>
            <w:pPr>
              <w:spacing w:line="276" w:lineRule="auto" w:before="0" w:after="0"/>
            </w:pPr>
            <w:r/>
            <w:r>
              <w:rPr>
                <w:rFonts w:ascii="Figtree" w:hAnsi="Figtree"/>
                <w:b w:val="0"/>
                <w:i w:val="0"/>
                <w:sz w:val="20"/>
              </w:rPr>
              <w:t>EUR 428,000</w:t>
            </w:r>
          </w:p>
        </w:tc>
      </w:tr>
    </w:tbl>
    <w:p>
      <w:pPr>
        <w:spacing w:before="0" w:after="0" w:line="120" w:lineRule="exact"/>
      </w:pPr>
    </w:p>
    <w:p>
      <w:r>
        <w:rPr>
          <w:rFonts w:ascii="Figtree" w:hAnsi="Figtree"/>
          <w:b w:val="0"/>
          <w:i w:val="0"/>
          <w:sz w:val="22"/>
        </w:rPr>
        <w:t>3-year minimum recommended; annual break right with 90 days notice. Exit: complete data export, 90-day access, technical handover 3 days.</w:t>
      </w:r>
    </w:p>
    <w:p>
      <w:r>
        <w:br w:type="page"/>
      </w:r>
    </w:p>
    <w:p>
      <w:pPr>
        <w:pStyle w:val="H2"/>
        <w:numPr>
          <w:ilvl w:val="1"/>
          <w:numId w:val="1"/>
        </w:numPr>
      </w:pPr>
      <w:r>
        <w:t>8. Total Cost of Ownership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606"/>
        <w:gridCol w:w="1417"/>
        <w:gridCol w:w="1417"/>
        <w:gridCol w:w="160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340,000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340,000</w:t>
            </w:r>
          </w:p>
        </w:tc>
      </w:tr>
      <w:tr>
        <w:trPr>
          <w:trHeight w:val="425" w:hRule="atLeast"/>
        </w:trPr>
        <w:tc>
          <w:tcPr>
            <w:tcW w:type="dxa" w:w="1949"/>
            <w:vAlign w:val="center"/>
          </w:tcPr>
          <w:p>
            <w:pPr>
              <w:spacing w:line="276" w:lineRule="auto" w:before="0" w:after="0"/>
            </w:pPr>
            <w:r/>
            <w:r>
              <w:rPr>
                <w:rFonts w:ascii="Figtree" w:hAnsi="Figtree"/>
                <w:b w:val="0"/>
                <w:i w:val="0"/>
                <w:sz w:val="20"/>
              </w:rPr>
              <w:t>Phase 2 (bonds, GBP/CHF markets)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100,000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EUR 35,000</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DFNS custody</w:t>
            </w:r>
          </w:p>
        </w:tc>
        <w:tc>
          <w:tcPr>
            <w:tcW w:type="dxa" w:w="1949"/>
            <w:vAlign w:val="center"/>
          </w:tcPr>
          <w:p>
            <w:pPr>
              <w:spacing w:line="276" w:lineRule="auto" w:before="0" w:after="0"/>
            </w:pPr>
            <w:r/>
            <w:r>
              <w:rPr>
                <w:rFonts w:ascii="Figtree" w:hAnsi="Figtree"/>
                <w:b w:val="0"/>
                <w:i w:val="0"/>
                <w:sz w:val="20"/>
              </w:rPr>
              <w:t>EUR 40,000</w:t>
            </w:r>
          </w:p>
        </w:tc>
        <w:tc>
          <w:tcPr>
            <w:tcW w:type="dxa" w:w="1949"/>
            <w:vAlign w:val="center"/>
          </w:tcPr>
          <w:p>
            <w:pPr>
              <w:spacing w:line="276" w:lineRule="auto" w:before="0" w:after="0"/>
            </w:pPr>
            <w:r/>
            <w:r>
              <w:rPr>
                <w:rFonts w:ascii="Figtree" w:hAnsi="Figtree"/>
                <w:b w:val="0"/>
                <w:i w:val="0"/>
                <w:sz w:val="20"/>
              </w:rPr>
              <w:t>EUR 45,000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135,000</w:t>
            </w:r>
          </w:p>
        </w:tc>
      </w:tr>
      <w:tr>
        <w:trPr>
          <w:trHeight w:val="425" w:hRule="atLeast"/>
        </w:trPr>
        <w:tc>
          <w:tcPr>
            <w:tcW w:type="dxa" w:w="1949"/>
            <w:vAlign w:val="center"/>
          </w:tcPr>
          <w:p>
            <w:pPr>
              <w:spacing w:line="276" w:lineRule="auto" w:before="0" w:after="0"/>
            </w:pPr>
            <w:r/>
            <w:r>
              <w:rPr>
                <w:rFonts w:ascii="Figtree" w:hAnsi="Figtree"/>
                <w:b w:val="0"/>
                <w:i w:val="0"/>
                <w:sz w:val="20"/>
              </w:rPr>
              <w:t>Internal (1 FTE Year 1)</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250,000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1,025,000</w:t>
            </w:r>
          </w:p>
        </w:tc>
        <w:tc>
          <w:tcPr>
            <w:tcW w:type="dxa" w:w="1949"/>
            <w:vAlign w:val="center"/>
          </w:tcPr>
          <w:p>
            <w:pPr>
              <w:spacing w:line="276" w:lineRule="auto" w:before="0" w:after="0"/>
            </w:pPr>
            <w:r/>
            <w:r>
              <w:rPr>
                <w:rFonts w:ascii="Figtree" w:hAnsi="Figtree"/>
                <w:b/>
                <w:i w:val="0"/>
                <w:sz w:val="20"/>
              </w:rPr>
              <w:t>EUR 695,000</w:t>
            </w:r>
          </w:p>
        </w:tc>
        <w:tc>
          <w:tcPr>
            <w:tcW w:type="dxa" w:w="1949"/>
            <w:vAlign w:val="center"/>
          </w:tcPr>
          <w:p>
            <w:pPr>
              <w:spacing w:line="276" w:lineRule="auto" w:before="0" w:after="0"/>
            </w:pPr>
            <w:r/>
            <w:r>
              <w:rPr>
                <w:rFonts w:ascii="Figtree" w:hAnsi="Figtree"/>
                <w:b/>
                <w:i w:val="0"/>
                <w:sz w:val="20"/>
              </w:rPr>
              <w:t>EUR 639,000</w:t>
            </w:r>
          </w:p>
        </w:tc>
        <w:tc>
          <w:tcPr>
            <w:tcW w:type="dxa" w:w="1949"/>
            <w:vAlign w:val="center"/>
          </w:tcPr>
          <w:p>
            <w:pPr>
              <w:spacing w:line="276" w:lineRule="auto" w:before="0" w:after="0"/>
            </w:pPr>
            <w:r/>
            <w:r>
              <w:rPr>
                <w:rFonts w:ascii="Figtree" w:hAnsi="Figtree"/>
                <w:b/>
                <w:i w:val="0"/>
                <w:sz w:val="20"/>
              </w:rPr>
              <w:t>EUR 2,359,000</w:t>
            </w:r>
          </w:p>
        </w:tc>
      </w:tr>
    </w:tbl>
    <w:p>
      <w:pPr>
        <w:spacing w:before="0" w:after="0" w:line="120" w:lineRule="exact"/>
      </w:pPr>
    </w:p>
    <w:p>
      <w:pPr>
        <w:pStyle w:val="H3"/>
        <w:numPr>
          <w:ilvl w:val="2"/>
          <w:numId w:val="1"/>
        </w:numPr>
      </w:pPr>
      <w:r>
        <w:t>5-Year 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98"/>
        <w:gridCol w:w="57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EUR 3,500,000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w:t>
            </w:r>
          </w:p>
        </w:tc>
        <w:tc>
          <w:tcPr>
            <w:tcW w:type="dxa" w:w="4873"/>
            <w:vAlign w:val="center"/>
          </w:tcPr>
          <w:p>
            <w:pPr>
              <w:spacing w:line="276" w:lineRule="auto" w:before="0" w:after="0"/>
            </w:pPr>
            <w:r/>
            <w:r>
              <w:rPr>
                <w:rFonts w:ascii="Figtree" w:hAnsi="Figtree"/>
                <w:b w:val="0"/>
                <w:i w:val="0"/>
                <w:sz w:val="20"/>
              </w:rPr>
              <w:t>EUR 5,900,000</w:t>
            </w:r>
          </w:p>
        </w:tc>
      </w:tr>
      <w:tr>
        <w:trPr>
          <w:trHeight w:val="425" w:hRule="atLeast"/>
        </w:trPr>
        <w:tc>
          <w:tcPr>
            <w:tcW w:type="dxa" w:w="4873"/>
            <w:vAlign w:val="center"/>
          </w:tcPr>
          <w:p>
            <w:pPr>
              <w:spacing w:line="276" w:lineRule="auto" w:before="0" w:after="0"/>
            </w:pPr>
            <w:r/>
            <w:r>
              <w:rPr>
                <w:rFonts w:ascii="Figtree" w:hAnsi="Figtree"/>
                <w:b/>
                <w:i w:val="0"/>
                <w:sz w:val="20"/>
              </w:rPr>
              <w:t>Savings</w:t>
            </w:r>
          </w:p>
        </w:tc>
        <w:tc>
          <w:tcPr>
            <w:tcW w:type="dxa" w:w="4873"/>
            <w:vAlign w:val="center"/>
          </w:tcPr>
          <w:p>
            <w:pPr>
              <w:spacing w:line="276" w:lineRule="auto" w:before="0" w:after="0"/>
            </w:pPr>
            <w:r/>
            <w:r>
              <w:rPr>
                <w:rFonts w:ascii="Figtree" w:hAnsi="Figtree"/>
                <w:b/>
                <w:i w:val="0"/>
                <w:sz w:val="20"/>
              </w:rPr>
              <w:t>EUR 2,400,000 (41%)</w:t>
            </w:r>
          </w:p>
        </w:tc>
      </w:tr>
    </w:tbl>
    <w:p>
      <w:pPr>
        <w:spacing w:before="0" w:after="0" w:line="120" w:lineRule="exact"/>
      </w:pPr>
    </w:p>
    <w:p>
      <w:r>
        <w:br w:type="page"/>
      </w:r>
    </w:p>
    <w:p>
      <w:pPr>
        <w:pStyle w:val="H2"/>
        <w:numPr>
          <w:ilvl w:val="1"/>
          <w:numId w:val="1"/>
        </w:numPr>
      </w:pPr>
      <w:r>
        <w:t>9. Reference Clients</w:t>
      </w:r>
    </w:p>
    <w:p>
      <w:r>
        <w:rPr>
          <w:rFonts w:ascii="Figtree" w:hAnsi="Figtree"/>
          <w:b/>
          <w:i w:val="0"/>
          <w:sz w:val="22"/>
        </w:rPr>
        <w:t>BNP Paribas:</w:t>
      </w:r>
      <w:r>
        <w:rPr>
          <w:rFonts w:ascii="Figtree" w:hAnsi="Figtree"/>
          <w:b w:val="0"/>
          <w:i w:val="0"/>
          <w:sz w:val="22"/>
        </w:rPr>
        <w:t xml:space="preserve"> Tokenized fund distribution at consumer banking scale. Demonstrates DALP's fund template with NAV integration and automated distribution at millions of investor positions. Reference calls available.</w:t>
      </w:r>
    </w:p>
    <w:p>
      <w:r>
        <w:rPr>
          <w:rFonts w:ascii="Figtree" w:hAnsi="Figtree"/>
          <w:b/>
          <w:i w:val="0"/>
          <w:sz w:val="22"/>
        </w:rPr>
        <w:t>Commerzbank:</w:t>
      </w:r>
      <w:r>
        <w:rPr>
          <w:rFonts w:ascii="Figtree" w:hAnsi="Figtree"/>
          <w:b w:val="0"/>
          <w:i w:val="0"/>
          <w:sz w:val="22"/>
        </w:rPr>
        <w:t xml:space="preserve"> BaFin-supervised Germany. EUR 7 million annual operational savings. Outsourcing compliance for German-regulated financial institution. Reference calls available.</w:t>
      </w:r>
    </w:p>
    <w:p>
      <w:r>
        <w:rPr>
          <w:rFonts w:ascii="Figtree" w:hAnsi="Figtree"/>
          <w:b/>
          <w:i w:val="0"/>
          <w:sz w:val="22"/>
        </w:rPr>
        <w:t>Nordea:</w:t>
      </w:r>
      <w:r>
        <w:rPr>
          <w:rFonts w:ascii="Figtree" w:hAnsi="Figtree"/>
          <w:b w:val="0"/>
          <w:i w:val="0"/>
          <w:sz w:val="22"/>
        </w:rPr>
        <w:t xml:space="preserve"> Tokenized funds in Nordic consumer banking context. Consumer-facing fund product experience under MiCA-adjacent regulatory framework.</w:t>
      </w:r>
    </w:p>
    <w:p>
      <w:r>
        <w:br w:type="page"/>
      </w:r>
    </w:p>
    <w:p>
      <w:pPr>
        <w:pStyle w:val="H2"/>
        <w:numPr>
          <w:ilvl w:val="1"/>
          <w:numId w:val="1"/>
        </w:numPr>
      </w:pPr>
      <w:r>
        <w:t>10. Next Steps</w:t>
      </w:r>
    </w:p>
    <w:p>
      <w:r>
        <w:rPr>
          <w:rFonts w:ascii="Figtree" w:hAnsi="Figtree"/>
          <w:b w:val="0"/>
          <w:i w:val="0"/>
          <w:sz w:val="22"/>
        </w:rPr>
        <w:t>Clarification deadline: 03 April 2026. Shortlist by 15 May 2026 with architecture walkthrough (2 hours), live fund subscription demo with NAV integration (1.5 hours), KAGB compliance deep-dive (1 hour). Implementation start Q3 2026; contract execution by June 2026 for Q4 2026 beta investor cohort launch.</w:t>
      </w:r>
    </w:p>
    <w:p>
      <w:r>
        <w:br w:type="page"/>
      </w:r>
    </w:p>
    <w:p>
      <w:pPr>
        <w:pStyle w:val="H2"/>
        <w:numPr>
          <w:ilvl w:val="1"/>
          <w:numId w:val="1"/>
        </w:numPr>
      </w:pPr>
      <w:r>
        <w:t>Appendix: Commercial Assumptions and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6"/>
        <w:gridCol w:w="2907"/>
        <w:gridCol w:w="1977"/>
        <w:gridCol w:w="18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2436"/>
            <w:vAlign w:val="center"/>
          </w:tcPr>
          <w:p>
            <w:pPr>
              <w:spacing w:line="276" w:lineRule="auto" w:before="0" w:after="0"/>
            </w:pPr>
            <w:r/>
            <w:r>
              <w:rPr>
                <w:rFonts w:ascii="Figtree" w:hAnsi="Figtree"/>
                <w:b w:val="0"/>
                <w:i w:val="0"/>
                <w:sz w:val="20"/>
              </w:rPr>
              <w:t>Investor Wallets</w:t>
            </w:r>
          </w:p>
        </w:tc>
        <w:tc>
          <w:tcPr>
            <w:tcW w:type="dxa" w:w="2436"/>
            <w:vAlign w:val="center"/>
          </w:tcPr>
          <w:p>
            <w:pPr>
              <w:spacing w:line="276" w:lineRule="auto" w:before="0" w:after="0"/>
            </w:pPr>
            <w:r/>
            <w:r>
              <w:rPr>
                <w:rFonts w:ascii="Figtree" w:hAnsi="Figtree"/>
                <w:b w:val="0"/>
                <w:i w:val="0"/>
                <w:sz w:val="20"/>
              </w:rPr>
              <w:t>DFNS</w:t>
            </w:r>
          </w:p>
        </w:tc>
        <w:tc>
          <w:tcPr>
            <w:tcW w:type="dxa" w:w="2436"/>
            <w:vAlign w:val="center"/>
          </w:tcPr>
          <w:p>
            <w:pPr>
              <w:spacing w:line="276" w:lineRule="auto" w:before="0" w:after="0"/>
            </w:pPr>
            <w:r/>
            <w:r>
              <w:rPr>
                <w:rFonts w:ascii="Figtree" w:hAnsi="Figtree"/>
                <w:b w:val="0"/>
                <w:i w:val="0"/>
                <w:sz w:val="20"/>
              </w:rPr>
              <w:t>EUR 35,000-45,000</w:t>
            </w:r>
          </w:p>
        </w:tc>
        <w:tc>
          <w:tcPr>
            <w:tcW w:type="dxa" w:w="2436"/>
            <w:vAlign w:val="center"/>
          </w:tcPr>
          <w:p>
            <w:pPr>
              <w:spacing w:line="276" w:lineRule="auto" w:before="0" w:after="0"/>
            </w:pPr>
            <w:r/>
            <w:r>
              <w:rPr>
                <w:rFonts w:ascii="Figtree" w:hAnsi="Figtree"/>
                <w:b w:val="0"/>
                <w:i w:val="0"/>
                <w:sz w:val="20"/>
              </w:rPr>
              <w:t>Scalable Capital</w:t>
            </w:r>
          </w:p>
        </w:tc>
      </w:tr>
      <w:tr>
        <w:trPr>
          <w:trHeight w:val="425" w:hRule="atLeast"/>
        </w:trPr>
        <w:tc>
          <w:tcPr>
            <w:tcW w:type="dxa" w:w="2436"/>
            <w:vAlign w:val="center"/>
          </w:tcPr>
          <w:p>
            <w:pPr>
              <w:spacing w:line="276" w:lineRule="auto" w:before="0" w:after="0"/>
            </w:pPr>
            <w:r/>
            <w:r>
              <w:rPr>
                <w:rFonts w:ascii="Figtree" w:hAnsi="Figtree"/>
                <w:b w:val="0"/>
                <w:i w:val="0"/>
                <w:sz w:val="20"/>
              </w:rPr>
              <w:t>Blockchain RPC</w:t>
            </w:r>
          </w:p>
        </w:tc>
        <w:tc>
          <w:tcPr>
            <w:tcW w:type="dxa" w:w="2436"/>
            <w:vAlign w:val="center"/>
          </w:tcPr>
          <w:p>
            <w:pPr>
              <w:spacing w:line="276" w:lineRule="auto" w:before="0" w:after="0"/>
            </w:pPr>
            <w:r/>
            <w:r>
              <w:rPr>
                <w:rFonts w:ascii="Figtree" w:hAnsi="Figtree"/>
                <w:b w:val="0"/>
                <w:i w:val="0"/>
                <w:sz w:val="20"/>
              </w:rPr>
              <w:t>Infura/Alchemy</w:t>
            </w:r>
          </w:p>
        </w:tc>
        <w:tc>
          <w:tcPr>
            <w:tcW w:type="dxa" w:w="2436"/>
            <w:vAlign w:val="center"/>
          </w:tcPr>
          <w:p>
            <w:pPr>
              <w:spacing w:line="276" w:lineRule="auto" w:before="0" w:after="0"/>
            </w:pPr>
            <w:r/>
            <w:r>
              <w:rPr>
                <w:rFonts w:ascii="Figtree" w:hAnsi="Figtree"/>
                <w:b w:val="0"/>
                <w:i w:val="0"/>
                <w:sz w:val="20"/>
              </w:rPr>
              <w:t>EUR 5,000-8,000</w:t>
            </w:r>
          </w:p>
        </w:tc>
        <w:tc>
          <w:tcPr>
            <w:tcW w:type="dxa" w:w="2436"/>
            <w:vAlign w:val="center"/>
          </w:tcPr>
          <w:p>
            <w:pPr>
              <w:spacing w:line="276" w:lineRule="auto" w:before="0" w:after="0"/>
            </w:pPr>
            <w:r/>
            <w:r>
              <w:rPr>
                <w:rFonts w:ascii="Figtree" w:hAnsi="Figtree"/>
                <w:b w:val="0"/>
                <w:i w:val="0"/>
                <w:sz w:val="20"/>
              </w:rPr>
              <w:t>Scalable Capital</w:t>
            </w:r>
          </w:p>
        </w:tc>
      </w:tr>
      <w:tr>
        <w:trPr>
          <w:trHeight w:val="425" w:hRule="atLeast"/>
        </w:trPr>
        <w:tc>
          <w:tcPr>
            <w:tcW w:type="dxa" w:w="2436"/>
            <w:vAlign w:val="center"/>
          </w:tcPr>
          <w:p>
            <w:pPr>
              <w:spacing w:line="276" w:lineRule="auto" w:before="0" w:after="0"/>
            </w:pPr>
            <w:r/>
            <w:r>
              <w:rPr>
                <w:rFonts w:ascii="Figtree" w:hAnsi="Figtree"/>
                <w:b w:val="0"/>
                <w:i w:val="0"/>
                <w:sz w:val="20"/>
              </w:rPr>
              <w:t>Besu Validators</w:t>
            </w:r>
          </w:p>
        </w:tc>
        <w:tc>
          <w:tcPr>
            <w:tcW w:type="dxa" w:w="2436"/>
            <w:vAlign w:val="center"/>
          </w:tcPr>
          <w:p>
            <w:pPr>
              <w:spacing w:line="276" w:lineRule="auto" w:before="0" w:after="0"/>
            </w:pPr>
            <w:r/>
            <w:r>
              <w:rPr>
                <w:rFonts w:ascii="Figtree" w:hAnsi="Figtree"/>
                <w:b w:val="0"/>
                <w:i w:val="0"/>
                <w:sz w:val="20"/>
              </w:rPr>
              <w:t>Scalable Capital-operated</w:t>
            </w:r>
          </w:p>
        </w:tc>
        <w:tc>
          <w:tcPr>
            <w:tcW w:type="dxa" w:w="2436"/>
            <w:vAlign w:val="center"/>
          </w:tcPr>
          <w:p>
            <w:pPr>
              <w:spacing w:line="276" w:lineRule="auto" w:before="0" w:after="0"/>
            </w:pPr>
            <w:r/>
            <w:r>
              <w:rPr>
                <w:rFonts w:ascii="Figtree" w:hAnsi="Figtree"/>
                <w:b w:val="0"/>
                <w:i w:val="0"/>
                <w:sz w:val="20"/>
              </w:rPr>
              <w:t>EUR 12,000-18,000</w:t>
            </w:r>
          </w:p>
        </w:tc>
        <w:tc>
          <w:tcPr>
            <w:tcW w:type="dxa" w:w="2436"/>
            <w:vAlign w:val="center"/>
          </w:tcPr>
          <w:p>
            <w:pPr>
              <w:spacing w:line="276" w:lineRule="auto" w:before="0" w:after="0"/>
            </w:pPr>
            <w:r/>
            <w:r>
              <w:rPr>
                <w:rFonts w:ascii="Figtree" w:hAnsi="Figtree"/>
                <w:b w:val="0"/>
                <w:i w:val="0"/>
                <w:sz w:val="20"/>
              </w:rPr>
              <w:t>Scalable Capital</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AWS (Frankfurt)</w:t>
            </w:r>
          </w:p>
        </w:tc>
        <w:tc>
          <w:tcPr>
            <w:tcW w:type="dxa" w:w="2436"/>
            <w:vAlign w:val="center"/>
          </w:tcPr>
          <w:p>
            <w:pPr>
              <w:spacing w:line="276" w:lineRule="auto" w:before="0" w:after="0"/>
            </w:pPr>
            <w:r/>
            <w:r>
              <w:rPr>
                <w:rFonts w:ascii="Figtree" w:hAnsi="Figtree"/>
                <w:b w:val="0"/>
                <w:i w:val="0"/>
                <w:sz w:val="20"/>
              </w:rPr>
              <w:t>EUR 30,000-40,000</w:t>
            </w:r>
          </w:p>
        </w:tc>
        <w:tc>
          <w:tcPr>
            <w:tcW w:type="dxa" w:w="2436"/>
            <w:vAlign w:val="center"/>
          </w:tcPr>
          <w:p>
            <w:pPr>
              <w:spacing w:line="276" w:lineRule="auto" w:before="0" w:after="0"/>
            </w:pPr>
            <w:r/>
            <w:r>
              <w:rPr>
                <w:rFonts w:ascii="Figtree" w:hAnsi="Figtree"/>
                <w:b w:val="0"/>
                <w:i w:val="0"/>
                <w:sz w:val="20"/>
              </w:rPr>
              <w:t>Scalable Capital</w:t>
            </w:r>
          </w:p>
        </w:tc>
      </w:tr>
      <w:tr>
        <w:trPr>
          <w:trHeight w:val="425" w:hRule="atLeast"/>
        </w:trPr>
        <w:tc>
          <w:tcPr>
            <w:tcW w:type="dxa" w:w="2436"/>
            <w:vAlign w:val="center"/>
          </w:tcPr>
          <w:p>
            <w:pPr>
              <w:spacing w:line="276" w:lineRule="auto" w:before="0" w:after="0"/>
            </w:pPr>
            <w:r/>
            <w:r>
              <w:rPr>
                <w:rFonts w:ascii="Figtree" w:hAnsi="Figtree"/>
                <w:b w:val="0"/>
                <w:i w:val="0"/>
                <w:sz w:val="20"/>
              </w:rPr>
              <w:t>NAV Feed</w:t>
            </w:r>
          </w:p>
        </w:tc>
        <w:tc>
          <w:tcPr>
            <w:tcW w:type="dxa" w:w="2436"/>
            <w:vAlign w:val="center"/>
          </w:tcPr>
          <w:p>
            <w:pPr>
              <w:spacing w:line="276" w:lineRule="auto" w:before="0" w:after="0"/>
            </w:pPr>
            <w:r/>
            <w:r>
              <w:rPr>
                <w:rFonts w:ascii="Figtree" w:hAnsi="Figtree"/>
                <w:b w:val="0"/>
                <w:i w:val="0"/>
                <w:sz w:val="20"/>
              </w:rPr>
              <w:t>Bloomberg/Refinitiv</w:t>
            </w:r>
          </w:p>
        </w:tc>
        <w:tc>
          <w:tcPr>
            <w:tcW w:type="dxa" w:w="2436"/>
            <w:vAlign w:val="center"/>
          </w:tcPr>
          <w:p>
            <w:pPr>
              <w:spacing w:line="276" w:lineRule="auto" w:before="0" w:after="0"/>
            </w:pPr>
            <w:r/>
            <w:r>
              <w:rPr>
                <w:rFonts w:ascii="Figtree" w:hAnsi="Figtree"/>
                <w:b w:val="0"/>
                <w:i w:val="0"/>
                <w:sz w:val="20"/>
              </w:rPr>
              <w:t>Existing contract</w:t>
            </w:r>
          </w:p>
        </w:tc>
        <w:tc>
          <w:tcPr>
            <w:tcW w:type="dxa" w:w="2436"/>
            <w:vAlign w:val="center"/>
          </w:tcPr>
          <w:p>
            <w:pPr>
              <w:spacing w:line="276" w:lineRule="auto" w:before="0" w:after="0"/>
            </w:pPr>
            <w:r/>
            <w:r>
              <w:rPr>
                <w:rFonts w:ascii="Figtree" w:hAnsi="Figtree"/>
                <w:b w:val="0"/>
                <w:i w:val="0"/>
                <w:sz w:val="20"/>
              </w:rPr>
              <w:t>Scalable Capital</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