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Commercial Proposal for Trade Republic Bank GmbH</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1. Executive Summary</w:t>
          </w:r>
          <w:r>
            <w:tab/>
          </w:r>
          <w:r>
            <w:t xml:space="preserve">6</w:t>
          </w:r>
        </w:p>
        <w:p>
          <w:pPr>
            <w:pStyle w:val="TOC3"/>
            <w:tabs>
              <w:tab w:val="right" w:leader="dot" w:pos="9072"/>
            </w:tabs>
          </w:pPr>
          <w:r>
            <w:t xml:space="preserve">Investment Summary</w:t>
          </w:r>
          <w:r>
            <w:tab/>
          </w:r>
          <w:r>
            <w:t xml:space="preserve">7</w:t>
          </w:r>
        </w:p>
        <w:p>
          <w:pPr>
            <w:pStyle w:val="TOC2"/>
            <w:tabs>
              <w:tab w:val="right" w:leader="dot" w:pos="9072"/>
            </w:tabs>
          </w:pPr>
          <w:r>
            <w:t xml:space="preserve">2. Investment Rationale</w:t>
          </w:r>
          <w:r>
            <w:tab/>
          </w:r>
          <w:r>
            <w:t xml:space="preserve">8</w:t>
          </w:r>
        </w:p>
        <w:p>
          <w:pPr>
            <w:pStyle w:val="TOC3"/>
            <w:tabs>
              <w:tab w:val="right" w:leader="dot" w:pos="9072"/>
            </w:tabs>
          </w:pPr>
          <w:r>
            <w:t xml:space="preserve">The Competitive Case</w:t>
          </w:r>
          <w:r>
            <w:tab/>
          </w:r>
          <w:r>
            <w:t xml:space="preserve">9</w:t>
          </w:r>
        </w:p>
        <w:p>
          <w:pPr>
            <w:pStyle w:val="TOC3"/>
            <w:tabs>
              <w:tab w:val="right" w:leader="dot" w:pos="9072"/>
            </w:tabs>
          </w:pPr>
          <w:r>
            <w:t xml:space="preserve">Revenue Creation</w:t>
          </w:r>
          <w:r>
            <w:tab/>
          </w:r>
          <w:r>
            <w:t xml:space="preserve">10</w:t>
          </w:r>
        </w:p>
        <w:p>
          <w:pPr>
            <w:pStyle w:val="TOC3"/>
            <w:tabs>
              <w:tab w:val="right" w:leader="dot" w:pos="9072"/>
            </w:tabs>
          </w:pPr>
          <w:r>
            <w:t xml:space="preserve">Build vs. Buy</w:t>
          </w:r>
          <w:r>
            <w:tab/>
          </w:r>
          <w:r>
            <w:t xml:space="preserve">11</w:t>
          </w:r>
        </w:p>
        <w:p>
          <w:pPr>
            <w:pStyle w:val="TOC2"/>
            <w:tabs>
              <w:tab w:val="right" w:leader="dot" w:pos="9072"/>
            </w:tabs>
          </w:pPr>
          <w:r>
            <w:t xml:space="preserve">3. Licensing Model</w:t>
          </w:r>
          <w:r>
            <w:tab/>
          </w:r>
          <w:r>
            <w:t xml:space="preserve">12</w:t>
          </w:r>
        </w:p>
        <w:p>
          <w:pPr>
            <w:pStyle w:val="TOC2"/>
            <w:tabs>
              <w:tab w:val="right" w:leader="dot" w:pos="9072"/>
            </w:tabs>
          </w:pPr>
          <w:r>
            <w:t xml:space="preserve">4. Deployment Options and Pricing</w:t>
          </w:r>
          <w:r>
            <w:tab/>
          </w:r>
          <w:r>
            <w:t xml:space="preserve">13</w:t>
          </w:r>
        </w:p>
        <w:p>
          <w:pPr>
            <w:pStyle w:val="TOC3"/>
            <w:tabs>
              <w:tab w:val="right" w:leader="dot" w:pos="9072"/>
            </w:tabs>
          </w:pPr>
          <w:r>
            <w:t xml:space="preserve">Private Cloud (Frankfurt, Kubernetes)</w:t>
          </w:r>
          <w:r>
            <w:tab/>
          </w:r>
          <w:r>
            <w:t xml:space="preserve">14</w:t>
          </w:r>
        </w:p>
        <w:p>
          <w:pPr>
            <w:pStyle w:val="TOC2"/>
            <w:tabs>
              <w:tab w:val="right" w:leader="dot" w:pos="9072"/>
            </w:tabs>
          </w:pPr>
          <w:r>
            <w:t xml:space="preserve">5. Support and SLA</w:t>
          </w:r>
          <w:r>
            <w:tab/>
          </w:r>
          <w:r>
            <w:t xml:space="preserve">15</w:t>
          </w:r>
        </w:p>
        <w:p>
          <w:pPr>
            <w:pStyle w:val="TOC2"/>
            <w:tabs>
              <w:tab w:val="right" w:leader="dot" w:pos="9072"/>
            </w:tabs>
          </w:pPr>
          <w:r>
            <w:t xml:space="preserve">6. Implementation Investment</w:t>
          </w:r>
          <w:r>
            <w:tab/>
          </w:r>
          <w:r>
            <w:t xml:space="preserve">16</w:t>
          </w:r>
        </w:p>
        <w:p>
          <w:pPr>
            <w:pStyle w:val="TOC3"/>
            <w:tabs>
              <w:tab w:val="right" w:leader="dot" w:pos="9072"/>
            </w:tabs>
          </w:pPr>
          <w:r>
            <w:t xml:space="preserve">Assumptions</w:t>
          </w:r>
          <w:r>
            <w:tab/>
          </w:r>
          <w:r>
            <w:t xml:space="preserve">17</w:t>
          </w:r>
        </w:p>
        <w:p>
          <w:pPr>
            <w:pStyle w:val="TOC3"/>
            <w:tabs>
              <w:tab w:val="right" w:leader="dot" w:pos="9072"/>
            </w:tabs>
          </w:pPr>
          <w:r>
            <w:t xml:space="preserve">Out-of-Scope</w:t>
          </w:r>
          <w:r>
            <w:tab/>
          </w:r>
          <w:r>
            <w:t xml:space="preserve">18</w:t>
          </w:r>
        </w:p>
        <w:p>
          <w:pPr>
            <w:pStyle w:val="TOC3"/>
            <w:tabs>
              <w:tab w:val="right" w:leader="dot" w:pos="9072"/>
            </w:tabs>
          </w:pPr>
          <w:r>
            <w:t xml:space="preserve">Day Rates</w:t>
          </w:r>
          <w:r>
            <w:tab/>
          </w:r>
          <w:r>
            <w:t xml:space="preserve">19</w:t>
          </w:r>
        </w:p>
        <w:p>
          <w:pPr>
            <w:pStyle w:val="TOC2"/>
            <w:tabs>
              <w:tab w:val="right" w:leader="dot" w:pos="9072"/>
            </w:tabs>
          </w:pPr>
          <w:r>
            <w:t xml:space="preserve">7. Commercial Terms</w:t>
          </w:r>
          <w:r>
            <w:tab/>
          </w:r>
          <w:r>
            <w:t xml:space="preserve">20</w:t>
          </w:r>
        </w:p>
        <w:p>
          <w:pPr>
            <w:pStyle w:val="TOC3"/>
            <w:tabs>
              <w:tab w:val="right" w:leader="dot" w:pos="9072"/>
            </w:tabs>
          </w:pPr>
          <w:r>
            <w:t xml:space="preserve">Payment Schedule</w:t>
          </w:r>
          <w:r>
            <w:tab/>
          </w:r>
          <w:r>
            <w:t xml:space="preserve">21</w:t>
          </w:r>
        </w:p>
        <w:p>
          <w:pPr>
            <w:pStyle w:val="TOC2"/>
            <w:tabs>
              <w:tab w:val="right" w:leader="dot" w:pos="9072"/>
            </w:tabs>
          </w:pPr>
          <w:r>
            <w:t xml:space="preserve">8. Total Cost of Ownership</w:t>
          </w:r>
          <w:r>
            <w:tab/>
          </w:r>
          <w:r>
            <w:t xml:space="preserve">22</w:t>
          </w:r>
        </w:p>
        <w:p>
          <w:pPr>
            <w:pStyle w:val="TOC3"/>
            <w:tabs>
              <w:tab w:val="right" w:leader="dot" w:pos="9072"/>
            </w:tabs>
          </w:pPr>
          <w:r>
            <w:t xml:space="preserve">5-Year Build vs. Buy</w:t>
          </w:r>
          <w:r>
            <w:tab/>
          </w:r>
          <w:r>
            <w:t xml:space="preserve">23</w:t>
          </w:r>
        </w:p>
        <w:p>
          <w:pPr>
            <w:pStyle w:val="TOC2"/>
            <w:tabs>
              <w:tab w:val="right" w:leader="dot" w:pos="9072"/>
            </w:tabs>
          </w:pPr>
          <w:r>
            <w:t xml:space="preserve">9. Reference Clients</w:t>
          </w:r>
          <w:r>
            <w:tab/>
          </w:r>
          <w:r>
            <w:t xml:space="preserve">24</w:t>
          </w:r>
        </w:p>
        <w:p>
          <w:pPr>
            <w:pStyle w:val="TOC2"/>
            <w:tabs>
              <w:tab w:val="right" w:leader="dot" w:pos="9072"/>
            </w:tabs>
          </w:pPr>
          <w:r>
            <w:t xml:space="preserve">10. Next Steps</w:t>
          </w:r>
          <w:r>
            <w:tab/>
          </w:r>
          <w:r>
            <w:t xml:space="preserve">25</w:t>
          </w:r>
        </w:p>
        <w:p>
          <w:pPr>
            <w:pStyle w:val="TOC2"/>
            <w:tabs>
              <w:tab w:val="right" w:leader="dot" w:pos="9072"/>
            </w:tabs>
          </w:pPr>
          <w:r>
            <w:t xml:space="preserve">Appendix: Dependencies and Volume Thresholds</w:t>
          </w:r>
          <w:r>
            <w:tab/>
          </w:r>
          <w:r>
            <w:t xml:space="preserve">26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Commercial Proposal for Trade Republic Bank GmbH</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Trade Republic Bank GmbH, Berlin, Germany</w:t>
      </w:r>
    </w:p>
    <w:p>
      <w:r>
        <w:rPr>
          <w:rFonts w:ascii="Figtree" w:hAnsi="Figtree"/>
          <w:b/>
          <w:i w:val="0"/>
          <w:sz w:val="22"/>
        </w:rPr>
        <w:t>Document reference:</w:t>
      </w:r>
      <w:r>
        <w:rPr>
          <w:rFonts w:ascii="Figtree" w:hAnsi="Figtree"/>
          <w:b w:val="0"/>
          <w:i w:val="0"/>
          <w:sz w:val="22"/>
        </w:rPr>
        <w:t xml:space="preserve"> SM-COMM-TRADEREPUBLIC-2026-001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Trade Republic's tokenized securities platform creates T+0 settlement as a competitive product feature for 8 million retail investors. The commercial case is not primarily about cost avoidance -- it is about enabling a new product category (tokenized bonds) and a new settlement experience (T+0) that deepens Trade Republic's differentiation against traditional brokers and neobank competitors.</w:t>
      </w:r>
    </w:p>
    <w:p>
      <w:r>
        <w:rPr>
          <w:rFonts w:ascii="Figtree" w:hAnsi="Figtree"/>
          <w:b w:val="0"/>
          <w:i w:val="0"/>
          <w:sz w:val="22"/>
        </w:rPr>
        <w:t>DALP delivers the multi-asset tokenized securities infrastructure for Trade Republic in 14 to 18 weeks. Total Year 1 investment: approximately EUR 880,000 (implementation EUR 380,000, Enterprise license EUR 280,000, Enterprise support EUR 120,000, infrastructure EUR 60,000, DFNS custody EUR 40,000).</w:t>
      </w:r>
    </w:p>
    <w:p>
      <w:r>
        <w:rPr>
          <w:rFonts w:ascii="Figtree" w:hAnsi="Figtree"/>
          <w:b w:val="0"/>
          <w:i w:val="0"/>
          <w:sz w:val="22"/>
        </w:rPr>
        <w:t>Revenue drivers: tokenized bond products generate spread income and AUM-based fee revenue; T+0 settlement reduces trade settlement operational costs; multi-asset tokenization expands Trade Republic's product catalogue without requiring a new infrastructure build per asset class.</w:t>
      </w:r>
    </w:p>
    <w:p>
      <w:pPr>
        <w:pStyle w:val="H3"/>
        <w:numPr>
          <w:ilvl w:val="2"/>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91"/>
        <w:gridCol w:w="1495"/>
        <w:gridCol w:w="1495"/>
        <w:gridCol w:w="1495"/>
        <w:gridCol w:w="169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EUR 380,000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380,000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65,000</w:t>
            </w:r>
          </w:p>
        </w:tc>
        <w:tc>
          <w:tcPr>
            <w:tcW w:type="dxa" w:w="1949"/>
            <w:vAlign w:val="center"/>
          </w:tcPr>
          <w:p>
            <w:pPr>
              <w:spacing w:line="276" w:lineRule="auto" w:before="0" w:after="0"/>
            </w:pPr>
            <w:r/>
            <w:r>
              <w:rPr>
                <w:rFonts w:ascii="Figtree" w:hAnsi="Figtree"/>
                <w:b w:val="0"/>
                <w:i w:val="0"/>
                <w:sz w:val="20"/>
              </w:rPr>
              <w:t>EUR 70,000</w:t>
            </w:r>
          </w:p>
        </w:tc>
        <w:tc>
          <w:tcPr>
            <w:tcW w:type="dxa" w:w="1949"/>
            <w:vAlign w:val="center"/>
          </w:tcPr>
          <w:p>
            <w:pPr>
              <w:spacing w:line="276" w:lineRule="auto" w:before="0" w:after="0"/>
            </w:pPr>
            <w:r/>
            <w:r>
              <w:rPr>
                <w:rFonts w:ascii="Figtree" w:hAnsi="Figtree"/>
                <w:b w:val="0"/>
                <w:i w:val="0"/>
                <w:sz w:val="20"/>
              </w:rPr>
              <w:t>EUR 195,000</w:t>
            </w:r>
          </w:p>
        </w:tc>
      </w:tr>
      <w:tr>
        <w:trPr>
          <w:trHeight w:val="425" w:hRule="atLeast"/>
        </w:trPr>
        <w:tc>
          <w:tcPr>
            <w:tcW w:type="dxa" w:w="1949"/>
            <w:vAlign w:val="center"/>
          </w:tcPr>
          <w:p>
            <w:pPr>
              <w:spacing w:line="276" w:lineRule="auto" w:before="0" w:after="0"/>
            </w:pPr>
            <w:r/>
            <w:r>
              <w:rPr>
                <w:rFonts w:ascii="Figtree" w:hAnsi="Figtree"/>
                <w:b w:val="0"/>
                <w:i w:val="0"/>
                <w:sz w:val="20"/>
              </w:rPr>
              <w:t>DFNS Custody</w:t>
            </w:r>
          </w:p>
        </w:tc>
        <w:tc>
          <w:tcPr>
            <w:tcW w:type="dxa" w:w="1949"/>
            <w:vAlign w:val="center"/>
          </w:tcPr>
          <w:p>
            <w:pPr>
              <w:spacing w:line="276" w:lineRule="auto" w:before="0" w:after="0"/>
            </w:pPr>
            <w:r/>
            <w:r>
              <w:rPr>
                <w:rFonts w:ascii="Figtree" w:hAnsi="Figtree"/>
                <w:b w:val="0"/>
                <w:i w:val="0"/>
                <w:sz w:val="20"/>
              </w:rPr>
              <w:t>EUR 40,000</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135,000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EUR 880,000</w:t>
            </w:r>
          </w:p>
        </w:tc>
        <w:tc>
          <w:tcPr>
            <w:tcW w:type="dxa" w:w="1949"/>
            <w:vAlign w:val="center"/>
          </w:tcPr>
          <w:p>
            <w:pPr>
              <w:spacing w:line="276" w:lineRule="auto" w:before="0" w:after="0"/>
            </w:pPr>
            <w:r/>
            <w:r>
              <w:rPr>
                <w:rFonts w:ascii="Figtree" w:hAnsi="Figtree"/>
                <w:b/>
                <w:i w:val="0"/>
                <w:sz w:val="20"/>
              </w:rPr>
              <w:t>EUR 510,000</w:t>
            </w:r>
          </w:p>
        </w:tc>
        <w:tc>
          <w:tcPr>
            <w:tcW w:type="dxa" w:w="1949"/>
            <w:vAlign w:val="center"/>
          </w:tcPr>
          <w:p>
            <w:pPr>
              <w:spacing w:line="276" w:lineRule="auto" w:before="0" w:after="0"/>
            </w:pPr>
            <w:r/>
            <w:r>
              <w:rPr>
                <w:rFonts w:ascii="Figtree" w:hAnsi="Figtree"/>
                <w:b/>
                <w:i w:val="0"/>
                <w:sz w:val="20"/>
              </w:rPr>
              <w:t>EUR 548,000</w:t>
            </w:r>
          </w:p>
        </w:tc>
        <w:tc>
          <w:tcPr>
            <w:tcW w:type="dxa" w:w="1949"/>
            <w:vAlign w:val="center"/>
          </w:tcPr>
          <w:p>
            <w:pPr>
              <w:spacing w:line="276" w:lineRule="auto" w:before="0" w:after="0"/>
            </w:pPr>
            <w:r/>
            <w:r>
              <w:rPr>
                <w:rFonts w:ascii="Figtree" w:hAnsi="Figtree"/>
                <w:b/>
                <w:i w:val="0"/>
                <w:sz w:val="20"/>
              </w:rPr>
              <w:t>EUR 1,938,000</w:t>
            </w:r>
          </w:p>
        </w:tc>
      </w:tr>
    </w:tbl>
    <w:p>
      <w:pPr>
        <w:spacing w:before="0" w:after="0" w:line="120" w:lineRule="exact"/>
      </w:pPr>
    </w:p>
    <w:p>
      <w:r>
        <w:br w:type="page"/>
      </w:r>
    </w:p>
    <w:p>
      <w:pPr>
        <w:pStyle w:val="H2"/>
        <w:numPr>
          <w:ilvl w:val="1"/>
          <w:numId w:val="1"/>
        </w:numPr>
      </w:pPr>
      <w:r>
        <w:t>2. Investment Rationale</w:t>
      </w:r>
    </w:p>
    <w:p>
      <w:pPr>
        <w:pStyle w:val="H3"/>
        <w:numPr>
          <w:ilvl w:val="2"/>
          <w:numId w:val="1"/>
        </w:numPr>
      </w:pPr>
      <w:r>
        <w:t>The Competitive Case</w:t>
      </w:r>
    </w:p>
    <w:p>
      <w:r>
        <w:rPr>
          <w:rFonts w:ascii="Figtree" w:hAnsi="Figtree"/>
          <w:b w:val="0"/>
          <w:i w:val="0"/>
          <w:sz w:val="22"/>
        </w:rPr>
        <w:t>Trade Republic's core value proposition -- low cost, simple, fast -- is further amplified by tokenized securities with T+0 settlement. Traditional brokers settle in T+2 with reconciliation overhead. Revolut and Scalable Capital are pursuing similar initiatives. First-mover advantage in German retail tokenized bonds creates a product differentiation that mass-market investors notice: "your bond settled instantly" versus "your bond settles in two business days."</w:t>
      </w:r>
    </w:p>
    <w:p>
      <w:pPr>
        <w:pStyle w:val="H3"/>
        <w:numPr>
          <w:ilvl w:val="2"/>
          <w:numId w:val="1"/>
        </w:numPr>
      </w:pPr>
      <w:r>
        <w:t>Revenue Creation</w:t>
      </w:r>
    </w:p>
    <w:p>
      <w:r>
        <w:rPr>
          <w:rFonts w:ascii="Figtree" w:hAnsi="Figtree"/>
          <w:b w:val="0"/>
          <w:i w:val="0"/>
          <w:sz w:val="22"/>
        </w:rPr>
        <w:t>Tokenized bond spread: Trade Republic earns 25-50 basis points on tokenized bond transactions. At EUR 500 million average daily tokenized bond volume, this generates EUR 1.25 to 2.5 million daily transaction revenue.</w:t>
      </w:r>
    </w:p>
    <w:p>
      <w:r>
        <w:rPr>
          <w:rFonts w:ascii="Figtree" w:hAnsi="Figtree"/>
          <w:b w:val="0"/>
          <w:i w:val="0"/>
          <w:sz w:val="22"/>
        </w:rPr>
        <w:t>AUM-based fees: EUR 1 billion in tokenized bond AUM at 10 basis points generates EUR 1 million annually.</w:t>
      </w:r>
    </w:p>
    <w:p>
      <w:r>
        <w:rPr>
          <w:rFonts w:ascii="Figtree" w:hAnsi="Figtree"/>
          <w:b w:val="0"/>
          <w:i w:val="0"/>
          <w:sz w:val="22"/>
        </w:rPr>
        <w:t>Settlement cost reduction: T+0 eliminates the need for Trade Republic's settlement operations team to manage T+2 counterparty risk exposure for tokenized instruments. Estimated EUR 400,000 annual operations savings at scale.</w:t>
      </w:r>
    </w:p>
    <w:p>
      <w:pPr>
        <w:pStyle w:val="H3"/>
        <w:numPr>
          <w:ilvl w:val="2"/>
          <w:numId w:val="1"/>
        </w:numPr>
      </w:pPr>
      <w:r>
        <w:t>Build vs. Buy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28"/>
        <w:gridCol w:w="3024"/>
        <w:gridCol w:w="16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14-18 weeks</w:t>
            </w:r>
          </w:p>
        </w:tc>
      </w:tr>
      <w:tr>
        <w:trPr>
          <w:trHeight w:val="425" w:hRule="atLeast"/>
        </w:trPr>
        <w:tc>
          <w:tcPr>
            <w:tcW w:type="dxa" w:w="3249"/>
            <w:vAlign w:val="center"/>
          </w:tcPr>
          <w:p>
            <w:pPr>
              <w:spacing w:line="276" w:lineRule="auto" w:before="0" w:after="0"/>
            </w:pPr>
            <w:r/>
            <w:r>
              <w:rPr>
                <w:rFonts w:ascii="Figtree" w:hAnsi="Figtree"/>
                <w:b w:val="0"/>
                <w:i w:val="0"/>
                <w:sz w:val="20"/>
              </w:rPr>
              <w:t>Initial development cost</w:t>
            </w:r>
          </w:p>
        </w:tc>
        <w:tc>
          <w:tcPr>
            <w:tcW w:type="dxa" w:w="3249"/>
            <w:vAlign w:val="center"/>
          </w:tcPr>
          <w:p>
            <w:pPr>
              <w:spacing w:line="276" w:lineRule="auto" w:before="0" w:after="0"/>
            </w:pPr>
            <w:r/>
            <w:r>
              <w:rPr>
                <w:rFonts w:ascii="Figtree" w:hAnsi="Figtree"/>
                <w:b w:val="0"/>
                <w:i w:val="0"/>
                <w:sz w:val="20"/>
              </w:rPr>
              <w:t>EUR 4-7 million</w:t>
            </w:r>
          </w:p>
        </w:tc>
        <w:tc>
          <w:tcPr>
            <w:tcW w:type="dxa" w:w="3249"/>
            <w:vAlign w:val="center"/>
          </w:tcPr>
          <w:p>
            <w:pPr>
              <w:spacing w:line="276" w:lineRule="auto" w:before="0" w:after="0"/>
            </w:pPr>
            <w:r/>
            <w:r>
              <w:rPr>
                <w:rFonts w:ascii="Figtree" w:hAnsi="Figtree"/>
                <w:b w:val="0"/>
                <w:i w:val="0"/>
                <w:sz w:val="20"/>
              </w:rPr>
              <w:t>EUR 380,000</w:t>
            </w:r>
          </w:p>
        </w:tc>
      </w:tr>
      <w:tr>
        <w:trPr>
          <w:trHeight w:val="425" w:hRule="atLeast"/>
        </w:trPr>
        <w:tc>
          <w:tcPr>
            <w:tcW w:type="dxa" w:w="3249"/>
            <w:vAlign w:val="center"/>
          </w:tcPr>
          <w:p>
            <w:pPr>
              <w:spacing w:line="276" w:lineRule="auto" w:before="0" w:after="0"/>
            </w:pPr>
            <w:r/>
            <w:r>
              <w:rPr>
                <w:rFonts w:ascii="Figtree" w:hAnsi="Figtree"/>
                <w:b w:val="0"/>
                <w:i w:val="0"/>
                <w:sz w:val="20"/>
              </w:rPr>
              <w:t>Annual maintenance</w:t>
            </w:r>
          </w:p>
        </w:tc>
        <w:tc>
          <w:tcPr>
            <w:tcW w:type="dxa" w:w="3249"/>
            <w:vAlign w:val="center"/>
          </w:tcPr>
          <w:p>
            <w:pPr>
              <w:spacing w:line="276" w:lineRule="auto" w:before="0" w:after="0"/>
            </w:pPr>
            <w:r/>
            <w:r>
              <w:rPr>
                <w:rFonts w:ascii="Figtree" w:hAnsi="Figtree"/>
                <w:b w:val="0"/>
                <w:i w:val="0"/>
                <w:sz w:val="20"/>
              </w:rPr>
              <w:t>EUR 1.5-2.5 million</w:t>
            </w:r>
          </w:p>
        </w:tc>
        <w:tc>
          <w:tcPr>
            <w:tcW w:type="dxa" w:w="3249"/>
            <w:vAlign w:val="center"/>
          </w:tcPr>
          <w:p>
            <w:pPr>
              <w:spacing w:line="276" w:lineRule="auto" w:before="0" w:after="0"/>
            </w:pPr>
            <w:r/>
            <w:r>
              <w:rPr>
                <w:rFonts w:ascii="Figtree" w:hAnsi="Figtree"/>
                <w:b w:val="0"/>
                <w:i w:val="0"/>
                <w:sz w:val="20"/>
              </w:rPr>
              <w:t>EUR 280,000</w:t>
            </w:r>
          </w:p>
        </w:tc>
      </w:tr>
      <w:tr>
        <w:trPr>
          <w:trHeight w:val="425" w:hRule="atLeast"/>
        </w:trPr>
        <w:tc>
          <w:tcPr>
            <w:tcW w:type="dxa" w:w="3249"/>
            <w:vAlign w:val="center"/>
          </w:tcPr>
          <w:p>
            <w:pPr>
              <w:spacing w:line="276" w:lineRule="auto" w:before="0" w:after="0"/>
            </w:pPr>
            <w:r/>
            <w:r>
              <w:rPr>
                <w:rFonts w:ascii="Figtree" w:hAnsi="Figtree"/>
                <w:b w:val="0"/>
                <w:i w:val="0"/>
                <w:sz w:val="20"/>
              </w:rPr>
              <w:t>Multi-asset support (bond + equity + ETF)</w:t>
            </w:r>
          </w:p>
        </w:tc>
        <w:tc>
          <w:tcPr>
            <w:tcW w:type="dxa" w:w="3249"/>
            <w:vAlign w:val="center"/>
          </w:tcPr>
          <w:p>
            <w:pPr>
              <w:spacing w:line="276" w:lineRule="auto" w:before="0" w:after="0"/>
            </w:pPr>
            <w:r/>
            <w:r>
              <w:rPr>
                <w:rFonts w:ascii="Figtree" w:hAnsi="Figtree"/>
                <w:b w:val="0"/>
                <w:i w:val="0"/>
                <w:sz w:val="20"/>
              </w:rPr>
              <w:t>Requires 3 builds</w:t>
            </w:r>
          </w:p>
        </w:tc>
        <w:tc>
          <w:tcPr>
            <w:tcW w:type="dxa" w:w="3249"/>
            <w:vAlign w:val="center"/>
          </w:tcPr>
          <w:p>
            <w:pPr>
              <w:spacing w:line="276" w:lineRule="auto" w:before="0" w:after="0"/>
            </w:pPr>
            <w:r/>
            <w:r>
              <w:rPr>
                <w:rFonts w:ascii="Figtree" w:hAnsi="Figtree"/>
                <w:b w:val="0"/>
                <w:i w:val="0"/>
                <w:sz w:val="20"/>
              </w:rPr>
              <w:t>Single platform</w:t>
            </w:r>
          </w:p>
        </w:tc>
      </w:tr>
      <w:tr>
        <w:trPr>
          <w:trHeight w:val="425" w:hRule="atLeast"/>
        </w:trPr>
        <w:tc>
          <w:tcPr>
            <w:tcW w:type="dxa" w:w="3249"/>
            <w:vAlign w:val="center"/>
          </w:tcPr>
          <w:p>
            <w:pPr>
              <w:spacing w:line="276" w:lineRule="auto" w:before="0" w:after="0"/>
            </w:pPr>
            <w:r/>
            <w:r>
              <w:rPr>
                <w:rFonts w:ascii="Figtree" w:hAnsi="Figtree"/>
                <w:b w:val="0"/>
                <w:i w:val="0"/>
                <w:sz w:val="20"/>
              </w:rPr>
              <w:t>BaFin/MiCA compliance</w:t>
            </w:r>
          </w:p>
        </w:tc>
        <w:tc>
          <w:tcPr>
            <w:tcW w:type="dxa" w:w="3249"/>
            <w:vAlign w:val="center"/>
          </w:tcPr>
          <w:p>
            <w:pPr>
              <w:spacing w:line="276" w:lineRule="auto" w:before="0" w:after="0"/>
            </w:pPr>
            <w:r/>
            <w:r>
              <w:rPr>
                <w:rFonts w:ascii="Figtree" w:hAnsi="Figtree"/>
                <w:b w:val="0"/>
                <w:i w:val="0"/>
                <w:sz w:val="20"/>
              </w:rPr>
              <w:t>Custom per regulation change</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T+0 DvP settlement engine</w:t>
            </w:r>
          </w:p>
        </w:tc>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Included</w:t>
            </w:r>
          </w:p>
        </w:tc>
      </w:tr>
    </w:tbl>
    <w:p>
      <w:pPr>
        <w:spacing w:before="0" w:after="0" w:line="120" w:lineRule="exact"/>
      </w:pPr>
    </w:p>
    <w:p>
      <w:r>
        <w:br w:type="page"/>
      </w:r>
    </w:p>
    <w:p>
      <w:pPr>
        <w:pStyle w:val="H2"/>
        <w:numPr>
          <w:ilvl w:val="1"/>
          <w:numId w:val="1"/>
        </w:numPr>
      </w:pPr>
      <w:r>
        <w:t>3. Licensing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4"/>
        <w:gridCol w:w="2442"/>
        <w:gridCol w:w="48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80,000</w:t>
            </w:r>
          </w:p>
        </w:tc>
        <w:tc>
          <w:tcPr>
            <w:tcW w:type="dxa" w:w="3249"/>
            <w:vAlign w:val="center"/>
          </w:tcPr>
          <w:p>
            <w:pPr>
              <w:spacing w:line="276" w:lineRule="auto" w:before="0" w:after="0"/>
            </w:pPr>
            <w:r/>
            <w:r>
              <w:rPr>
                <w:rFonts w:ascii="Figtree" w:hAnsi="Figtree"/>
                <w:b w:val="0"/>
                <w:i w:val="0"/>
                <w:sz w:val="20"/>
              </w:rPr>
              <w:t>Development, staging</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EUR 280,000</w:t>
            </w:r>
          </w:p>
        </w:tc>
        <w:tc>
          <w:tcPr>
            <w:tcW w:type="dxa" w:w="3249"/>
            <w:vAlign w:val="center"/>
          </w:tcPr>
          <w:p>
            <w:pPr>
              <w:spacing w:line="276" w:lineRule="auto" w:before="0" w:after="0"/>
            </w:pPr>
            <w:r/>
            <w:r>
              <w:rPr>
                <w:rFonts w:ascii="Figtree" w:hAnsi="Figtree"/>
                <w:b w:val="0"/>
                <w:i w:val="0"/>
                <w:sz w:val="20"/>
              </w:rPr>
              <w:t>Production retail securities</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EUR 480,000</w:t>
            </w:r>
          </w:p>
        </w:tc>
        <w:tc>
          <w:tcPr>
            <w:tcW w:type="dxa" w:w="3249"/>
            <w:vAlign w:val="center"/>
          </w:tcPr>
          <w:p>
            <w:pPr>
              <w:spacing w:line="276" w:lineRule="auto" w:before="0" w:after="0"/>
            </w:pPr>
            <w:r/>
            <w:r>
              <w:rPr>
                <w:rFonts w:ascii="Figtree" w:hAnsi="Figtree"/>
                <w:b w:val="0"/>
                <w:i w:val="0"/>
                <w:sz w:val="20"/>
              </w:rPr>
              <w:t>Sovereign scale</w:t>
            </w:r>
          </w:p>
        </w:tc>
      </w:tr>
    </w:tbl>
    <w:p>
      <w:pPr>
        <w:spacing w:before="0" w:after="0" w:line="120" w:lineRule="exact"/>
      </w:pPr>
    </w:p>
    <w:p>
      <w:r>
        <w:rPr>
          <w:rFonts w:ascii="Figtree" w:hAnsi="Figtree"/>
          <w:b w:val="0"/>
          <w:i w:val="0"/>
          <w:sz w:val="22"/>
        </w:rPr>
        <w:t>Enterprise covers unlimited security types, up to 1 million monthly transactions, 38 markets.</w:t>
      </w:r>
    </w:p>
    <w:p>
      <w:r>
        <w:rPr>
          <w:rFonts w:ascii="Figtree" w:hAnsi="Figtree"/>
          <w:b w:val="0"/>
          <w:i w:val="0"/>
          <w:sz w:val="22"/>
        </w:rPr>
        <w:t>Multi-environment: Production EUR 280,000, Staging EUR 40,000, Development EUR 20,000. Total EUR 340,000/year.</w:t>
      </w:r>
    </w:p>
    <w:p>
      <w:r>
        <w:br w:type="page"/>
      </w:r>
    </w:p>
    <w:p>
      <w:pPr>
        <w:pStyle w:val="H2"/>
        <w:numPr>
          <w:ilvl w:val="1"/>
          <w:numId w:val="1"/>
        </w:numPr>
      </w:pPr>
      <w:r>
        <w:t>4. Deployment Options and Pricing</w:t>
      </w:r>
    </w:p>
    <w:p>
      <w:pPr>
        <w:pStyle w:val="H3"/>
        <w:numPr>
          <w:ilvl w:val="2"/>
          <w:numId w:val="1"/>
        </w:numPr>
      </w:pPr>
      <w:r>
        <w:t>Private Cloud (Frankfurt, Kubernetes)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1"/>
        <w:gridCol w:w="2780"/>
        <w:gridCol w:w="27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Kubernetes resources</w:t>
            </w:r>
          </w:p>
        </w:tc>
        <w:tc>
          <w:tcPr>
            <w:tcW w:type="dxa" w:w="3249"/>
            <w:vAlign w:val="center"/>
          </w:tcPr>
          <w:p>
            <w:pPr>
              <w:spacing w:line="276" w:lineRule="auto" w:before="0" w:after="0"/>
            </w:pPr>
            <w:r/>
            <w:r>
              <w:rPr>
                <w:rFonts w:ascii="Figtree" w:hAnsi="Figtree"/>
                <w:b w:val="0"/>
                <w:i w:val="0"/>
                <w:sz w:val="20"/>
              </w:rPr>
              <w:t>EUR 900</w:t>
            </w:r>
          </w:p>
        </w:tc>
        <w:tc>
          <w:tcPr>
            <w:tcW w:type="dxa" w:w="3249"/>
            <w:vAlign w:val="center"/>
          </w:tcPr>
          <w:p>
            <w:pPr>
              <w:spacing w:line="276" w:lineRule="auto" w:before="0" w:after="0"/>
            </w:pPr>
            <w:r/>
            <w:r>
              <w:rPr>
                <w:rFonts w:ascii="Figtree" w:hAnsi="Figtree"/>
                <w:b w:val="0"/>
                <w:i w:val="0"/>
                <w:sz w:val="20"/>
              </w:rPr>
              <w:t>EUR 10,800</w:t>
            </w:r>
          </w:p>
        </w:tc>
      </w:tr>
      <w:tr>
        <w:trPr>
          <w:trHeight w:val="425" w:hRule="atLeast"/>
        </w:trPr>
        <w:tc>
          <w:tcPr>
            <w:tcW w:type="dxa" w:w="3249"/>
            <w:vAlign w:val="center"/>
          </w:tcPr>
          <w:p>
            <w:pPr>
              <w:spacing w:line="276" w:lineRule="auto" w:before="0" w:after="0"/>
            </w:pPr>
            <w:r/>
            <w:r>
              <w:rPr>
                <w:rFonts w:ascii="Figtree" w:hAnsi="Figtree"/>
                <w:b w:val="0"/>
                <w:i w:val="0"/>
                <w:sz w:val="20"/>
              </w:rPr>
              <w:t>PostgreSQL Multi-AZ</w:t>
            </w:r>
          </w:p>
        </w:tc>
        <w:tc>
          <w:tcPr>
            <w:tcW w:type="dxa" w:w="3249"/>
            <w:vAlign w:val="center"/>
          </w:tcPr>
          <w:p>
            <w:pPr>
              <w:spacing w:line="276" w:lineRule="auto" w:before="0" w:after="0"/>
            </w:pPr>
            <w:r/>
            <w:r>
              <w:rPr>
                <w:rFonts w:ascii="Figtree" w:hAnsi="Figtree"/>
                <w:b w:val="0"/>
                <w:i w:val="0"/>
                <w:sz w:val="20"/>
              </w:rPr>
              <w:t>EUR 900</w:t>
            </w:r>
          </w:p>
        </w:tc>
        <w:tc>
          <w:tcPr>
            <w:tcW w:type="dxa" w:w="3249"/>
            <w:vAlign w:val="center"/>
          </w:tcPr>
          <w:p>
            <w:pPr>
              <w:spacing w:line="276" w:lineRule="auto" w:before="0" w:after="0"/>
            </w:pPr>
            <w:r/>
            <w:r>
              <w:rPr>
                <w:rFonts w:ascii="Figtree" w:hAnsi="Figtree"/>
                <w:b w:val="0"/>
                <w:i w:val="0"/>
                <w:sz w:val="20"/>
              </w:rPr>
              <w:t>EUR 10,800</w:t>
            </w:r>
          </w:p>
        </w:tc>
      </w:tr>
      <w:tr>
        <w:trPr>
          <w:trHeight w:val="425" w:hRule="atLeast"/>
        </w:trPr>
        <w:tc>
          <w:tcPr>
            <w:tcW w:type="dxa" w:w="3249"/>
            <w:vAlign w:val="center"/>
          </w:tcPr>
          <w:p>
            <w:pPr>
              <w:spacing w:line="276" w:lineRule="auto" w:before="0" w:after="0"/>
            </w:pPr>
            <w:r/>
            <w:r>
              <w:rPr>
                <w:rFonts w:ascii="Figtree" w:hAnsi="Figtree"/>
                <w:b w:val="0"/>
                <w:i w:val="0"/>
                <w:sz w:val="20"/>
              </w:rPr>
              <w:t>S3 (5TB, 10yr audit)</w:t>
            </w:r>
          </w:p>
        </w:tc>
        <w:tc>
          <w:tcPr>
            <w:tcW w:type="dxa" w:w="3249"/>
            <w:vAlign w:val="center"/>
          </w:tcPr>
          <w:p>
            <w:pPr>
              <w:spacing w:line="276" w:lineRule="auto" w:before="0" w:after="0"/>
            </w:pPr>
            <w:r/>
            <w:r>
              <w:rPr>
                <w:rFonts w:ascii="Figtree" w:hAnsi="Figtree"/>
                <w:b w:val="0"/>
                <w:i w:val="0"/>
                <w:sz w:val="20"/>
              </w:rPr>
              <w:t>EUR 110</w:t>
            </w:r>
          </w:p>
        </w:tc>
        <w:tc>
          <w:tcPr>
            <w:tcW w:type="dxa" w:w="3249"/>
            <w:vAlign w:val="center"/>
          </w:tcPr>
          <w:p>
            <w:pPr>
              <w:spacing w:line="276" w:lineRule="auto" w:before="0" w:after="0"/>
            </w:pPr>
            <w:r/>
            <w:r>
              <w:rPr>
                <w:rFonts w:ascii="Figtree" w:hAnsi="Figtree"/>
                <w:b w:val="0"/>
                <w:i w:val="0"/>
                <w:sz w:val="20"/>
              </w:rPr>
              <w:t>EUR 1,320</w:t>
            </w:r>
          </w:p>
        </w:tc>
      </w:tr>
      <w:tr>
        <w:trPr>
          <w:trHeight w:val="425" w:hRule="atLeast"/>
        </w:trPr>
        <w:tc>
          <w:tcPr>
            <w:tcW w:type="dxa" w:w="3249"/>
            <w:vAlign w:val="center"/>
          </w:tcPr>
          <w:p>
            <w:pPr>
              <w:spacing w:line="276" w:lineRule="auto" w:before="0" w:after="0"/>
            </w:pPr>
            <w:r/>
            <w:r>
              <w:rPr>
                <w:rFonts w:ascii="Figtree" w:hAnsi="Figtree"/>
                <w:b w:val="0"/>
                <w:i w:val="0"/>
                <w:sz w:val="20"/>
              </w:rPr>
              <w:t>KMS</w:t>
            </w:r>
          </w:p>
        </w:tc>
        <w:tc>
          <w:tcPr>
            <w:tcW w:type="dxa" w:w="3249"/>
            <w:vAlign w:val="center"/>
          </w:tcPr>
          <w:p>
            <w:pPr>
              <w:spacing w:line="276" w:lineRule="auto" w:before="0" w:after="0"/>
            </w:pPr>
            <w:r/>
            <w:r>
              <w:rPr>
                <w:rFonts w:ascii="Figtree" w:hAnsi="Figtree"/>
                <w:b w:val="0"/>
                <w:i w:val="0"/>
                <w:sz w:val="20"/>
              </w:rPr>
              <w:t>EUR 200</w:t>
            </w:r>
          </w:p>
        </w:tc>
        <w:tc>
          <w:tcPr>
            <w:tcW w:type="dxa" w:w="3249"/>
            <w:vAlign w:val="center"/>
          </w:tcPr>
          <w:p>
            <w:pPr>
              <w:spacing w:line="276" w:lineRule="auto" w:before="0" w:after="0"/>
            </w:pPr>
            <w:r/>
            <w:r>
              <w:rPr>
                <w:rFonts w:ascii="Figtree" w:hAnsi="Figtree"/>
                <w:b w:val="0"/>
                <w:i w:val="0"/>
                <w:sz w:val="20"/>
              </w:rPr>
              <w:t>EUR 2,400</w:t>
            </w:r>
          </w:p>
        </w:tc>
      </w:tr>
      <w:tr>
        <w:trPr>
          <w:trHeight w:val="425" w:hRule="atLeast"/>
        </w:trPr>
        <w:tc>
          <w:tcPr>
            <w:tcW w:type="dxa" w:w="3249"/>
            <w:vAlign w:val="center"/>
          </w:tcPr>
          <w:p>
            <w:pPr>
              <w:spacing w:line="276" w:lineRule="auto" w:before="0" w:after="0"/>
            </w:pPr>
            <w:r/>
            <w:r>
              <w:rPr>
                <w:rFonts w:ascii="Figtree" w:hAnsi="Figtree"/>
                <w:b w:val="0"/>
                <w:i w:val="0"/>
                <w:sz w:val="20"/>
              </w:rPr>
              <w:t>Network/transfer</w:t>
            </w:r>
          </w:p>
        </w:tc>
        <w:tc>
          <w:tcPr>
            <w:tcW w:type="dxa" w:w="3249"/>
            <w:vAlign w:val="center"/>
          </w:tcPr>
          <w:p>
            <w:pPr>
              <w:spacing w:line="276" w:lineRule="auto" w:before="0" w:after="0"/>
            </w:pPr>
            <w:r/>
            <w:r>
              <w:rPr>
                <w:rFonts w:ascii="Figtree" w:hAnsi="Figtree"/>
                <w:b w:val="0"/>
                <w:i w:val="0"/>
                <w:sz w:val="20"/>
              </w:rPr>
              <w:t>EUR 250</w:t>
            </w:r>
          </w:p>
        </w:tc>
        <w:tc>
          <w:tcPr>
            <w:tcW w:type="dxa" w:w="3249"/>
            <w:vAlign w:val="center"/>
          </w:tcPr>
          <w:p>
            <w:pPr>
              <w:spacing w:line="276" w:lineRule="auto" w:before="0" w:after="0"/>
            </w:pPr>
            <w:r/>
            <w:r>
              <w:rPr>
                <w:rFonts w:ascii="Figtree" w:hAnsi="Figtree"/>
                <w:b w:val="0"/>
                <w:i w:val="0"/>
                <w:sz w:val="20"/>
              </w:rPr>
              <w:t>EUR 3,000</w:t>
            </w:r>
          </w:p>
        </w:tc>
      </w:tr>
      <w:tr>
        <w:trPr>
          <w:trHeight w:val="425" w:hRule="atLeast"/>
        </w:trPr>
        <w:tc>
          <w:tcPr>
            <w:tcW w:type="dxa" w:w="3249"/>
            <w:vAlign w:val="center"/>
          </w:tcPr>
          <w:p>
            <w:pPr>
              <w:spacing w:line="276" w:lineRule="auto" w:before="0" w:after="0"/>
            </w:pPr>
            <w:r/>
            <w:r>
              <w:rPr>
                <w:rFonts w:ascii="Figtree" w:hAnsi="Figtree"/>
                <w:b w:val="0"/>
                <w:i w:val="0"/>
                <w:sz w:val="20"/>
              </w:rPr>
              <w:t>Besu validators (4x)</w:t>
            </w:r>
          </w:p>
        </w:tc>
        <w:tc>
          <w:tcPr>
            <w:tcW w:type="dxa" w:w="3249"/>
            <w:vAlign w:val="center"/>
          </w:tcPr>
          <w:p>
            <w:pPr>
              <w:spacing w:line="276" w:lineRule="auto" w:before="0" w:after="0"/>
            </w:pPr>
            <w:r/>
            <w:r>
              <w:rPr>
                <w:rFonts w:ascii="Figtree" w:hAnsi="Figtree"/>
                <w:b w:val="0"/>
                <w:i w:val="0"/>
                <w:sz w:val="20"/>
              </w:rPr>
              <w:t>EUR 400</w:t>
            </w:r>
          </w:p>
        </w:tc>
        <w:tc>
          <w:tcPr>
            <w:tcW w:type="dxa" w:w="3249"/>
            <w:vAlign w:val="center"/>
          </w:tcPr>
          <w:p>
            <w:pPr>
              <w:spacing w:line="276" w:lineRule="auto" w:before="0" w:after="0"/>
            </w:pPr>
            <w:r/>
            <w:r>
              <w:rPr>
                <w:rFonts w:ascii="Figtree" w:hAnsi="Figtree"/>
                <w:b w:val="0"/>
                <w:i w:val="0"/>
                <w:sz w:val="20"/>
              </w:rPr>
              <w:t>EUR 4,800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w:t>
            </w:r>
          </w:p>
        </w:tc>
        <w:tc>
          <w:tcPr>
            <w:tcW w:type="dxa" w:w="3249"/>
            <w:vAlign w:val="center"/>
          </w:tcPr>
          <w:p>
            <w:pPr>
              <w:spacing w:line="276" w:lineRule="auto" w:before="0" w:after="0"/>
            </w:pPr>
            <w:r/>
            <w:r>
              <w:rPr>
                <w:rFonts w:ascii="Figtree" w:hAnsi="Figtree"/>
                <w:b/>
                <w:i w:val="0"/>
                <w:sz w:val="20"/>
              </w:rPr>
              <w:t>EUR 2,760/month</w:t>
            </w:r>
          </w:p>
        </w:tc>
        <w:tc>
          <w:tcPr>
            <w:tcW w:type="dxa" w:w="3249"/>
            <w:vAlign w:val="center"/>
          </w:tcPr>
          <w:p>
            <w:pPr>
              <w:spacing w:line="276" w:lineRule="auto" w:before="0" w:after="0"/>
            </w:pPr>
            <w:r/>
            <w:r>
              <w:rPr>
                <w:rFonts w:ascii="Figtree" w:hAnsi="Figtree"/>
                <w:b/>
                <w:i w:val="0"/>
                <w:sz w:val="20"/>
              </w:rPr>
              <w:t>EUR 33,120/year</w:t>
            </w:r>
          </w:p>
        </w:tc>
      </w:tr>
    </w:tbl>
    <w:p>
      <w:pPr>
        <w:spacing w:before="0" w:after="0" w:line="120" w:lineRule="exact"/>
      </w:pPr>
    </w:p>
    <w:p>
      <w:r>
        <w:rPr>
          <w:rFonts w:ascii="Figtree" w:hAnsi="Figtree"/>
          <w:b/>
          <w:i w:val="0"/>
          <w:sz w:val="22"/>
        </w:rPr>
        <w:t>DFNS retail investor wallets:</w:t>
      </w:r>
      <w:r>
        <w:rPr>
          <w:rFonts w:ascii="Figtree" w:hAnsi="Figtree"/>
          <w:b w:val="0"/>
          <w:i w:val="0"/>
          <w:sz w:val="22"/>
        </w:rPr>
        <w:t xml:space="preserve"> EUR 35,000 to EUR 45,000 per year. SettleMint negotiates preferred DFNS pricing for Enterprise customers. Consumer wallet volume at 8M investors assumed to scale to 400K-800K active wallets within 18 months; enterprise volume pricing applies above standard 100K threshold.</w:t>
      </w:r>
    </w:p>
    <w:p>
      <w:r>
        <w:br w:type="page"/>
      </w:r>
    </w:p>
    <w:p>
      <w:pPr>
        <w:pStyle w:val="H2"/>
        <w:numPr>
          <w:ilvl w:val="1"/>
          <w:numId w:val="1"/>
        </w:numPr>
      </w:pPr>
      <w:r>
        <w:t>5. Support and SLA</w:t>
      </w:r>
    </w:p>
    <w:p>
      <w:r>
        <w:rPr>
          <w:rFonts w:ascii="Figtree" w:hAnsi="Figtree"/>
          <w:b w:val="0"/>
          <w:i w:val="0"/>
          <w:sz w:val="22"/>
        </w:rPr>
        <w:t>Enterprise Support: EUR 120,000/year, 24/7/365, 99.99% uptime SLA, 15-minute P1 response, 2-hour P1 resolution. T+0 settlement failures for retail investors are P1 incidents with immediate response required.</w:t>
      </w:r>
    </w:p>
    <w:p>
      <w:r>
        <w:br w:type="page"/>
      </w:r>
    </w:p>
    <w:p>
      <w:pPr>
        <w:pStyle w:val="H2"/>
        <w:numPr>
          <w:ilvl w:val="1"/>
          <w:numId w:val="1"/>
        </w:numPr>
      </w:pPr>
      <w:r>
        <w:t>6.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35"/>
        <w:gridCol w:w="5652"/>
        <w:gridCol w:w="837"/>
        <w:gridCol w:w="10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BaFin/MiCA mapping, brokerage API, multi-asset architecture</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38,000</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w:t>
            </w:r>
          </w:p>
        </w:tc>
        <w:tc>
          <w:tcPr>
            <w:tcW w:type="dxa" w:w="2436"/>
            <w:vAlign w:val="center"/>
          </w:tcPr>
          <w:p>
            <w:pPr>
              <w:spacing w:line="276" w:lineRule="auto" w:before="0" w:after="0"/>
            </w:pPr>
            <w:r/>
            <w:r>
              <w:rPr>
                <w:rFonts w:ascii="Figtree" w:hAnsi="Figtree"/>
                <w:b w:val="0"/>
                <w:i w:val="0"/>
                <w:sz w:val="20"/>
              </w:rPr>
              <w:t>Kubernetes, bond/equity/fund tokens, BaFin/MiCA retail, DFNS, EUR stablecoin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72,000</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w:t>
            </w:r>
          </w:p>
        </w:tc>
        <w:tc>
          <w:tcPr>
            <w:tcW w:type="dxa" w:w="2436"/>
            <w:vAlign w:val="center"/>
          </w:tcPr>
          <w:p>
            <w:pPr>
              <w:spacing w:line="276" w:lineRule="auto" w:before="0" w:after="0"/>
            </w:pPr>
            <w:r/>
            <w:r>
              <w:rPr>
                <w:rFonts w:ascii="Figtree" w:hAnsi="Figtree"/>
                <w:b w:val="0"/>
                <w:i w:val="0"/>
                <w:sz w:val="20"/>
              </w:rPr>
              <w:t>Brokerage settlement, portfolio management, KYC claims, corporate actions, webhooks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110,000</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w:t>
            </w:r>
          </w:p>
        </w:tc>
        <w:tc>
          <w:tcPr>
            <w:tcW w:type="dxa" w:w="2436"/>
            <w:vAlign w:val="center"/>
          </w:tcPr>
          <w:p>
            <w:pPr>
              <w:spacing w:line="276" w:lineRule="auto" w:before="0" w:after="0"/>
            </w:pPr>
            <w:r/>
            <w:r>
              <w:rPr>
                <w:rFonts w:ascii="Figtree" w:hAnsi="Figtree"/>
                <w:b w:val="0"/>
                <w:i w:val="0"/>
                <w:sz w:val="20"/>
              </w:rPr>
              <w:t>Functional, T+0 performance, BaFin security review, multi-asset compliance, retail UAT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90,000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Production, beta cohort (50K investors)</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EUR 44,000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Monitoring, optimization, knowledge transfer</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26,000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14 weeks</w:t>
            </w:r>
          </w:p>
        </w:tc>
        <w:tc>
          <w:tcPr>
            <w:tcW w:type="dxa" w:w="2436"/>
            <w:vAlign w:val="center"/>
          </w:tcPr>
          <w:p>
            <w:pPr>
              <w:spacing w:line="276" w:lineRule="auto" w:before="0" w:after="0"/>
            </w:pPr>
            <w:r/>
            <w:r>
              <w:rPr>
                <w:rFonts w:ascii="Figtree" w:hAnsi="Figtree"/>
                <w:b/>
                <w:i w:val="0"/>
                <w:sz w:val="20"/>
              </w:rPr>
              <w:t>EUR 380,000</w:t>
            </w:r>
          </w:p>
        </w:tc>
      </w:tr>
    </w:tbl>
    <w:p>
      <w:pPr>
        <w:spacing w:before="0" w:after="0" w:line="120" w:lineRule="exact"/>
      </w:pPr>
    </w:p>
    <w:p>
      <w:pPr>
        <w:pStyle w:val="H3"/>
        <w:numPr>
          <w:ilvl w:val="2"/>
          <w:numId w:val="1"/>
        </w:numPr>
      </w:pPr>
      <w:r>
        <w:t>Assumptions</w:t>
      </w:r>
    </w:p>
    <w:p>
      <w:pPr>
        <w:pStyle w:val="ListParagraph"/>
        <w:numPr>
          <w:ilvl w:val="0"/>
          <w:numId w:val="4"/>
        </w:numPr>
      </w:pPr>
      <w:r>
        <w:rPr>
          <w:rFonts w:ascii="Figtree" w:hAnsi="Figtree"/>
          <w:b w:val="0"/>
          <w:i w:val="0"/>
          <w:sz w:val="22"/>
        </w:rPr>
        <w:t>Phase 1 scope: tokenized bonds (EUR denomination) and ETFs; tokenized equities in Phase 2</w:t>
      </w:r>
    </w:p>
    <w:p>
      <w:pPr>
        <w:pStyle w:val="ListParagraph"/>
        <w:numPr>
          <w:ilvl w:val="0"/>
          <w:numId w:val="4"/>
        </w:numPr>
      </w:pPr>
      <w:r>
        <w:rPr>
          <w:rFonts w:ascii="Figtree" w:hAnsi="Figtree"/>
          <w:b w:val="0"/>
          <w:i w:val="0"/>
          <w:sz w:val="22"/>
        </w:rPr>
        <w:t>Trade Republic provides brokerage API documentation by Phase 3 start</w:t>
      </w:r>
    </w:p>
    <w:p>
      <w:pPr>
        <w:pStyle w:val="ListParagraph"/>
        <w:numPr>
          <w:ilvl w:val="0"/>
          <w:numId w:val="4"/>
        </w:numPr>
      </w:pPr>
      <w:r>
        <w:rPr>
          <w:rFonts w:ascii="Figtree" w:hAnsi="Figtree"/>
          <w:b w:val="0"/>
          <w:i w:val="0"/>
          <w:sz w:val="22"/>
        </w:rPr>
        <w:t>DFNS passkey integration for Trade Republic's mobile app; Phase 2 PoC included</w:t>
      </w:r>
    </w:p>
    <w:p>
      <w:pPr>
        <w:pStyle w:val="ListParagraph"/>
        <w:numPr>
          <w:ilvl w:val="0"/>
          <w:numId w:val="4"/>
        </w:numPr>
      </w:pPr>
      <w:r>
        <w:rPr>
          <w:rFonts w:ascii="Figtree" w:hAnsi="Figtree"/>
          <w:b w:val="0"/>
          <w:i w:val="0"/>
          <w:sz w:val="22"/>
        </w:rPr>
        <w:t>Private Besu blockchain; public EVM option adds EUR 15,000 to Phase 2-3</w:t>
      </w:r>
    </w:p>
    <w:p>
      <w:pPr>
        <w:pStyle w:val="H3"/>
        <w:numPr>
          <w:ilvl w:val="2"/>
          <w:numId w:val="1"/>
        </w:numPr>
      </w:pPr>
      <w:r>
        <w:t>Out-of-Scope</w:t>
      </w:r>
    </w:p>
    <w:p>
      <w:pPr>
        <w:pStyle w:val="ListParagraph"/>
        <w:numPr>
          <w:ilvl w:val="0"/>
          <w:numId w:val="4"/>
        </w:numPr>
      </w:pPr>
      <w:r>
        <w:rPr>
          <w:rFonts w:ascii="Figtree" w:hAnsi="Figtree"/>
          <w:b w:val="0"/>
          <w:i w:val="0"/>
          <w:sz w:val="22"/>
        </w:rPr>
        <w:t>MiFID II suitability assessment (Trade Republic's existing system)</w:t>
      </w:r>
    </w:p>
    <w:p>
      <w:pPr>
        <w:pStyle w:val="ListParagraph"/>
        <w:numPr>
          <w:ilvl w:val="0"/>
          <w:numId w:val="4"/>
        </w:numPr>
      </w:pPr>
      <w:r>
        <w:rPr>
          <w:rFonts w:ascii="Figtree" w:hAnsi="Figtree"/>
          <w:b w:val="0"/>
          <w:i w:val="0"/>
          <w:sz w:val="22"/>
        </w:rPr>
        <w:t>Traditional T+2 CSD settlement (tokenized T+0 only)</w:t>
      </w:r>
    </w:p>
    <w:p>
      <w:pPr>
        <w:pStyle w:val="ListParagraph"/>
        <w:numPr>
          <w:ilvl w:val="0"/>
          <w:numId w:val="4"/>
        </w:numPr>
      </w:pPr>
      <w:r>
        <w:rPr>
          <w:rFonts w:ascii="Figtree" w:hAnsi="Figtree"/>
          <w:b w:val="0"/>
          <w:i w:val="0"/>
          <w:sz w:val="22"/>
        </w:rPr>
        <w:t>Custom regulatory reporting formats</w:t>
      </w:r>
    </w:p>
    <w:p>
      <w:pPr>
        <w:pStyle w:val="ListParagraph"/>
        <w:numPr>
          <w:ilvl w:val="0"/>
          <w:numId w:val="4"/>
        </w:numPr>
      </w:pPr>
      <w:r>
        <w:rPr>
          <w:rFonts w:ascii="Figtree" w:hAnsi="Figtree"/>
          <w:b w:val="0"/>
          <w:i w:val="0"/>
          <w:sz w:val="22"/>
        </w:rPr>
        <w:t>Fractional sub-EUR position mechanics (Phase 3)</w:t>
      </w:r>
    </w:p>
    <w:p>
      <w:pPr>
        <w:pStyle w:val="H3"/>
        <w:numPr>
          <w:ilvl w:val="2"/>
          <w:numId w:val="1"/>
        </w:numPr>
      </w:pPr>
      <w:r>
        <w:t>Day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79"/>
        <w:gridCol w:w="30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Day Rate</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EUR 2,500</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EUR 2,000</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EUR 2,000</w:t>
            </w:r>
          </w:p>
        </w:tc>
      </w:tr>
      <w:tr>
        <w:trPr>
          <w:trHeight w:val="425" w:hRule="atLeast"/>
        </w:trPr>
        <w:tc>
          <w:tcPr>
            <w:tcW w:type="dxa" w:w="4873"/>
            <w:vAlign w:val="center"/>
          </w:tcPr>
          <w:p>
            <w:pPr>
              <w:spacing w:line="276" w:lineRule="auto" w:before="0" w:after="0"/>
            </w:pPr>
            <w:r/>
            <w:r>
              <w:rPr>
                <w:rFonts w:ascii="Figtree" w:hAnsi="Figtree"/>
                <w:b w:val="0"/>
                <w:i w:val="0"/>
                <w:sz w:val="20"/>
              </w:rPr>
              <w:t>Security Engineer</w:t>
            </w:r>
          </w:p>
        </w:tc>
        <w:tc>
          <w:tcPr>
            <w:tcW w:type="dxa" w:w="4873"/>
            <w:vAlign w:val="center"/>
          </w:tcPr>
          <w:p>
            <w:pPr>
              <w:spacing w:line="276" w:lineRule="auto" w:before="0" w:after="0"/>
            </w:pPr>
            <w:r/>
            <w:r>
              <w:rPr>
                <w:rFonts w:ascii="Figtree" w:hAnsi="Figtree"/>
                <w:b w:val="0"/>
                <w:i w:val="0"/>
                <w:sz w:val="20"/>
              </w:rPr>
              <w:t>EUR 2,200</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EUR 2,200</w:t>
            </w:r>
          </w:p>
        </w:tc>
      </w:tr>
    </w:tbl>
    <w:p>
      <w:pPr>
        <w:spacing w:before="0" w:after="0" w:line="120" w:lineRule="exact"/>
      </w:pPr>
    </w:p>
    <w:p>
      <w:r>
        <w:br w:type="page"/>
      </w:r>
    </w:p>
    <w:p>
      <w:pPr>
        <w:pStyle w:val="H2"/>
        <w:numPr>
          <w:ilvl w:val="1"/>
          <w:numId w:val="1"/>
        </w:numPr>
      </w:pPr>
      <w:r>
        <w:t>7. Commercial Terms</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73"/>
        <w:gridCol w:w="239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 License Year 1 (50%)</w:t>
            </w:r>
          </w:p>
        </w:tc>
        <w:tc>
          <w:tcPr>
            <w:tcW w:type="dxa" w:w="4873"/>
            <w:vAlign w:val="center"/>
          </w:tcPr>
          <w:p>
            <w:pPr>
              <w:spacing w:line="276" w:lineRule="auto" w:before="0" w:after="0"/>
            </w:pPr>
            <w:r/>
            <w:r>
              <w:rPr>
                <w:rFonts w:ascii="Figtree" w:hAnsi="Figtree"/>
                <w:b w:val="0"/>
                <w:i w:val="0"/>
                <w:sz w:val="20"/>
              </w:rPr>
              <w:t>EUR 140,000</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 Phase 1</w:t>
            </w:r>
          </w:p>
        </w:tc>
        <w:tc>
          <w:tcPr>
            <w:tcW w:type="dxa" w:w="4873"/>
            <w:vAlign w:val="center"/>
          </w:tcPr>
          <w:p>
            <w:pPr>
              <w:spacing w:line="276" w:lineRule="auto" w:before="0" w:after="0"/>
            </w:pPr>
            <w:r/>
            <w:r>
              <w:rPr>
                <w:rFonts w:ascii="Figtree" w:hAnsi="Figtree"/>
                <w:b w:val="0"/>
                <w:i w:val="0"/>
                <w:sz w:val="20"/>
              </w:rPr>
              <w:t>EUR 38,000</w:t>
            </w:r>
          </w:p>
        </w:tc>
      </w:tr>
      <w:tr>
        <w:trPr>
          <w:trHeight w:val="425" w:hRule="atLeast"/>
        </w:trPr>
        <w:tc>
          <w:tcPr>
            <w:tcW w:type="dxa" w:w="4873"/>
            <w:vAlign w:val="center"/>
          </w:tcPr>
          <w:p>
            <w:pPr>
              <w:spacing w:line="276" w:lineRule="auto" w:before="0" w:after="0"/>
            </w:pPr>
            <w:r/>
            <w:r>
              <w:rPr>
                <w:rFonts w:ascii="Figtree" w:hAnsi="Figtree"/>
                <w:b w:val="0"/>
                <w:i w:val="0"/>
                <w:sz w:val="20"/>
              </w:rPr>
              <w:t>P1 Gate: Phase 2</w:t>
            </w:r>
          </w:p>
        </w:tc>
        <w:tc>
          <w:tcPr>
            <w:tcW w:type="dxa" w:w="4873"/>
            <w:vAlign w:val="center"/>
          </w:tcPr>
          <w:p>
            <w:pPr>
              <w:spacing w:line="276" w:lineRule="auto" w:before="0" w:after="0"/>
            </w:pPr>
            <w:r/>
            <w:r>
              <w:rPr>
                <w:rFonts w:ascii="Figtree" w:hAnsi="Figtree"/>
                <w:b w:val="0"/>
                <w:i w:val="0"/>
                <w:sz w:val="20"/>
              </w:rPr>
              <w:t>EUR 72,000</w:t>
            </w:r>
          </w:p>
        </w:tc>
      </w:tr>
      <w:tr>
        <w:trPr>
          <w:trHeight w:val="425" w:hRule="atLeast"/>
        </w:trPr>
        <w:tc>
          <w:tcPr>
            <w:tcW w:type="dxa" w:w="4873"/>
            <w:vAlign w:val="center"/>
          </w:tcPr>
          <w:p>
            <w:pPr>
              <w:spacing w:line="276" w:lineRule="auto" w:before="0" w:after="0"/>
            </w:pPr>
            <w:r/>
            <w:r>
              <w:rPr>
                <w:rFonts w:ascii="Figtree" w:hAnsi="Figtree"/>
                <w:b w:val="0"/>
                <w:i w:val="0"/>
                <w:sz w:val="20"/>
              </w:rPr>
              <w:t>P2 Gate: Phase 3 (50%)</w:t>
            </w:r>
          </w:p>
        </w:tc>
        <w:tc>
          <w:tcPr>
            <w:tcW w:type="dxa" w:w="4873"/>
            <w:vAlign w:val="center"/>
          </w:tcPr>
          <w:p>
            <w:pPr>
              <w:spacing w:line="276" w:lineRule="auto" w:before="0" w:after="0"/>
            </w:pPr>
            <w:r/>
            <w:r>
              <w:rPr>
                <w:rFonts w:ascii="Figtree" w:hAnsi="Figtree"/>
                <w:b w:val="0"/>
                <w:i w:val="0"/>
                <w:sz w:val="20"/>
              </w:rPr>
              <w:t>EUR 55,000</w:t>
            </w:r>
          </w:p>
        </w:tc>
      </w:tr>
      <w:tr>
        <w:trPr>
          <w:trHeight w:val="425" w:hRule="atLeast"/>
        </w:trPr>
        <w:tc>
          <w:tcPr>
            <w:tcW w:type="dxa" w:w="4873"/>
            <w:vAlign w:val="center"/>
          </w:tcPr>
          <w:p>
            <w:pPr>
              <w:spacing w:line="276" w:lineRule="auto" w:before="0" w:after="0"/>
            </w:pPr>
            <w:r/>
            <w:r>
              <w:rPr>
                <w:rFonts w:ascii="Figtree" w:hAnsi="Figtree"/>
                <w:b w:val="0"/>
                <w:i w:val="0"/>
                <w:sz w:val="20"/>
              </w:rPr>
              <w:t>P3 Gate: Phase 3 (50%) + Phase 4</w:t>
            </w:r>
          </w:p>
        </w:tc>
        <w:tc>
          <w:tcPr>
            <w:tcW w:type="dxa" w:w="4873"/>
            <w:vAlign w:val="center"/>
          </w:tcPr>
          <w:p>
            <w:pPr>
              <w:spacing w:line="276" w:lineRule="auto" w:before="0" w:after="0"/>
            </w:pPr>
            <w:r/>
            <w:r>
              <w:rPr>
                <w:rFonts w:ascii="Figtree" w:hAnsi="Figtree"/>
                <w:b w:val="0"/>
                <w:i w:val="0"/>
                <w:sz w:val="20"/>
              </w:rPr>
              <w:t>EUR 145,000</w:t>
            </w:r>
          </w:p>
        </w:tc>
      </w:tr>
      <w:tr>
        <w:trPr>
          <w:trHeight w:val="425" w:hRule="atLeast"/>
        </w:trPr>
        <w:tc>
          <w:tcPr>
            <w:tcW w:type="dxa" w:w="4873"/>
            <w:vAlign w:val="center"/>
          </w:tcPr>
          <w:p>
            <w:pPr>
              <w:spacing w:line="276" w:lineRule="auto" w:before="0" w:after="0"/>
            </w:pPr>
            <w:r/>
            <w:r>
              <w:rPr>
                <w:rFonts w:ascii="Figtree" w:hAnsi="Figtree"/>
                <w:b w:val="0"/>
                <w:i w:val="0"/>
                <w:sz w:val="20"/>
              </w:rPr>
              <w:t>P4 Gate: Phase 5 + 6</w:t>
            </w:r>
          </w:p>
        </w:tc>
        <w:tc>
          <w:tcPr>
            <w:tcW w:type="dxa" w:w="4873"/>
            <w:vAlign w:val="center"/>
          </w:tcPr>
          <w:p>
            <w:pPr>
              <w:spacing w:line="276" w:lineRule="auto" w:before="0" w:after="0"/>
            </w:pPr>
            <w:r/>
            <w:r>
              <w:rPr>
                <w:rFonts w:ascii="Figtree" w:hAnsi="Figtree"/>
                <w:b w:val="0"/>
                <w:i w:val="0"/>
                <w:sz w:val="20"/>
              </w:rPr>
              <w:t>EUR 70,000</w:t>
            </w:r>
          </w:p>
        </w:tc>
      </w:tr>
      <w:tr>
        <w:trPr>
          <w:trHeight w:val="425" w:hRule="atLeast"/>
        </w:trPr>
        <w:tc>
          <w:tcPr>
            <w:tcW w:type="dxa" w:w="4873"/>
            <w:vAlign w:val="center"/>
          </w:tcPr>
          <w:p>
            <w:pPr>
              <w:spacing w:line="276" w:lineRule="auto" w:before="0" w:after="0"/>
            </w:pPr>
            <w:r/>
            <w:r>
              <w:rPr>
                <w:rFonts w:ascii="Figtree" w:hAnsi="Figtree"/>
                <w:b w:val="0"/>
                <w:i w:val="0"/>
                <w:sz w:val="20"/>
              </w:rPr>
              <w:t>Go-Live: License Year 1 (50%)</w:t>
            </w:r>
          </w:p>
        </w:tc>
        <w:tc>
          <w:tcPr>
            <w:tcW w:type="dxa" w:w="4873"/>
            <w:vAlign w:val="center"/>
          </w:tcPr>
          <w:p>
            <w:pPr>
              <w:spacing w:line="276" w:lineRule="auto" w:before="0" w:after="0"/>
            </w:pPr>
            <w:r/>
            <w:r>
              <w:rPr>
                <w:rFonts w:ascii="Figtree" w:hAnsi="Figtree"/>
                <w:b w:val="0"/>
                <w:i w:val="0"/>
                <w:sz w:val="20"/>
              </w:rPr>
              <w:t>EUR 140,000</w:t>
            </w:r>
          </w:p>
        </w:tc>
      </w:tr>
      <w:tr>
        <w:trPr>
          <w:trHeight w:val="425" w:hRule="atLeast"/>
        </w:trPr>
        <w:tc>
          <w:tcPr>
            <w:tcW w:type="dxa" w:w="4873"/>
            <w:vAlign w:val="center"/>
          </w:tcPr>
          <w:p>
            <w:pPr>
              <w:spacing w:line="276" w:lineRule="auto" w:before="0" w:after="0"/>
            </w:pPr>
            <w:r/>
            <w:r>
              <w:rPr>
                <w:rFonts w:ascii="Figtree" w:hAnsi="Figtree"/>
                <w:b w:val="0"/>
                <w:i w:val="0"/>
                <w:sz w:val="20"/>
              </w:rPr>
              <w:t>Year 2 renewal</w:t>
            </w:r>
          </w:p>
        </w:tc>
        <w:tc>
          <w:tcPr>
            <w:tcW w:type="dxa" w:w="4873"/>
            <w:vAlign w:val="center"/>
          </w:tcPr>
          <w:p>
            <w:pPr>
              <w:spacing w:line="276" w:lineRule="auto" w:before="0" w:after="0"/>
            </w:pPr>
            <w:r/>
            <w:r>
              <w:rPr>
                <w:rFonts w:ascii="Figtree" w:hAnsi="Figtree"/>
                <w:b w:val="0"/>
                <w:i w:val="0"/>
                <w:sz w:val="20"/>
              </w:rPr>
              <w:t>EUR 400,000</w:t>
            </w:r>
          </w:p>
        </w:tc>
      </w:tr>
      <w:tr>
        <w:trPr>
          <w:trHeight w:val="425" w:hRule="atLeast"/>
        </w:trPr>
        <w:tc>
          <w:tcPr>
            <w:tcW w:type="dxa" w:w="4873"/>
            <w:vAlign w:val="center"/>
          </w:tcPr>
          <w:p>
            <w:pPr>
              <w:spacing w:line="276" w:lineRule="auto" w:before="0" w:after="0"/>
            </w:pPr>
            <w:r/>
            <w:r>
              <w:rPr>
                <w:rFonts w:ascii="Figtree" w:hAnsi="Figtree"/>
                <w:b w:val="0"/>
                <w:i w:val="0"/>
                <w:sz w:val="20"/>
              </w:rPr>
              <w:t>Year 3 renewal</w:t>
            </w:r>
          </w:p>
        </w:tc>
        <w:tc>
          <w:tcPr>
            <w:tcW w:type="dxa" w:w="4873"/>
            <w:vAlign w:val="center"/>
          </w:tcPr>
          <w:p>
            <w:pPr>
              <w:spacing w:line="276" w:lineRule="auto" w:before="0" w:after="0"/>
            </w:pPr>
            <w:r/>
            <w:r>
              <w:rPr>
                <w:rFonts w:ascii="Figtree" w:hAnsi="Figtree"/>
                <w:b w:val="0"/>
                <w:i w:val="0"/>
                <w:sz w:val="20"/>
              </w:rPr>
              <w:t>EUR 428,000</w:t>
            </w:r>
          </w:p>
        </w:tc>
      </w:tr>
    </w:tbl>
    <w:p>
      <w:pPr>
        <w:spacing w:before="0" w:after="0" w:line="120" w:lineRule="exact"/>
      </w:pPr>
    </w:p>
    <w:p>
      <w:r>
        <w:rPr>
          <w:rFonts w:ascii="Figtree" w:hAnsi="Figtree"/>
          <w:b w:val="0"/>
          <w:i w:val="0"/>
          <w:sz w:val="22"/>
        </w:rPr>
        <w:t>3-year recommended term; annual break right with 90 days notice. German law governing option available.</w:t>
      </w:r>
    </w:p>
    <w:p>
      <w:r>
        <w:br w:type="page"/>
      </w:r>
    </w:p>
    <w:p>
      <w:pPr>
        <w:pStyle w:val="H2"/>
        <w:numPr>
          <w:ilvl w:val="1"/>
          <w:numId w:val="1"/>
        </w:numPr>
      </w:pPr>
      <w:r>
        <w:t>8. Total Cost of Ownership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6"/>
        <w:gridCol w:w="1589"/>
        <w:gridCol w:w="1402"/>
        <w:gridCol w:w="1402"/>
        <w:gridCol w:w="158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(Production)</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(Dev/Staging)</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66,000</w:t>
            </w:r>
          </w:p>
        </w:tc>
        <w:tc>
          <w:tcPr>
            <w:tcW w:type="dxa" w:w="1949"/>
            <w:vAlign w:val="center"/>
          </w:tcPr>
          <w:p>
            <w:pPr>
              <w:spacing w:line="276" w:lineRule="auto" w:before="0" w:after="0"/>
            </w:pPr>
            <w:r/>
            <w:r>
              <w:rPr>
                <w:rFonts w:ascii="Figtree" w:hAnsi="Figtree"/>
                <w:b w:val="0"/>
                <w:i w:val="0"/>
                <w:sz w:val="20"/>
              </w:rPr>
              <w:t>EUR 186,000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w:t>
            </w:r>
          </w:p>
        </w:tc>
        <w:tc>
          <w:tcPr>
            <w:tcW w:type="dxa" w:w="1949"/>
            <w:vAlign w:val="center"/>
          </w:tcPr>
          <w:p>
            <w:pPr>
              <w:spacing w:line="276" w:lineRule="auto" w:before="0" w:after="0"/>
            </w:pPr>
            <w:r/>
            <w:r>
              <w:rPr>
                <w:rFonts w:ascii="Figtree" w:hAnsi="Figtree"/>
                <w:b w:val="0"/>
                <w:i w:val="0"/>
                <w:sz w:val="20"/>
              </w:rPr>
              <w:t>EUR 380,000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380,000</w:t>
            </w:r>
          </w:p>
        </w:tc>
      </w:tr>
      <w:tr>
        <w:trPr>
          <w:trHeight w:val="425" w:hRule="atLeast"/>
        </w:trPr>
        <w:tc>
          <w:tcPr>
            <w:tcW w:type="dxa" w:w="1949"/>
            <w:vAlign w:val="center"/>
          </w:tcPr>
          <w:p>
            <w:pPr>
              <w:spacing w:line="276" w:lineRule="auto" w:before="0" w:after="0"/>
            </w:pPr>
            <w:r/>
            <w:r>
              <w:rPr>
                <w:rFonts w:ascii="Figtree" w:hAnsi="Figtree"/>
                <w:b w:val="0"/>
                <w:i w:val="0"/>
                <w:sz w:val="20"/>
              </w:rPr>
              <w:t>Phase 2 (equities, EEA expansion)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120,000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EUR 35,000</w:t>
            </w:r>
          </w:p>
        </w:tc>
        <w:tc>
          <w:tcPr>
            <w:tcW w:type="dxa" w:w="1949"/>
            <w:vAlign w:val="center"/>
          </w:tcPr>
          <w:p>
            <w:pPr>
              <w:spacing w:line="276" w:lineRule="auto" w:before="0" w:after="0"/>
            </w:pPr>
            <w:r/>
            <w:r>
              <w:rPr>
                <w:rFonts w:ascii="Figtree" w:hAnsi="Figtree"/>
                <w:b w:val="0"/>
                <w:i w:val="0"/>
                <w:sz w:val="20"/>
              </w:rPr>
              <w:t>EUR 40,000</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120,000</w:t>
            </w:r>
          </w:p>
        </w:tc>
      </w:tr>
      <w:tr>
        <w:trPr>
          <w:trHeight w:val="425" w:hRule="atLeast"/>
        </w:trPr>
        <w:tc>
          <w:tcPr>
            <w:tcW w:type="dxa" w:w="1949"/>
            <w:vAlign w:val="center"/>
          </w:tcPr>
          <w:p>
            <w:pPr>
              <w:spacing w:line="276" w:lineRule="auto" w:before="0" w:after="0"/>
            </w:pPr>
            <w:r/>
            <w:r>
              <w:rPr>
                <w:rFonts w:ascii="Figtree" w:hAnsi="Figtree"/>
                <w:b w:val="0"/>
                <w:i w:val="0"/>
                <w:sz w:val="20"/>
              </w:rPr>
              <w:t>DFNS custody</w:t>
            </w:r>
          </w:p>
        </w:tc>
        <w:tc>
          <w:tcPr>
            <w:tcW w:type="dxa" w:w="1949"/>
            <w:vAlign w:val="center"/>
          </w:tcPr>
          <w:p>
            <w:pPr>
              <w:spacing w:line="276" w:lineRule="auto" w:before="0" w:after="0"/>
            </w:pPr>
            <w:r/>
            <w:r>
              <w:rPr>
                <w:rFonts w:ascii="Figtree" w:hAnsi="Figtree"/>
                <w:b w:val="0"/>
                <w:i w:val="0"/>
                <w:sz w:val="20"/>
              </w:rPr>
              <w:t>EUR 40,000</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135,000</w:t>
            </w:r>
          </w:p>
        </w:tc>
      </w:tr>
      <w:tr>
        <w:trPr>
          <w:trHeight w:val="425" w:hRule="atLeast"/>
        </w:trPr>
        <w:tc>
          <w:tcPr>
            <w:tcW w:type="dxa" w:w="1949"/>
            <w:vAlign w:val="center"/>
          </w:tcPr>
          <w:p>
            <w:pPr>
              <w:spacing w:line="276" w:lineRule="auto" w:before="0" w:after="0"/>
            </w:pPr>
            <w:r/>
            <w:r>
              <w:rPr>
                <w:rFonts w:ascii="Figtree" w:hAnsi="Figtree"/>
                <w:b w:val="0"/>
                <w:i w:val="0"/>
                <w:sz w:val="20"/>
              </w:rPr>
              <w:t>Internal (1.5 FTE Year 1)</w:t>
            </w:r>
          </w:p>
        </w:tc>
        <w:tc>
          <w:tcPr>
            <w:tcW w:type="dxa" w:w="1949"/>
            <w:vAlign w:val="center"/>
          </w:tcPr>
          <w:p>
            <w:pPr>
              <w:spacing w:line="276" w:lineRule="auto" w:before="0" w:after="0"/>
            </w:pPr>
            <w:r/>
            <w:r>
              <w:rPr>
                <w:rFonts w:ascii="Figtree" w:hAnsi="Figtree"/>
                <w:b w:val="0"/>
                <w:i w:val="0"/>
                <w:sz w:val="20"/>
              </w:rPr>
              <w:t>EUR 225,000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375,000</w:t>
            </w:r>
          </w:p>
        </w:tc>
      </w:tr>
      <w:tr>
        <w:trPr>
          <w:trHeight w:val="425" w:hRule="atLeast"/>
        </w:trPr>
        <w:tc>
          <w:tcPr>
            <w:tcW w:type="dxa" w:w="1949"/>
            <w:vAlign w:val="center"/>
          </w:tcPr>
          <w:p>
            <w:pPr>
              <w:spacing w:line="276" w:lineRule="auto" w:before="0" w:after="0"/>
            </w:pPr>
            <w:r/>
            <w:r>
              <w:rPr>
                <w:rFonts w:ascii="Figtree" w:hAnsi="Figtree"/>
                <w:b/>
                <w:i w:val="0"/>
                <w:sz w:val="20"/>
              </w:rPr>
              <w:t>Total 3-Year TCO</w:t>
            </w:r>
          </w:p>
        </w:tc>
        <w:tc>
          <w:tcPr>
            <w:tcW w:type="dxa" w:w="1949"/>
            <w:vAlign w:val="center"/>
          </w:tcPr>
          <w:p>
            <w:pPr>
              <w:spacing w:line="276" w:lineRule="auto" w:before="0" w:after="0"/>
            </w:pPr>
            <w:r/>
            <w:r>
              <w:rPr>
                <w:rFonts w:ascii="Figtree" w:hAnsi="Figtree"/>
                <w:b/>
                <w:i w:val="0"/>
                <w:sz w:val="20"/>
              </w:rPr>
              <w:t>EUR 1,140,000</w:t>
            </w:r>
          </w:p>
        </w:tc>
        <w:tc>
          <w:tcPr>
            <w:tcW w:type="dxa" w:w="1949"/>
            <w:vAlign w:val="center"/>
          </w:tcPr>
          <w:p>
            <w:pPr>
              <w:spacing w:line="276" w:lineRule="auto" w:before="0" w:after="0"/>
            </w:pPr>
            <w:r/>
            <w:r>
              <w:rPr>
                <w:rFonts w:ascii="Figtree" w:hAnsi="Figtree"/>
                <w:b/>
                <w:i w:val="0"/>
                <w:sz w:val="20"/>
              </w:rPr>
              <w:t>EUR 740,000</w:t>
            </w:r>
          </w:p>
        </w:tc>
        <w:tc>
          <w:tcPr>
            <w:tcW w:type="dxa" w:w="1949"/>
            <w:vAlign w:val="center"/>
          </w:tcPr>
          <w:p>
            <w:pPr>
              <w:spacing w:line="276" w:lineRule="auto" w:before="0" w:after="0"/>
            </w:pPr>
            <w:r/>
            <w:r>
              <w:rPr>
                <w:rFonts w:ascii="Figtree" w:hAnsi="Figtree"/>
                <w:b/>
                <w:i w:val="0"/>
                <w:sz w:val="20"/>
              </w:rPr>
              <w:t>EUR 664,000</w:t>
            </w:r>
          </w:p>
        </w:tc>
        <w:tc>
          <w:tcPr>
            <w:tcW w:type="dxa" w:w="1949"/>
            <w:vAlign w:val="center"/>
          </w:tcPr>
          <w:p>
            <w:pPr>
              <w:spacing w:line="276" w:lineRule="auto" w:before="0" w:after="0"/>
            </w:pPr>
            <w:r/>
            <w:r>
              <w:rPr>
                <w:rFonts w:ascii="Figtree" w:hAnsi="Figtree"/>
                <w:b/>
                <w:i w:val="0"/>
                <w:sz w:val="20"/>
              </w:rPr>
              <w:t>EUR 2,544,000</w:t>
            </w:r>
          </w:p>
        </w:tc>
      </w:tr>
    </w:tbl>
    <w:p>
      <w:pPr>
        <w:spacing w:before="0" w:after="0" w:line="120" w:lineRule="exact"/>
      </w:pPr>
    </w:p>
    <w:p>
      <w:pPr>
        <w:pStyle w:val="H3"/>
        <w:numPr>
          <w:ilvl w:val="2"/>
          <w:numId w:val="1"/>
        </w:numPr>
      </w:pPr>
      <w:r>
        <w:t>5-Year Build vs. Buy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13"/>
        <w:gridCol w:w="425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EUR 3,800,000</w:t>
            </w:r>
          </w:p>
        </w:tc>
      </w:tr>
      <w:tr>
        <w:trPr>
          <w:trHeight w:val="425" w:hRule="atLeast"/>
        </w:trPr>
        <w:tc>
          <w:tcPr>
            <w:tcW w:type="dxa" w:w="4873"/>
            <w:vAlign w:val="center"/>
          </w:tcPr>
          <w:p>
            <w:pPr>
              <w:spacing w:line="276" w:lineRule="auto" w:before="0" w:after="0"/>
            </w:pPr>
            <w:r/>
            <w:r>
              <w:rPr>
                <w:rFonts w:ascii="Figtree" w:hAnsi="Figtree"/>
                <w:b w:val="0"/>
                <w:i w:val="0"/>
                <w:sz w:val="20"/>
              </w:rPr>
              <w:t>Custom build (multi-asset)</w:t>
            </w:r>
          </w:p>
        </w:tc>
        <w:tc>
          <w:tcPr>
            <w:tcW w:type="dxa" w:w="4873"/>
            <w:vAlign w:val="center"/>
          </w:tcPr>
          <w:p>
            <w:pPr>
              <w:spacing w:line="276" w:lineRule="auto" w:before="0" w:after="0"/>
            </w:pPr>
            <w:r/>
            <w:r>
              <w:rPr>
                <w:rFonts w:ascii="Figtree" w:hAnsi="Figtree"/>
                <w:b w:val="0"/>
                <w:i w:val="0"/>
                <w:sz w:val="20"/>
              </w:rPr>
              <w:t>EUR 7,500,000</w:t>
            </w:r>
          </w:p>
        </w:tc>
      </w:tr>
      <w:tr>
        <w:trPr>
          <w:trHeight w:val="425" w:hRule="atLeast"/>
        </w:trPr>
        <w:tc>
          <w:tcPr>
            <w:tcW w:type="dxa" w:w="4873"/>
            <w:vAlign w:val="center"/>
          </w:tcPr>
          <w:p>
            <w:pPr>
              <w:spacing w:line="276" w:lineRule="auto" w:before="0" w:after="0"/>
            </w:pPr>
            <w:r/>
            <w:r>
              <w:rPr>
                <w:rFonts w:ascii="Figtree" w:hAnsi="Figtree"/>
                <w:b/>
                <w:i w:val="0"/>
                <w:sz w:val="20"/>
              </w:rPr>
              <w:t>Savings</w:t>
            </w:r>
          </w:p>
        </w:tc>
        <w:tc>
          <w:tcPr>
            <w:tcW w:type="dxa" w:w="4873"/>
            <w:vAlign w:val="center"/>
          </w:tcPr>
          <w:p>
            <w:pPr>
              <w:spacing w:line="276" w:lineRule="auto" w:before="0" w:after="0"/>
            </w:pPr>
            <w:r/>
            <w:r>
              <w:rPr>
                <w:rFonts w:ascii="Figtree" w:hAnsi="Figtree"/>
                <w:b/>
                <w:i w:val="0"/>
                <w:sz w:val="20"/>
              </w:rPr>
              <w:t>EUR 3,700,000 (49%)</w:t>
            </w:r>
          </w:p>
        </w:tc>
      </w:tr>
    </w:tbl>
    <w:p>
      <w:pPr>
        <w:spacing w:before="0" w:after="0" w:line="120" w:lineRule="exact"/>
      </w:pPr>
    </w:p>
    <w:p>
      <w:r>
        <w:br w:type="page"/>
      </w:r>
    </w:p>
    <w:p>
      <w:pPr>
        <w:pStyle w:val="H2"/>
        <w:numPr>
          <w:ilvl w:val="1"/>
          <w:numId w:val="1"/>
        </w:numPr>
      </w:pPr>
      <w:r>
        <w:t>9. Reference Clients</w:t>
      </w:r>
    </w:p>
    <w:p>
      <w:r>
        <w:rPr>
          <w:rFonts w:ascii="Figtree" w:hAnsi="Figtree"/>
          <w:b/>
          <w:i w:val="0"/>
          <w:sz w:val="22"/>
        </w:rPr>
        <w:t>Commerzbank:</w:t>
      </w:r>
      <w:r>
        <w:rPr>
          <w:rFonts w:ascii="Figtree" w:hAnsi="Figtree"/>
          <w:b w:val="0"/>
          <w:i w:val="0"/>
          <w:sz w:val="22"/>
        </w:rPr>
        <w:t xml:space="preserve"> BaFin-supervised Germany. Outsourcing compliance under BaFin Circular 05/2023. EUR 7M annual savings. Direct reference for Trade Republic's German banking licence.</w:t>
      </w:r>
    </w:p>
    <w:p>
      <w:r>
        <w:rPr>
          <w:rFonts w:ascii="Figtree" w:hAnsi="Figtree"/>
          <w:b/>
          <w:i w:val="0"/>
          <w:sz w:val="22"/>
        </w:rPr>
        <w:t>Deutsche Bank:</w:t>
      </w:r>
      <w:r>
        <w:rPr>
          <w:rFonts w:ascii="Figtree" w:hAnsi="Figtree"/>
          <w:b w:val="0"/>
          <w:i w:val="0"/>
          <w:sz w:val="22"/>
        </w:rPr>
        <w:t xml:space="preserve"> BaFin-supervised digital bond issuance. Bond token template at institutional scale. Coupon automation. Directly relevant to Trade Republic's tokenized bond requirement.</w:t>
      </w:r>
    </w:p>
    <w:p>
      <w:r>
        <w:rPr>
          <w:rFonts w:ascii="Figtree" w:hAnsi="Figtree"/>
          <w:b/>
          <w:i w:val="0"/>
          <w:sz w:val="22"/>
        </w:rPr>
        <w:t>Standard Chartered:</w:t>
      </w:r>
      <w:r>
        <w:rPr>
          <w:rFonts w:ascii="Figtree" w:hAnsi="Figtree"/>
          <w:b w:val="0"/>
          <w:i w:val="0"/>
          <w:sz w:val="22"/>
        </w:rPr>
        <w:t xml:space="preserve"> Fractional tokenized securities for retail investors. Multi-jurisdiction eligibility. Direct reference for retail investor distribution model.</w:t>
      </w:r>
    </w:p>
    <w:p>
      <w:r>
        <w:br w:type="page"/>
      </w:r>
    </w:p>
    <w:p>
      <w:pPr>
        <w:pStyle w:val="H2"/>
        <w:numPr>
          <w:ilvl w:val="1"/>
          <w:numId w:val="1"/>
        </w:numPr>
      </w:pPr>
      <w:r>
        <w:t>10. Next Steps</w:t>
      </w:r>
    </w:p>
    <w:p>
      <w:r>
        <w:rPr>
          <w:rFonts w:ascii="Figtree" w:hAnsi="Figtree"/>
          <w:b w:val="0"/>
          <w:i w:val="0"/>
          <w:sz w:val="22"/>
        </w:rPr>
        <w:t>Clarification deadline 03 April 2026. Shortlist by 15 May 2026: technical architecture walkthrough (2 hours), live T+0 DvP settlement demonstration with tokenized bond scenario (1.5 hours), BaFin/MiCA retail compliance deep-dive (1 hour). Implementation start Q3 2026; contract execution June 2026 for Q4 2026 beta cohort launch (50K retail investors, tokenized bonds).</w:t>
      </w:r>
    </w:p>
    <w:p>
      <w:r>
        <w:br w:type="page"/>
      </w:r>
    </w:p>
    <w:p>
      <w:pPr>
        <w:pStyle w:val="H2"/>
        <w:numPr>
          <w:ilvl w:val="1"/>
          <w:numId w:val="1"/>
        </w:numPr>
      </w:pPr>
      <w:r>
        <w:t>Appendix: Dependencies and Volume Thresholds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1"/>
        <w:gridCol w:w="2675"/>
        <w:gridCol w:w="1977"/>
        <w:gridCol w:w="16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Estimate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2436"/>
            <w:vAlign w:val="center"/>
          </w:tcPr>
          <w:p>
            <w:pPr>
              <w:spacing w:line="276" w:lineRule="auto" w:before="0" w:after="0"/>
            </w:pPr>
            <w:r/>
            <w:r>
              <w:rPr>
                <w:rFonts w:ascii="Figtree" w:hAnsi="Figtree"/>
                <w:b w:val="0"/>
                <w:i w:val="0"/>
                <w:sz w:val="20"/>
              </w:rPr>
              <w:t>Retail Investor Wallets</w:t>
            </w:r>
          </w:p>
        </w:tc>
        <w:tc>
          <w:tcPr>
            <w:tcW w:type="dxa" w:w="2436"/>
            <w:vAlign w:val="center"/>
          </w:tcPr>
          <w:p>
            <w:pPr>
              <w:spacing w:line="276" w:lineRule="auto" w:before="0" w:after="0"/>
            </w:pPr>
            <w:r/>
            <w:r>
              <w:rPr>
                <w:rFonts w:ascii="Figtree" w:hAnsi="Figtree"/>
                <w:b w:val="0"/>
                <w:i w:val="0"/>
                <w:sz w:val="20"/>
              </w:rPr>
              <w:t>DFNS</w:t>
            </w:r>
          </w:p>
        </w:tc>
        <w:tc>
          <w:tcPr>
            <w:tcW w:type="dxa" w:w="2436"/>
            <w:vAlign w:val="center"/>
          </w:tcPr>
          <w:p>
            <w:pPr>
              <w:spacing w:line="276" w:lineRule="auto" w:before="0" w:after="0"/>
            </w:pPr>
            <w:r/>
            <w:r>
              <w:rPr>
                <w:rFonts w:ascii="Figtree" w:hAnsi="Figtree"/>
                <w:b w:val="0"/>
                <w:i w:val="0"/>
                <w:sz w:val="20"/>
              </w:rPr>
              <w:t>EUR 35,000-45,000</w:t>
            </w:r>
          </w:p>
        </w:tc>
        <w:tc>
          <w:tcPr>
            <w:tcW w:type="dxa" w:w="2436"/>
            <w:vAlign w:val="center"/>
          </w:tcPr>
          <w:p>
            <w:pPr>
              <w:spacing w:line="276" w:lineRule="auto" w:before="0" w:after="0"/>
            </w:pPr>
            <w:r/>
            <w:r>
              <w:rPr>
                <w:rFonts w:ascii="Figtree" w:hAnsi="Figtree"/>
                <w:b w:val="0"/>
                <w:i w:val="0"/>
                <w:sz w:val="20"/>
              </w:rPr>
              <w:t>Trade Republic</w:t>
            </w:r>
          </w:p>
        </w:tc>
      </w:tr>
      <w:tr>
        <w:trPr>
          <w:trHeight w:val="425" w:hRule="atLeast"/>
        </w:trPr>
        <w:tc>
          <w:tcPr>
            <w:tcW w:type="dxa" w:w="2436"/>
            <w:vAlign w:val="center"/>
          </w:tcPr>
          <w:p>
            <w:pPr>
              <w:spacing w:line="276" w:lineRule="auto" w:before="0" w:after="0"/>
            </w:pPr>
            <w:r/>
            <w:r>
              <w:rPr>
                <w:rFonts w:ascii="Figtree" w:hAnsi="Figtree"/>
                <w:b w:val="0"/>
                <w:i w:val="0"/>
                <w:sz w:val="20"/>
              </w:rPr>
              <w:t>Blockchain RPC</w:t>
            </w:r>
          </w:p>
        </w:tc>
        <w:tc>
          <w:tcPr>
            <w:tcW w:type="dxa" w:w="2436"/>
            <w:vAlign w:val="center"/>
          </w:tcPr>
          <w:p>
            <w:pPr>
              <w:spacing w:line="276" w:lineRule="auto" w:before="0" w:after="0"/>
            </w:pPr>
            <w:r/>
            <w:r>
              <w:rPr>
                <w:rFonts w:ascii="Figtree" w:hAnsi="Figtree"/>
                <w:b w:val="0"/>
                <w:i w:val="0"/>
                <w:sz w:val="20"/>
              </w:rPr>
              <w:t>Infura/Alchemy</w:t>
            </w:r>
          </w:p>
        </w:tc>
        <w:tc>
          <w:tcPr>
            <w:tcW w:type="dxa" w:w="2436"/>
            <w:vAlign w:val="center"/>
          </w:tcPr>
          <w:p>
            <w:pPr>
              <w:spacing w:line="276" w:lineRule="auto" w:before="0" w:after="0"/>
            </w:pPr>
            <w:r/>
            <w:r>
              <w:rPr>
                <w:rFonts w:ascii="Figtree" w:hAnsi="Figtree"/>
                <w:b w:val="0"/>
                <w:i w:val="0"/>
                <w:sz w:val="20"/>
              </w:rPr>
              <w:t>EUR 8,000-12,000</w:t>
            </w:r>
          </w:p>
        </w:tc>
        <w:tc>
          <w:tcPr>
            <w:tcW w:type="dxa" w:w="2436"/>
            <w:vAlign w:val="center"/>
          </w:tcPr>
          <w:p>
            <w:pPr>
              <w:spacing w:line="276" w:lineRule="auto" w:before="0" w:after="0"/>
            </w:pPr>
            <w:r/>
            <w:r>
              <w:rPr>
                <w:rFonts w:ascii="Figtree" w:hAnsi="Figtree"/>
                <w:b w:val="0"/>
                <w:i w:val="0"/>
                <w:sz w:val="20"/>
              </w:rPr>
              <w:t>Trade Republic</w:t>
            </w:r>
          </w:p>
        </w:tc>
      </w:tr>
      <w:tr>
        <w:trPr>
          <w:trHeight w:val="425" w:hRule="atLeast"/>
        </w:trPr>
        <w:tc>
          <w:tcPr>
            <w:tcW w:type="dxa" w:w="2436"/>
            <w:vAlign w:val="center"/>
          </w:tcPr>
          <w:p>
            <w:pPr>
              <w:spacing w:line="276" w:lineRule="auto" w:before="0" w:after="0"/>
            </w:pPr>
            <w:r/>
            <w:r>
              <w:rPr>
                <w:rFonts w:ascii="Figtree" w:hAnsi="Figtree"/>
                <w:b w:val="0"/>
                <w:i w:val="0"/>
                <w:sz w:val="20"/>
              </w:rPr>
              <w:t>Besu Validators</w:t>
            </w:r>
          </w:p>
        </w:tc>
        <w:tc>
          <w:tcPr>
            <w:tcW w:type="dxa" w:w="2436"/>
            <w:vAlign w:val="center"/>
          </w:tcPr>
          <w:p>
            <w:pPr>
              <w:spacing w:line="276" w:lineRule="auto" w:before="0" w:after="0"/>
            </w:pPr>
            <w:r/>
            <w:r>
              <w:rPr>
                <w:rFonts w:ascii="Figtree" w:hAnsi="Figtree"/>
                <w:b w:val="0"/>
                <w:i w:val="0"/>
                <w:sz w:val="20"/>
              </w:rPr>
              <w:t>Trade Republic-operated</w:t>
            </w:r>
          </w:p>
        </w:tc>
        <w:tc>
          <w:tcPr>
            <w:tcW w:type="dxa" w:w="2436"/>
            <w:vAlign w:val="center"/>
          </w:tcPr>
          <w:p>
            <w:pPr>
              <w:spacing w:line="276" w:lineRule="auto" w:before="0" w:after="0"/>
            </w:pPr>
            <w:r/>
            <w:r>
              <w:rPr>
                <w:rFonts w:ascii="Figtree" w:hAnsi="Figtree"/>
                <w:b w:val="0"/>
                <w:i w:val="0"/>
                <w:sz w:val="20"/>
              </w:rPr>
              <w:t>EUR 15,000-20,000</w:t>
            </w:r>
          </w:p>
        </w:tc>
        <w:tc>
          <w:tcPr>
            <w:tcW w:type="dxa" w:w="2436"/>
            <w:vAlign w:val="center"/>
          </w:tcPr>
          <w:p>
            <w:pPr>
              <w:spacing w:line="276" w:lineRule="auto" w:before="0" w:after="0"/>
            </w:pPr>
            <w:r/>
            <w:r>
              <w:rPr>
                <w:rFonts w:ascii="Figtree" w:hAnsi="Figtree"/>
                <w:b w:val="0"/>
                <w:i w:val="0"/>
                <w:sz w:val="20"/>
              </w:rPr>
              <w:t>Trade Republic</w:t>
            </w:r>
          </w:p>
        </w:tc>
      </w:tr>
      <w:tr>
        <w:trPr>
          <w:trHeight w:val="425" w:hRule="atLeast"/>
        </w:trPr>
        <w:tc>
          <w:tcPr>
            <w:tcW w:type="dxa" w:w="2436"/>
            <w:vAlign w:val="center"/>
          </w:tcPr>
          <w:p>
            <w:pPr>
              <w:spacing w:line="276" w:lineRule="auto" w:before="0" w:after="0"/>
            </w:pPr>
            <w:r/>
            <w:r>
              <w:rPr>
                <w:rFonts w:ascii="Figtree" w:hAnsi="Figtree"/>
                <w:b w:val="0"/>
                <w:i w:val="0"/>
                <w:sz w:val="20"/>
              </w:rPr>
              <w:t>Cloud Infrastructure</w:t>
            </w:r>
          </w:p>
        </w:tc>
        <w:tc>
          <w:tcPr>
            <w:tcW w:type="dxa" w:w="2436"/>
            <w:vAlign w:val="center"/>
          </w:tcPr>
          <w:p>
            <w:pPr>
              <w:spacing w:line="276" w:lineRule="auto" w:before="0" w:after="0"/>
            </w:pPr>
            <w:r/>
            <w:r>
              <w:rPr>
                <w:rFonts w:ascii="Figtree" w:hAnsi="Figtree"/>
                <w:b w:val="0"/>
                <w:i w:val="0"/>
                <w:sz w:val="20"/>
              </w:rPr>
              <w:t>AWS (Frankfurt)</w:t>
            </w:r>
          </w:p>
        </w:tc>
        <w:tc>
          <w:tcPr>
            <w:tcW w:type="dxa" w:w="2436"/>
            <w:vAlign w:val="center"/>
          </w:tcPr>
          <w:p>
            <w:pPr>
              <w:spacing w:line="276" w:lineRule="auto" w:before="0" w:after="0"/>
            </w:pPr>
            <w:r/>
            <w:r>
              <w:rPr>
                <w:rFonts w:ascii="Figtree" w:hAnsi="Figtree"/>
                <w:b w:val="0"/>
                <w:i w:val="0"/>
                <w:sz w:val="20"/>
              </w:rPr>
              <w:t>EUR 35,000-50,000</w:t>
            </w:r>
          </w:p>
        </w:tc>
        <w:tc>
          <w:tcPr>
            <w:tcW w:type="dxa" w:w="2436"/>
            <w:vAlign w:val="center"/>
          </w:tcPr>
          <w:p>
            <w:pPr>
              <w:spacing w:line="276" w:lineRule="auto" w:before="0" w:after="0"/>
            </w:pPr>
            <w:r/>
            <w:r>
              <w:rPr>
                <w:rFonts w:ascii="Figtree" w:hAnsi="Figtree"/>
                <w:b w:val="0"/>
                <w:i w:val="0"/>
                <w:sz w:val="20"/>
              </w:rPr>
              <w:t>Trade Republic</w:t>
            </w:r>
          </w:p>
        </w:tc>
      </w:tr>
      <w:tr>
        <w:trPr>
          <w:trHeight w:val="425" w:hRule="atLeast"/>
        </w:trPr>
        <w:tc>
          <w:tcPr>
            <w:tcW w:type="dxa" w:w="2436"/>
            <w:vAlign w:val="center"/>
          </w:tcPr>
          <w:p>
            <w:pPr>
              <w:spacing w:line="276" w:lineRule="auto" w:before="0" w:after="0"/>
            </w:pPr>
            <w:r/>
            <w:r>
              <w:rPr>
                <w:rFonts w:ascii="Figtree" w:hAnsi="Figtree"/>
                <w:b w:val="0"/>
                <w:i w:val="0"/>
                <w:sz w:val="20"/>
              </w:rPr>
              <w:t>Fund Administrator (NAV)</w:t>
            </w:r>
          </w:p>
        </w:tc>
        <w:tc>
          <w:tcPr>
            <w:tcW w:type="dxa" w:w="2436"/>
            <w:vAlign w:val="center"/>
          </w:tcPr>
          <w:p>
            <w:pPr>
              <w:spacing w:line="276" w:lineRule="auto" w:before="0" w:after="0"/>
            </w:pPr>
            <w:r/>
            <w:r>
              <w:rPr>
                <w:rFonts w:ascii="Figtree" w:hAnsi="Figtree"/>
                <w:b w:val="0"/>
                <w:i w:val="0"/>
                <w:sz w:val="20"/>
              </w:rPr>
              <w:t>Trade Republic existing</w:t>
            </w:r>
          </w:p>
        </w:tc>
        <w:tc>
          <w:tcPr>
            <w:tcW w:type="dxa" w:w="2436"/>
            <w:vAlign w:val="center"/>
          </w:tcPr>
          <w:p>
            <w:pPr>
              <w:spacing w:line="276" w:lineRule="auto" w:before="0" w:after="0"/>
            </w:pPr>
            <w:r/>
            <w:r>
              <w:rPr>
                <w:rFonts w:ascii="Figtree" w:hAnsi="Figtree"/>
                <w:b w:val="0"/>
                <w:i w:val="0"/>
                <w:sz w:val="20"/>
              </w:rPr>
              <w:t>Existing contract</w:t>
            </w:r>
          </w:p>
        </w:tc>
        <w:tc>
          <w:tcPr>
            <w:tcW w:type="dxa" w:w="2436"/>
            <w:vAlign w:val="center"/>
          </w:tcPr>
          <w:p>
            <w:pPr>
              <w:spacing w:line="276" w:lineRule="auto" w:before="0" w:after="0"/>
            </w:pPr>
            <w:r/>
            <w:r>
              <w:rPr>
                <w:rFonts w:ascii="Figtree" w:hAnsi="Figtree"/>
                <w:b w:val="0"/>
                <w:i w:val="0"/>
                <w:sz w:val="20"/>
              </w:rPr>
              <w:t>Trade Republic</w:t>
            </w:r>
          </w:p>
        </w:tc>
      </w:tr>
    </w:tbl>
    <w:p>
      <w:pPr>
        <w:spacing w:before="0" w:after="0" w:line="120" w:lineRule="exact"/>
      </w:pP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4"/>
        <w:gridCol w:w="3948"/>
        <w:gridCol w:w="26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Enterprise Included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Overage</w:t>
            </w:r>
          </w:p>
        </w:tc>
      </w:tr>
      <w:tr>
        <w:trPr>
          <w:trHeight w:val="425" w:hRule="atLeast"/>
        </w:trPr>
        <w:tc>
          <w:tcPr>
            <w:tcW w:type="dxa" w:w="3249"/>
            <w:vAlign w:val="center"/>
          </w:tcPr>
          <w:p>
            <w:pPr>
              <w:spacing w:line="276" w:lineRule="auto" w:before="0" w:after="0"/>
            </w:pPr>
            <w:r/>
            <w:r>
              <w:rPr>
                <w:rFonts w:ascii="Figtree" w:hAnsi="Figtree"/>
                <w:b w:val="0"/>
                <w:i w:val="0"/>
                <w:sz w:val="20"/>
              </w:rPr>
              <w:t>Monthly transactions</w:t>
            </w:r>
          </w:p>
        </w:tc>
        <w:tc>
          <w:tcPr>
            <w:tcW w:type="dxa" w:w="3249"/>
            <w:vAlign w:val="center"/>
          </w:tcPr>
          <w:p>
            <w:pPr>
              <w:spacing w:line="276" w:lineRule="auto" w:before="0" w:after="0"/>
            </w:pPr>
            <w:r/>
            <w:r>
              <w:rPr>
                <w:rFonts w:ascii="Figtree" w:hAnsi="Figtree"/>
                <w:b w:val="0"/>
                <w:i w:val="0"/>
                <w:sz w:val="20"/>
              </w:rPr>
              <w:t>1,000,000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Active investor wallets</w:t>
            </w:r>
          </w:p>
        </w:tc>
        <w:tc>
          <w:tcPr>
            <w:tcW w:type="dxa" w:w="3249"/>
            <w:vAlign w:val="center"/>
          </w:tcPr>
          <w:p>
            <w:pPr>
              <w:spacing w:line="276" w:lineRule="auto" w:before="0" w:after="0"/>
            </w:pPr>
            <w:r/>
            <w:r>
              <w:rPr>
                <w:rFonts w:ascii="Figtree" w:hAnsi="Figtree"/>
                <w:b w:val="0"/>
                <w:i w:val="0"/>
                <w:sz w:val="20"/>
              </w:rPr>
              <w:t>100,000 base (negotiated to 8M scale)</w:t>
            </w:r>
          </w:p>
        </w:tc>
        <w:tc>
          <w:tcPr>
            <w:tcW w:type="dxa" w:w="3249"/>
            <w:vAlign w:val="center"/>
          </w:tcPr>
          <w:p>
            <w:pPr>
              <w:spacing w:line="276" w:lineRule="auto" w:before="0" w:after="0"/>
            </w:pPr>
            <w:r/>
            <w:r>
              <w:rPr>
                <w:rFonts w:ascii="Figtree" w:hAnsi="Figtree"/>
                <w:b w:val="0"/>
                <w:i w:val="0"/>
                <w:sz w:val="20"/>
              </w:rPr>
              <w:t>Enterprise volume pricing</w:t>
            </w:r>
          </w:p>
        </w:tc>
      </w:tr>
      <w:tr>
        <w:trPr>
          <w:trHeight w:val="425" w:hRule="atLeast"/>
        </w:trPr>
        <w:tc>
          <w:tcPr>
            <w:tcW w:type="dxa" w:w="3249"/>
            <w:vAlign w:val="center"/>
          </w:tcPr>
          <w:p>
            <w:pPr>
              <w:spacing w:line="276" w:lineRule="auto" w:before="0" w:after="0"/>
            </w:pPr>
            <w:r/>
            <w:r>
              <w:rPr>
                <w:rFonts w:ascii="Figtree" w:hAnsi="Figtree"/>
                <w:b w:val="0"/>
                <w:i w:val="0"/>
                <w:sz w:val="20"/>
              </w:rPr>
              <w:t>Security types</w:t>
            </w:r>
          </w:p>
        </w:tc>
        <w:tc>
          <w:tcPr>
            <w:tcW w:type="dxa" w:w="3249"/>
            <w:vAlign w:val="center"/>
          </w:tcPr>
          <w:p>
            <w:pPr>
              <w:spacing w:line="276" w:lineRule="auto" w:before="0" w:after="0"/>
            </w:pPr>
            <w:r/>
            <w:r>
              <w:rPr>
                <w:rFonts w:ascii="Figtree" w:hAnsi="Figtree"/>
                <w:b w:val="0"/>
                <w:i w:val="0"/>
                <w:sz w:val="20"/>
              </w:rPr>
              <w:t>Unlimited</w:t>
            </w:r>
          </w:p>
        </w:tc>
        <w:tc>
          <w:tcPr>
            <w:tcW w:type="dxa" w:w="3249"/>
            <w:vAlign w:val="center"/>
          </w:tcPr>
          <w:p>
            <w:pPr>
              <w:spacing w:line="276" w:lineRule="auto" w:before="0" w:after="0"/>
            </w:pPr>
            <w:r/>
            <w:r>
              <w:rPr>
                <w:rFonts w:ascii="Figtree" w:hAnsi="Figtree"/>
                <w:b w:val="0"/>
                <w:i w:val="0"/>
                <w:sz w:val="20"/>
              </w:rPr>
              <w:t>N/A</w:t>
            </w:r>
          </w:p>
        </w:tc>
      </w:tr>
      <w:tr>
        <w:trPr>
          <w:trHeight w:val="425" w:hRule="atLeast"/>
        </w:trPr>
        <w:tc>
          <w:tcPr>
            <w:tcW w:type="dxa" w:w="3249"/>
            <w:vAlign w:val="center"/>
          </w:tcPr>
          <w:p>
            <w:pPr>
              <w:spacing w:line="276" w:lineRule="auto" w:before="0" w:after="0"/>
            </w:pPr>
            <w:r/>
            <w:r>
              <w:rPr>
                <w:rFonts w:ascii="Figtree" w:hAnsi="Figtree"/>
                <w:b w:val="0"/>
                <w:i w:val="0"/>
                <w:sz w:val="20"/>
              </w:rPr>
              <w:t>API requests</w:t>
            </w:r>
          </w:p>
        </w:tc>
        <w:tc>
          <w:tcPr>
            <w:tcW w:type="dxa" w:w="3249"/>
            <w:vAlign w:val="center"/>
          </w:tcPr>
          <w:p>
            <w:pPr>
              <w:spacing w:line="276" w:lineRule="auto" w:before="0" w:after="0"/>
            </w:pPr>
            <w:r/>
            <w:r>
              <w:rPr>
                <w:rFonts w:ascii="Figtree" w:hAnsi="Figtree"/>
                <w:b w:val="0"/>
                <w:i w:val="0"/>
                <w:sz w:val="20"/>
              </w:rPr>
              <w:t>50,000,000/month</w:t>
            </w:r>
          </w:p>
        </w:tc>
        <w:tc>
          <w:tcPr>
            <w:tcW w:type="dxa" w:w="3249"/>
            <w:vAlign w:val="center"/>
          </w:tcPr>
          <w:p>
            <w:pPr>
              <w:spacing w:line="276" w:lineRule="auto" w:before="0" w:after="0"/>
            </w:pPr>
            <w:r/>
            <w:r>
              <w:rPr>
                <w:rFonts w:ascii="Figtree" w:hAnsi="Figtree"/>
                <w:b w:val="0"/>
                <w:i w:val="0"/>
                <w:sz w:val="20"/>
              </w:rPr>
              <w:t>EUR 0.01/1,000</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