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Digital Asset Regulatory Framework Support Platform</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The Commercial Recommendation</w:t>
          </w:r>
          <w:r>
            <w:tab/>
          </w:r>
          <w:r>
            <w:t xml:space="preserve">6</w:t>
          </w:r>
        </w:p>
        <w:p>
          <w:pPr>
            <w:pStyle w:val="TOC2"/>
            <w:tabs>
              <w:tab w:val="right" w:leader="dot" w:pos="9072"/>
            </w:tabs>
          </w:pPr>
          <w:r>
            <w:t xml:space="preserve">Commercial Summary</w:t>
          </w:r>
          <w:r>
            <w:tab/>
          </w:r>
          <w:r>
            <w:t xml:space="preserve">7</w:t>
          </w:r>
        </w:p>
        <w:p>
          <w:pPr>
            <w:pStyle w:val="TOC2"/>
            <w:tabs>
              <w:tab w:val="right" w:leader="dot" w:pos="9072"/>
            </w:tabs>
          </w:pPr>
          <w:r>
            <w:t xml:space="preserve">Value Proposition</w:t>
          </w:r>
          <w:r>
            <w:tab/>
          </w:r>
          <w:r>
            <w:t xml:space="preserve">8</w:t>
          </w:r>
        </w:p>
        <w:p>
          <w:pPr>
            <w:pStyle w:val="TOC2"/>
            <w:tabs>
              <w:tab w:val="right" w:leader="dot" w:pos="9072"/>
            </w:tabs>
          </w:pPr>
          <w:r>
            <w:t xml:space="preserve">Procurement Pathway</w:t>
          </w:r>
          <w:r>
            <w:tab/>
          </w:r>
          <w:r>
            <w:t xml:space="preserve">9</w:t>
          </w:r>
        </w:p>
        <w:p>
          <w:pPr>
            <w:pStyle w:val="TOC1"/>
            <w:tabs>
              <w:tab w:val="right" w:leader="dot" w:pos="9072"/>
            </w:tabs>
          </w:pPr>
          <w:r>
            <w:t xml:space="preserve">2. Investment Rationale</w:t>
          </w:r>
          <w:r>
            <w:tab/>
          </w:r>
          <w:r>
            <w:t xml:space="preserve">10</w:t>
          </w:r>
        </w:p>
        <w:p>
          <w:pPr>
            <w:pStyle w:val="TOC2"/>
            <w:tabs>
              <w:tab w:val="right" w:leader="dot" w:pos="9072"/>
            </w:tabs>
          </w:pPr>
          <w:r>
            <w:t xml:space="preserve">2.1 Cost of Current Approach</w:t>
          </w:r>
          <w:r>
            <w:tab/>
          </w:r>
          <w:r>
            <w:t xml:space="preserve">11</w:t>
          </w:r>
        </w:p>
        <w:p>
          <w:pPr>
            <w:pStyle w:val="TOC3"/>
            <w:tabs>
              <w:tab w:val="right" w:leader="dot" w:pos="9072"/>
            </w:tabs>
          </w:pPr>
          <w:r>
            <w:t xml:space="preserve">Build In-House</w:t>
          </w:r>
          <w:r>
            <w:tab/>
          </w:r>
          <w:r>
            <w:t xml:space="preserve">12</w:t>
          </w:r>
        </w:p>
        <w:p>
          <w:pPr>
            <w:pStyle w:val="TOC3"/>
            <w:tabs>
              <w:tab w:val="right" w:leader="dot" w:pos="9072"/>
            </w:tabs>
          </w:pPr>
          <w:r>
            <w:t xml:space="preserve">Multi-Vendor Assembly</w:t>
          </w:r>
          <w:r>
            <w:tab/>
          </w:r>
          <w:r>
            <w:t xml:space="preserve">13</w:t>
          </w:r>
        </w:p>
        <w:p>
          <w:pPr>
            <w:pStyle w:val="TOC3"/>
            <w:tabs>
              <w:tab w:val="right" w:leader="dot" w:pos="9072"/>
            </w:tabs>
          </w:pPr>
          <w:r>
            <w:t xml:space="preserve">Pilot That Cannot Scale</w:t>
          </w:r>
          <w:r>
            <w:tab/>
          </w:r>
          <w:r>
            <w:t xml:space="preserve">14</w:t>
          </w:r>
        </w:p>
        <w:p>
          <w:pPr>
            <w:pStyle w:val="TOC3"/>
            <w:tabs>
              <w:tab w:val="right" w:leader="dot" w:pos="9072"/>
            </w:tabs>
          </w:pPr>
          <w:r>
            <w:t xml:space="preserve">Hidden Cost Categories</w:t>
          </w:r>
          <w:r>
            <w:tab/>
          </w:r>
          <w:r>
            <w:t xml:space="preserve">15</w:t>
          </w:r>
        </w:p>
        <w:p>
          <w:pPr>
            <w:pStyle w:val="TOC2"/>
            <w:tabs>
              <w:tab w:val="right" w:leader="dot" w:pos="9072"/>
            </w:tabs>
          </w:pPr>
          <w:r>
            <w:t xml:space="preserve">2.2 Why DALP Changes Economics</w:t>
          </w:r>
          <w:r>
            <w:tab/>
          </w:r>
          <w:r>
            <w:t xml:space="preserve">16</w:t>
          </w:r>
        </w:p>
        <w:p>
          <w:pPr>
            <w:pStyle w:val="TOC3"/>
            <w:tabs>
              <w:tab w:val="right" w:leader="dot" w:pos="9072"/>
            </w:tabs>
          </w:pPr>
          <w:r>
            <w:t xml:space="preserve">Single Platform, Single Source of Truth</w:t>
          </w:r>
          <w:r>
            <w:tab/>
          </w:r>
          <w:r>
            <w:t xml:space="preserve">17</w:t>
          </w:r>
        </w:p>
        <w:p>
          <w:pPr>
            <w:pStyle w:val="TOC3"/>
            <w:tabs>
              <w:tab w:val="right" w:leader="dot" w:pos="9072"/>
            </w:tabs>
          </w:pPr>
          <w:r>
            <w:t xml:space="preserve">Included Capabilities, Not Add-Ons</w:t>
          </w:r>
          <w:r>
            <w:tab/>
          </w:r>
          <w:r>
            <w:t xml:space="preserve">18</w:t>
          </w:r>
        </w:p>
        <w:p>
          <w:pPr>
            <w:pStyle w:val="TOC3"/>
            <w:tabs>
              <w:tab w:val="right" w:leader="dot" w:pos="9072"/>
            </w:tabs>
          </w:pPr>
          <w:r>
            <w:t xml:space="preserve">Compliance as Platform Feature</w:t>
          </w:r>
          <w:r>
            <w:tab/>
          </w:r>
          <w:r>
            <w:t xml:space="preserve">19</w:t>
          </w:r>
        </w:p>
        <w:p>
          <w:pPr>
            <w:pStyle w:val="TOC3"/>
            <w:tabs>
              <w:tab w:val="right" w:leader="dot" w:pos="9072"/>
            </w:tabs>
          </w:pPr>
          <w:r>
            <w:t xml:space="preserve">Operational Predictability</w:t>
          </w:r>
          <w:r>
            <w:tab/>
          </w:r>
          <w:r>
            <w:t xml:space="preserve">20</w:t>
          </w:r>
        </w:p>
        <w:p>
          <w:pPr>
            <w:pStyle w:val="TOC2"/>
            <w:tabs>
              <w:tab w:val="right" w:leader="dot" w:pos="9072"/>
            </w:tabs>
          </w:pPr>
          <w:r>
            <w:t xml:space="preserve">2.3 ROI Framework</w:t>
          </w:r>
          <w:r>
            <w:tab/>
          </w:r>
          <w:r>
            <w:t xml:space="preserve">21</w:t>
          </w:r>
        </w:p>
        <w:p>
          <w:pPr>
            <w:pStyle w:val="TOC3"/>
            <w:tabs>
              <w:tab w:val="right" w:leader="dot" w:pos="9072"/>
            </w:tabs>
          </w:pPr>
          <w:r>
            <w:t xml:space="preserve">Operational Efficiency</w:t>
          </w:r>
          <w:r>
            <w:tab/>
          </w:r>
          <w:r>
            <w:t xml:space="preserve">22</w:t>
          </w:r>
        </w:p>
        <w:p>
          <w:pPr>
            <w:pStyle w:val="TOC3"/>
            <w:tabs>
              <w:tab w:val="right" w:leader="dot" w:pos="9072"/>
            </w:tabs>
          </w:pPr>
          <w:r>
            <w:t xml:space="preserve">Revenue Enablement</w:t>
          </w:r>
          <w:r>
            <w:tab/>
          </w:r>
          <w:r>
            <w:t xml:space="preserve">23</w:t>
          </w:r>
        </w:p>
        <w:p>
          <w:pPr>
            <w:pStyle w:val="TOC3"/>
            <w:tabs>
              <w:tab w:val="right" w:leader="dot" w:pos="9072"/>
            </w:tabs>
          </w:pPr>
          <w:r>
            <w:t xml:space="preserve">Risk Reduction</w:t>
          </w:r>
          <w:r>
            <w:tab/>
          </w:r>
          <w:r>
            <w:t xml:space="preserve">24</w:t>
          </w:r>
        </w:p>
        <w:p>
          <w:pPr>
            <w:pStyle w:val="TOC3"/>
            <w:tabs>
              <w:tab w:val="right" w:leader="dot" w:pos="9072"/>
            </w:tabs>
          </w:pPr>
          <w:r>
            <w:t xml:space="preserve">Cost Avoidance</w:t>
          </w:r>
          <w:r>
            <w:tab/>
          </w:r>
          <w:r>
            <w:t xml:space="preserve">25</w:t>
          </w:r>
        </w:p>
        <w:p>
          <w:pPr>
            <w:pStyle w:val="TOC3"/>
            <w:tabs>
              <w:tab w:val="right" w:leader="dot" w:pos="9072"/>
            </w:tabs>
          </w:pPr>
          <w:r>
            <w:t xml:space="preserve">ROI Calculation Approach</w:t>
          </w:r>
          <w:r>
            <w:tab/>
          </w:r>
          <w:r>
            <w:t xml:space="preserve">26</w:t>
          </w:r>
        </w:p>
        <w:p>
          <w:pPr>
            <w:pStyle w:val="TOC1"/>
            <w:tabs>
              <w:tab w:val="right" w:leader="dot" w:pos="9072"/>
            </w:tabs>
          </w:pPr>
          <w:r>
            <w:t xml:space="preserve">3. Licensing Model</w:t>
          </w:r>
          <w:r>
            <w:tab/>
          </w:r>
          <w:r>
            <w:t xml:space="preserve">27</w:t>
          </w:r>
        </w:p>
        <w:p>
          <w:pPr>
            <w:pStyle w:val="TOC2"/>
            <w:tabs>
              <w:tab w:val="right" w:leader="dot" w:pos="9072"/>
            </w:tabs>
          </w:pPr>
          <w:r>
            <w:t xml:space="preserve">3.1 Philosophy</w:t>
          </w:r>
          <w:r>
            <w:tab/>
          </w:r>
          <w:r>
            <w:t xml:space="preserve">28</w:t>
          </w:r>
        </w:p>
        <w:p>
          <w:pPr>
            <w:pStyle w:val="TOC2"/>
            <w:tabs>
              <w:tab w:val="right" w:leader="dot" w:pos="9072"/>
            </w:tabs>
          </w:pPr>
          <w:r>
            <w:t xml:space="preserve">3.2 What's Included</w:t>
          </w:r>
          <w:r>
            <w:tab/>
          </w:r>
          <w:r>
            <w:t xml:space="preserve">29</w:t>
          </w:r>
        </w:p>
        <w:p>
          <w:pPr>
            <w:pStyle w:val="TOC2"/>
            <w:tabs>
              <w:tab w:val="right" w:leader="dot" w:pos="9072"/>
            </w:tabs>
          </w:pPr>
          <w:r>
            <w:t xml:space="preserve">3.3 What Varies</w:t>
          </w:r>
          <w:r>
            <w:tab/>
          </w:r>
          <w:r>
            <w:t xml:space="preserve">30</w:t>
          </w:r>
        </w:p>
        <w:p>
          <w:pPr>
            <w:pStyle w:val="TOC2"/>
            <w:tabs>
              <w:tab w:val="right" w:leader="dot" w:pos="9072"/>
            </w:tabs>
          </w:pPr>
          <w:r>
            <w:t xml:space="preserve">3.4 Platform Tiers</w:t>
          </w:r>
          <w:r>
            <w:tab/>
          </w:r>
          <w:r>
            <w:t xml:space="preserve">31</w:t>
          </w:r>
        </w:p>
        <w:p>
          <w:pPr>
            <w:pStyle w:val="TOC3"/>
            <w:tabs>
              <w:tab w:val="right" w:leader="dot" w:pos="9072"/>
            </w:tabs>
          </w:pPr>
          <w:r>
            <w:t xml:space="preserve">Tier Comparison</w:t>
          </w:r>
          <w:r>
            <w:tab/>
          </w:r>
          <w:r>
            <w:t xml:space="preserve">32</w:t>
          </w:r>
        </w:p>
        <w:p>
          <w:pPr>
            <w:pStyle w:val="TOC3"/>
            <w:tabs>
              <w:tab w:val="right" w:leader="dot" w:pos="9072"/>
            </w:tabs>
          </w:pPr>
          <w:r>
            <w:t xml:space="preserve">Foundation Tier</w:t>
          </w:r>
          <w:r>
            <w:tab/>
          </w:r>
          <w:r>
            <w:t xml:space="preserve">33</w:t>
          </w:r>
        </w:p>
        <w:p>
          <w:pPr>
            <w:pStyle w:val="TOC3"/>
            <w:tabs>
              <w:tab w:val="right" w:leader="dot" w:pos="9072"/>
            </w:tabs>
          </w:pPr>
          <w:r>
            <w:t xml:space="preserve">Enterprise Tier</w:t>
          </w:r>
          <w:r>
            <w:tab/>
          </w:r>
          <w:r>
            <w:t xml:space="preserve">34</w:t>
          </w:r>
        </w:p>
        <w:p>
          <w:pPr>
            <w:pStyle w:val="TOC3"/>
            <w:tabs>
              <w:tab w:val="right" w:leader="dot" w:pos="9072"/>
            </w:tabs>
          </w:pPr>
          <w:r>
            <w:t xml:space="preserve">Sovereign Tier</w:t>
          </w:r>
          <w:r>
            <w:tab/>
          </w:r>
          <w:r>
            <w:t xml:space="preserve">35</w:t>
          </w:r>
        </w:p>
        <w:p>
          <w:pPr>
            <w:pStyle w:val="TOC3"/>
            <w:tabs>
              <w:tab w:val="right" w:leader="dot" w:pos="9072"/>
            </w:tabs>
          </w:pPr>
          <w:r>
            <w:t xml:space="preserve">Recommendation for ADGM</w:t>
          </w:r>
          <w:r>
            <w:tab/>
          </w:r>
          <w:r>
            <w:t xml:space="preserve">36</w:t>
          </w:r>
        </w:p>
        <w:p>
          <w:pPr>
            <w:pStyle w:val="TOC1"/>
            <w:tabs>
              <w:tab w:val="right" w:leader="dot" w:pos="9072"/>
            </w:tabs>
          </w:pPr>
          <w:r>
            <w:t xml:space="preserve">4. Deployment Options and Pricing</w:t>
          </w:r>
          <w:r>
            <w:tab/>
          </w:r>
          <w:r>
            <w:t xml:space="preserve">37</w:t>
          </w:r>
        </w:p>
        <w:p>
          <w:pPr>
            <w:pStyle w:val="TOC2"/>
            <w:tabs>
              <w:tab w:val="right" w:leader="dot" w:pos="9072"/>
            </w:tabs>
          </w:pPr>
          <w:r>
            <w:t xml:space="preserve">4.1 Model Overview</w:t>
          </w:r>
          <w:r>
            <w:tab/>
          </w:r>
          <w:r>
            <w:t xml:space="preserve">38</w:t>
          </w:r>
        </w:p>
        <w:p>
          <w:pPr>
            <w:pStyle w:val="TOC2"/>
            <w:tabs>
              <w:tab w:val="right" w:leader="dot" w:pos="9072"/>
            </w:tabs>
          </w:pPr>
          <w:r>
            <w:t xml:space="preserve">4.2 Comparison</w:t>
          </w:r>
          <w:r>
            <w:tab/>
          </w:r>
          <w:r>
            <w:t xml:space="preserve">39</w:t>
          </w:r>
        </w:p>
        <w:p>
          <w:pPr>
            <w:pStyle w:val="TOC2"/>
            <w:tabs>
              <w:tab w:val="right" w:leader="dot" w:pos="9072"/>
            </w:tabs>
          </w:pPr>
          <w:r>
            <w:t xml:space="preserve">4.3 Cost Structure</w:t>
          </w:r>
          <w:r>
            <w:tab/>
          </w:r>
          <w:r>
            <w:t xml:space="preserve">40</w:t>
          </w:r>
        </w:p>
        <w:p>
          <w:pPr>
            <w:pStyle w:val="TOC3"/>
            <w:tabs>
              <w:tab w:val="right" w:leader="dot" w:pos="9072"/>
            </w:tabs>
          </w:pPr>
          <w:r>
            <w:t xml:space="preserve">Indicative Pricing for ADGM (Enterprise Tier, Private Cloud)</w:t>
          </w:r>
          <w:r>
            <w:tab/>
          </w:r>
          <w:r>
            <w:t xml:space="preserve">41</w:t>
          </w:r>
        </w:p>
        <w:p>
          <w:pPr>
            <w:pStyle w:val="TOC2"/>
            <w:tabs>
              <w:tab w:val="right" w:leader="dot" w:pos="9072"/>
            </w:tabs>
          </w:pPr>
          <w:r>
            <w:t xml:space="preserve">4.4 Cost Drivers</w:t>
          </w:r>
          <w:r>
            <w:tab/>
          </w:r>
          <w:r>
            <w:t xml:space="preserve">42</w:t>
          </w:r>
        </w:p>
        <w:p>
          <w:pPr>
            <w:pStyle w:val="TOC3"/>
            <w:tabs>
              <w:tab w:val="right" w:leader="dot" w:pos="9072"/>
            </w:tabs>
          </w:pPr>
          <w:r>
            <w:t xml:space="preserve">Factors That Increase Cost</w:t>
          </w:r>
          <w:r>
            <w:tab/>
          </w:r>
          <w:r>
            <w:t xml:space="preserve">43</w:t>
          </w:r>
        </w:p>
        <w:p>
          <w:pPr>
            <w:pStyle w:val="TOC3"/>
            <w:tabs>
              <w:tab w:val="right" w:leader="dot" w:pos="9072"/>
            </w:tabs>
          </w:pPr>
          <w:r>
            <w:t xml:space="preserve">Factors That Decrease Cost</w:t>
          </w:r>
          <w:r>
            <w:tab/>
          </w:r>
          <w:r>
            <w:t xml:space="preserve">44</w:t>
          </w:r>
        </w:p>
        <w:p>
          <w:pPr>
            <w:pStyle w:val="TOC3"/>
            <w:tabs>
              <w:tab w:val="right" w:leader="dot" w:pos="9072"/>
            </w:tabs>
          </w:pPr>
          <w:r>
            <w:t xml:space="preserve">Recommendation for ADGM</w:t>
          </w:r>
          <w:r>
            <w:tab/>
          </w:r>
          <w:r>
            <w:t xml:space="preserve">45</w:t>
          </w:r>
        </w:p>
        <w:p>
          <w:pPr>
            <w:pStyle w:val="TOC1"/>
            <w:tabs>
              <w:tab w:val="right" w:leader="dot" w:pos="9072"/>
            </w:tabs>
          </w:pPr>
          <w:r>
            <w:t xml:space="preserve">5. Support and SLA Framework</w:t>
          </w:r>
          <w:r>
            <w:tab/>
          </w:r>
          <w:r>
            <w:t xml:space="preserve">46</w:t>
          </w:r>
        </w:p>
        <w:p>
          <w:pPr>
            <w:pStyle w:val="TOC2"/>
            <w:tabs>
              <w:tab w:val="right" w:leader="dot" w:pos="9072"/>
            </w:tabs>
          </w:pPr>
          <w:r>
            <w:t xml:space="preserve">5.1 Tiers</w:t>
          </w:r>
          <w:r>
            <w:tab/>
          </w:r>
          <w:r>
            <w:t xml:space="preserve">47</w:t>
          </w:r>
        </w:p>
        <w:p>
          <w:pPr>
            <w:pStyle w:val="TOC3"/>
            <w:tabs>
              <w:tab w:val="right" w:leader="dot" w:pos="9072"/>
            </w:tabs>
          </w:pPr>
          <w:r>
            <w:t xml:space="preserve">Standard Support</w:t>
          </w:r>
          <w:r>
            <w:tab/>
          </w:r>
          <w:r>
            <w:t xml:space="preserve">48</w:t>
          </w:r>
        </w:p>
        <w:p>
          <w:pPr>
            <w:pStyle w:val="TOC3"/>
            <w:tabs>
              <w:tab w:val="right" w:leader="dot" w:pos="9072"/>
            </w:tabs>
          </w:pPr>
          <w:r>
            <w:t xml:space="preserve">Premium Support</w:t>
          </w:r>
          <w:r>
            <w:tab/>
          </w:r>
          <w:r>
            <w:t xml:space="preserve">49</w:t>
          </w:r>
        </w:p>
        <w:p>
          <w:pPr>
            <w:pStyle w:val="TOC3"/>
            <w:tabs>
              <w:tab w:val="right" w:leader="dot" w:pos="9072"/>
            </w:tabs>
          </w:pPr>
          <w:r>
            <w:t xml:space="preserve">Enterprise Support</w:t>
          </w:r>
          <w:r>
            <w:tab/>
          </w:r>
          <w:r>
            <w:t xml:space="preserve">50</w:t>
          </w:r>
        </w:p>
        <w:p>
          <w:pPr>
            <w:pStyle w:val="TOC3"/>
            <w:tabs>
              <w:tab w:val="right" w:leader="dot" w:pos="9072"/>
            </w:tabs>
          </w:pPr>
          <w:r>
            <w:t xml:space="preserve">Recommendation for ADGM</w:t>
          </w:r>
          <w:r>
            <w:tab/>
          </w:r>
          <w:r>
            <w:t xml:space="preserve">51</w:t>
          </w:r>
        </w:p>
        <w:p>
          <w:pPr>
            <w:pStyle w:val="TOC2"/>
            <w:tabs>
              <w:tab w:val="right" w:leader="dot" w:pos="9072"/>
            </w:tabs>
          </w:pPr>
          <w:r>
            <w:t xml:space="preserve">5.2 Severity Levels</w:t>
          </w:r>
          <w:r>
            <w:tab/>
          </w:r>
          <w:r>
            <w:t xml:space="preserve">52</w:t>
          </w:r>
        </w:p>
        <w:p>
          <w:pPr>
            <w:pStyle w:val="TOC3"/>
            <w:tabs>
              <w:tab w:val="right" w:leader="dot" w:pos="9072"/>
            </w:tabs>
          </w:pPr>
          <w:r>
            <w:t xml:space="preserve">Response Time Targets</w:t>
          </w:r>
          <w:r>
            <w:tab/>
          </w:r>
          <w:r>
            <w:t xml:space="preserve">53</w:t>
          </w:r>
        </w:p>
        <w:p>
          <w:pPr>
            <w:pStyle w:val="TOC3"/>
            <w:tabs>
              <w:tab w:val="right" w:leader="dot" w:pos="9072"/>
            </w:tabs>
          </w:pPr>
          <w:r>
            <w:t xml:space="preserve">Resolution Targets</w:t>
          </w:r>
          <w:r>
            <w:tab/>
          </w:r>
          <w:r>
            <w:t xml:space="preserve">54</w:t>
          </w:r>
        </w:p>
        <w:p>
          <w:pPr>
            <w:pStyle w:val="TOC2"/>
            <w:tabs>
              <w:tab w:val="right" w:leader="dot" w:pos="9072"/>
            </w:tabs>
          </w:pPr>
          <w:r>
            <w:t xml:space="preserve">5.3 Uptime SLA</w:t>
          </w:r>
          <w:r>
            <w:tab/>
          </w:r>
          <w:r>
            <w:t xml:space="preserve">55</w:t>
          </w:r>
        </w:p>
        <w:p>
          <w:pPr>
            <w:pStyle w:val="TOC3"/>
            <w:tabs>
              <w:tab w:val="right" w:leader="dot" w:pos="9072"/>
            </w:tabs>
          </w:pPr>
          <w:r>
            <w:t xml:space="preserve">Service Credits</w:t>
          </w:r>
          <w:r>
            <w:tab/>
          </w:r>
          <w:r>
            <w:t xml:space="preserve">56</w:t>
          </w:r>
        </w:p>
        <w:p>
          <w:pPr>
            <w:pStyle w:val="TOC2"/>
            <w:tabs>
              <w:tab w:val="right" w:leader="dot" w:pos="9072"/>
            </w:tabs>
          </w:pPr>
          <w:r>
            <w:t xml:space="preserve">5.4 Escalation</w:t>
          </w:r>
          <w:r>
            <w:tab/>
          </w:r>
          <w:r>
            <w:t xml:space="preserve">57</w:t>
          </w:r>
        </w:p>
        <w:p>
          <w:pPr>
            <w:pStyle w:val="TOC3"/>
            <w:tabs>
              <w:tab w:val="right" w:leader="dot" w:pos="9072"/>
            </w:tabs>
          </w:pPr>
          <w:r>
            <w:t xml:space="preserve">Automatic Escalation</w:t>
          </w:r>
          <w:r>
            <w:tab/>
          </w:r>
          <w:r>
            <w:t xml:space="preserve">58</w:t>
          </w:r>
        </w:p>
        <w:p>
          <w:pPr>
            <w:pStyle w:val="TOC3"/>
            <w:tabs>
              <w:tab w:val="right" w:leader="dot" w:pos="9072"/>
            </w:tabs>
          </w:pPr>
          <w:r>
            <w:t xml:space="preserve">Client-Initiated Escalation Path</w:t>
          </w:r>
          <w:r>
            <w:tab/>
          </w:r>
          <w:r>
            <w:t xml:space="preserve">59</w:t>
          </w:r>
        </w:p>
        <w:p>
          <w:pPr>
            <w:pStyle w:val="TOC2"/>
            <w:tabs>
              <w:tab w:val="right" w:leader="dot" w:pos="9072"/>
            </w:tabs>
          </w:pPr>
          <w:r>
            <w:t xml:space="preserve">5.5 Maintenance</w:t>
          </w:r>
          <w:r>
            <w:tab/>
          </w:r>
          <w:r>
            <w:t xml:space="preserve">60</w:t>
          </w:r>
        </w:p>
        <w:p>
          <w:pPr>
            <w:pStyle w:val="TOC3"/>
            <w:tabs>
              <w:tab w:val="right" w:leader="dot" w:pos="9072"/>
            </w:tabs>
          </w:pPr>
          <w:r>
            <w:t xml:space="preserve">Scheduled Maintenance</w:t>
          </w:r>
          <w:r>
            <w:tab/>
          </w:r>
          <w:r>
            <w:t xml:space="preserve">61</w:t>
          </w:r>
        </w:p>
        <w:p>
          <w:pPr>
            <w:pStyle w:val="TOC3"/>
            <w:tabs>
              <w:tab w:val="right" w:leader="dot" w:pos="9072"/>
            </w:tabs>
          </w:pPr>
          <w:r>
            <w:t xml:space="preserve">Platform Update Policy</w:t>
          </w:r>
          <w:r>
            <w:tab/>
          </w:r>
          <w:r>
            <w:t xml:space="preserve">62</w:t>
          </w:r>
        </w:p>
        <w:p>
          <w:pPr>
            <w:pStyle w:val="TOC1"/>
            <w:tabs>
              <w:tab w:val="right" w:leader="dot" w:pos="9072"/>
            </w:tabs>
          </w:pPr>
          <w:r>
            <w:t xml:space="preserve">6. Implementation Investment</w:t>
          </w:r>
          <w:r>
            <w:tab/>
          </w:r>
          <w:r>
            <w:t xml:space="preserve">63</w:t>
          </w:r>
        </w:p>
        <w:p>
          <w:pPr>
            <w:pStyle w:val="TOC2"/>
            <w:tabs>
              <w:tab w:val="right" w:leader="dot" w:pos="9072"/>
            </w:tabs>
          </w:pPr>
          <w:r>
            <w:t xml:space="preserve">6.1 Methodology</w:t>
          </w:r>
          <w:r>
            <w:tab/>
          </w:r>
          <w:r>
            <w:t xml:space="preserve">64</w:t>
          </w:r>
        </w:p>
        <w:p>
          <w:pPr>
            <w:pStyle w:val="TOC2"/>
            <w:tabs>
              <w:tab w:val="right" w:leader="dot" w:pos="9072"/>
            </w:tabs>
          </w:pPr>
          <w:r>
            <w:t xml:space="preserve">6.2 Discovery and Requirements</w:t>
          </w:r>
          <w:r>
            <w:tab/>
          </w:r>
          <w:r>
            <w:t xml:space="preserve">65</w:t>
          </w:r>
        </w:p>
        <w:p>
          <w:pPr>
            <w:pStyle w:val="TOC3"/>
            <w:tabs>
              <w:tab w:val="right" w:leader="dot" w:pos="9072"/>
            </w:tabs>
          </w:pPr>
          <w:r>
            <w:t xml:space="preserve">Objective</w:t>
          </w:r>
          <w:r>
            <w:tab/>
          </w:r>
          <w:r>
            <w:t xml:space="preserve">66</w:t>
          </w:r>
        </w:p>
        <w:p>
          <w:pPr>
            <w:pStyle w:val="TOC3"/>
            <w:tabs>
              <w:tab w:val="right" w:leader="dot" w:pos="9072"/>
            </w:tabs>
          </w:pPr>
          <w:r>
            <w:t xml:space="preserve">Activities</w:t>
          </w:r>
          <w:r>
            <w:tab/>
          </w:r>
          <w:r>
            <w:t xml:space="preserve">67</w:t>
          </w:r>
        </w:p>
        <w:p>
          <w:pPr>
            <w:pStyle w:val="TOC3"/>
            <w:tabs>
              <w:tab w:val="right" w:leader="dot" w:pos="9072"/>
            </w:tabs>
          </w:pPr>
          <w:r>
            <w:t xml:space="preserve">Deliverables</w:t>
          </w:r>
          <w:r>
            <w:tab/>
          </w:r>
          <w:r>
            <w:t xml:space="preserve">68</w:t>
          </w:r>
        </w:p>
        <w:p>
          <w:pPr>
            <w:pStyle w:val="TOC3"/>
            <w:tabs>
              <w:tab w:val="right" w:leader="dot" w:pos="9072"/>
            </w:tabs>
          </w:pPr>
          <w:r>
            <w:t xml:space="preserve">Investment</w:t>
          </w:r>
          <w:r>
            <w:tab/>
          </w:r>
          <w:r>
            <w:t xml:space="preserve">69</w:t>
          </w:r>
        </w:p>
        <w:p>
          <w:pPr>
            <w:pStyle w:val="TOC2"/>
            <w:tabs>
              <w:tab w:val="right" w:leader="dot" w:pos="9072"/>
            </w:tabs>
          </w:pPr>
          <w:r>
            <w:t xml:space="preserve">6.3 Configuration and Setup</w:t>
          </w:r>
          <w:r>
            <w:tab/>
          </w:r>
          <w:r>
            <w:t xml:space="preserve">70</w:t>
          </w:r>
        </w:p>
        <w:p>
          <w:pPr>
            <w:pStyle w:val="TOC3"/>
            <w:tabs>
              <w:tab w:val="right" w:leader="dot" w:pos="9072"/>
            </w:tabs>
          </w:pPr>
          <w:r>
            <w:t xml:space="preserve">Objective</w:t>
          </w:r>
          <w:r>
            <w:tab/>
          </w:r>
          <w:r>
            <w:t xml:space="preserve">71</w:t>
          </w:r>
        </w:p>
        <w:p>
          <w:pPr>
            <w:pStyle w:val="TOC3"/>
            <w:tabs>
              <w:tab w:val="right" w:leader="dot" w:pos="9072"/>
            </w:tabs>
          </w:pPr>
          <w:r>
            <w:t xml:space="preserve">Activities</w:t>
          </w:r>
          <w:r>
            <w:tab/>
          </w:r>
          <w:r>
            <w:t xml:space="preserve">72</w:t>
          </w:r>
        </w:p>
        <w:p>
          <w:pPr>
            <w:pStyle w:val="TOC3"/>
            <w:tabs>
              <w:tab w:val="right" w:leader="dot" w:pos="9072"/>
            </w:tabs>
          </w:pPr>
          <w:r>
            <w:t xml:space="preserve">Deliverables</w:t>
          </w:r>
          <w:r>
            <w:tab/>
          </w:r>
          <w:r>
            <w:t xml:space="preserve">73</w:t>
          </w:r>
        </w:p>
        <w:p>
          <w:pPr>
            <w:pStyle w:val="TOC3"/>
            <w:tabs>
              <w:tab w:val="right" w:leader="dot" w:pos="9072"/>
            </w:tabs>
          </w:pPr>
          <w:r>
            <w:t xml:space="preserve">Investment</w:t>
          </w:r>
          <w:r>
            <w:tab/>
          </w:r>
          <w:r>
            <w:t xml:space="preserve">74</w:t>
          </w:r>
        </w:p>
        <w:p>
          <w:pPr>
            <w:pStyle w:val="TOC2"/>
            <w:tabs>
              <w:tab w:val="right" w:leader="dot" w:pos="9072"/>
            </w:tabs>
          </w:pPr>
          <w:r>
            <w:t xml:space="preserve">6.4 Integration</w:t>
          </w:r>
          <w:r>
            <w:tab/>
          </w:r>
          <w:r>
            <w:t xml:space="preserve">75</w:t>
          </w:r>
        </w:p>
        <w:p>
          <w:pPr>
            <w:pStyle w:val="TOC3"/>
            <w:tabs>
              <w:tab w:val="right" w:leader="dot" w:pos="9072"/>
            </w:tabs>
          </w:pPr>
          <w:r>
            <w:t xml:space="preserve">Objective</w:t>
          </w:r>
          <w:r>
            <w:tab/>
          </w:r>
          <w:r>
            <w:t xml:space="preserve">76</w:t>
          </w:r>
        </w:p>
        <w:p>
          <w:pPr>
            <w:pStyle w:val="TOC3"/>
            <w:tabs>
              <w:tab w:val="right" w:leader="dot" w:pos="9072"/>
            </w:tabs>
          </w:pPr>
          <w:r>
            <w:t xml:space="preserve">Activities</w:t>
          </w:r>
          <w:r>
            <w:tab/>
          </w:r>
          <w:r>
            <w:t xml:space="preserve">77</w:t>
          </w:r>
        </w:p>
        <w:p>
          <w:pPr>
            <w:pStyle w:val="TOC3"/>
            <w:tabs>
              <w:tab w:val="right" w:leader="dot" w:pos="9072"/>
            </w:tabs>
          </w:pPr>
          <w:r>
            <w:t xml:space="preserve">Deliverables</w:t>
          </w:r>
          <w:r>
            <w:tab/>
          </w:r>
          <w:r>
            <w:t xml:space="preserve">78</w:t>
          </w:r>
        </w:p>
        <w:p>
          <w:pPr>
            <w:pStyle w:val="TOC3"/>
            <w:tabs>
              <w:tab w:val="right" w:leader="dot" w:pos="9072"/>
            </w:tabs>
          </w:pPr>
          <w:r>
            <w:t xml:space="preserve">Investment</w:t>
          </w:r>
          <w:r>
            <w:tab/>
          </w:r>
          <w:r>
            <w:t xml:space="preserve">79</w:t>
          </w:r>
        </w:p>
        <w:p>
          <w:pPr>
            <w:pStyle w:val="TOC2"/>
            <w:tabs>
              <w:tab w:val="right" w:leader="dot" w:pos="9072"/>
            </w:tabs>
          </w:pPr>
          <w:r>
            <w:t xml:space="preserve">6.5 Testing and User Acceptance</w:t>
          </w:r>
          <w:r>
            <w:tab/>
          </w:r>
          <w:r>
            <w:t xml:space="preserve">80</w:t>
          </w:r>
        </w:p>
        <w:p>
          <w:pPr>
            <w:pStyle w:val="TOC3"/>
            <w:tabs>
              <w:tab w:val="right" w:leader="dot" w:pos="9072"/>
            </w:tabs>
          </w:pPr>
          <w:r>
            <w:t xml:space="preserve">Objective</w:t>
          </w:r>
          <w:r>
            <w:tab/>
          </w:r>
          <w:r>
            <w:t xml:space="preserve">81</w:t>
          </w:r>
        </w:p>
        <w:p>
          <w:pPr>
            <w:pStyle w:val="TOC3"/>
            <w:tabs>
              <w:tab w:val="right" w:leader="dot" w:pos="9072"/>
            </w:tabs>
          </w:pPr>
          <w:r>
            <w:t xml:space="preserve">Activities</w:t>
          </w:r>
          <w:r>
            <w:tab/>
          </w:r>
          <w:r>
            <w:t xml:space="preserve">82</w:t>
          </w:r>
        </w:p>
        <w:p>
          <w:pPr>
            <w:pStyle w:val="TOC3"/>
            <w:tabs>
              <w:tab w:val="right" w:leader="dot" w:pos="9072"/>
            </w:tabs>
          </w:pPr>
          <w:r>
            <w:t xml:space="preserve">Deliverables</w:t>
          </w:r>
          <w:r>
            <w:tab/>
          </w:r>
          <w:r>
            <w:t xml:space="preserve">83</w:t>
          </w:r>
        </w:p>
        <w:p>
          <w:pPr>
            <w:pStyle w:val="TOC3"/>
            <w:tabs>
              <w:tab w:val="right" w:leader="dot" w:pos="9072"/>
            </w:tabs>
          </w:pPr>
          <w:r>
            <w:t xml:space="preserve">Investment</w:t>
          </w:r>
          <w:r>
            <w:tab/>
          </w:r>
          <w:r>
            <w:t xml:space="preserve">84</w:t>
          </w:r>
        </w:p>
        <w:p>
          <w:pPr>
            <w:pStyle w:val="TOC2"/>
            <w:tabs>
              <w:tab w:val="right" w:leader="dot" w:pos="9072"/>
            </w:tabs>
          </w:pPr>
          <w:r>
            <w:t xml:space="preserve">6.6 Go-Live</w:t>
          </w:r>
          <w:r>
            <w:tab/>
          </w:r>
          <w:r>
            <w:t xml:space="preserve">85</w:t>
          </w:r>
        </w:p>
        <w:p>
          <w:pPr>
            <w:pStyle w:val="TOC3"/>
            <w:tabs>
              <w:tab w:val="right" w:leader="dot" w:pos="9072"/>
            </w:tabs>
          </w:pPr>
          <w:r>
            <w:t xml:space="preserve">Objective</w:t>
          </w:r>
          <w:r>
            <w:tab/>
          </w:r>
          <w:r>
            <w:t xml:space="preserve">86</w:t>
          </w:r>
        </w:p>
        <w:p>
          <w:pPr>
            <w:pStyle w:val="TOC3"/>
            <w:tabs>
              <w:tab w:val="right" w:leader="dot" w:pos="9072"/>
            </w:tabs>
          </w:pPr>
          <w:r>
            <w:t xml:space="preserve">Activities</w:t>
          </w:r>
          <w:r>
            <w:tab/>
          </w:r>
          <w:r>
            <w:t xml:space="preserve">87</w:t>
          </w:r>
        </w:p>
        <w:p>
          <w:pPr>
            <w:pStyle w:val="TOC3"/>
            <w:tabs>
              <w:tab w:val="right" w:leader="dot" w:pos="9072"/>
            </w:tabs>
          </w:pPr>
          <w:r>
            <w:t xml:space="preserve">Deliverables</w:t>
          </w:r>
          <w:r>
            <w:tab/>
          </w:r>
          <w:r>
            <w:t xml:space="preserve">88</w:t>
          </w:r>
        </w:p>
        <w:p>
          <w:pPr>
            <w:pStyle w:val="TOC3"/>
            <w:tabs>
              <w:tab w:val="right" w:leader="dot" w:pos="9072"/>
            </w:tabs>
          </w:pPr>
          <w:r>
            <w:t xml:space="preserve">Investment</w:t>
          </w:r>
          <w:r>
            <w:tab/>
          </w:r>
          <w:r>
            <w:t xml:space="preserve">89</w:t>
          </w:r>
        </w:p>
        <w:p>
          <w:pPr>
            <w:pStyle w:val="TOC2"/>
            <w:tabs>
              <w:tab w:val="right" w:leader="dot" w:pos="9072"/>
            </w:tabs>
          </w:pPr>
          <w:r>
            <w:t xml:space="preserve">6.7 Hypercare and Optimization</w:t>
          </w:r>
          <w:r>
            <w:tab/>
          </w:r>
          <w:r>
            <w:t xml:space="preserve">90</w:t>
          </w:r>
        </w:p>
        <w:p>
          <w:pPr>
            <w:pStyle w:val="TOC3"/>
            <w:tabs>
              <w:tab w:val="right" w:leader="dot" w:pos="9072"/>
            </w:tabs>
          </w:pPr>
          <w:r>
            <w:t xml:space="preserve">Objective</w:t>
          </w:r>
          <w:r>
            <w:tab/>
          </w:r>
          <w:r>
            <w:t xml:space="preserve">91</w:t>
          </w:r>
        </w:p>
        <w:p>
          <w:pPr>
            <w:pStyle w:val="TOC3"/>
            <w:tabs>
              <w:tab w:val="right" w:leader="dot" w:pos="9072"/>
            </w:tabs>
          </w:pPr>
          <w:r>
            <w:t xml:space="preserve">Activities</w:t>
          </w:r>
          <w:r>
            <w:tab/>
          </w:r>
          <w:r>
            <w:t xml:space="preserve">92</w:t>
          </w:r>
        </w:p>
        <w:p>
          <w:pPr>
            <w:pStyle w:val="TOC3"/>
            <w:tabs>
              <w:tab w:val="right" w:leader="dot" w:pos="9072"/>
            </w:tabs>
          </w:pPr>
          <w:r>
            <w:t xml:space="preserve">Deliverables</w:t>
          </w:r>
          <w:r>
            <w:tab/>
          </w:r>
          <w:r>
            <w:t xml:space="preserve">93</w:t>
          </w:r>
        </w:p>
        <w:p>
          <w:pPr>
            <w:pStyle w:val="TOC3"/>
            <w:tabs>
              <w:tab w:val="right" w:leader="dot" w:pos="9072"/>
            </w:tabs>
          </w:pPr>
          <w:r>
            <w:t xml:space="preserve">Investment</w:t>
          </w:r>
          <w:r>
            <w:tab/>
          </w:r>
          <w:r>
            <w:t xml:space="preserve">94</w:t>
          </w:r>
        </w:p>
        <w:p>
          <w:pPr>
            <w:pStyle w:val="TOC2"/>
            <w:tabs>
              <w:tab w:val="right" w:leader="dot" w:pos="9072"/>
            </w:tabs>
          </w:pPr>
          <w:r>
            <w:t xml:space="preserve">6.8 Pricing Summary</w:t>
          </w:r>
          <w:r>
            <w:tab/>
          </w:r>
          <w:r>
            <w:t xml:space="preserve">95</w:t>
          </w:r>
        </w:p>
        <w:p>
          <w:pPr>
            <w:pStyle w:val="TOC2"/>
            <w:tabs>
              <w:tab w:val="right" w:leader="dot" w:pos="9072"/>
            </w:tabs>
          </w:pPr>
          <w:r>
            <w:t xml:space="preserve">6.9 Accelerators and Risks</w:t>
          </w:r>
          <w:r>
            <w:tab/>
          </w:r>
          <w:r>
            <w:t xml:space="preserve">96</w:t>
          </w:r>
        </w:p>
        <w:p>
          <w:pPr>
            <w:pStyle w:val="TOC3"/>
            <w:tabs>
              <w:tab w:val="right" w:leader="dot" w:pos="9072"/>
            </w:tabs>
          </w:pPr>
          <w:r>
            <w:t xml:space="preserve">Accelerators</w:t>
          </w:r>
          <w:r>
            <w:tab/>
          </w:r>
          <w:r>
            <w:t xml:space="preserve">97</w:t>
          </w:r>
        </w:p>
        <w:p>
          <w:pPr>
            <w:pStyle w:val="TOC3"/>
            <w:tabs>
              <w:tab w:val="right" w:leader="dot" w:pos="9072"/>
            </w:tabs>
          </w:pPr>
          <w:r>
            <w:t xml:space="preserve">Risks and Mitigations</w:t>
          </w:r>
          <w:r>
            <w:tab/>
          </w:r>
          <w:r>
            <w:t xml:space="preserve">98</w:t>
          </w:r>
        </w:p>
        <w:p>
          <w:pPr>
            <w:pStyle w:val="TOC2"/>
            <w:tabs>
              <w:tab w:val="right" w:leader="dot" w:pos="9072"/>
            </w:tabs>
          </w:pPr>
          <w:r>
            <w:t xml:space="preserve">6.10 Training</w:t>
          </w:r>
          <w:r>
            <w:tab/>
          </w:r>
          <w:r>
            <w:t xml:space="preserve">99</w:t>
          </w:r>
        </w:p>
        <w:p>
          <w:pPr>
            <w:pStyle w:val="TOC1"/>
            <w:tabs>
              <w:tab w:val="right" w:leader="dot" w:pos="9072"/>
            </w:tabs>
          </w:pPr>
          <w:r>
            <w:t xml:space="preserve">7. Commercial Terms</w:t>
          </w:r>
          <w:r>
            <w:tab/>
          </w:r>
          <w:r>
            <w:t xml:space="preserve">100</w:t>
          </w:r>
        </w:p>
        <w:p>
          <w:pPr>
            <w:pStyle w:val="TOC2"/>
            <w:tabs>
              <w:tab w:val="right" w:leader="dot" w:pos="9072"/>
            </w:tabs>
          </w:pPr>
          <w:r>
            <w:t xml:space="preserve">7.1 Contract Structure</w:t>
          </w:r>
          <w:r>
            <w:tab/>
          </w:r>
          <w:r>
            <w:t xml:space="preserve">101</w:t>
          </w:r>
        </w:p>
        <w:p>
          <w:pPr>
            <w:pStyle w:val="TOC3"/>
            <w:tabs>
              <w:tab w:val="right" w:leader="dot" w:pos="9072"/>
            </w:tabs>
          </w:pPr>
          <w:r>
            <w:t xml:space="preserve">Recommendation for ADGM</w:t>
          </w:r>
          <w:r>
            <w:tab/>
          </w:r>
          <w:r>
            <w:t xml:space="preserve">102</w:t>
          </w:r>
        </w:p>
        <w:p>
          <w:pPr>
            <w:pStyle w:val="TOC2"/>
            <w:tabs>
              <w:tab w:val="right" w:leader="dot" w:pos="9072"/>
            </w:tabs>
          </w:pPr>
          <w:r>
            <w:t xml:space="preserve">7.2 Payment Schedule</w:t>
          </w:r>
          <w:r>
            <w:tab/>
          </w:r>
          <w:r>
            <w:t xml:space="preserve">103</w:t>
          </w:r>
        </w:p>
        <w:p>
          <w:pPr>
            <w:pStyle w:val="TOC2"/>
            <w:tabs>
              <w:tab w:val="right" w:leader="dot" w:pos="9072"/>
            </w:tabs>
          </w:pPr>
          <w:r>
            <w:t xml:space="preserve">7.3 Duration</w:t>
          </w:r>
          <w:r>
            <w:tab/>
          </w:r>
          <w:r>
            <w:t xml:space="preserve">104</w:t>
          </w:r>
        </w:p>
        <w:p>
          <w:pPr>
            <w:pStyle w:val="TOC2"/>
            <w:tabs>
              <w:tab w:val="right" w:leader="dot" w:pos="9072"/>
            </w:tabs>
          </w:pPr>
          <w:r>
            <w:t xml:space="preserve">7.4 Renewal</w:t>
          </w:r>
          <w:r>
            <w:tab/>
          </w:r>
          <w:r>
            <w:t xml:space="preserve">105</w:t>
          </w:r>
        </w:p>
        <w:p>
          <w:pPr>
            <w:pStyle w:val="TOC2"/>
            <w:tabs>
              <w:tab w:val="right" w:leader="dot" w:pos="9072"/>
            </w:tabs>
          </w:pPr>
          <w:r>
            <w:t xml:space="preserve">7.5 Termination</w:t>
          </w:r>
          <w:r>
            <w:tab/>
          </w:r>
          <w:r>
            <w:t xml:space="preserve">106</w:t>
          </w:r>
        </w:p>
        <w:p>
          <w:pPr>
            <w:pStyle w:val="TOC3"/>
            <w:tabs>
              <w:tab w:val="right" w:leader="dot" w:pos="9072"/>
            </w:tabs>
          </w:pPr>
          <w:r>
            <w:t xml:space="preserve">Termination for Convenience</w:t>
          </w:r>
          <w:r>
            <w:tab/>
          </w:r>
          <w:r>
            <w:t xml:space="preserve">107</w:t>
          </w:r>
        </w:p>
        <w:p>
          <w:pPr>
            <w:pStyle w:val="TOC3"/>
            <w:tabs>
              <w:tab w:val="right" w:leader="dot" w:pos="9072"/>
            </w:tabs>
          </w:pPr>
          <w:r>
            <w:t xml:space="preserve">Termination for Cause</w:t>
          </w:r>
          <w:r>
            <w:tab/>
          </w:r>
          <w:r>
            <w:t xml:space="preserve">108</w:t>
          </w:r>
        </w:p>
        <w:p>
          <w:pPr>
            <w:pStyle w:val="TOC3"/>
            <w:tabs>
              <w:tab w:val="right" w:leader="dot" w:pos="9072"/>
            </w:tabs>
          </w:pPr>
          <w:r>
            <w:t xml:space="preserve">Effect of Termination</w:t>
          </w:r>
          <w:r>
            <w:tab/>
          </w:r>
          <w:r>
            <w:t xml:space="preserve">109</w:t>
          </w:r>
        </w:p>
        <w:p>
          <w:pPr>
            <w:pStyle w:val="TOC2"/>
            <w:tabs>
              <w:tab w:val="right" w:leader="dot" w:pos="9072"/>
            </w:tabs>
          </w:pPr>
          <w:r>
            <w:t xml:space="preserve">7.6 Intellectual Property</w:t>
          </w:r>
          <w:r>
            <w:tab/>
          </w:r>
          <w:r>
            <w:t xml:space="preserve">110</w:t>
          </w:r>
        </w:p>
        <w:p>
          <w:pPr>
            <w:pStyle w:val="TOC2"/>
            <w:tabs>
              <w:tab w:val="right" w:leader="dot" w:pos="9072"/>
            </w:tabs>
          </w:pPr>
          <w:r>
            <w:t xml:space="preserve">7.7 Liability</w:t>
          </w:r>
          <w:r>
            <w:tab/>
          </w:r>
          <w:r>
            <w:t xml:space="preserve">111</w:t>
          </w:r>
        </w:p>
        <w:p>
          <w:pPr>
            <w:pStyle w:val="TOC2"/>
            <w:tabs>
              <w:tab w:val="right" w:leader="dot" w:pos="9072"/>
            </w:tabs>
          </w:pPr>
          <w:r>
            <w:t xml:space="preserve">7.8 Confidentiality</w:t>
          </w:r>
          <w:r>
            <w:tab/>
          </w:r>
          <w:r>
            <w:t xml:space="preserve">112</w:t>
          </w:r>
        </w:p>
        <w:p>
          <w:pPr>
            <w:pStyle w:val="TOC2"/>
            <w:tabs>
              <w:tab w:val="right" w:leader="dot" w:pos="9072"/>
            </w:tabs>
          </w:pPr>
          <w:r>
            <w:t xml:space="preserve">7.9 Escrow</w:t>
          </w:r>
          <w:r>
            <w:tab/>
          </w:r>
          <w:r>
            <w:t xml:space="preserve">113</w:t>
          </w:r>
        </w:p>
        <w:p>
          <w:pPr>
            <w:pStyle w:val="TOC1"/>
            <w:tabs>
              <w:tab w:val="right" w:leader="dot" w:pos="9072"/>
            </w:tabs>
          </w:pPr>
          <w:r>
            <w:t xml:space="preserve">8. Total Cost of Ownership</w:t>
          </w:r>
          <w:r>
            <w:tab/>
          </w:r>
          <w:r>
            <w:t xml:space="preserve">114</w:t>
          </w:r>
        </w:p>
        <w:p>
          <w:pPr>
            <w:pStyle w:val="TOC2"/>
            <w:tabs>
              <w:tab w:val="right" w:leader="dot" w:pos="9072"/>
            </w:tabs>
          </w:pPr>
          <w:r>
            <w:t xml:space="preserve">8.1 TCO Framework</w:t>
          </w:r>
          <w:r>
            <w:tab/>
          </w:r>
          <w:r>
            <w:t xml:space="preserve">115</w:t>
          </w:r>
        </w:p>
        <w:p>
          <w:pPr>
            <w:pStyle w:val="TOC3"/>
            <w:tabs>
              <w:tab w:val="right" w:leader="dot" w:pos="9072"/>
            </w:tabs>
          </w:pPr>
          <w:r>
            <w:t xml:space="preserve">TCO Comparison Dimensions</w:t>
          </w:r>
          <w:r>
            <w:tab/>
          </w:r>
          <w:r>
            <w:t xml:space="preserve">116</w:t>
          </w:r>
        </w:p>
        <w:p>
          <w:pPr>
            <w:pStyle w:val="TOC3"/>
            <w:tabs>
              <w:tab w:val="right" w:leader="dot" w:pos="9072"/>
            </w:tabs>
          </w:pPr>
          <w:r>
            <w:t xml:space="preserve">TCO Assumptions</w:t>
          </w:r>
          <w:r>
            <w:tab/>
          </w:r>
          <w:r>
            <w:t xml:space="preserve">117</w:t>
          </w:r>
        </w:p>
        <w:p>
          <w:pPr>
            <w:pStyle w:val="TOC2"/>
            <w:tabs>
              <w:tab w:val="right" w:leader="dot" w:pos="9072"/>
            </w:tabs>
          </w:pPr>
          <w:r>
            <w:t xml:space="preserve">8.2 3-Year Model</w:t>
          </w:r>
          <w:r>
            <w:tab/>
          </w:r>
          <w:r>
            <w:t xml:space="preserve">118</w:t>
          </w:r>
        </w:p>
        <w:p>
          <w:pPr>
            <w:pStyle w:val="TOC2"/>
            <w:tabs>
              <w:tab w:val="right" w:leader="dot" w:pos="9072"/>
            </w:tabs>
          </w:pPr>
          <w:r>
            <w:t xml:space="preserve">8.3 5-Year Model</w:t>
          </w:r>
          <w:r>
            <w:tab/>
          </w:r>
          <w:r>
            <w:t xml:space="preserve">119</w:t>
          </w:r>
        </w:p>
        <w:p>
          <w:pPr>
            <w:pStyle w:val="TOC2"/>
            <w:tabs>
              <w:tab w:val="right" w:leader="dot" w:pos="9072"/>
            </w:tabs>
          </w:pPr>
          <w:r>
            <w:t xml:space="preserve">8.4 Comparative Analysis</w:t>
          </w:r>
          <w:r>
            <w:tab/>
          </w:r>
          <w:r>
            <w:t xml:space="preserve">120</w:t>
          </w:r>
        </w:p>
        <w:p>
          <w:pPr>
            <w:pStyle w:val="TOC3"/>
            <w:tabs>
              <w:tab w:val="right" w:leader="dot" w:pos="9072"/>
            </w:tabs>
          </w:pPr>
          <w:r>
            <w:t xml:space="preserve">DALP vs Build In-House</w:t>
          </w:r>
          <w:r>
            <w:tab/>
          </w:r>
          <w:r>
            <w:t xml:space="preserve">121</w:t>
          </w:r>
        </w:p>
        <w:p>
          <w:pPr>
            <w:pStyle w:val="TOC3"/>
            <w:tabs>
              <w:tab w:val="right" w:leader="dot" w:pos="9072"/>
            </w:tabs>
          </w:pPr>
          <w:r>
            <w:t xml:space="preserve">DALP vs Multi-Vendor Assembly</w:t>
          </w:r>
          <w:r>
            <w:tab/>
          </w:r>
          <w:r>
            <w:t xml:space="preserve">122</w:t>
          </w:r>
        </w:p>
        <w:p>
          <w:pPr>
            <w:pStyle w:val="TOC3"/>
            <w:tabs>
              <w:tab w:val="right" w:leader="dot" w:pos="9072"/>
            </w:tabs>
          </w:pPr>
          <w:r>
            <w:t xml:space="preserve">Cumulative Cost Advantage</w:t>
          </w:r>
          <w:r>
            <w:tab/>
          </w:r>
          <w:r>
            <w:t xml:space="preserve">123</w:t>
          </w:r>
        </w:p>
        <w:p>
          <w:pPr>
            <w:pStyle w:val="TOC1"/>
            <w:tabs>
              <w:tab w:val="right" w:leader="dot" w:pos="9072"/>
            </w:tabs>
          </w:pPr>
          <w:r>
            <w:t xml:space="preserve">9. Reference Clients</w:t>
          </w:r>
          <w:r>
            <w:tab/>
          </w:r>
          <w:r>
            <w:t xml:space="preserve">124</w:t>
          </w:r>
        </w:p>
        <w:p>
          <w:pPr>
            <w:pStyle w:val="TOC2"/>
            <w:tabs>
              <w:tab w:val="right" w:leader="dot" w:pos="9072"/>
            </w:tabs>
          </w:pPr>
          <w:r>
            <w:t xml:space="preserve">9.1 Track Record</w:t>
          </w:r>
          <w:r>
            <w:tab/>
          </w:r>
          <w:r>
            <w:t xml:space="preserve">125</w:t>
          </w:r>
        </w:p>
        <w:p>
          <w:pPr>
            <w:pStyle w:val="TOC3"/>
            <w:tabs>
              <w:tab w:val="right" w:leader="dot" w:pos="9072"/>
            </w:tabs>
          </w:pPr>
          <w:r>
            <w:t xml:space="preserve">Middle East Regional Experience</w:t>
          </w:r>
          <w:r>
            <w:tab/>
          </w:r>
          <w:r>
            <w:t xml:space="preserve">126</w:t>
          </w:r>
        </w:p>
        <w:p>
          <w:pPr>
            <w:pStyle w:val="TOC2"/>
            <w:tabs>
              <w:tab w:val="right" w:leader="dot" w:pos="9072"/>
            </w:tabs>
          </w:pPr>
          <w:r>
            <w:t xml:space="preserve">9.2 Case Studies</w:t>
          </w:r>
          <w:r>
            <w:tab/>
          </w:r>
          <w:r>
            <w:t xml:space="preserve">127</w:t>
          </w:r>
        </w:p>
        <w:p>
          <w:pPr>
            <w:pStyle w:val="TOC3"/>
            <w:tabs>
              <w:tab w:val="right" w:leader="dot" w:pos="9072"/>
            </w:tabs>
          </w:pPr>
          <w:r>
            <w:t xml:space="preserve">Case Study 1: ADI-Finstreet — Equity Tokenization in Abu Dhabi</w:t>
          </w:r>
          <w:r>
            <w:tab/>
          </w:r>
          <w:r>
            <w:t xml:space="preserve">128</w:t>
          </w:r>
        </w:p>
        <w:p>
          <w:pPr>
            <w:pStyle w:val="TOC3"/>
            <w:tabs>
              <w:tab w:val="right" w:leader="dot" w:pos="9072"/>
            </w:tabs>
          </w:pPr>
          <w:r>
            <w:t xml:space="preserve">Case Study 2: Standard Chartered Bank — Digital Virtual Exchange</w:t>
          </w:r>
          <w:r>
            <w:tab/>
          </w:r>
          <w:r>
            <w:t xml:space="preserve">129</w:t>
          </w:r>
        </w:p>
        <w:p>
          <w:pPr>
            <w:pStyle w:val="TOC3"/>
            <w:tabs>
              <w:tab w:val="right" w:leader="dot" w:pos="9072"/>
            </w:tabs>
          </w:pPr>
          <w:r>
            <w:t xml:space="preserve">Case Study 3: Saudi Arabia RER — Country-Scale Real Estate Tokenization</w:t>
          </w:r>
          <w:r>
            <w:tab/>
          </w:r>
          <w:r>
            <w:t xml:space="preserve">130</w:t>
          </w:r>
        </w:p>
        <w:p>
          <w:pPr>
            <w:pStyle w:val="TOC1"/>
            <w:tabs>
              <w:tab w:val="right" w:leader="dot" w:pos="9072"/>
            </w:tabs>
          </w:pPr>
          <w:r>
            <w:t xml:space="preserve">10. Next Steps</w:t>
          </w:r>
          <w:r>
            <w:tab/>
          </w:r>
          <w:r>
            <w:t xml:space="preserve">131</w:t>
          </w:r>
        </w:p>
        <w:p>
          <w:pPr>
            <w:pStyle w:val="TOC2"/>
            <w:tabs>
              <w:tab w:val="right" w:leader="dot" w:pos="9072"/>
            </w:tabs>
          </w:pPr>
          <w:r>
            <w:t xml:space="preserve">Step 1: Scoping Workshop (Week 1–2)</w:t>
          </w:r>
          <w:r>
            <w:tab/>
          </w:r>
          <w:r>
            <w:t xml:space="preserve">132</w:t>
          </w:r>
        </w:p>
        <w:p>
          <w:pPr>
            <w:pStyle w:val="TOC2"/>
            <w:tabs>
              <w:tab w:val="right" w:leader="dot" w:pos="9072"/>
            </w:tabs>
          </w:pPr>
          <w:r>
            <w:t xml:space="preserve">Step 2: Commercial Refinement (Week 2–3)</w:t>
          </w:r>
          <w:r>
            <w:tab/>
          </w:r>
          <w:r>
            <w:t xml:space="preserve">133</w:t>
          </w:r>
        </w:p>
        <w:p>
          <w:pPr>
            <w:pStyle w:val="TOC2"/>
            <w:tabs>
              <w:tab w:val="right" w:leader="dot" w:pos="9072"/>
            </w:tabs>
          </w:pPr>
          <w:r>
            <w:t xml:space="preserve">Step 3: Proof of Value (Optional, Week 3–7)</w:t>
          </w:r>
          <w:r>
            <w:tab/>
          </w:r>
          <w:r>
            <w:t xml:space="preserve">134</w:t>
          </w:r>
        </w:p>
        <w:p>
          <w:pPr>
            <w:pStyle w:val="TOC2"/>
            <w:tabs>
              <w:tab w:val="right" w:leader="dot" w:pos="9072"/>
            </w:tabs>
          </w:pPr>
          <w:r>
            <w:t xml:space="preserve">Step 4: Contract Execution (Week 4–6)</w:t>
          </w:r>
          <w:r>
            <w:tab/>
          </w:r>
          <w:r>
            <w:t xml:space="preserve">135</w:t>
          </w:r>
        </w:p>
        <w:p>
          <w:pPr>
            <w:pStyle w:val="TOC2"/>
            <w:tabs>
              <w:tab w:val="right" w:leader="dot" w:pos="9072"/>
            </w:tabs>
          </w:pPr>
          <w:r>
            <w:t xml:space="preserve">Contact Information</w:t>
          </w:r>
          <w:r>
            <w:tab/>
          </w:r>
          <w:r>
            <w:t xml:space="preserve">136</w:t>
          </w:r>
        </w:p>
        <w:p>
          <w:pPr>
            <w:pStyle w:val="TOC1"/>
            <w:tabs>
              <w:tab w:val="right" w:leader="dot" w:pos="9072"/>
            </w:tabs>
          </w:pPr>
          <w:r>
            <w:t xml:space="preserve">Appendix A: DALP Platform Capability Overview</w:t>
          </w:r>
          <w:r>
            <w:tab/>
          </w:r>
          <w:r>
            <w:t xml:space="preserve">137</w:t>
          </w:r>
        </w:p>
        <w:p>
          <w:pPr>
            <w:pStyle w:val="TOC2"/>
            <w:tabs>
              <w:tab w:val="right" w:leader="dot" w:pos="9072"/>
            </w:tabs>
          </w:pPr>
          <w:r>
            <w:t xml:space="preserve">Core Lifecycle Pillars</w:t>
          </w:r>
          <w:r>
            <w:tab/>
          </w:r>
          <w:r>
            <w:t xml:space="preserve">138</w:t>
          </w:r>
        </w:p>
        <w:p>
          <w:pPr>
            <w:pStyle w:val="TOC3"/>
            <w:tabs>
              <w:tab w:val="right" w:leader="dot" w:pos="9072"/>
            </w:tabs>
          </w:pPr>
          <w:r>
            <w:t xml:space="preserve">Issuance</w:t>
          </w:r>
          <w:r>
            <w:tab/>
          </w:r>
          <w:r>
            <w:t xml:space="preserve">139</w:t>
          </w:r>
        </w:p>
        <w:p>
          <w:pPr>
            <w:pStyle w:val="TOC3"/>
            <w:tabs>
              <w:tab w:val="right" w:leader="dot" w:pos="9072"/>
            </w:tabs>
          </w:pPr>
          <w:r>
            <w:t xml:space="preserve">Compliance</w:t>
          </w:r>
          <w:r>
            <w:tab/>
          </w:r>
          <w:r>
            <w:t xml:space="preserve">140</w:t>
          </w:r>
        </w:p>
        <w:p>
          <w:pPr>
            <w:pStyle w:val="TOC3"/>
            <w:tabs>
              <w:tab w:val="right" w:leader="dot" w:pos="9072"/>
            </w:tabs>
          </w:pPr>
          <w:r>
            <w:t xml:space="preserve">Custody Integration</w:t>
          </w:r>
          <w:r>
            <w:tab/>
          </w:r>
          <w:r>
            <w:t xml:space="preserve">141</w:t>
          </w:r>
        </w:p>
        <w:p>
          <w:pPr>
            <w:pStyle w:val="TOC3"/>
            <w:tabs>
              <w:tab w:val="right" w:leader="dot" w:pos="9072"/>
            </w:tabs>
          </w:pPr>
          <w:r>
            <w:t xml:space="preserve">Settlement</w:t>
          </w:r>
          <w:r>
            <w:tab/>
          </w:r>
          <w:r>
            <w:t xml:space="preserve">142</w:t>
          </w:r>
        </w:p>
        <w:p>
          <w:pPr>
            <w:pStyle w:val="TOC3"/>
            <w:tabs>
              <w:tab w:val="right" w:leader="dot" w:pos="9072"/>
            </w:tabs>
          </w:pPr>
          <w:r>
            <w:t xml:space="preserve">Servicing</w:t>
          </w:r>
          <w:r>
            <w:tab/>
          </w:r>
          <w:r>
            <w:t xml:space="preserve">143</w:t>
          </w:r>
        </w:p>
        <w:p>
          <w:pPr>
            <w:pStyle w:val="TOC1"/>
            <w:tabs>
              <w:tab w:val="right" w:leader="dot" w:pos="9072"/>
            </w:tabs>
          </w:pPr>
          <w:r>
            <w:t xml:space="preserve">Appendix B: Technical Architecture Summary</w:t>
          </w:r>
          <w:r>
            <w:tab/>
          </w:r>
          <w:r>
            <w:t xml:space="preserve">144</w:t>
          </w:r>
        </w:p>
        <w:p>
          <w:pPr>
            <w:pStyle w:val="TOC2"/>
            <w:tabs>
              <w:tab w:val="right" w:leader="dot" w:pos="9072"/>
            </w:tabs>
          </w:pPr>
          <w:r>
            <w:t xml:space="preserve">Deployment Architecture</w:t>
          </w:r>
          <w:r>
            <w:tab/>
          </w:r>
          <w:r>
            <w:t xml:space="preserve">145</w:t>
          </w:r>
        </w:p>
        <w:p>
          <w:pPr>
            <w:pStyle w:val="TOC2"/>
            <w:tabs>
              <w:tab w:val="right" w:leader="dot" w:pos="9072"/>
            </w:tabs>
          </w:pPr>
          <w:r>
            <w:t xml:space="preserve">Security Model</w:t>
          </w:r>
          <w:r>
            <w:tab/>
          </w:r>
          <w:r>
            <w:t xml:space="preserve">146</w:t>
          </w:r>
        </w:p>
        <w:p>
          <w:pPr>
            <w:pStyle w:val="TOC1"/>
            <w:tabs>
              <w:tab w:val="right" w:leader="dot" w:pos="9072"/>
            </w:tabs>
          </w:pPr>
          <w:r>
            <w:t xml:space="preserve">Appendix C: UAE Regulatory Context</w:t>
          </w:r>
          <w:r>
            <w:tab/>
          </w:r>
          <w:r>
            <w:t xml:space="preserve">147</w:t>
          </w:r>
        </w:p>
        <w:p>
          <w:pPr>
            <w:pStyle w:val="TOC2"/>
            <w:tabs>
              <w:tab w:val="right" w:leader="dot" w:pos="9072"/>
            </w:tabs>
          </w:pPr>
          <w:r>
            <w:t xml:space="preserve">Applicable Regulatory Framework</w:t>
          </w:r>
          <w:r>
            <w:tab/>
          </w:r>
          <w:r>
            <w:t xml:space="preserve">148</w:t>
          </w:r>
        </w:p>
        <w:p>
          <w:pPr>
            <w:pStyle w:val="TOC3"/>
            <w:tabs>
              <w:tab w:val="right" w:leader="dot" w:pos="9072"/>
            </w:tabs>
          </w:pPr>
          <w:r>
            <w:t xml:space="preserve">DFSA Digital Asset Regime</w:t>
          </w:r>
          <w:r>
            <w:tab/>
          </w:r>
          <w:r>
            <w:t xml:space="preserve">149</w:t>
          </w:r>
        </w:p>
        <w:p>
          <w:pPr>
            <w:pStyle w:val="TOC3"/>
            <w:tabs>
              <w:tab w:val="right" w:leader="dot" w:pos="9072"/>
            </w:tabs>
          </w:pPr>
          <w:r>
            <w:t xml:space="preserve">ADGM FSMR Framework</w:t>
          </w:r>
          <w:r>
            <w:tab/>
          </w:r>
          <w:r>
            <w:t xml:space="preserve">150</w:t>
          </w:r>
        </w:p>
        <w:p>
          <w:pPr>
            <w:pStyle w:val="TOC3"/>
            <w:tabs>
              <w:tab w:val="right" w:leader="dot" w:pos="9072"/>
            </w:tabs>
          </w:pPr>
          <w:r>
            <w:t xml:space="preserve">CBUAE Payment Expectations</w:t>
          </w:r>
          <w:r>
            <w:tab/>
          </w:r>
          <w:r>
            <w:t xml:space="preserve">151</w:t>
          </w:r>
        </w:p>
        <w:p>
          <w:pPr>
            <w:pStyle w:val="TOC3"/>
            <w:tabs>
              <w:tab w:val="right" w:leader="dot" w:pos="9072"/>
            </w:tabs>
          </w:pPr>
          <w:r>
            <w:t xml:space="preserve">UAE AML/CFT Requirements</w:t>
          </w:r>
          <w:r>
            <w:tab/>
          </w:r>
          <w:r>
            <w:t xml:space="preserve">152</w:t>
          </w:r>
        </w:p>
        <w:p>
          <w:pPr>
            <w:pStyle w:val="TOC3"/>
            <w:tabs>
              <w:tab w:val="right" w:leader="dot" w:pos="9072"/>
            </w:tabs>
          </w:pPr>
          <w:r>
            <w:t xml:space="preserve">Islamic Finance Considerations</w:t>
          </w:r>
          <w:r>
            <w:tab/>
          </w:r>
          <w:r>
            <w:t xml:space="preserve">153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Digital Asset Regulatory Framework Support Platform</w:t>
      </w:r>
    </w:p>
    <w:p>
      <w:r>
        <w:br w:type="page"/>
      </w:r>
    </w:p>
    <w:p>
      <w:r>
        <w:rPr>
          <w:rFonts w:ascii="Figtree" w:hAnsi="Figtree"/>
          <w:b/>
          <w:i w:val="0"/>
          <w:sz w:val="22"/>
        </w:rPr>
        <w:t>Document Title:</w:t>
      </w:r>
      <w:r>
        <w:rPr>
          <w:rFonts w:ascii="Figtree" w:hAnsi="Figtree"/>
          <w:b w:val="0"/>
          <w:i w:val="0"/>
          <w:sz w:val="22"/>
        </w:rPr>
        <w:t xml:space="preserve"> Commercial Proposal — Digital Asset Regulatory Framework Support Platform</w:t>
      </w:r>
    </w:p>
    <w:p>
      <w:r>
        <w:rPr>
          <w:rFonts w:ascii="Figtree" w:hAnsi="Figtree"/>
          <w:b/>
          <w:i w:val="0"/>
          <w:sz w:val="22"/>
        </w:rPr>
        <w:t>Client:</w:t>
      </w:r>
      <w:r>
        <w:rPr>
          <w:rFonts w:ascii="Figtree" w:hAnsi="Figtree"/>
          <w:b w:val="0"/>
          <w:i w:val="0"/>
          <w:sz w:val="22"/>
        </w:rPr>
        <w:t xml:space="preserve"> ADGM Abu Dhabi Global Market (UAE)</w:t>
      </w:r>
    </w:p>
    <w:p>
      <w:r>
        <w:rPr>
          <w:rFonts w:ascii="Figtree" w:hAnsi="Figtree"/>
          <w:b/>
          <w:i w:val="0"/>
          <w:sz w:val="22"/>
        </w:rPr>
        <w:t>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Draft</w:t>
      </w:r>
    </w:p>
    <w:p>
      <w:r>
        <w:rPr>
          <w:rFonts w:ascii="Figtree" w:hAnsi="Figtree"/>
          <w:b/>
          <w:i w:val="0"/>
          <w:sz w:val="22"/>
        </w:rPr>
        <w:t>Confidentiality:</w:t>
      </w:r>
      <w:r>
        <w:rPr>
          <w:rFonts w:ascii="Figtree" w:hAnsi="Figtree"/>
          <w:b w:val="0"/>
          <w:i w:val="0"/>
          <w:sz w:val="22"/>
        </w:rPr>
        <w:t xml:space="preserve"> Restricted — ADGM Abu Dhabi Global Market</w:t>
      </w:r>
    </w:p>
    <w:p>
      <w:r>
        <w:br w:type="page"/>
      </w:r>
    </w:p>
    <w:p>
      <w:r>
        <w:rPr>
          <w:rFonts w:ascii="Figtree" w:hAnsi="Figtree"/>
          <w:b w:val="0"/>
          <w:i w:val="0"/>
          <w:sz w:val="22"/>
        </w:rPr>
        <w:t>© 2026 SettleMint NV. All rights reserved. This document contains confidential and proprietary information of SettleMint NV. Distribution or reproduction without written permission is prohibited. The information contained herein is subject to change without notice.</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Summary](#1-executive-summary)</w:t>
      </w:r>
    </w:p>
    <w:p>
      <w:pPr>
        <w:pStyle w:val="ListParagraph"/>
        <w:numPr>
          <w:ilvl w:val="0"/>
          <w:numId w:val="6"/>
        </w:numPr>
      </w:pPr>
      <w:r>
        <w:rPr>
          <w:rFonts w:ascii="Figtree" w:hAnsi="Figtree"/>
          <w:b w:val="0"/>
          <w:i w:val="0"/>
          <w:sz w:val="22"/>
        </w:rPr>
        <w:t>[Investment Rationale](#2-investment-rationale)</w:t>
      </w:r>
    </w:p>
    <w:p>
      <w:pPr>
        <w:pStyle w:val="ListParagraph"/>
        <w:numPr>
          <w:ilvl w:val="1"/>
          <w:numId w:val="4"/>
        </w:numPr>
      </w:pPr>
      <w:r>
        <w:rPr>
          <w:rFonts w:ascii="Figtree" w:hAnsi="Figtree"/>
          <w:b w:val="0"/>
          <w:i w:val="0"/>
          <w:sz w:val="22"/>
        </w:rPr>
        <w:t>2.1 [Cost of Current Approach](#21-cost-of-current-approach)</w:t>
      </w:r>
    </w:p>
    <w:p>
      <w:pPr>
        <w:pStyle w:val="ListParagraph"/>
        <w:numPr>
          <w:ilvl w:val="1"/>
          <w:numId w:val="4"/>
        </w:numPr>
      </w:pPr>
      <w:r>
        <w:rPr>
          <w:rFonts w:ascii="Figtree" w:hAnsi="Figtree"/>
          <w:b w:val="0"/>
          <w:i w:val="0"/>
          <w:sz w:val="22"/>
        </w:rPr>
        <w:t>2.2 [Why DALP Changes Economics](#22-why-dalp-changes-economics)</w:t>
      </w:r>
    </w:p>
    <w:p>
      <w:pPr>
        <w:pStyle w:val="ListParagraph"/>
        <w:numPr>
          <w:ilvl w:val="1"/>
          <w:numId w:val="4"/>
        </w:numPr>
      </w:pPr>
      <w:r>
        <w:rPr>
          <w:rFonts w:ascii="Figtree" w:hAnsi="Figtree"/>
          <w:b w:val="0"/>
          <w:i w:val="0"/>
          <w:sz w:val="22"/>
        </w:rPr>
        <w:t>2.3 [ROI Framework](#23-roi-framework)</w:t>
      </w:r>
    </w:p>
    <w:p>
      <w:pPr>
        <w:pStyle w:val="ListParagraph"/>
        <w:numPr>
          <w:ilvl w:val="0"/>
          <w:numId w:val="6"/>
        </w:numPr>
      </w:pPr>
      <w:r>
        <w:rPr>
          <w:rFonts w:ascii="Figtree" w:hAnsi="Figtree"/>
          <w:b w:val="0"/>
          <w:i w:val="0"/>
          <w:sz w:val="22"/>
        </w:rPr>
        <w:t>[Licensing Model](#3-licensing-model)</w:t>
      </w:r>
    </w:p>
    <w:p>
      <w:pPr>
        <w:pStyle w:val="ListParagraph"/>
        <w:numPr>
          <w:ilvl w:val="1"/>
          <w:numId w:val="4"/>
        </w:numPr>
      </w:pPr>
      <w:r>
        <w:rPr>
          <w:rFonts w:ascii="Figtree" w:hAnsi="Figtree"/>
          <w:b w:val="0"/>
          <w:i w:val="0"/>
          <w:sz w:val="22"/>
        </w:rPr>
        <w:t>3.1 [Philosophy](#31-philosophy)</w:t>
      </w:r>
    </w:p>
    <w:p>
      <w:pPr>
        <w:pStyle w:val="ListParagraph"/>
        <w:numPr>
          <w:ilvl w:val="1"/>
          <w:numId w:val="4"/>
        </w:numPr>
      </w:pPr>
      <w:r>
        <w:rPr>
          <w:rFonts w:ascii="Figtree" w:hAnsi="Figtree"/>
          <w:b w:val="0"/>
          <w:i w:val="0"/>
          <w:sz w:val="22"/>
        </w:rPr>
        <w:t>3.2 [What's Included](#32-whats-included)</w:t>
      </w:r>
    </w:p>
    <w:p>
      <w:pPr>
        <w:pStyle w:val="ListParagraph"/>
        <w:numPr>
          <w:ilvl w:val="1"/>
          <w:numId w:val="4"/>
        </w:numPr>
      </w:pPr>
      <w:r>
        <w:rPr>
          <w:rFonts w:ascii="Figtree" w:hAnsi="Figtree"/>
          <w:b w:val="0"/>
          <w:i w:val="0"/>
          <w:sz w:val="22"/>
        </w:rPr>
        <w:t>3.3 [What Varies](#33-what-varies)</w:t>
      </w:r>
    </w:p>
    <w:p>
      <w:pPr>
        <w:pStyle w:val="ListParagraph"/>
        <w:numPr>
          <w:ilvl w:val="1"/>
          <w:numId w:val="4"/>
        </w:numPr>
      </w:pPr>
      <w:r>
        <w:rPr>
          <w:rFonts w:ascii="Figtree" w:hAnsi="Figtree"/>
          <w:b w:val="0"/>
          <w:i w:val="0"/>
          <w:sz w:val="22"/>
        </w:rPr>
        <w:t>3.4 [Platform Tiers](#34-platform-tiers)</w:t>
      </w:r>
    </w:p>
    <w:p>
      <w:pPr>
        <w:pStyle w:val="ListParagraph"/>
        <w:numPr>
          <w:ilvl w:val="0"/>
          <w:numId w:val="6"/>
        </w:numPr>
      </w:pPr>
      <w:r>
        <w:rPr>
          <w:rFonts w:ascii="Figtree" w:hAnsi="Figtree"/>
          <w:b w:val="0"/>
          <w:i w:val="0"/>
          <w:sz w:val="22"/>
        </w:rPr>
        <w:t>[Deployment Options and Pricing](#4-deployment-options-and-pricing)</w:t>
      </w:r>
    </w:p>
    <w:p>
      <w:pPr>
        <w:pStyle w:val="ListParagraph"/>
        <w:numPr>
          <w:ilvl w:val="1"/>
          <w:numId w:val="4"/>
        </w:numPr>
      </w:pPr>
      <w:r>
        <w:rPr>
          <w:rFonts w:ascii="Figtree" w:hAnsi="Figtree"/>
          <w:b w:val="0"/>
          <w:i w:val="0"/>
          <w:sz w:val="22"/>
        </w:rPr>
        <w:t>4.1 [Model Overview](#41-model-overview)</w:t>
      </w:r>
    </w:p>
    <w:p>
      <w:pPr>
        <w:pStyle w:val="ListParagraph"/>
        <w:numPr>
          <w:ilvl w:val="1"/>
          <w:numId w:val="4"/>
        </w:numPr>
      </w:pPr>
      <w:r>
        <w:rPr>
          <w:rFonts w:ascii="Figtree" w:hAnsi="Figtree"/>
          <w:b w:val="0"/>
          <w:i w:val="0"/>
          <w:sz w:val="22"/>
        </w:rPr>
        <w:t>4.2 [Comparison](#42-comparison)</w:t>
      </w:r>
    </w:p>
    <w:p>
      <w:pPr>
        <w:pStyle w:val="ListParagraph"/>
        <w:numPr>
          <w:ilvl w:val="1"/>
          <w:numId w:val="4"/>
        </w:numPr>
      </w:pPr>
      <w:r>
        <w:rPr>
          <w:rFonts w:ascii="Figtree" w:hAnsi="Figtree"/>
          <w:b w:val="0"/>
          <w:i w:val="0"/>
          <w:sz w:val="22"/>
        </w:rPr>
        <w:t>4.3 [Cost Structure](#43-cost-structure)</w:t>
      </w:r>
    </w:p>
    <w:p>
      <w:pPr>
        <w:pStyle w:val="ListParagraph"/>
        <w:numPr>
          <w:ilvl w:val="1"/>
          <w:numId w:val="4"/>
        </w:numPr>
      </w:pPr>
      <w:r>
        <w:rPr>
          <w:rFonts w:ascii="Figtree" w:hAnsi="Figtree"/>
          <w:b w:val="0"/>
          <w:i w:val="0"/>
          <w:sz w:val="22"/>
        </w:rPr>
        <w:t>4.4 [Cost Drivers](#44-cost-drivers)</w:t>
      </w:r>
    </w:p>
    <w:p>
      <w:pPr>
        <w:pStyle w:val="ListParagraph"/>
        <w:numPr>
          <w:ilvl w:val="0"/>
          <w:numId w:val="6"/>
        </w:numPr>
      </w:pPr>
      <w:r>
        <w:rPr>
          <w:rFonts w:ascii="Figtree" w:hAnsi="Figtree"/>
          <w:b w:val="0"/>
          <w:i w:val="0"/>
          <w:sz w:val="22"/>
        </w:rPr>
        <w:t>[Support and SLA Framework](#5-support-and-sla-framework)</w:t>
      </w:r>
    </w:p>
    <w:p>
      <w:pPr>
        <w:pStyle w:val="ListParagraph"/>
        <w:numPr>
          <w:ilvl w:val="1"/>
          <w:numId w:val="4"/>
        </w:numPr>
      </w:pPr>
      <w:r>
        <w:rPr>
          <w:rFonts w:ascii="Figtree" w:hAnsi="Figtree"/>
          <w:b w:val="0"/>
          <w:i w:val="0"/>
          <w:sz w:val="22"/>
        </w:rPr>
        <w:t>5.1 [Tiers](#51-tiers)</w:t>
      </w:r>
    </w:p>
    <w:p>
      <w:pPr>
        <w:pStyle w:val="ListParagraph"/>
        <w:numPr>
          <w:ilvl w:val="1"/>
          <w:numId w:val="4"/>
        </w:numPr>
      </w:pPr>
      <w:r>
        <w:rPr>
          <w:rFonts w:ascii="Figtree" w:hAnsi="Figtree"/>
          <w:b w:val="0"/>
          <w:i w:val="0"/>
          <w:sz w:val="22"/>
        </w:rPr>
        <w:t>5.2 [Severity Levels](#52-severity-levels)</w:t>
      </w:r>
    </w:p>
    <w:p>
      <w:pPr>
        <w:pStyle w:val="ListParagraph"/>
        <w:numPr>
          <w:ilvl w:val="1"/>
          <w:numId w:val="4"/>
        </w:numPr>
      </w:pPr>
      <w:r>
        <w:rPr>
          <w:rFonts w:ascii="Figtree" w:hAnsi="Figtree"/>
          <w:b w:val="0"/>
          <w:i w:val="0"/>
          <w:sz w:val="22"/>
        </w:rPr>
        <w:t>5.3 [Uptime SLA](#53-uptime-sla)</w:t>
      </w:r>
    </w:p>
    <w:p>
      <w:pPr>
        <w:pStyle w:val="ListParagraph"/>
        <w:numPr>
          <w:ilvl w:val="1"/>
          <w:numId w:val="4"/>
        </w:numPr>
      </w:pPr>
      <w:r>
        <w:rPr>
          <w:rFonts w:ascii="Figtree" w:hAnsi="Figtree"/>
          <w:b w:val="0"/>
          <w:i w:val="0"/>
          <w:sz w:val="22"/>
        </w:rPr>
        <w:t>5.4 [Escalation](#54-escalation)</w:t>
      </w:r>
    </w:p>
    <w:p>
      <w:pPr>
        <w:pStyle w:val="ListParagraph"/>
        <w:numPr>
          <w:ilvl w:val="1"/>
          <w:numId w:val="4"/>
        </w:numPr>
      </w:pPr>
      <w:r>
        <w:rPr>
          <w:rFonts w:ascii="Figtree" w:hAnsi="Figtree"/>
          <w:b w:val="0"/>
          <w:i w:val="0"/>
          <w:sz w:val="22"/>
        </w:rPr>
        <w:t>5.5 [Maintenance](#55-maintenance)</w:t>
      </w:r>
    </w:p>
    <w:p>
      <w:pPr>
        <w:pStyle w:val="ListParagraph"/>
        <w:numPr>
          <w:ilvl w:val="0"/>
          <w:numId w:val="6"/>
        </w:numPr>
      </w:pPr>
      <w:r>
        <w:rPr>
          <w:rFonts w:ascii="Figtree" w:hAnsi="Figtree"/>
          <w:b w:val="0"/>
          <w:i w:val="0"/>
          <w:sz w:val="22"/>
        </w:rPr>
        <w:t>[Implementation Investment](#6-implementation-investment)</w:t>
      </w:r>
    </w:p>
    <w:p>
      <w:pPr>
        <w:pStyle w:val="ListParagraph"/>
        <w:numPr>
          <w:ilvl w:val="1"/>
          <w:numId w:val="4"/>
        </w:numPr>
      </w:pPr>
      <w:r>
        <w:rPr>
          <w:rFonts w:ascii="Figtree" w:hAnsi="Figtree"/>
          <w:b w:val="0"/>
          <w:i w:val="0"/>
          <w:sz w:val="22"/>
        </w:rPr>
        <w:t>6.1 [Methodology](#61-methodology)</w:t>
      </w:r>
    </w:p>
    <w:p>
      <w:pPr>
        <w:pStyle w:val="ListParagraph"/>
        <w:numPr>
          <w:ilvl w:val="1"/>
          <w:numId w:val="4"/>
        </w:numPr>
      </w:pPr>
      <w:r>
        <w:rPr>
          <w:rFonts w:ascii="Figtree" w:hAnsi="Figtree"/>
          <w:b w:val="0"/>
          <w:i w:val="0"/>
          <w:sz w:val="22"/>
        </w:rPr>
        <w:t>6.2 [Discovery and Requirements](#62-discovery-and-requirements)</w:t>
      </w:r>
    </w:p>
    <w:p>
      <w:pPr>
        <w:pStyle w:val="ListParagraph"/>
        <w:numPr>
          <w:ilvl w:val="1"/>
          <w:numId w:val="4"/>
        </w:numPr>
      </w:pPr>
      <w:r>
        <w:rPr>
          <w:rFonts w:ascii="Figtree" w:hAnsi="Figtree"/>
          <w:b w:val="0"/>
          <w:i w:val="0"/>
          <w:sz w:val="22"/>
        </w:rPr>
        <w:t>6.3 [Configuration and Setup](#63-configuration-and-setup)</w:t>
      </w:r>
    </w:p>
    <w:p>
      <w:pPr>
        <w:pStyle w:val="ListParagraph"/>
        <w:numPr>
          <w:ilvl w:val="1"/>
          <w:numId w:val="4"/>
        </w:numPr>
      </w:pPr>
      <w:r>
        <w:rPr>
          <w:rFonts w:ascii="Figtree" w:hAnsi="Figtree"/>
          <w:b w:val="0"/>
          <w:i w:val="0"/>
          <w:sz w:val="22"/>
        </w:rPr>
        <w:t>6.4 [Integration](#64-integration)</w:t>
      </w:r>
    </w:p>
    <w:p>
      <w:pPr>
        <w:pStyle w:val="ListParagraph"/>
        <w:numPr>
          <w:ilvl w:val="1"/>
          <w:numId w:val="4"/>
        </w:numPr>
      </w:pPr>
      <w:r>
        <w:rPr>
          <w:rFonts w:ascii="Figtree" w:hAnsi="Figtree"/>
          <w:b w:val="0"/>
          <w:i w:val="0"/>
          <w:sz w:val="22"/>
        </w:rPr>
        <w:t>6.5 [Testing and User Acceptance](#65-testing-and-user-acceptance)</w:t>
      </w:r>
    </w:p>
    <w:p>
      <w:pPr>
        <w:pStyle w:val="ListParagraph"/>
        <w:numPr>
          <w:ilvl w:val="1"/>
          <w:numId w:val="4"/>
        </w:numPr>
      </w:pPr>
      <w:r>
        <w:rPr>
          <w:rFonts w:ascii="Figtree" w:hAnsi="Figtree"/>
          <w:b w:val="0"/>
          <w:i w:val="0"/>
          <w:sz w:val="22"/>
        </w:rPr>
        <w:t>6.6 [Go-Live](#66-go-live)</w:t>
      </w:r>
    </w:p>
    <w:p>
      <w:pPr>
        <w:pStyle w:val="ListParagraph"/>
        <w:numPr>
          <w:ilvl w:val="1"/>
          <w:numId w:val="4"/>
        </w:numPr>
      </w:pPr>
      <w:r>
        <w:rPr>
          <w:rFonts w:ascii="Figtree" w:hAnsi="Figtree"/>
          <w:b w:val="0"/>
          <w:i w:val="0"/>
          <w:sz w:val="22"/>
        </w:rPr>
        <w:t>6.7 [Hypercare and Optimization](#67-hypercare-and-optimization)</w:t>
      </w:r>
    </w:p>
    <w:p>
      <w:pPr>
        <w:pStyle w:val="ListParagraph"/>
        <w:numPr>
          <w:ilvl w:val="1"/>
          <w:numId w:val="4"/>
        </w:numPr>
      </w:pPr>
      <w:r>
        <w:rPr>
          <w:rFonts w:ascii="Figtree" w:hAnsi="Figtree"/>
          <w:b w:val="0"/>
          <w:i w:val="0"/>
          <w:sz w:val="22"/>
        </w:rPr>
        <w:t>6.8 [Pricing Summary](#68-pricing-summary)</w:t>
      </w:r>
    </w:p>
    <w:p>
      <w:pPr>
        <w:pStyle w:val="ListParagraph"/>
        <w:numPr>
          <w:ilvl w:val="1"/>
          <w:numId w:val="4"/>
        </w:numPr>
      </w:pPr>
      <w:r>
        <w:rPr>
          <w:rFonts w:ascii="Figtree" w:hAnsi="Figtree"/>
          <w:b w:val="0"/>
          <w:i w:val="0"/>
          <w:sz w:val="22"/>
        </w:rPr>
        <w:t>6.9 [Accelerators and Risks](#69-accelerators-and-risks)</w:t>
      </w:r>
    </w:p>
    <w:p>
      <w:pPr>
        <w:pStyle w:val="ListParagraph"/>
        <w:numPr>
          <w:ilvl w:val="1"/>
          <w:numId w:val="4"/>
        </w:numPr>
      </w:pPr>
      <w:r>
        <w:rPr>
          <w:rFonts w:ascii="Figtree" w:hAnsi="Figtree"/>
          <w:b w:val="0"/>
          <w:i w:val="0"/>
          <w:sz w:val="22"/>
        </w:rPr>
        <w:t>6.10 [Training](#610-training)</w:t>
      </w:r>
    </w:p>
    <w:p>
      <w:pPr>
        <w:pStyle w:val="ListParagraph"/>
        <w:numPr>
          <w:ilvl w:val="0"/>
          <w:numId w:val="6"/>
        </w:numPr>
      </w:pPr>
      <w:r>
        <w:rPr>
          <w:rFonts w:ascii="Figtree" w:hAnsi="Figtree"/>
          <w:b w:val="0"/>
          <w:i w:val="0"/>
          <w:sz w:val="22"/>
        </w:rPr>
        <w:t>[Commercial Terms](#7-commercial-terms)</w:t>
      </w:r>
    </w:p>
    <w:p>
      <w:pPr>
        <w:pStyle w:val="ListParagraph"/>
        <w:numPr>
          <w:ilvl w:val="1"/>
          <w:numId w:val="4"/>
        </w:numPr>
      </w:pPr>
      <w:r>
        <w:rPr>
          <w:rFonts w:ascii="Figtree" w:hAnsi="Figtree"/>
          <w:b w:val="0"/>
          <w:i w:val="0"/>
          <w:sz w:val="22"/>
        </w:rPr>
        <w:t>7.1 [Contract Structure](#71-contract-structure)</w:t>
      </w:r>
    </w:p>
    <w:p>
      <w:pPr>
        <w:pStyle w:val="ListParagraph"/>
        <w:numPr>
          <w:ilvl w:val="1"/>
          <w:numId w:val="4"/>
        </w:numPr>
      </w:pPr>
      <w:r>
        <w:rPr>
          <w:rFonts w:ascii="Figtree" w:hAnsi="Figtree"/>
          <w:b w:val="0"/>
          <w:i w:val="0"/>
          <w:sz w:val="22"/>
        </w:rPr>
        <w:t>7.2 [Payment Schedule](#72-payment-schedule)</w:t>
      </w:r>
    </w:p>
    <w:p>
      <w:pPr>
        <w:pStyle w:val="ListParagraph"/>
        <w:numPr>
          <w:ilvl w:val="1"/>
          <w:numId w:val="4"/>
        </w:numPr>
      </w:pPr>
      <w:r>
        <w:rPr>
          <w:rFonts w:ascii="Figtree" w:hAnsi="Figtree"/>
          <w:b w:val="0"/>
          <w:i w:val="0"/>
          <w:sz w:val="22"/>
        </w:rPr>
        <w:t>7.3 [Duration](#73-duration)</w:t>
      </w:r>
    </w:p>
    <w:p>
      <w:pPr>
        <w:pStyle w:val="ListParagraph"/>
        <w:numPr>
          <w:ilvl w:val="1"/>
          <w:numId w:val="4"/>
        </w:numPr>
      </w:pPr>
      <w:r>
        <w:rPr>
          <w:rFonts w:ascii="Figtree" w:hAnsi="Figtree"/>
          <w:b w:val="0"/>
          <w:i w:val="0"/>
          <w:sz w:val="22"/>
        </w:rPr>
        <w:t>7.4 [Renewal](#74-renewal)</w:t>
      </w:r>
    </w:p>
    <w:p>
      <w:pPr>
        <w:pStyle w:val="ListParagraph"/>
        <w:numPr>
          <w:ilvl w:val="1"/>
          <w:numId w:val="4"/>
        </w:numPr>
      </w:pPr>
      <w:r>
        <w:rPr>
          <w:rFonts w:ascii="Figtree" w:hAnsi="Figtree"/>
          <w:b w:val="0"/>
          <w:i w:val="0"/>
          <w:sz w:val="22"/>
        </w:rPr>
        <w:t>7.5 [Termination](#75-termination)</w:t>
      </w:r>
    </w:p>
    <w:p>
      <w:pPr>
        <w:pStyle w:val="ListParagraph"/>
        <w:numPr>
          <w:ilvl w:val="1"/>
          <w:numId w:val="4"/>
        </w:numPr>
      </w:pPr>
      <w:r>
        <w:rPr>
          <w:rFonts w:ascii="Figtree" w:hAnsi="Figtree"/>
          <w:b w:val="0"/>
          <w:i w:val="0"/>
          <w:sz w:val="22"/>
        </w:rPr>
        <w:t>7.6 [Intellectual Property](#76-intellectual-property)</w:t>
      </w:r>
    </w:p>
    <w:p>
      <w:pPr>
        <w:pStyle w:val="ListParagraph"/>
        <w:numPr>
          <w:ilvl w:val="1"/>
          <w:numId w:val="4"/>
        </w:numPr>
      </w:pPr>
      <w:r>
        <w:rPr>
          <w:rFonts w:ascii="Figtree" w:hAnsi="Figtree"/>
          <w:b w:val="0"/>
          <w:i w:val="0"/>
          <w:sz w:val="22"/>
        </w:rPr>
        <w:t>7.7 [Liability](#77-liability)</w:t>
      </w:r>
    </w:p>
    <w:p>
      <w:pPr>
        <w:pStyle w:val="ListParagraph"/>
        <w:numPr>
          <w:ilvl w:val="1"/>
          <w:numId w:val="4"/>
        </w:numPr>
      </w:pPr>
      <w:r>
        <w:rPr>
          <w:rFonts w:ascii="Figtree" w:hAnsi="Figtree"/>
          <w:b w:val="0"/>
          <w:i w:val="0"/>
          <w:sz w:val="22"/>
        </w:rPr>
        <w:t>7.8 [Confidentiality](#78-confidentiality)</w:t>
      </w:r>
    </w:p>
    <w:p>
      <w:pPr>
        <w:pStyle w:val="ListParagraph"/>
        <w:numPr>
          <w:ilvl w:val="1"/>
          <w:numId w:val="4"/>
        </w:numPr>
      </w:pPr>
      <w:r>
        <w:rPr>
          <w:rFonts w:ascii="Figtree" w:hAnsi="Figtree"/>
          <w:b w:val="0"/>
          <w:i w:val="0"/>
          <w:sz w:val="22"/>
        </w:rPr>
        <w:t>7.9 [Escrow](#79-escrow)</w:t>
      </w:r>
    </w:p>
    <w:p>
      <w:pPr>
        <w:pStyle w:val="ListParagraph"/>
        <w:numPr>
          <w:ilvl w:val="0"/>
          <w:numId w:val="6"/>
        </w:numPr>
      </w:pPr>
      <w:r>
        <w:rPr>
          <w:rFonts w:ascii="Figtree" w:hAnsi="Figtree"/>
          <w:b w:val="0"/>
          <w:i w:val="0"/>
          <w:sz w:val="22"/>
        </w:rPr>
        <w:t>[Total Cost of Ownership](#8-total-cost-of-ownership)</w:t>
      </w:r>
    </w:p>
    <w:p>
      <w:pPr>
        <w:pStyle w:val="ListParagraph"/>
        <w:numPr>
          <w:ilvl w:val="1"/>
          <w:numId w:val="4"/>
        </w:numPr>
      </w:pPr>
      <w:r>
        <w:rPr>
          <w:rFonts w:ascii="Figtree" w:hAnsi="Figtree"/>
          <w:b w:val="0"/>
          <w:i w:val="0"/>
          <w:sz w:val="22"/>
        </w:rPr>
        <w:t>8.1 [TCO Framework](#81-tco-framework)</w:t>
      </w:r>
    </w:p>
    <w:p>
      <w:pPr>
        <w:pStyle w:val="ListParagraph"/>
        <w:numPr>
          <w:ilvl w:val="1"/>
          <w:numId w:val="4"/>
        </w:numPr>
      </w:pPr>
      <w:r>
        <w:rPr>
          <w:rFonts w:ascii="Figtree" w:hAnsi="Figtree"/>
          <w:b w:val="0"/>
          <w:i w:val="0"/>
          <w:sz w:val="22"/>
        </w:rPr>
        <w:t>8.2 [3-Year Model](#82-3-year-model)</w:t>
      </w:r>
    </w:p>
    <w:p>
      <w:pPr>
        <w:pStyle w:val="ListParagraph"/>
        <w:numPr>
          <w:ilvl w:val="1"/>
          <w:numId w:val="4"/>
        </w:numPr>
      </w:pPr>
      <w:r>
        <w:rPr>
          <w:rFonts w:ascii="Figtree" w:hAnsi="Figtree"/>
          <w:b w:val="0"/>
          <w:i w:val="0"/>
          <w:sz w:val="22"/>
        </w:rPr>
        <w:t>8.3 [5-Year Model](#83-5-year-model)</w:t>
      </w:r>
    </w:p>
    <w:p>
      <w:pPr>
        <w:pStyle w:val="ListParagraph"/>
        <w:numPr>
          <w:ilvl w:val="1"/>
          <w:numId w:val="4"/>
        </w:numPr>
      </w:pPr>
      <w:r>
        <w:rPr>
          <w:rFonts w:ascii="Figtree" w:hAnsi="Figtree"/>
          <w:b w:val="0"/>
          <w:i w:val="0"/>
          <w:sz w:val="22"/>
        </w:rPr>
        <w:t>8.4 [Comparative Analysis](#84-comparative-analysis)</w:t>
      </w:r>
    </w:p>
    <w:p>
      <w:pPr>
        <w:pStyle w:val="ListParagraph"/>
        <w:numPr>
          <w:ilvl w:val="0"/>
          <w:numId w:val="6"/>
        </w:numPr>
      </w:pPr>
      <w:r>
        <w:rPr>
          <w:rFonts w:ascii="Figtree" w:hAnsi="Figtree"/>
          <w:b w:val="0"/>
          <w:i w:val="0"/>
          <w:sz w:val="22"/>
        </w:rPr>
        <w:t>[Reference Clients](#9-reference-clients)</w:t>
      </w:r>
    </w:p>
    <w:p>
      <w:pPr>
        <w:pStyle w:val="ListParagraph"/>
        <w:numPr>
          <w:ilvl w:val="1"/>
          <w:numId w:val="4"/>
        </w:numPr>
      </w:pPr>
      <w:r>
        <w:rPr>
          <w:rFonts w:ascii="Figtree" w:hAnsi="Figtree"/>
          <w:b w:val="0"/>
          <w:i w:val="0"/>
          <w:sz w:val="22"/>
        </w:rPr>
        <w:t>9.1 [Track Record](#91-track-record)</w:t>
      </w:r>
    </w:p>
    <w:p>
      <w:pPr>
        <w:pStyle w:val="ListParagraph"/>
        <w:numPr>
          <w:ilvl w:val="1"/>
          <w:numId w:val="4"/>
        </w:numPr>
      </w:pPr>
      <w:r>
        <w:rPr>
          <w:rFonts w:ascii="Figtree" w:hAnsi="Figtree"/>
          <w:b w:val="0"/>
          <w:i w:val="0"/>
          <w:sz w:val="22"/>
        </w:rPr>
        <w:t>9.2 [Case Studies](#92-case-studies)</w:t>
      </w:r>
    </w:p>
    <w:p>
      <w:pPr>
        <w:pStyle w:val="ListParagraph"/>
        <w:numPr>
          <w:ilvl w:val="0"/>
          <w:numId w:val="6"/>
        </w:numPr>
      </w:pPr>
      <w:r>
        <w:rPr>
          <w:rFonts w:ascii="Figtree" w:hAnsi="Figtree"/>
          <w:b w:val="0"/>
          <w:i w:val="0"/>
          <w:sz w:val="22"/>
        </w:rPr>
        <w:t>[Next Steps](#10-next-steps)</w:t>
      </w:r>
    </w:p>
    <w:p>
      <w:r>
        <w:br w:type="page"/>
      </w:r>
    </w:p>
    <w:p>
      <w:pPr>
        <w:pStyle w:val="H1"/>
        <w:numPr>
          <w:ilvl w:val="0"/>
          <w:numId w:val="1"/>
        </w:numPr>
      </w:pPr>
      <w:r>
        <w:t>1. Executive Summary</w:t>
      </w:r>
    </w:p>
    <w:p>
      <w:r>
        <w:rPr>
          <w:rFonts w:ascii="Figtree" w:hAnsi="Figtree"/>
          <w:b w:val="0"/>
          <w:i w:val="0"/>
          <w:sz w:val="22"/>
        </w:rPr>
        <w:t>ADGM Abu Dhabi Global Market requires a digital asset regulatory framework support platform that operates within the rigorous control environment expected of a major financial centre regulator. The solution must deliver production-grade capabilities while fitting into ADGM's existing enterprise architecture, compliance framework, and operational governance model. This commercial proposal presents DALP (Digital Asset Lifecycle Platform) as the optimal platform choice, supported by a transparent commercial structure aligned with ADGM's procurement objectives.</w:t>
      </w:r>
    </w:p>
    <w:p>
      <w:pPr>
        <w:pStyle w:val="H2"/>
        <w:numPr>
          <w:ilvl w:val="1"/>
          <w:numId w:val="1"/>
        </w:numPr>
      </w:pPr>
      <w:r>
        <w:t>The Commercial Recommendation</w:t>
      </w:r>
    </w:p>
    <w:p>
      <w:r>
        <w:rPr>
          <w:rFonts w:ascii="Figtree" w:hAnsi="Figtree"/>
          <w:b w:val="0"/>
          <w:i w:val="0"/>
          <w:sz w:val="22"/>
        </w:rPr>
        <w:t xml:space="preserve">SettleMint recommends ADGM procure the </w:t>
      </w:r>
      <w:r>
        <w:rPr>
          <w:rFonts w:ascii="Figtree" w:hAnsi="Figtree"/>
          <w:b/>
          <w:i w:val="0"/>
          <w:sz w:val="22"/>
        </w:rPr>
        <w:t>Enterprise tier</w:t>
      </w:r>
      <w:r>
        <w:rPr>
          <w:rFonts w:ascii="Figtree" w:hAnsi="Figtree"/>
          <w:b w:val="0"/>
          <w:i w:val="0"/>
          <w:sz w:val="22"/>
        </w:rPr>
        <w:t xml:space="preserve"> of DALP, deployed in a </w:t>
      </w:r>
      <w:r>
        <w:rPr>
          <w:rFonts w:ascii="Figtree" w:hAnsi="Figtree"/>
          <w:b/>
          <w:i w:val="0"/>
          <w:sz w:val="22"/>
        </w:rPr>
        <w:t>Private Cloud</w:t>
      </w:r>
      <w:r>
        <w:rPr>
          <w:rFonts w:ascii="Figtree" w:hAnsi="Figtree"/>
          <w:b w:val="0"/>
          <w:i w:val="0"/>
          <w:sz w:val="22"/>
        </w:rPr>
        <w:t xml:space="preserve"> configuration within the UAE region, with </w:t>
      </w:r>
      <w:r>
        <w:rPr>
          <w:rFonts w:ascii="Figtree" w:hAnsi="Figtree"/>
          <w:b/>
          <w:i w:val="0"/>
          <w:sz w:val="22"/>
        </w:rPr>
        <w:t>Premium Support</w:t>
      </w:r>
      <w:r>
        <w:rPr>
          <w:rFonts w:ascii="Figtree" w:hAnsi="Figtree"/>
          <w:b w:val="0"/>
          <w:i w:val="0"/>
          <w:sz w:val="22"/>
        </w:rPr>
        <w:t xml:space="preserve"> coverage. This configuration delivers the right balance of control, scalability, and operational support for a regulator operating at ADGM's complexity level.</w:t>
      </w:r>
    </w:p>
    <w:p>
      <w:r>
        <w:rPr>
          <w:rFonts w:ascii="Figtree" w:hAnsi="Figtree"/>
          <w:b w:val="0"/>
          <w:i w:val="0"/>
          <w:sz w:val="22"/>
        </w:rPr>
        <w:t>The recommended configuration includes:</w:t>
      </w:r>
    </w:p>
    <w:p>
      <w:pPr>
        <w:pStyle w:val="ListParagraph"/>
        <w:numPr>
          <w:ilvl w:val="0"/>
          <w:numId w:val="4"/>
        </w:numPr>
      </w:pPr>
      <w:r>
        <w:rPr>
          <w:rFonts w:ascii="Figtree" w:hAnsi="Figtree"/>
          <w:b w:val="0"/>
          <w:i w:val="0"/>
          <w:sz w:val="22"/>
        </w:rPr>
        <w:t>Full platform capabilities across all five lifecycle pillars (Issuance, Compliance, Custody Integration, Settlement, Servicing)</w:t>
      </w:r>
    </w:p>
    <w:p>
      <w:pPr>
        <w:pStyle w:val="ListParagraph"/>
        <w:numPr>
          <w:ilvl w:val="0"/>
          <w:numId w:val="4"/>
        </w:numPr>
      </w:pPr>
      <w:r>
        <w:rPr>
          <w:rFonts w:ascii="Figtree" w:hAnsi="Figtree"/>
          <w:b w:val="0"/>
          <w:i w:val="0"/>
          <w:sz w:val="22"/>
        </w:rPr>
        <w:t>All seven asset classes and eighteen compliance module types</w:t>
      </w:r>
    </w:p>
    <w:p>
      <w:pPr>
        <w:pStyle w:val="ListParagraph"/>
        <w:numPr>
          <w:ilvl w:val="0"/>
          <w:numId w:val="4"/>
        </w:numPr>
      </w:pPr>
      <w:r>
        <w:rPr>
          <w:rFonts w:ascii="Figtree" w:hAnsi="Figtree"/>
          <w:b w:val="0"/>
          <w:i w:val="0"/>
          <w:sz w:val="22"/>
        </w:rPr>
        <w:t>Multi-environment deployment (development, staging, UAT, production, disaster recovery)</w:t>
      </w:r>
    </w:p>
    <w:p>
      <w:pPr>
        <w:pStyle w:val="ListParagraph"/>
        <w:numPr>
          <w:ilvl w:val="0"/>
          <w:numId w:val="4"/>
        </w:numPr>
      </w:pPr>
      <w:r>
        <w:rPr>
          <w:rFonts w:ascii="Figtree" w:hAnsi="Figtree"/>
          <w:b w:val="0"/>
          <w:i w:val="0"/>
          <w:sz w:val="22"/>
        </w:rPr>
        <w:t>Premium Support with 99.95% uptime SLA and extended coverage hours</w:t>
      </w:r>
    </w:p>
    <w:p>
      <w:pPr>
        <w:pStyle w:val="ListParagraph"/>
        <w:numPr>
          <w:ilvl w:val="0"/>
          <w:numId w:val="4"/>
        </w:numPr>
      </w:pPr>
      <w:r>
        <w:rPr>
          <w:rFonts w:ascii="Figtree" w:hAnsi="Figtree"/>
          <w:b w:val="0"/>
          <w:i w:val="0"/>
          <w:sz w:val="22"/>
        </w:rPr>
        <w:t>Implementation delivered through a structured 18-week program with 4-week hypercare</w:t>
      </w:r>
    </w:p>
    <w:p>
      <w:pPr>
        <w:pStyle w:val="H2"/>
        <w:numPr>
          <w:ilvl w:val="1"/>
          <w:numId w:val="1"/>
        </w:numPr>
      </w:pPr>
      <w:r>
        <w:t>Commercial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3"/>
        <w:gridCol w:w="266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4873"/>
            <w:vAlign w:val="center"/>
          </w:tcPr>
          <w:p>
            <w:pPr>
              <w:spacing w:line="276" w:lineRule="auto" w:before="0" w:after="0"/>
            </w:pPr>
            <w:r/>
            <w:r>
              <w:rPr>
                <w:rFonts w:ascii="Figtree" w:hAnsi="Figtree"/>
                <w:b w:val="0"/>
                <w:i w:val="0"/>
                <w:sz w:val="20"/>
              </w:rPr>
              <w:t>Enterprise Platform License (Annual)</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 (One-time)</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Premium Support (Annual)</w:t>
            </w:r>
          </w:p>
        </w:tc>
        <w:tc>
          <w:tcPr>
            <w:tcW w:type="dxa" w:w="4873"/>
            <w:vAlign w:val="center"/>
          </w:tcPr>
          <w:p>
            <w:pPr>
              <w:spacing w:line="276" w:lineRule="auto" w:before="0" w:after="0"/>
            </w:pPr>
            <w:r/>
            <w:r>
              <w:rPr>
                <w:rFonts w:ascii="Figtree" w:hAnsi="Figtree"/>
                <w:b w:val="0"/>
                <w:i w:val="0"/>
                <w:sz w:val="20"/>
              </w:rPr>
              <w:t>€60,000</w:t>
            </w:r>
          </w:p>
        </w:tc>
      </w:tr>
      <w:tr>
        <w:trPr>
          <w:trHeight w:val="425" w:hRule="atLeast"/>
        </w:trPr>
        <w:tc>
          <w:tcPr>
            <w:tcW w:type="dxa" w:w="4873"/>
            <w:vAlign w:val="center"/>
          </w:tcPr>
          <w:p>
            <w:pPr>
              <w:spacing w:line="276" w:lineRule="auto" w:before="0" w:after="0"/>
            </w:pPr>
            <w:r/>
            <w:r>
              <w:rPr>
                <w:rFonts w:ascii="Figtree" w:hAnsi="Figtree"/>
                <w:b/>
                <w:i w:val="0"/>
                <w:sz w:val="20"/>
              </w:rPr>
              <w:t>Year 1 Total</w:t>
            </w:r>
          </w:p>
        </w:tc>
        <w:tc>
          <w:tcPr>
            <w:tcW w:type="dxa" w:w="4873"/>
            <w:vAlign w:val="center"/>
          </w:tcPr>
          <w:p>
            <w:pPr>
              <w:spacing w:line="276" w:lineRule="auto" w:before="0" w:after="0"/>
            </w:pPr>
            <w:r/>
            <w:r>
              <w:rPr>
                <w:rFonts w:ascii="Figtree" w:hAnsi="Figtree"/>
                <w:b/>
                <w:i w:val="0"/>
                <w:sz w:val="20"/>
              </w:rPr>
              <w:t>€780,000</w:t>
            </w:r>
          </w:p>
        </w:tc>
      </w:tr>
      <w:tr>
        <w:trPr>
          <w:trHeight w:val="425" w:hRule="atLeast"/>
        </w:trPr>
        <w:tc>
          <w:tcPr>
            <w:tcW w:type="dxa" w:w="4873"/>
            <w:vAlign w:val="center"/>
          </w:tcPr>
          <w:p>
            <w:pPr>
              <w:spacing w:line="276" w:lineRule="auto" w:before="0" w:after="0"/>
            </w:pPr>
            <w:r/>
            <w:r>
              <w:rPr>
                <w:rFonts w:ascii="Figtree" w:hAnsi="Figtree"/>
                <w:b/>
                <w:i w:val="0"/>
                <w:sz w:val="20"/>
              </w:rPr>
              <w:t>Year 2+ (Annual Recurring)</w:t>
            </w:r>
          </w:p>
        </w:tc>
        <w:tc>
          <w:tcPr>
            <w:tcW w:type="dxa" w:w="4873"/>
            <w:vAlign w:val="center"/>
          </w:tcPr>
          <w:p>
            <w:pPr>
              <w:spacing w:line="276" w:lineRule="auto" w:before="0" w:after="0"/>
            </w:pPr>
            <w:r/>
            <w:r>
              <w:rPr>
                <w:rFonts w:ascii="Figtree" w:hAnsi="Figtree"/>
                <w:b/>
                <w:i w:val="0"/>
                <w:sz w:val="20"/>
              </w:rPr>
              <w:t>€360,000</w:t>
            </w:r>
          </w:p>
        </w:tc>
      </w:tr>
    </w:tbl>
    <w:p>
      <w:pPr>
        <w:spacing w:before="0" w:after="0" w:line="120" w:lineRule="exact"/>
      </w:pPr>
    </w:p>
    <w:p>
      <w:r>
        <w:rPr>
          <w:rFonts w:ascii="Figtree" w:hAnsi="Figtree"/>
          <w:b w:val="0"/>
          <w:i/>
          <w:sz w:val="22"/>
        </w:rPr>
        <w:t>All figures are indicative and subject to final scope validation. See detailed pricing sections below.</w:t>
      </w:r>
    </w:p>
    <w:p>
      <w:pPr>
        <w:pStyle w:val="H2"/>
        <w:numPr>
          <w:ilvl w:val="1"/>
          <w:numId w:val="1"/>
        </w:numPr>
      </w:pPr>
      <w:r>
        <w:t>Value Proposition</w:t>
      </w:r>
    </w:p>
    <w:p>
      <w:r>
        <w:rPr>
          <w:rFonts w:ascii="Figtree" w:hAnsi="Figtree"/>
          <w:b w:val="0"/>
          <w:i w:val="0"/>
          <w:sz w:val="22"/>
        </w:rPr>
        <w:t>DALP delivers measurable value across four dimensions for ADGM:</w:t>
      </w:r>
    </w:p>
    <w:p>
      <w:pPr>
        <w:pStyle w:val="ListParagraph"/>
        <w:numPr>
          <w:ilvl w:val="0"/>
          <w:numId w:val="7"/>
        </w:numPr>
      </w:pPr>
      <w:r>
        <w:rPr>
          <w:rFonts w:ascii="Figtree" w:hAnsi="Figtree"/>
          <w:b/>
          <w:i w:val="0"/>
          <w:sz w:val="22"/>
        </w:rPr>
        <w:t>Operational Efficiency</w:t>
      </w:r>
      <w:r>
        <w:rPr>
          <w:rFonts w:ascii="Figtree" w:hAnsi="Figtree"/>
          <w:b w:val="0"/>
          <w:i w:val="0"/>
          <w:sz w:val="22"/>
        </w:rPr>
        <w:t>: The platform's ex-ante compliance enforcement and automated lifecycle management reduce manual review workloads by an estimated 40–60%, while atomic settlement eliminates reconciliation overhead.</w:t>
      </w:r>
    </w:p>
    <w:p>
      <w:pPr>
        <w:pStyle w:val="ListParagraph"/>
        <w:numPr>
          <w:ilvl w:val="0"/>
          <w:numId w:val="7"/>
        </w:numPr>
      </w:pPr>
      <w:r>
        <w:rPr>
          <w:rFonts w:ascii="Figtree" w:hAnsi="Figtree"/>
          <w:b/>
          <w:i w:val="0"/>
          <w:sz w:val="22"/>
        </w:rPr>
        <w:t>Regulatory Alignment</w:t>
      </w:r>
      <w:r>
        <w:rPr>
          <w:rFonts w:ascii="Figtree" w:hAnsi="Figtree"/>
          <w:b w:val="0"/>
          <w:i w:val="0"/>
          <w:sz w:val="22"/>
        </w:rPr>
        <w:t>: Eighteen configurable compliance module types map directly to UAE regulatory requirements including DFSA digital asset rules, ADGM FSMR framework, CBUAE payment expectations, and UAE AML/CFT law. The platform provides immutable audit trails that satisfy supervisory review and board reporting requirements.</w:t>
      </w:r>
    </w:p>
    <w:p>
      <w:pPr>
        <w:pStyle w:val="ListParagraph"/>
        <w:numPr>
          <w:ilvl w:val="0"/>
          <w:numId w:val="7"/>
        </w:numPr>
      </w:pPr>
      <w:r>
        <w:rPr>
          <w:rFonts w:ascii="Figtree" w:hAnsi="Figtree"/>
          <w:b/>
          <w:i w:val="0"/>
          <w:sz w:val="22"/>
        </w:rPr>
        <w:t>Scalability</w:t>
      </w:r>
      <w:r>
        <w:rPr>
          <w:rFonts w:ascii="Figtree" w:hAnsi="Figtree"/>
          <w:b w:val="0"/>
          <w:i w:val="0"/>
          <w:sz w:val="22"/>
        </w:rPr>
        <w:t>: The Enterprise tier supports phased rollout from initial launch to broader adoption without platform reset. Multi-environment support enables controlled promotion from development through production.</w:t>
      </w:r>
    </w:p>
    <w:p>
      <w:pPr>
        <w:pStyle w:val="ListParagraph"/>
        <w:numPr>
          <w:ilvl w:val="0"/>
          <w:numId w:val="7"/>
        </w:numPr>
      </w:pPr>
      <w:r>
        <w:rPr>
          <w:rFonts w:ascii="Figtree" w:hAnsi="Figtree"/>
          <w:b/>
          <w:i w:val="0"/>
          <w:sz w:val="22"/>
        </w:rPr>
        <w:t>Risk Reduction</w:t>
      </w:r>
      <w:r>
        <w:rPr>
          <w:rFonts w:ascii="Figtree" w:hAnsi="Figtree"/>
          <w:b w:val="0"/>
          <w:i w:val="0"/>
          <w:sz w:val="22"/>
        </w:rPr>
        <w:t>: Single-platform economics eliminate the integration risk, SLA complexity, and accountability gaps that come with assembling multiple point solutions. Immutable audit trails and complete logging support ADGM's control environment expectations.</w:t>
      </w:r>
    </w:p>
    <w:p>
      <w:pPr>
        <w:pStyle w:val="H2"/>
        <w:numPr>
          <w:ilvl w:val="1"/>
          <w:numId w:val="1"/>
        </w:numPr>
      </w:pPr>
      <w:r>
        <w:t>Procurement Pathway</w:t>
      </w:r>
    </w:p>
    <w:p>
      <w:r>
        <w:rPr>
          <w:rFonts w:ascii="Figtree" w:hAnsi="Figtree"/>
          <w:b w:val="0"/>
          <w:i w:val="0"/>
          <w:sz w:val="22"/>
        </w:rPr>
        <w:t>SettleMint proposes a structured commercial validation process:</w:t>
      </w:r>
    </w:p>
    <w:p>
      <w:pPr>
        <w:pStyle w:val="ListParagraph"/>
        <w:numPr>
          <w:ilvl w:val="0"/>
          <w:numId w:val="8"/>
        </w:numPr>
      </w:pPr>
      <w:r>
        <w:rPr>
          <w:rFonts w:ascii="Figtree" w:hAnsi="Figtree"/>
          <w:b/>
          <w:i w:val="0"/>
          <w:sz w:val="22"/>
        </w:rPr>
        <w:t>Scoping Workshop</w:t>
      </w:r>
      <w:r>
        <w:rPr>
          <w:rFonts w:ascii="Figtree" w:hAnsi="Figtree"/>
          <w:b w:val="0"/>
          <w:i w:val="0"/>
          <w:sz w:val="22"/>
        </w:rPr>
        <w:t xml:space="preserve"> (1–2 days): Validate deployment requirements, integration landscape, and compliance context specific to ADGM's operating model.</w:t>
      </w:r>
    </w:p>
    <w:p>
      <w:pPr>
        <w:pStyle w:val="ListParagraph"/>
        <w:numPr>
          <w:ilvl w:val="0"/>
          <w:numId w:val="8"/>
        </w:numPr>
      </w:pPr>
      <w:r>
        <w:rPr>
          <w:rFonts w:ascii="Figtree" w:hAnsi="Figtree"/>
          <w:b/>
          <w:i w:val="0"/>
          <w:sz w:val="22"/>
        </w:rPr>
        <w:t>Commercial Refinement</w:t>
      </w:r>
      <w:r>
        <w:rPr>
          <w:rFonts w:ascii="Figtree" w:hAnsi="Figtree"/>
          <w:b w:val="0"/>
          <w:i w:val="0"/>
          <w:sz w:val="22"/>
        </w:rPr>
        <w:t>: Adjust pricing based on validated scope, environment count, and integration complexity.</w:t>
      </w:r>
    </w:p>
    <w:p>
      <w:pPr>
        <w:pStyle w:val="ListParagraph"/>
        <w:numPr>
          <w:ilvl w:val="0"/>
          <w:numId w:val="8"/>
        </w:numPr>
      </w:pPr>
      <w:r>
        <w:rPr>
          <w:rFonts w:ascii="Figtree" w:hAnsi="Figtree"/>
          <w:b/>
          <w:i w:val="0"/>
          <w:sz w:val="22"/>
        </w:rPr>
        <w:t>Proof of Value</w:t>
      </w:r>
      <w:r>
        <w:rPr>
          <w:rFonts w:ascii="Figtree" w:hAnsi="Figtree"/>
          <w:b w:val="0"/>
          <w:i w:val="0"/>
          <w:sz w:val="22"/>
        </w:rPr>
        <w:t xml:space="preserve"> (optional, 4 weeks): Time-boxed technical validation in a sandbox environment demonstrating DALP capabilities against ADGM's specific requirements.</w:t>
      </w:r>
    </w:p>
    <w:p>
      <w:pPr>
        <w:pStyle w:val="ListParagraph"/>
        <w:numPr>
          <w:ilvl w:val="0"/>
          <w:numId w:val="8"/>
        </w:numPr>
      </w:pPr>
      <w:r>
        <w:rPr>
          <w:rFonts w:ascii="Figtree" w:hAnsi="Figtree"/>
          <w:b/>
          <w:i w:val="0"/>
          <w:sz w:val="22"/>
        </w:rPr>
        <w:t>Contract Execution</w:t>
      </w:r>
      <w:r>
        <w:rPr>
          <w:rFonts w:ascii="Figtree" w:hAnsi="Figtree"/>
          <w:b w:val="0"/>
          <w:i w:val="0"/>
          <w:sz w:val="22"/>
        </w:rPr>
        <w:t>: Formalize license, implementation, and support agreements.</w:t>
      </w:r>
    </w:p>
    <w:p>
      <w:r>
        <w:rPr>
          <w:rFonts w:ascii="Figtree" w:hAnsi="Figtree"/>
          <w:b w:val="0"/>
          <w:i w:val="0"/>
          <w:sz w:val="22"/>
        </w:rPr>
        <w:t>This proposal presents indicative pricing based on the Enterprise tier configuration. Final commercial terms will be confirmed following the scoping workshop.</w:t>
      </w:r>
    </w:p>
    <w:p>
      <w:r>
        <w:br w:type="page"/>
      </w:r>
    </w:p>
    <w:p>
      <w:pPr>
        <w:pStyle w:val="H1"/>
        <w:numPr>
          <w:ilvl w:val="0"/>
          <w:numId w:val="1"/>
        </w:numPr>
      </w:pPr>
      <w:r>
        <w:t>2. Investment Rationale</w:t>
      </w:r>
    </w:p>
    <w:p>
      <w:pPr>
        <w:pStyle w:val="H2"/>
        <w:numPr>
          <w:ilvl w:val="1"/>
          <w:numId w:val="1"/>
        </w:numPr>
      </w:pPr>
      <w:r>
        <w:t>2.1 Cost of Current Approach</w:t>
      </w:r>
    </w:p>
    <w:p>
      <w:r>
        <w:rPr>
          <w:rFonts w:ascii="Figtree" w:hAnsi="Figtree"/>
          <w:b w:val="0"/>
          <w:i w:val="0"/>
          <w:sz w:val="22"/>
        </w:rPr>
        <w:t>Financial institutions and regulators evaluating digital asset platforms typically face three alternative paths, each carrying significant hidden costs that are often underestimated in initial procurement assessments.</w:t>
      </w:r>
    </w:p>
    <w:p>
      <w:pPr>
        <w:pStyle w:val="H3"/>
        <w:numPr>
          <w:ilvl w:val="2"/>
          <w:numId w:val="1"/>
        </w:numPr>
      </w:pPr>
      <w:r>
        <w:t>Build In-House</w:t>
      </w:r>
    </w:p>
    <w:p>
      <w:r>
        <w:rPr>
          <w:rFonts w:ascii="Figtree" w:hAnsi="Figtree"/>
          <w:b w:val="0"/>
          <w:i w:val="0"/>
          <w:sz w:val="22"/>
        </w:rPr>
        <w:t>An internal build approach requires dedicated blockchain engineering teams, compliance engineering resources, and ongoing maintenance capacity. The total cost of ownership for a production-grade platform typically exceeds €2–4 million in initial development alone, plus €500,000–€1 million annually in maintenance and evolution. This approach creates permanent engineering headcount dependencies and assumes the institution can recruit and retain scarce blockchain talent in a competitive market.</w:t>
      </w:r>
    </w:p>
    <w:p>
      <w:pPr>
        <w:pStyle w:val="H3"/>
        <w:numPr>
          <w:ilvl w:val="2"/>
          <w:numId w:val="1"/>
        </w:numPr>
      </w:pPr>
      <w:r>
        <w:t>Multi-Vendor Assembly</w:t>
      </w:r>
    </w:p>
    <w:p>
      <w:r>
        <w:rPr>
          <w:rFonts w:ascii="Figtree" w:hAnsi="Figtree"/>
          <w:b w:val="0"/>
          <w:i w:val="0"/>
          <w:sz w:val="22"/>
        </w:rPr>
        <w:t>Assembling separate solutions for token issuance, compliance enforcement, custody orchestration, and settlement creates integration complexity that generates ongoing operational costs. Each vendor relationship requires separate procurement cycles, contract management, and SLA enforcement. Incident resolution across vendor boundaries is notoriously difficult—when a transfer fails at the settlement layer, determining whether the fault lies with the issuance platform, compliance module, or custody provider creates delays and accountability gaps. The total cost of this fragmented approach typically matches or exceeds a unified platform when integration effort, coordination overhead, and hidden incident costs are fully accounted.</w:t>
      </w:r>
    </w:p>
    <w:p>
      <w:pPr>
        <w:pStyle w:val="H3"/>
        <w:numPr>
          <w:ilvl w:val="2"/>
          <w:numId w:val="1"/>
        </w:numPr>
      </w:pPr>
      <w:r>
        <w:t>Pilot That Cannot Scale</w:t>
      </w:r>
    </w:p>
    <w:p>
      <w:r>
        <w:rPr>
          <w:rFonts w:ascii="Figtree" w:hAnsi="Figtree"/>
          <w:b w:val="0"/>
          <w:i w:val="0"/>
          <w:sz w:val="22"/>
        </w:rPr>
        <w:t>Many institutions begin with innovation pilots that never reach production scale. The pilot approach accumulates costs without producing operational capability, creating a pattern of repeated proof-of-concept spending that delivers no lasting infrastructure. The opportunity cost of delayed production readiness compounds over time as market competition intensifies.</w:t>
      </w:r>
    </w:p>
    <w:p>
      <w:pPr>
        <w:pStyle w:val="H3"/>
        <w:numPr>
          <w:ilvl w:val="2"/>
          <w:numId w:val="1"/>
        </w:numPr>
      </w:pPr>
      <w:r>
        <w:t>Hidden Cost Categories</w:t>
      </w:r>
    </w:p>
    <w:p>
      <w:r>
        <w:rPr>
          <w:rFonts w:ascii="Figtree" w:hAnsi="Figtree"/>
          <w:b w:val="0"/>
          <w:i w:val="0"/>
          <w:sz w:val="22"/>
        </w:rPr>
        <w:t>Beyond direct licensing and development costs, the current approach imposes:</w:t>
      </w:r>
    </w:p>
    <w:p>
      <w:pPr>
        <w:pStyle w:val="ListParagraph"/>
        <w:numPr>
          <w:ilvl w:val="0"/>
          <w:numId w:val="4"/>
        </w:numPr>
      </w:pPr>
      <w:r>
        <w:rPr>
          <w:rFonts w:ascii="Figtree" w:hAnsi="Figtree"/>
          <w:b w:val="0"/>
          <w:i w:val="0"/>
          <w:sz w:val="22"/>
        </w:rPr>
        <w:t>Multiple vendor procurement cycles and contract negotiations</w:t>
      </w:r>
    </w:p>
    <w:p>
      <w:pPr>
        <w:pStyle w:val="ListParagraph"/>
        <w:numPr>
          <w:ilvl w:val="0"/>
          <w:numId w:val="4"/>
        </w:numPr>
      </w:pPr>
      <w:r>
        <w:rPr>
          <w:rFonts w:ascii="Figtree" w:hAnsi="Figtree"/>
          <w:b w:val="0"/>
          <w:i w:val="0"/>
          <w:sz w:val="22"/>
        </w:rPr>
        <w:t>Cross-vendor incident resolution complexity</w:t>
      </w:r>
    </w:p>
    <w:p>
      <w:pPr>
        <w:pStyle w:val="ListParagraph"/>
        <w:numPr>
          <w:ilvl w:val="0"/>
          <w:numId w:val="4"/>
        </w:numPr>
      </w:pPr>
      <w:r>
        <w:rPr>
          <w:rFonts w:ascii="Figtree" w:hAnsi="Figtree"/>
          <w:b w:val="0"/>
          <w:i w:val="0"/>
          <w:sz w:val="22"/>
        </w:rPr>
        <w:t>Duplicate integration effort across systems</w:t>
      </w:r>
    </w:p>
    <w:p>
      <w:pPr>
        <w:pStyle w:val="ListParagraph"/>
        <w:numPr>
          <w:ilvl w:val="0"/>
          <w:numId w:val="4"/>
        </w:numPr>
      </w:pPr>
      <w:r>
        <w:rPr>
          <w:rFonts w:ascii="Figtree" w:hAnsi="Figtree"/>
          <w:b w:val="0"/>
          <w:i w:val="0"/>
          <w:sz w:val="22"/>
        </w:rPr>
        <w:t>Inconsistent audit trails and reporting semantics</w:t>
      </w:r>
    </w:p>
    <w:p>
      <w:pPr>
        <w:pStyle w:val="ListParagraph"/>
        <w:numPr>
          <w:ilvl w:val="0"/>
          <w:numId w:val="4"/>
        </w:numPr>
      </w:pPr>
      <w:r>
        <w:rPr>
          <w:rFonts w:ascii="Figtree" w:hAnsi="Figtree"/>
          <w:b w:val="0"/>
          <w:i w:val="0"/>
          <w:sz w:val="22"/>
        </w:rPr>
        <w:t>Release coordination across independently evolving components</w:t>
      </w:r>
    </w:p>
    <w:p>
      <w:pPr>
        <w:pStyle w:val="ListParagraph"/>
        <w:numPr>
          <w:ilvl w:val="0"/>
          <w:numId w:val="4"/>
        </w:numPr>
      </w:pPr>
      <w:r>
        <w:rPr>
          <w:rFonts w:ascii="Figtree" w:hAnsi="Figtree"/>
          <w:b w:val="0"/>
          <w:i w:val="0"/>
          <w:sz w:val="22"/>
        </w:rPr>
        <w:t>Architectural drift as point solutions expand unevenly</w:t>
      </w:r>
    </w:p>
    <w:p>
      <w:pPr>
        <w:pStyle w:val="ListParagraph"/>
        <w:numPr>
          <w:ilvl w:val="0"/>
          <w:numId w:val="4"/>
        </w:numPr>
      </w:pPr>
      <w:r>
        <w:rPr>
          <w:rFonts w:ascii="Figtree" w:hAnsi="Figtree"/>
          <w:b w:val="0"/>
          <w:i w:val="0"/>
          <w:sz w:val="22"/>
        </w:rPr>
        <w:t>Regulatory evidence collection overhead when supervisory requests arrive</w:t>
      </w:r>
    </w:p>
    <w:p>
      <w:r>
        <w:br w:type="page"/>
      </w:r>
    </w:p>
    <w:p>
      <w:pPr>
        <w:pStyle w:val="H2"/>
        <w:numPr>
          <w:ilvl w:val="1"/>
          <w:numId w:val="1"/>
        </w:numPr>
      </w:pPr>
      <w:r>
        <w:t>2.2 Why DALP Changes Economics</w:t>
      </w:r>
    </w:p>
    <w:p>
      <w:r>
        <w:rPr>
          <w:rFonts w:ascii="Figtree" w:hAnsi="Figtree"/>
          <w:b w:val="0"/>
          <w:i w:val="0"/>
          <w:sz w:val="22"/>
        </w:rPr>
        <w:t>DALP collapses multiple lifecycle capabilities into a single governed platform, fundamentally changing the economics of digital asset operations.</w:t>
      </w:r>
    </w:p>
    <w:p>
      <w:pPr>
        <w:pStyle w:val="H3"/>
        <w:numPr>
          <w:ilvl w:val="2"/>
          <w:numId w:val="1"/>
        </w:numPr>
      </w:pPr>
      <w:r>
        <w:t>Single Platform, Single Source of Truth</w:t>
      </w:r>
    </w:p>
    <w:p>
      <w:r>
        <w:rPr>
          <w:rFonts w:ascii="Figtree" w:hAnsi="Figtree"/>
          <w:b w:val="0"/>
          <w:i w:val="0"/>
          <w:sz w:val="22"/>
        </w:rPr>
        <w:t>Unlike assembled approaches, DALP provides a unified control plane where every transaction flows through the same issuance logic, compliance enforcement, custody coordination, and settlement mechanisms. This eliminates the reconciliation overhead that characterizes multi-vendor architectures—the blockchain ledger functions as the conclusive record, removing the need for nightly batch reconciliation between systems.</w:t>
      </w:r>
    </w:p>
    <w:p>
      <w:pPr>
        <w:pStyle w:val="H3"/>
        <w:numPr>
          <w:ilvl w:val="2"/>
          <w:numId w:val="1"/>
        </w:numPr>
      </w:pPr>
      <w:r>
        <w:t>Included Capabilities, Not Add-Ons</w:t>
      </w:r>
    </w:p>
    <w:p>
      <w:r>
        <w:rPr>
          <w:rFonts w:ascii="Figtree" w:hAnsi="Figtree"/>
          <w:b w:val="0"/>
          <w:i w:val="0"/>
          <w:sz w:val="22"/>
        </w:rPr>
        <w:t>The DALP license includes all five lifecycle pillars, all seven asset classes, and all eighteen compliance module types. Institutions launching a tokenized bond program can later expand into tokenized equities, funds, deposits, stablecoins, real estate, or precious metals without additional licensing negotiations or platform extensions. This reuse across asset classes improves long-term economics as programs scale.</w:t>
      </w:r>
    </w:p>
    <w:p>
      <w:pPr>
        <w:pStyle w:val="H3"/>
        <w:numPr>
          <w:ilvl w:val="2"/>
          <w:numId w:val="1"/>
        </w:numPr>
      </w:pPr>
      <w:r>
        <w:t>Compliance as Platform Feature</w:t>
      </w:r>
    </w:p>
    <w:p>
      <w:r>
        <w:rPr>
          <w:rFonts w:ascii="Figtree" w:hAnsi="Figtree"/>
          <w:b w:val="0"/>
          <w:i w:val="0"/>
          <w:sz w:val="22"/>
        </w:rPr>
        <w:t>DALP's eighteen compliance module types are built into the platform, not sold as separate modules. Country restrictions, investor accreditation rules, holding period enforcement, supply limits, transfer windows, and collateral backing verification all operate through the same compliance engine. This means regulatory updates in the UAE—whether from DFSA, CBUAE, or SCA—propagate through configuration changes rather than requiring new vendor negotiations or custom development.</w:t>
      </w:r>
    </w:p>
    <w:p>
      <w:pPr>
        <w:pStyle w:val="H3"/>
        <w:numPr>
          <w:ilvl w:val="2"/>
          <w:numId w:val="1"/>
        </w:numPr>
      </w:pPr>
      <w:r>
        <w:t>Operational Predictability</w:t>
      </w:r>
    </w:p>
    <w:p>
      <w:r>
        <w:rPr>
          <w:rFonts w:ascii="Figtree" w:hAnsi="Figtree"/>
          <w:b w:val="0"/>
          <w:i w:val="0"/>
          <w:sz w:val="22"/>
        </w:rPr>
        <w:t>The annual subscription model provides budget predictability. Unlike transaction-based pricing that penalizes growth, DALP's platform licensing allows institutions to scale issuance volume, transaction throughput, and asset classes without cost escalation. This predictability supports multi-year planning and eliminates the variable-cost surprises common in transaction-fee models.</w:t>
      </w:r>
    </w:p>
    <w:p>
      <w:r>
        <w:br w:type="page"/>
      </w:r>
    </w:p>
    <w:p>
      <w:pPr>
        <w:pStyle w:val="H2"/>
        <w:numPr>
          <w:ilvl w:val="1"/>
          <w:numId w:val="1"/>
        </w:numPr>
      </w:pPr>
      <w:r>
        <w:t>2.3 ROI Framework</w:t>
      </w:r>
    </w:p>
    <w:p>
      <w:r>
        <w:rPr>
          <w:rFonts w:ascii="Figtree" w:hAnsi="Figtree"/>
          <w:b w:val="0"/>
          <w:i w:val="0"/>
          <w:sz w:val="22"/>
        </w:rPr>
        <w:t>DALP delivers measurable return across four value categories. The following framework enables ADGM to quantify the business case based on current operational baselines.</w:t>
      </w:r>
    </w:p>
    <w:p>
      <w:pPr>
        <w:pStyle w:val="H3"/>
        <w:numPr>
          <w:ilvl w:val="2"/>
          <w:numId w:val="1"/>
        </w:numPr>
      </w:pPr>
      <w:r>
        <w:t>Operational Efficiency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69"/>
        <w:gridCol w:w="1814"/>
        <w:gridCol w:w="538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Settlement time reduction</w:t>
            </w:r>
          </w:p>
        </w:tc>
        <w:tc>
          <w:tcPr>
            <w:tcW w:type="dxa" w:w="3249"/>
            <w:vAlign w:val="center"/>
          </w:tcPr>
          <w:p>
            <w:pPr>
              <w:spacing w:line="276" w:lineRule="auto" w:before="0" w:after="0"/>
            </w:pPr>
            <w:r/>
            <w:r>
              <w:rPr>
                <w:rFonts w:ascii="Figtree" w:hAnsi="Figtree"/>
                <w:b w:val="0"/>
                <w:i w:val="0"/>
                <w:sz w:val="20"/>
              </w:rPr>
              <w:t>60–80% reduction (T+0 vs T+2/T+3)</w:t>
            </w:r>
          </w:p>
        </w:tc>
        <w:tc>
          <w:tcPr>
            <w:tcW w:type="dxa" w:w="3249"/>
            <w:vAlign w:val="center"/>
          </w:tcPr>
          <w:p>
            <w:pPr>
              <w:spacing w:line="276" w:lineRule="auto" w:before="0" w:after="0"/>
            </w:pPr>
            <w:r/>
            <w:r>
              <w:rPr>
                <w:rFonts w:ascii="Figtree" w:hAnsi="Figtree"/>
                <w:b w:val="0"/>
                <w:i w:val="0"/>
                <w:sz w:val="20"/>
              </w:rPr>
              <w:t>Atomic DvP/XvP settlement ensures simultaneous asset and cash transfer</w:t>
            </w:r>
          </w:p>
        </w:tc>
      </w:tr>
      <w:tr>
        <w:trPr>
          <w:trHeight w:val="425" w:hRule="atLeast"/>
        </w:trPr>
        <w:tc>
          <w:tcPr>
            <w:tcW w:type="dxa" w:w="3249"/>
            <w:vAlign w:val="center"/>
          </w:tcPr>
          <w:p>
            <w:pPr>
              <w:spacing w:line="276" w:lineRule="auto" w:before="0" w:after="0"/>
            </w:pPr>
            <w:r/>
            <w:r>
              <w:rPr>
                <w:rFonts w:ascii="Figtree" w:hAnsi="Figtree"/>
                <w:b w:val="0"/>
                <w:i w:val="0"/>
                <w:sz w:val="20"/>
              </w:rPr>
              <w:t>Manual compliance review reduction</w:t>
            </w:r>
          </w:p>
        </w:tc>
        <w:tc>
          <w:tcPr>
            <w:tcW w:type="dxa" w:w="3249"/>
            <w:vAlign w:val="center"/>
          </w:tcPr>
          <w:p>
            <w:pPr>
              <w:spacing w:line="276" w:lineRule="auto" w:before="0" w:after="0"/>
            </w:pPr>
            <w:r/>
            <w:r>
              <w:rPr>
                <w:rFonts w:ascii="Figtree" w:hAnsi="Figtree"/>
                <w:b w:val="0"/>
                <w:i w:val="0"/>
                <w:sz w:val="20"/>
              </w:rPr>
              <w:t>40–60% reduction</w:t>
            </w:r>
          </w:p>
        </w:tc>
        <w:tc>
          <w:tcPr>
            <w:tcW w:type="dxa" w:w="3249"/>
            <w:vAlign w:val="center"/>
          </w:tcPr>
          <w:p>
            <w:pPr>
              <w:spacing w:line="276" w:lineRule="auto" w:before="0" w:after="0"/>
            </w:pPr>
            <w:r/>
            <w:r>
              <w:rPr>
                <w:rFonts w:ascii="Figtree" w:hAnsi="Figtree"/>
                <w:b w:val="0"/>
                <w:i w:val="0"/>
                <w:sz w:val="20"/>
              </w:rPr>
              <w:t>Ex-ante compliance enforcement via 18 module types blocks non-compliant transfers before execution</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60–80% cost reduction</w:t>
            </w:r>
          </w:p>
        </w:tc>
        <w:tc>
          <w:tcPr>
            <w:tcW w:type="dxa" w:w="3249"/>
            <w:vAlign w:val="center"/>
          </w:tcPr>
          <w:p>
            <w:pPr>
              <w:spacing w:line="276" w:lineRule="auto" w:before="0" w:after="0"/>
            </w:pPr>
            <w:r/>
            <w:r>
              <w:rPr>
                <w:rFonts w:ascii="Figtree" w:hAnsi="Figtree"/>
                <w:b w:val="0"/>
                <w:i w:val="0"/>
                <w:sz w:val="20"/>
              </w:rPr>
              <w:t>Programmatic coupon payments, yield distribution, and maturity handling</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elimination</w:t>
            </w:r>
          </w:p>
        </w:tc>
        <w:tc>
          <w:tcPr>
            <w:tcW w:type="dxa" w:w="3249"/>
            <w:vAlign w:val="center"/>
          </w:tcPr>
          <w:p>
            <w:pPr>
              <w:spacing w:line="276" w:lineRule="auto" w:before="0" w:after="0"/>
            </w:pPr>
            <w:r/>
            <w:r>
              <w:rPr>
                <w:rFonts w:ascii="Figtree" w:hAnsi="Figtree"/>
                <w:b w:val="0"/>
                <w:i w:val="0"/>
                <w:sz w:val="20"/>
              </w:rPr>
              <w:t>Near-complete</w:t>
            </w:r>
          </w:p>
        </w:tc>
        <w:tc>
          <w:tcPr>
            <w:tcW w:type="dxa" w:w="3249"/>
            <w:vAlign w:val="center"/>
          </w:tcPr>
          <w:p>
            <w:pPr>
              <w:spacing w:line="276" w:lineRule="auto" w:before="0" w:after="0"/>
            </w:pPr>
            <w:r/>
            <w:r>
              <w:rPr>
                <w:rFonts w:ascii="Figtree" w:hAnsi="Figtree"/>
                <w:b w:val="0"/>
                <w:i w:val="0"/>
                <w:sz w:val="20"/>
              </w:rPr>
              <w:t>Unified on-chain registry provides single source of truth</w:t>
            </w:r>
          </w:p>
        </w:tc>
      </w:tr>
    </w:tbl>
    <w:p>
      <w:pPr>
        <w:spacing w:before="0" w:after="0" w:line="120" w:lineRule="exact"/>
      </w:pPr>
    </w:p>
    <w:p>
      <w:pPr>
        <w:pStyle w:val="H3"/>
        <w:numPr>
          <w:ilvl w:val="2"/>
          <w:numId w:val="1"/>
        </w:numPr>
      </w:pPr>
      <w:r>
        <w:t>Revenue Enablement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0"/>
        <w:gridCol w:w="1437"/>
        <w:gridCol w:w="58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New asset class launch speed</w:t>
            </w:r>
          </w:p>
        </w:tc>
        <w:tc>
          <w:tcPr>
            <w:tcW w:type="dxa" w:w="3249"/>
            <w:vAlign w:val="center"/>
          </w:tcPr>
          <w:p>
            <w:pPr>
              <w:spacing w:line="276" w:lineRule="auto" w:before="0" w:after="0"/>
            </w:pPr>
            <w:r/>
            <w:r>
              <w:rPr>
                <w:rFonts w:ascii="Figtree" w:hAnsi="Figtree"/>
                <w:b w:val="0"/>
                <w:i w:val="0"/>
                <w:sz w:val="20"/>
              </w:rPr>
              <w:t>60–80% faster</w:t>
            </w:r>
          </w:p>
        </w:tc>
        <w:tc>
          <w:tcPr>
            <w:tcW w:type="dxa" w:w="3249"/>
            <w:vAlign w:val="center"/>
          </w:tcPr>
          <w:p>
            <w:pPr>
              <w:spacing w:line="276" w:lineRule="auto" w:before="0" w:after="0"/>
            </w:pPr>
            <w:r/>
            <w:r>
              <w:rPr>
                <w:rFonts w:ascii="Figtree" w:hAnsi="Figtree"/>
                <w:b w:val="0"/>
                <w:i w:val="0"/>
                <w:sz w:val="20"/>
              </w:rPr>
              <w:t>Pre-built templates and compliance modules reduce time-to-market from months to weeks</w:t>
            </w:r>
          </w:p>
        </w:tc>
      </w:tr>
      <w:tr>
        <w:trPr>
          <w:trHeight w:val="425" w:hRule="atLeast"/>
        </w:trPr>
        <w:tc>
          <w:tcPr>
            <w:tcW w:type="dxa" w:w="3249"/>
            <w:vAlign w:val="center"/>
          </w:tcPr>
          <w:p>
            <w:pPr>
              <w:spacing w:line="276" w:lineRule="auto" w:before="0" w:after="0"/>
            </w:pPr>
            <w:r/>
            <w:r>
              <w:rPr>
                <w:rFonts w:ascii="Figtree" w:hAnsi="Figtree"/>
                <w:b w:val="0"/>
                <w:i w:val="0"/>
                <w:sz w:val="20"/>
              </w:rPr>
              <w:t>Cross-border market access</w:t>
            </w:r>
          </w:p>
        </w:tc>
        <w:tc>
          <w:tcPr>
            <w:tcW w:type="dxa" w:w="3249"/>
            <w:vAlign w:val="center"/>
          </w:tcPr>
          <w:p>
            <w:pPr>
              <w:spacing w:line="276" w:lineRule="auto" w:before="0" w:after="0"/>
            </w:pPr>
            <w:r/>
            <w:r>
              <w:rPr>
                <w:rFonts w:ascii="Figtree" w:hAnsi="Figtree"/>
                <w:b w:val="0"/>
                <w:i w:val="0"/>
                <w:sz w:val="20"/>
              </w:rPr>
              <w:t>New markets accessible</w:t>
            </w:r>
          </w:p>
        </w:tc>
        <w:tc>
          <w:tcPr>
            <w:tcW w:type="dxa" w:w="3249"/>
            <w:vAlign w:val="center"/>
          </w:tcPr>
          <w:p>
            <w:pPr>
              <w:spacing w:line="276" w:lineRule="auto" w:before="0" w:after="0"/>
            </w:pPr>
            <w:r/>
            <w:r>
              <w:rPr>
                <w:rFonts w:ascii="Figtree" w:hAnsi="Figtree"/>
                <w:b w:val="0"/>
                <w:i w:val="0"/>
                <w:sz w:val="20"/>
              </w:rPr>
              <w:t>Jurisdictional compliance templates (MiCA, Reg D/S, MAS, FCA) enable multi-jurisdiction operations</w:t>
            </w:r>
          </w:p>
        </w:tc>
      </w:tr>
      <w:tr>
        <w:trPr>
          <w:trHeight w:val="425" w:hRule="atLeast"/>
        </w:trPr>
        <w:tc>
          <w:tcPr>
            <w:tcW w:type="dxa" w:w="3249"/>
            <w:vAlign w:val="center"/>
          </w:tcPr>
          <w:p>
            <w:pPr>
              <w:spacing w:line="276" w:lineRule="auto" w:before="0" w:after="0"/>
            </w:pPr>
            <w:r/>
            <w:r>
              <w:rPr>
                <w:rFonts w:ascii="Figtree" w:hAnsi="Figtree"/>
                <w:b w:val="0"/>
                <w:i w:val="0"/>
                <w:sz w:val="20"/>
              </w:rPr>
              <w:t>24/7 market access</w:t>
            </w:r>
          </w:p>
        </w:tc>
        <w:tc>
          <w:tcPr>
            <w:tcW w:type="dxa" w:w="3249"/>
            <w:vAlign w:val="center"/>
          </w:tcPr>
          <w:p>
            <w:pPr>
              <w:spacing w:line="276" w:lineRule="auto" w:before="0" w:after="0"/>
            </w:pPr>
            <w:r/>
            <w:r>
              <w:rPr>
                <w:rFonts w:ascii="Figtree" w:hAnsi="Figtree"/>
                <w:b w:val="0"/>
                <w:i w:val="0"/>
                <w:sz w:val="20"/>
              </w:rPr>
              <w:t>Extended trading hours</w:t>
            </w:r>
          </w:p>
        </w:tc>
        <w:tc>
          <w:tcPr>
            <w:tcW w:type="dxa" w:w="3249"/>
            <w:vAlign w:val="center"/>
          </w:tcPr>
          <w:p>
            <w:pPr>
              <w:spacing w:line="276" w:lineRule="auto" w:before="0" w:after="0"/>
            </w:pPr>
            <w:r/>
            <w:r>
              <w:rPr>
                <w:rFonts w:ascii="Figtree" w:hAnsi="Figtree"/>
                <w:b w:val="0"/>
                <w:i w:val="0"/>
                <w:sz w:val="20"/>
              </w:rPr>
              <w:t>On-chain settlement operates continuously</w:t>
            </w:r>
          </w:p>
        </w:tc>
      </w:tr>
    </w:tbl>
    <w:p>
      <w:pPr>
        <w:spacing w:before="0" w:after="0" w:line="120" w:lineRule="exact"/>
      </w:pPr>
    </w:p>
    <w:p>
      <w:pPr>
        <w:pStyle w:val="H3"/>
        <w:numPr>
          <w:ilvl w:val="2"/>
          <w:numId w:val="1"/>
        </w:numPr>
      </w:pPr>
      <w:r>
        <w:t>Risk Reduction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7"/>
        <w:gridCol w:w="1906"/>
        <w:gridCol w:w="51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Compliance violation prevention</w:t>
            </w:r>
          </w:p>
        </w:tc>
        <w:tc>
          <w:tcPr>
            <w:tcW w:type="dxa" w:w="3249"/>
            <w:vAlign w:val="center"/>
          </w:tcPr>
          <w:p>
            <w:pPr>
              <w:spacing w:line="276" w:lineRule="auto" w:before="0" w:after="0"/>
            </w:pPr>
            <w:r/>
            <w:r>
              <w:rPr>
                <w:rFonts w:ascii="Figtree" w:hAnsi="Figtree"/>
                <w:b w:val="0"/>
                <w:i w:val="0"/>
                <w:sz w:val="20"/>
              </w:rPr>
              <w:t>Eliminated at execution layer</w:t>
            </w:r>
          </w:p>
        </w:tc>
        <w:tc>
          <w:tcPr>
            <w:tcW w:type="dxa" w:w="3249"/>
            <w:vAlign w:val="center"/>
          </w:tcPr>
          <w:p>
            <w:pPr>
              <w:spacing w:line="276" w:lineRule="auto" w:before="0" w:after="0"/>
            </w:pPr>
            <w:r/>
            <w:r>
              <w:rPr>
                <w:rFonts w:ascii="Figtree" w:hAnsi="Figtree"/>
                <w:b w:val="0"/>
                <w:i w:val="0"/>
                <w:sz w:val="20"/>
              </w:rPr>
              <w:t>Ex-ante enforcement prevents non-compliant transfers from executing</w:t>
            </w:r>
          </w:p>
        </w:tc>
      </w:tr>
      <w:tr>
        <w:trPr>
          <w:trHeight w:val="425" w:hRule="atLeast"/>
        </w:trPr>
        <w:tc>
          <w:tcPr>
            <w:tcW w:type="dxa" w:w="3249"/>
            <w:vAlign w:val="center"/>
          </w:tcPr>
          <w:p>
            <w:pPr>
              <w:spacing w:line="276" w:lineRule="auto" w:before="0" w:after="0"/>
            </w:pPr>
            <w:r/>
            <w:r>
              <w:rPr>
                <w:rFonts w:ascii="Figtree" w:hAnsi="Figtree"/>
                <w:b w:val="0"/>
                <w:i w:val="0"/>
                <w:sz w:val="20"/>
              </w:rPr>
              <w:t>Counterparty risk elimination</w:t>
            </w:r>
          </w:p>
        </w:tc>
        <w:tc>
          <w:tcPr>
            <w:tcW w:type="dxa" w:w="3249"/>
            <w:vAlign w:val="center"/>
          </w:tcPr>
          <w:p>
            <w:pPr>
              <w:spacing w:line="276" w:lineRule="auto" w:before="0" w:after="0"/>
            </w:pPr>
            <w:r/>
            <w:r>
              <w:rPr>
                <w:rFonts w:ascii="Figtree" w:hAnsi="Figtree"/>
                <w:b w:val="0"/>
                <w:i w:val="0"/>
                <w:sz w:val="20"/>
              </w:rPr>
              <w:t>Eliminated for on-chain legs</w:t>
            </w:r>
          </w:p>
        </w:tc>
        <w:tc>
          <w:tcPr>
            <w:tcW w:type="dxa" w:w="3249"/>
            <w:vAlign w:val="center"/>
          </w:tcPr>
          <w:p>
            <w:pPr>
              <w:spacing w:line="276" w:lineRule="auto" w:before="0" w:after="0"/>
            </w:pPr>
            <w:r/>
            <w:r>
              <w:rPr>
                <w:rFonts w:ascii="Figtree" w:hAnsi="Figtree"/>
                <w:b w:val="0"/>
                <w:i w:val="0"/>
                <w:sz w:val="20"/>
              </w:rPr>
              <w:t>Atomic settlement ensures both legs complete or both revert</w:t>
            </w:r>
          </w:p>
        </w:tc>
      </w:tr>
      <w:tr>
        <w:trPr>
          <w:trHeight w:val="425" w:hRule="atLeast"/>
        </w:trPr>
        <w:tc>
          <w:tcPr>
            <w:tcW w:type="dxa" w:w="3249"/>
            <w:vAlign w:val="center"/>
          </w:tcPr>
          <w:p>
            <w:pPr>
              <w:spacing w:line="276" w:lineRule="auto" w:before="0" w:after="0"/>
            </w:pPr>
            <w:r/>
            <w:r>
              <w:rPr>
                <w:rFonts w:ascii="Figtree" w:hAnsi="Figtree"/>
                <w:b w:val="0"/>
                <w:i w:val="0"/>
                <w:sz w:val="20"/>
              </w:rPr>
              <w:t>Audit burden reduction</w:t>
            </w:r>
          </w:p>
        </w:tc>
        <w:tc>
          <w:tcPr>
            <w:tcW w:type="dxa" w:w="3249"/>
            <w:vAlign w:val="center"/>
          </w:tcPr>
          <w:p>
            <w:pPr>
              <w:spacing w:line="276" w:lineRule="auto" w:before="0" w:after="0"/>
            </w:pPr>
            <w:r/>
            <w:r>
              <w:rPr>
                <w:rFonts w:ascii="Figtree" w:hAnsi="Figtree"/>
                <w:b w:val="0"/>
                <w:i w:val="0"/>
                <w:sz w:val="20"/>
              </w:rPr>
              <w:t>Significant reduction</w:t>
            </w:r>
          </w:p>
        </w:tc>
        <w:tc>
          <w:tcPr>
            <w:tcW w:type="dxa" w:w="3249"/>
            <w:vAlign w:val="center"/>
          </w:tcPr>
          <w:p>
            <w:pPr>
              <w:spacing w:line="276" w:lineRule="auto" w:before="0" w:after="0"/>
            </w:pPr>
            <w:r/>
            <w:r>
              <w:rPr>
                <w:rFonts w:ascii="Figtree" w:hAnsi="Figtree"/>
                <w:b w:val="0"/>
                <w:i w:val="0"/>
                <w:sz w:val="20"/>
              </w:rPr>
              <w:t>Immutable audit trails and structured event history built into every operation</w:t>
            </w:r>
          </w:p>
        </w:tc>
      </w:tr>
    </w:tbl>
    <w:p>
      <w:pPr>
        <w:spacing w:before="0" w:after="0" w:line="120" w:lineRule="exact"/>
      </w:pPr>
    </w:p>
    <w:p>
      <w:pPr>
        <w:pStyle w:val="H3"/>
        <w:numPr>
          <w:ilvl w:val="2"/>
          <w:numId w:val="1"/>
        </w:numPr>
      </w:pPr>
      <w:r>
        <w:t>Cost Avoidance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7"/>
        <w:gridCol w:w="2061"/>
        <w:gridCol w:w="524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3249"/>
            <w:vAlign w:val="center"/>
          </w:tcPr>
          <w:p>
            <w:pPr>
              <w:spacing w:line="276" w:lineRule="auto" w:before="0" w:after="0"/>
            </w:pPr>
            <w:r/>
            <w:r>
              <w:rPr>
                <w:rFonts w:ascii="Figtree" w:hAnsi="Figtree"/>
                <w:b w:val="0"/>
                <w:i w:val="0"/>
                <w:sz w:val="20"/>
              </w:rPr>
              <w:t>Build vs. buy savings</w:t>
            </w:r>
          </w:p>
        </w:tc>
        <w:tc>
          <w:tcPr>
            <w:tcW w:type="dxa" w:w="3249"/>
            <w:vAlign w:val="center"/>
          </w:tcPr>
          <w:p>
            <w:pPr>
              <w:spacing w:line="276" w:lineRule="auto" w:before="0" w:after="0"/>
            </w:pPr>
            <w:r/>
            <w:r>
              <w:rPr>
                <w:rFonts w:ascii="Figtree" w:hAnsi="Figtree"/>
                <w:b w:val="0"/>
                <w:i w:val="0"/>
                <w:sz w:val="20"/>
              </w:rPr>
              <w:t>12–24 months of development avoided</w:t>
            </w:r>
          </w:p>
        </w:tc>
        <w:tc>
          <w:tcPr>
            <w:tcW w:type="dxa" w:w="3249"/>
            <w:vAlign w:val="center"/>
          </w:tcPr>
          <w:p>
            <w:pPr>
              <w:spacing w:line="276" w:lineRule="auto" w:before="0" w:after="0"/>
            </w:pPr>
            <w:r/>
            <w:r>
              <w:rPr>
                <w:rFonts w:ascii="Figtree" w:hAnsi="Figtree"/>
                <w:b w:val="0"/>
                <w:i w:val="0"/>
                <w:sz w:val="20"/>
              </w:rPr>
              <w:t>Production-grade capabilities without internal engineering investment</w:t>
            </w:r>
          </w:p>
        </w:tc>
      </w:tr>
      <w:tr>
        <w:trPr>
          <w:trHeight w:val="425" w:hRule="atLeast"/>
        </w:trPr>
        <w:tc>
          <w:tcPr>
            <w:tcW w:type="dxa" w:w="3249"/>
            <w:vAlign w:val="center"/>
          </w:tcPr>
          <w:p>
            <w:pPr>
              <w:spacing w:line="276" w:lineRule="auto" w:before="0" w:after="0"/>
            </w:pPr>
            <w:r/>
            <w:r>
              <w:rPr>
                <w:rFonts w:ascii="Figtree" w:hAnsi="Figtree"/>
                <w:b w:val="0"/>
                <w:i w:val="0"/>
                <w:sz w:val="20"/>
              </w:rPr>
              <w:t>Multi-vendor integration costs</w:t>
            </w:r>
          </w:p>
        </w:tc>
        <w:tc>
          <w:tcPr>
            <w:tcW w:type="dxa" w:w="3249"/>
            <w:vAlign w:val="center"/>
          </w:tcPr>
          <w:p>
            <w:pPr>
              <w:spacing w:line="276" w:lineRule="auto" w:before="0" w:after="0"/>
            </w:pPr>
            <w:r/>
            <w:r>
              <w:rPr>
                <w:rFonts w:ascii="Figtree" w:hAnsi="Figtree"/>
                <w:b w:val="0"/>
                <w:i w:val="0"/>
                <w:sz w:val="20"/>
              </w:rPr>
              <w:t>Eliminated</w:t>
            </w:r>
          </w:p>
        </w:tc>
        <w:tc>
          <w:tcPr>
            <w:tcW w:type="dxa" w:w="3249"/>
            <w:vAlign w:val="center"/>
          </w:tcPr>
          <w:p>
            <w:pPr>
              <w:spacing w:line="276" w:lineRule="auto" w:before="0" w:after="0"/>
            </w:pPr>
            <w:r/>
            <w:r>
              <w:rPr>
                <w:rFonts w:ascii="Figtree" w:hAnsi="Figtree"/>
                <w:b w:val="0"/>
                <w:i w:val="0"/>
                <w:sz w:val="20"/>
              </w:rPr>
              <w:t>Single platform replaces separate issuance, compliance, custody, and settlement solutions</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 burden</w:t>
            </w:r>
          </w:p>
        </w:tc>
        <w:tc>
          <w:tcPr>
            <w:tcW w:type="dxa" w:w="3249"/>
            <w:vAlign w:val="center"/>
          </w:tcPr>
          <w:p>
            <w:pPr>
              <w:spacing w:line="276" w:lineRule="auto" w:before="0" w:after="0"/>
            </w:pPr>
            <w:r/>
            <w:r>
              <w:rPr>
                <w:rFonts w:ascii="Figtree" w:hAnsi="Figtree"/>
                <w:b w:val="0"/>
                <w:i w:val="0"/>
                <w:sz w:val="20"/>
              </w:rPr>
              <w:t>Reduced by 50–70%</w:t>
            </w:r>
          </w:p>
        </w:tc>
        <w:tc>
          <w:tcPr>
            <w:tcW w:type="dxa" w:w="3249"/>
            <w:vAlign w:val="center"/>
          </w:tcPr>
          <w:p>
            <w:pPr>
              <w:spacing w:line="276" w:lineRule="auto" w:before="0" w:after="0"/>
            </w:pPr>
            <w:r/>
            <w:r>
              <w:rPr>
                <w:rFonts w:ascii="Figtree" w:hAnsi="Figtree"/>
                <w:b w:val="0"/>
                <w:i w:val="0"/>
                <w:sz w:val="20"/>
              </w:rPr>
              <w:t>Platform updates and security patches managed by SettleMint</w:t>
            </w:r>
          </w:p>
        </w:tc>
      </w:tr>
    </w:tbl>
    <w:p>
      <w:pPr>
        <w:spacing w:before="0" w:after="0" w:line="120" w:lineRule="exact"/>
      </w:pPr>
    </w:p>
    <w:p>
      <w:pPr>
        <w:pStyle w:val="H3"/>
        <w:numPr>
          <w:ilvl w:val="2"/>
          <w:numId w:val="1"/>
        </w:numPr>
      </w:pPr>
      <w:r>
        <w:t>ROI Calculation Approach</w:t>
      </w:r>
    </w:p>
    <w:p>
      <w:r>
        <w:rPr>
          <w:rFonts w:ascii="Figtree" w:hAnsi="Figtree"/>
          <w:b w:val="0"/>
          <w:i w:val="0"/>
          <w:sz w:val="22"/>
        </w:rPr>
        <w:t>ADGM can estimate ROI using this framework:</w:t>
      </w:r>
    </w:p>
    <w:p>
      <w:pPr>
        <w:pStyle w:val="ListParagraph"/>
        <w:numPr>
          <w:ilvl w:val="0"/>
          <w:numId w:val="9"/>
        </w:numPr>
      </w:pPr>
      <w:r>
        <w:rPr>
          <w:rFonts w:ascii="Figtree" w:hAnsi="Figtree"/>
          <w:b/>
          <w:i w:val="0"/>
          <w:sz w:val="22"/>
        </w:rPr>
        <w:t>Baseline Current Costs</w:t>
      </w:r>
      <w:r>
        <w:rPr>
          <w:rFonts w:ascii="Figtree" w:hAnsi="Figtree"/>
          <w:b w:val="0"/>
          <w:i w:val="0"/>
          <w:sz w:val="22"/>
        </w:rPr>
        <w:t>: Quantify annual spending on manual compliance review, settlement operations, corporate action processing, multi-vendor licensing, and internal blockchain development efforts.</w:t>
      </w:r>
    </w:p>
    <w:p>
      <w:pPr>
        <w:pStyle w:val="ListParagraph"/>
        <w:numPr>
          <w:ilvl w:val="0"/>
          <w:numId w:val="9"/>
        </w:numPr>
      </w:pPr>
      <w:r>
        <w:rPr>
          <w:rFonts w:ascii="Figtree" w:hAnsi="Figtree"/>
          <w:b/>
          <w:i w:val="0"/>
          <w:sz w:val="22"/>
        </w:rPr>
        <w:t>Apply Efficiency Percentages</w:t>
      </w:r>
      <w:r>
        <w:rPr>
          <w:rFonts w:ascii="Figtree" w:hAnsi="Figtree"/>
          <w:b w:val="0"/>
          <w:i w:val="0"/>
          <w:sz w:val="22"/>
        </w:rPr>
        <w:t>: Apply the efficiency gains from the tables above to current cost baselines.</w:t>
      </w:r>
    </w:p>
    <w:p>
      <w:pPr>
        <w:pStyle w:val="ListParagraph"/>
        <w:numPr>
          <w:ilvl w:val="0"/>
          <w:numId w:val="9"/>
        </w:numPr>
      </w:pPr>
      <w:r>
        <w:rPr>
          <w:rFonts w:ascii="Figtree" w:hAnsi="Figtree"/>
          <w:b/>
          <w:i w:val="0"/>
          <w:sz w:val="22"/>
        </w:rPr>
        <w:t>Factor Revenue Uplift</w:t>
      </w:r>
      <w:r>
        <w:rPr>
          <w:rFonts w:ascii="Figtree" w:hAnsi="Figtree"/>
          <w:b w:val="0"/>
          <w:i w:val="0"/>
          <w:sz w:val="22"/>
        </w:rPr>
        <w:t>: Estimate value from faster launch of new instruments and expanded market access.</w:t>
      </w:r>
    </w:p>
    <w:p>
      <w:pPr>
        <w:pStyle w:val="ListParagraph"/>
        <w:numPr>
          <w:ilvl w:val="0"/>
          <w:numId w:val="9"/>
        </w:numPr>
      </w:pPr>
      <w:r>
        <w:rPr>
          <w:rFonts w:ascii="Figtree" w:hAnsi="Figtree"/>
          <w:b/>
          <w:i w:val="0"/>
          <w:sz w:val="22"/>
        </w:rPr>
        <w:t>Calculate Net Return</w:t>
      </w:r>
      <w:r>
        <w:rPr>
          <w:rFonts w:ascii="Figtree" w:hAnsi="Figtree"/>
          <w:b w:val="0"/>
          <w:i w:val="0"/>
          <w:sz w:val="22"/>
        </w:rPr>
        <w:t>: Total savings plus revenue uplift minus DALP total cost of ownership.</w:t>
      </w:r>
    </w:p>
    <w:p>
      <w:r>
        <w:rPr>
          <w:rFonts w:ascii="Figtree" w:hAnsi="Figtree"/>
          <w:b w:val="0"/>
          <w:i w:val="0"/>
          <w:sz w:val="22"/>
        </w:rPr>
        <w:t>Typical payback periods for regulated institutions range from 12–24 months, depending on current operational baselines and program scope.</w:t>
      </w:r>
    </w:p>
    <w:p>
      <w:r>
        <w:br w:type="page"/>
      </w:r>
    </w:p>
    <w:p>
      <w:pPr>
        <w:pStyle w:val="H1"/>
        <w:numPr>
          <w:ilvl w:val="0"/>
          <w:numId w:val="1"/>
        </w:numPr>
      </w:pPr>
      <w:r>
        <w:t>3. Licensing Model</w:t>
      </w:r>
    </w:p>
    <w:p>
      <w:pPr>
        <w:pStyle w:val="H2"/>
        <w:numPr>
          <w:ilvl w:val="1"/>
          <w:numId w:val="1"/>
        </w:numPr>
      </w:pPr>
      <w:r>
        <w:t>3.1 Philosophy</w:t>
      </w:r>
    </w:p>
    <w:p>
      <w:r>
        <w:rPr>
          <w:rFonts w:ascii="Figtree" w:hAnsi="Figtree"/>
          <w:b w:val="0"/>
          <w:i w:val="0"/>
          <w:sz w:val="22"/>
        </w:rPr>
        <w:t xml:space="preserve">DALP licensing follows a </w:t>
      </w:r>
      <w:r>
        <w:rPr>
          <w:rFonts w:ascii="Figtree" w:hAnsi="Figtree"/>
          <w:b/>
          <w:i w:val="0"/>
          <w:sz w:val="22"/>
        </w:rPr>
        <w:t>platform-based model</w:t>
      </w:r>
      <w:r>
        <w:rPr>
          <w:rFonts w:ascii="Figtree" w:hAnsi="Figtree"/>
          <w:b w:val="0"/>
          <w:i w:val="0"/>
          <w:sz w:val="22"/>
        </w:rPr>
        <w:t>—not per-transaction or per-asset fees. This approach reflects SettleMint's belief that regulated institutions need predictable, transparent pricing aligned with operational realities:</w:t>
      </w:r>
    </w:p>
    <w:p>
      <w:pPr>
        <w:pStyle w:val="ListParagraph"/>
        <w:numPr>
          <w:ilvl w:val="0"/>
          <w:numId w:val="4"/>
        </w:numPr>
      </w:pPr>
      <w:r>
        <w:rPr>
          <w:rFonts w:ascii="Figtree" w:hAnsi="Figtree"/>
          <w:b/>
          <w:i w:val="0"/>
          <w:sz w:val="22"/>
        </w:rPr>
        <w:t>No per-transaction fees</w:t>
      </w:r>
      <w:r>
        <w:rPr>
          <w:rFonts w:ascii="Figtree" w:hAnsi="Figtree"/>
          <w:b w:val="0"/>
          <w:i w:val="0"/>
          <w:sz w:val="22"/>
        </w:rPr>
        <w:t>: Institutions run compliance checks on every transfer and settle every transaction. Transaction-based pricing would penalize the very behaviors the platform is designed to enable.</w:t>
      </w:r>
    </w:p>
    <w:p>
      <w:pPr>
        <w:pStyle w:val="ListParagraph"/>
        <w:numPr>
          <w:ilvl w:val="0"/>
          <w:numId w:val="4"/>
        </w:numPr>
      </w:pPr>
      <w:r>
        <w:rPr>
          <w:rFonts w:ascii="Figtree" w:hAnsi="Figtree"/>
          <w:b/>
          <w:i w:val="0"/>
          <w:sz w:val="22"/>
        </w:rPr>
        <w:t>No per-token fees</w:t>
      </w:r>
      <w:r>
        <w:rPr>
          <w:rFonts w:ascii="Figtree" w:hAnsi="Figtree"/>
          <w:b w:val="0"/>
          <w:i w:val="0"/>
          <w:sz w:val="22"/>
        </w:rPr>
        <w:t>: Creating additional asset types—bonds, equities, funds, stablecoins, deposits, real estate—does not incur incremental licensing costs.</w:t>
      </w:r>
    </w:p>
    <w:p>
      <w:pPr>
        <w:pStyle w:val="ListParagraph"/>
        <w:numPr>
          <w:ilvl w:val="0"/>
          <w:numId w:val="4"/>
        </w:numPr>
      </w:pPr>
      <w:r>
        <w:rPr>
          <w:rFonts w:ascii="Figtree" w:hAnsi="Figtree"/>
          <w:b/>
          <w:i w:val="0"/>
          <w:sz w:val="22"/>
        </w:rPr>
        <w:t>No per-user fees for end-investors</w:t>
      </w:r>
      <w:r>
        <w:rPr>
          <w:rFonts w:ascii="Figtree" w:hAnsi="Figtree"/>
          <w:b w:val="0"/>
          <w:i w:val="0"/>
          <w:sz w:val="22"/>
        </w:rPr>
        <w:t>: Onboarding investor growth is a business outcome, not a cost driver.</w:t>
      </w:r>
    </w:p>
    <w:p>
      <w:pPr>
        <w:pStyle w:val="ListParagraph"/>
        <w:numPr>
          <w:ilvl w:val="0"/>
          <w:numId w:val="4"/>
        </w:numPr>
      </w:pPr>
      <w:r>
        <w:rPr>
          <w:rFonts w:ascii="Figtree" w:hAnsi="Figtree"/>
          <w:b/>
          <w:i w:val="0"/>
          <w:sz w:val="22"/>
        </w:rPr>
        <w:t>Predictable annual costs</w:t>
      </w:r>
      <w:r>
        <w:rPr>
          <w:rFonts w:ascii="Figtree" w:hAnsi="Figtree"/>
          <w:b w:val="0"/>
          <w:i w:val="0"/>
          <w:sz w:val="22"/>
        </w:rPr>
        <w:t>: Annual subscriptions provide budget certainty for procurement and finance teams.</w:t>
      </w:r>
    </w:p>
    <w:p>
      <w:r>
        <w:rPr>
          <w:rFonts w:ascii="Figtree" w:hAnsi="Figtree"/>
          <w:b w:val="0"/>
          <w:i w:val="0"/>
          <w:sz w:val="22"/>
        </w:rPr>
        <w:t>This model aligns SettleMint's incentives with ADGM's—both benefit when the platform is used extensively and scaled across multiple use cases.</w:t>
      </w:r>
    </w:p>
    <w:p>
      <w:pPr>
        <w:pStyle w:val="H2"/>
        <w:numPr>
          <w:ilvl w:val="1"/>
          <w:numId w:val="1"/>
        </w:numPr>
      </w:pPr>
      <w:r>
        <w:t>3.2 What's Included</w:t>
      </w:r>
    </w:p>
    <w:p>
      <w:r>
        <w:rPr>
          <w:rFonts w:ascii="Figtree" w:hAnsi="Figtree"/>
          <w:b w:val="0"/>
          <w:i w:val="0"/>
          <w:sz w:val="22"/>
        </w:rPr>
        <w:t>A DALP platform license provides access to: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1"/>
        <w:gridCol w:w="738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 Capabilities</w:t>
            </w:r>
          </w:p>
        </w:tc>
      </w:tr>
      <w:tr>
        <w:trPr>
          <w:trHeight w:val="425" w:hRule="atLeast"/>
        </w:trPr>
        <w:tc>
          <w:tcPr>
            <w:tcW w:type="dxa" w:w="4873"/>
            <w:vAlign w:val="center"/>
          </w:tcPr>
          <w:p>
            <w:pPr>
              <w:spacing w:line="276" w:lineRule="auto" w:before="0" w:after="0"/>
            </w:pPr>
            <w:r/>
            <w:r>
              <w:rPr>
                <w:rFonts w:ascii="Figtree" w:hAnsi="Figtree"/>
                <w:b/>
                <w:i w:val="0"/>
                <w:sz w:val="20"/>
              </w:rPr>
              <w:t>Lifecycle Pillars</w:t>
            </w:r>
          </w:p>
        </w:tc>
        <w:tc>
          <w:tcPr>
            <w:tcW w:type="dxa" w:w="4873"/>
            <w:vAlign w:val="center"/>
          </w:tcPr>
          <w:p>
            <w:pPr>
              <w:spacing w:line="276" w:lineRule="auto" w:before="0" w:after="0"/>
            </w:pPr>
            <w:r/>
            <w:r>
              <w:rPr>
                <w:rFonts w:ascii="Figtree" w:hAnsi="Figtree"/>
                <w:b w:val="0"/>
                <w:i w:val="0"/>
                <w:sz w:val="20"/>
              </w:rPr>
              <w:t>All five: Issuance, Compliance, Custody Integration, Settlement, Servicing</w:t>
            </w:r>
          </w:p>
        </w:tc>
      </w:tr>
      <w:tr>
        <w:trPr>
          <w:trHeight w:val="425" w:hRule="atLeast"/>
        </w:trPr>
        <w:tc>
          <w:tcPr>
            <w:tcW w:type="dxa" w:w="4873"/>
            <w:vAlign w:val="center"/>
          </w:tcPr>
          <w:p>
            <w:pPr>
              <w:spacing w:line="276" w:lineRule="auto" w:before="0" w:after="0"/>
            </w:pPr>
            <w:r/>
            <w:r>
              <w:rPr>
                <w:rFonts w:ascii="Figtree" w:hAnsi="Figtree"/>
                <w:b/>
                <w:i w:val="0"/>
                <w:sz w:val="20"/>
              </w:rPr>
              <w:t>Asset Classes</w:t>
            </w:r>
          </w:p>
        </w:tc>
        <w:tc>
          <w:tcPr>
            <w:tcW w:type="dxa" w:w="4873"/>
            <w:vAlign w:val="center"/>
          </w:tcPr>
          <w:p>
            <w:pPr>
              <w:spacing w:line="276" w:lineRule="auto" w:before="0" w:after="0"/>
            </w:pPr>
            <w:r/>
            <w:r>
              <w:rPr>
                <w:rFonts w:ascii="Figtree" w:hAnsi="Figtree"/>
                <w:b w:val="0"/>
                <w:i w:val="0"/>
                <w:sz w:val="20"/>
              </w:rPr>
              <w:t>All seven: Bonds, Equities, Funds, Stablecoins, Deposits, Real Estate, Precious Metals, plus Configurable Token</w:t>
            </w:r>
          </w:p>
        </w:tc>
      </w:tr>
      <w:tr>
        <w:trPr>
          <w:trHeight w:val="425" w:hRule="atLeast"/>
        </w:trPr>
        <w:tc>
          <w:tcPr>
            <w:tcW w:type="dxa" w:w="4873"/>
            <w:vAlign w:val="center"/>
          </w:tcPr>
          <w:p>
            <w:pPr>
              <w:spacing w:line="276" w:lineRule="auto" w:before="0" w:after="0"/>
            </w:pPr>
            <w:r/>
            <w:r>
              <w:rPr>
                <w:rFonts w:ascii="Figtree" w:hAnsi="Figtree"/>
                <w:b/>
                <w:i w:val="0"/>
                <w:sz w:val="20"/>
              </w:rPr>
              <w:t>Compliance Modules</w:t>
            </w:r>
          </w:p>
        </w:tc>
        <w:tc>
          <w:tcPr>
            <w:tcW w:type="dxa" w:w="4873"/>
            <w:vAlign w:val="center"/>
          </w:tcPr>
          <w:p>
            <w:pPr>
              <w:spacing w:line="276" w:lineRule="auto" w:before="0" w:after="0"/>
            </w:pPr>
            <w:r/>
            <w:r>
              <w:rPr>
                <w:rFonts w:ascii="Figtree" w:hAnsi="Figtree"/>
                <w:b w:val="0"/>
                <w:i w:val="0"/>
                <w:sz w:val="20"/>
              </w:rPr>
              <w:t>All 18 types: Country restrictions, investor accreditation, holding periods, supply limits, transfer windows, collateral backing, and more</w:t>
            </w:r>
          </w:p>
        </w:tc>
      </w:tr>
      <w:tr>
        <w:trPr>
          <w:trHeight w:val="425" w:hRule="atLeast"/>
        </w:trPr>
        <w:tc>
          <w:tcPr>
            <w:tcW w:type="dxa" w:w="4873"/>
            <w:vAlign w:val="center"/>
          </w:tcPr>
          <w:p>
            <w:pPr>
              <w:spacing w:line="276" w:lineRule="auto" w:before="0" w:after="0"/>
            </w:pPr>
            <w:r/>
            <w:r>
              <w:rPr>
                <w:rFonts w:ascii="Figtree" w:hAnsi="Figtree"/>
                <w:b/>
                <w:i w:val="0"/>
                <w:sz w:val="20"/>
              </w:rPr>
              <w:t>API Surface</w:t>
            </w:r>
          </w:p>
        </w:tc>
        <w:tc>
          <w:tcPr>
            <w:tcW w:type="dxa" w:w="4873"/>
            <w:vAlign w:val="center"/>
          </w:tcPr>
          <w:p>
            <w:pPr>
              <w:spacing w:line="276" w:lineRule="auto" w:before="0" w:after="0"/>
            </w:pPr>
            <w:r/>
            <w:r>
              <w:rPr>
                <w:rFonts w:ascii="Figtree" w:hAnsi="Figtree"/>
                <w:b w:val="0"/>
                <w:i w:val="0"/>
                <w:sz w:val="20"/>
              </w:rPr>
              <w:t>REST API v2, oRPC, GraphQL (subgraph), event webhooks, SDK (@settlemint/dalp-sdk), CLI (301 commands)</w:t>
            </w:r>
          </w:p>
        </w:tc>
      </w:tr>
      <w:tr>
        <w:trPr>
          <w:trHeight w:val="425" w:hRule="atLeast"/>
        </w:trPr>
        <w:tc>
          <w:tcPr>
            <w:tcW w:type="dxa" w:w="4873"/>
            <w:vAlign w:val="center"/>
          </w:tcPr>
          <w:p>
            <w:pPr>
              <w:spacing w:line="276" w:lineRule="auto" w:before="0" w:after="0"/>
            </w:pPr>
            <w:r/>
            <w:r>
              <w:rPr>
                <w:rFonts w:ascii="Figtree" w:hAnsi="Figtree"/>
                <w:b/>
                <w:i w:val="0"/>
                <w:sz w:val="20"/>
              </w:rPr>
              <w:t>Addon Capabilities</w:t>
            </w:r>
          </w:p>
        </w:tc>
        <w:tc>
          <w:tcPr>
            <w:tcW w:type="dxa" w:w="4873"/>
            <w:vAlign w:val="center"/>
          </w:tcPr>
          <w:p>
            <w:pPr>
              <w:spacing w:line="276" w:lineRule="auto" w:before="0" w:after="0"/>
            </w:pPr>
            <w:r/>
            <w:r>
              <w:rPr>
                <w:rFonts w:ascii="Figtree" w:hAnsi="Figtree"/>
                <w:b w:val="0"/>
                <w:i w:val="0"/>
                <w:sz w:val="20"/>
              </w:rPr>
              <w:t>Vault management, XvP/DvP settlement, token sales, airdrops, fixed yield schedules, data feeds</w:t>
            </w:r>
          </w:p>
        </w:tc>
      </w:tr>
      <w:tr>
        <w:trPr>
          <w:trHeight w:val="425" w:hRule="atLeast"/>
        </w:trPr>
        <w:tc>
          <w:tcPr>
            <w:tcW w:type="dxa" w:w="4873"/>
            <w:vAlign w:val="center"/>
          </w:tcPr>
          <w:p>
            <w:pPr>
              <w:spacing w:line="276" w:lineRule="auto" w:before="0" w:after="0"/>
            </w:pPr>
            <w:r/>
            <w:r>
              <w:rPr>
                <w:rFonts w:ascii="Figtree" w:hAnsi="Figtree"/>
                <w:b/>
                <w:i w:val="0"/>
                <w:sz w:val="20"/>
              </w:rPr>
              <w:t>Observability</w:t>
            </w:r>
          </w:p>
        </w:tc>
        <w:tc>
          <w:tcPr>
            <w:tcW w:type="dxa" w:w="4873"/>
            <w:vAlign w:val="center"/>
          </w:tcPr>
          <w:p>
            <w:pPr>
              <w:spacing w:line="276" w:lineRule="auto" w:before="0" w:after="0"/>
            </w:pPr>
            <w:r/>
            <w:r>
              <w:rPr>
                <w:rFonts w:ascii="Figtree" w:hAnsi="Figtree"/>
                <w:b w:val="0"/>
                <w:i w:val="0"/>
                <w:sz w:val="20"/>
              </w:rPr>
              <w:t>Grafana dashboards, VictoriaMetrics (metrics), Loki (logs), Tempo (traces), automated alerting</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All releases, security patches, and new capabilities during license term</w:t>
            </w:r>
          </w:p>
        </w:tc>
      </w:tr>
    </w:tbl>
    <w:p>
      <w:pPr>
        <w:spacing w:before="0" w:after="0" w:line="120" w:lineRule="exact"/>
      </w:pPr>
    </w:p>
    <w:p>
      <w:pPr>
        <w:pStyle w:val="H2"/>
        <w:numPr>
          <w:ilvl w:val="1"/>
          <w:numId w:val="1"/>
        </w:numPr>
      </w:pPr>
      <w:r>
        <w:t>3.3 What Varies</w:t>
      </w:r>
    </w:p>
    <w:p>
      <w:r>
        <w:rPr>
          <w:rFonts w:ascii="Figtree" w:hAnsi="Figtree"/>
          <w:b w:val="0"/>
          <w:i w:val="0"/>
          <w:sz w:val="22"/>
        </w:rPr>
        <w:t>While the platform license is comprehensive, several dimensions are scoped per engagement: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9"/>
        <w:gridCol w:w="60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Scoping Factors</w:t>
            </w:r>
          </w:p>
        </w:tc>
      </w:tr>
      <w:tr>
        <w:trPr>
          <w:trHeight w:val="425" w:hRule="atLeast"/>
        </w:trPr>
        <w:tc>
          <w:tcPr>
            <w:tcW w:type="dxa" w:w="4873"/>
            <w:vAlign w:val="center"/>
          </w:tcPr>
          <w:p>
            <w:pPr>
              <w:spacing w:line="276" w:lineRule="auto" w:before="0" w:after="0"/>
            </w:pPr>
            <w:r/>
            <w:r>
              <w:rPr>
                <w:rFonts w:ascii="Figtree" w:hAnsi="Figtree"/>
                <w:b w:val="0"/>
                <w:i w:val="0"/>
                <w:sz w:val="20"/>
              </w:rPr>
              <w:t>Deployment model</w:t>
            </w:r>
          </w:p>
        </w:tc>
        <w:tc>
          <w:tcPr>
            <w:tcW w:type="dxa" w:w="4873"/>
            <w:vAlign w:val="center"/>
          </w:tcPr>
          <w:p>
            <w:pPr>
              <w:spacing w:line="276" w:lineRule="auto" w:before="0" w:after="0"/>
            </w:pPr>
            <w:r/>
            <w:r>
              <w:rPr>
                <w:rFonts w:ascii="Figtree" w:hAnsi="Figtree"/>
                <w:b w:val="0"/>
                <w:i w:val="0"/>
                <w:sz w:val="20"/>
              </w:rPr>
              <w:t>Cloud-managed, Private Cloud, On-premises, or Hybrid</w:t>
            </w:r>
          </w:p>
        </w:tc>
      </w:tr>
      <w:tr>
        <w:trPr>
          <w:trHeight w:val="425" w:hRule="atLeast"/>
        </w:trPr>
        <w:tc>
          <w:tcPr>
            <w:tcW w:type="dxa" w:w="4873"/>
            <w:vAlign w:val="center"/>
          </w:tcPr>
          <w:p>
            <w:pPr>
              <w:spacing w:line="276" w:lineRule="auto" w:before="0" w:after="0"/>
            </w:pPr>
            <w:r/>
            <w:r>
              <w:rPr>
                <w:rFonts w:ascii="Figtree" w:hAnsi="Figtree"/>
                <w:b w:val="0"/>
                <w:i w:val="0"/>
                <w:sz w:val="20"/>
              </w:rPr>
              <w:t>Environment count</w:t>
            </w:r>
          </w:p>
        </w:tc>
        <w:tc>
          <w:tcPr>
            <w:tcW w:type="dxa" w:w="4873"/>
            <w:vAlign w:val="center"/>
          </w:tcPr>
          <w:p>
            <w:pPr>
              <w:spacing w:line="276" w:lineRule="auto" w:before="0" w:after="0"/>
            </w:pPr>
            <w:r/>
            <w:r>
              <w:rPr>
                <w:rFonts w:ascii="Figtree" w:hAnsi="Figtree"/>
                <w:b w:val="0"/>
                <w:i w:val="0"/>
                <w:sz w:val="20"/>
              </w:rPr>
              <w:t>Development, staging, UAT, production, DR</w:t>
            </w:r>
          </w:p>
        </w:tc>
      </w:tr>
      <w:tr>
        <w:trPr>
          <w:trHeight w:val="425" w:hRule="atLeast"/>
        </w:trPr>
        <w:tc>
          <w:tcPr>
            <w:tcW w:type="dxa" w:w="4873"/>
            <w:vAlign w:val="center"/>
          </w:tcPr>
          <w:p>
            <w:pPr>
              <w:spacing w:line="276" w:lineRule="auto" w:before="0" w:after="0"/>
            </w:pPr>
            <w:r/>
            <w:r>
              <w:rPr>
                <w:rFonts w:ascii="Figtree" w:hAnsi="Figtree"/>
                <w:b w:val="0"/>
                <w:i w:val="0"/>
                <w:sz w:val="20"/>
              </w:rPr>
              <w:t>Network configuration</w:t>
            </w:r>
          </w:p>
        </w:tc>
        <w:tc>
          <w:tcPr>
            <w:tcW w:type="dxa" w:w="4873"/>
            <w:vAlign w:val="center"/>
          </w:tcPr>
          <w:p>
            <w:pPr>
              <w:spacing w:line="276" w:lineRule="auto" w:before="0" w:after="0"/>
            </w:pPr>
            <w:r/>
            <w:r>
              <w:rPr>
                <w:rFonts w:ascii="Figtree" w:hAnsi="Figtree"/>
                <w:b w:val="0"/>
                <w:i w:val="0"/>
                <w:sz w:val="20"/>
              </w:rPr>
              <w:t>Public EVM, private/permissioned EVM, or multi-network</w:t>
            </w:r>
          </w:p>
        </w:tc>
      </w:tr>
      <w:tr>
        <w:trPr>
          <w:trHeight w:val="425" w:hRule="atLeast"/>
        </w:trPr>
        <w:tc>
          <w:tcPr>
            <w:tcW w:type="dxa" w:w="4873"/>
            <w:vAlign w:val="center"/>
          </w:tcPr>
          <w:p>
            <w:pPr>
              <w:spacing w:line="276" w:lineRule="auto" w:before="0" w:after="0"/>
            </w:pPr>
            <w:r/>
            <w:r>
              <w:rPr>
                <w:rFonts w:ascii="Figtree" w:hAnsi="Figtree"/>
                <w:b w:val="0"/>
                <w:i w:val="0"/>
                <w:sz w:val="20"/>
              </w:rPr>
              <w:t>Custody integration</w:t>
            </w:r>
          </w:p>
        </w:tc>
        <w:tc>
          <w:tcPr>
            <w:tcW w:type="dxa" w:w="4873"/>
            <w:vAlign w:val="center"/>
          </w:tcPr>
          <w:p>
            <w:pPr>
              <w:spacing w:line="276" w:lineRule="auto" w:before="0" w:after="0"/>
            </w:pPr>
            <w:r/>
            <w:r>
              <w:rPr>
                <w:rFonts w:ascii="Figtree" w:hAnsi="Figtree"/>
                <w:b w:val="0"/>
                <w:i w:val="0"/>
                <w:sz w:val="20"/>
              </w:rPr>
              <w:t>Local Key Guardian, Fireblocks, DFNS, or multi-provider</w:t>
            </w:r>
          </w:p>
        </w:tc>
      </w:tr>
      <w:tr>
        <w:trPr>
          <w:trHeight w:val="425" w:hRule="atLeast"/>
        </w:trPr>
        <w:tc>
          <w:tcPr>
            <w:tcW w:type="dxa" w:w="4873"/>
            <w:vAlign w:val="center"/>
          </w:tcPr>
          <w:p>
            <w:pPr>
              <w:spacing w:line="276" w:lineRule="auto" w:before="0" w:after="0"/>
            </w:pPr>
            <w:r/>
            <w:r>
              <w:rPr>
                <w:rFonts w:ascii="Figtree" w:hAnsi="Figtree"/>
                <w:b w:val="0"/>
                <w:i w:val="0"/>
                <w:sz w:val="20"/>
              </w:rPr>
              <w:t>Support tier</w:t>
            </w:r>
          </w:p>
        </w:tc>
        <w:tc>
          <w:tcPr>
            <w:tcW w:type="dxa" w:w="4873"/>
            <w:vAlign w:val="center"/>
          </w:tcPr>
          <w:p>
            <w:pPr>
              <w:spacing w:line="276" w:lineRule="auto" w:before="0" w:after="0"/>
            </w:pPr>
            <w:r/>
            <w:r>
              <w:rPr>
                <w:rFonts w:ascii="Figtree" w:hAnsi="Figtree"/>
                <w:b w:val="0"/>
                <w:i w:val="0"/>
                <w:sz w:val="20"/>
              </w:rPr>
              <w:t>Standard, Premium, or Enterprise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Discovery, deployment, integration, training</w:t>
            </w:r>
          </w:p>
        </w:tc>
      </w:tr>
    </w:tbl>
    <w:p>
      <w:pPr>
        <w:spacing w:before="0" w:after="0" w:line="120" w:lineRule="exact"/>
      </w:pPr>
    </w:p>
    <w:p>
      <w:pPr>
        <w:pStyle w:val="H2"/>
        <w:numPr>
          <w:ilvl w:val="1"/>
          <w:numId w:val="1"/>
        </w:numPr>
      </w:pPr>
      <w:r>
        <w:t>3.4 Platform Tiers</w:t>
      </w:r>
    </w:p>
    <w:p>
      <w:pPr>
        <w:pStyle w:val="H3"/>
        <w:numPr>
          <w:ilvl w:val="2"/>
          <w:numId w:val="1"/>
        </w:numPr>
      </w:pPr>
      <w:r>
        <w:t>Tier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69"/>
        <w:gridCol w:w="1851"/>
        <w:gridCol w:w="1851"/>
        <w:gridCol w:w="249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Foundation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Sovereign</w:t>
            </w:r>
          </w:p>
        </w:tc>
      </w:tr>
      <w:tr>
        <w:trPr>
          <w:trHeight w:val="425" w:hRule="atLeast"/>
        </w:trPr>
        <w:tc>
          <w:tcPr>
            <w:tcW w:type="dxa" w:w="2436"/>
            <w:vAlign w:val="center"/>
          </w:tcPr>
          <w:p>
            <w:pPr>
              <w:spacing w:line="276" w:lineRule="auto" w:before="0" w:after="0"/>
            </w:pPr>
            <w:r/>
            <w:r>
              <w:rPr>
                <w:rFonts w:ascii="Figtree" w:hAnsi="Figtree"/>
                <w:b/>
                <w:i w:val="0"/>
                <w:sz w:val="20"/>
              </w:rPr>
              <w:t>Core lifecycle pillars</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c>
          <w:tcPr>
            <w:tcW w:type="dxa" w:w="2436"/>
            <w:vAlign w:val="center"/>
          </w:tcPr>
          <w:p>
            <w:pPr>
              <w:spacing w:line="276" w:lineRule="auto" w:before="0" w:after="0"/>
            </w:pPr>
            <w:r/>
            <w:r>
              <w:rPr>
                <w:rFonts w:ascii="Figtree" w:hAnsi="Figtree"/>
                <w:b w:val="0"/>
                <w:i w:val="0"/>
                <w:sz w:val="20"/>
              </w:rPr>
              <w:t>All 5</w:t>
            </w:r>
          </w:p>
        </w:tc>
      </w:tr>
      <w:tr>
        <w:trPr>
          <w:trHeight w:val="425" w:hRule="atLeast"/>
        </w:trPr>
        <w:tc>
          <w:tcPr>
            <w:tcW w:type="dxa" w:w="2436"/>
            <w:vAlign w:val="center"/>
          </w:tcPr>
          <w:p>
            <w:pPr>
              <w:spacing w:line="276" w:lineRule="auto" w:before="0" w:after="0"/>
            </w:pPr>
            <w:r/>
            <w:r>
              <w:rPr>
                <w:rFonts w:ascii="Figtree" w:hAnsi="Figtree"/>
                <w:b/>
                <w:i w:val="0"/>
                <w:sz w:val="20"/>
              </w:rPr>
              <w:t>Asset classes</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c>
          <w:tcPr>
            <w:tcW w:type="dxa" w:w="2436"/>
            <w:vAlign w:val="center"/>
          </w:tcPr>
          <w:p>
            <w:pPr>
              <w:spacing w:line="276" w:lineRule="auto" w:before="0" w:after="0"/>
            </w:pPr>
            <w:r/>
            <w:r>
              <w:rPr>
                <w:rFonts w:ascii="Figtree" w:hAnsi="Figtree"/>
                <w:b w:val="0"/>
                <w:i w:val="0"/>
                <w:sz w:val="20"/>
              </w:rPr>
              <w:t>All 7 + Configurable</w:t>
            </w:r>
          </w:p>
        </w:tc>
      </w:tr>
      <w:tr>
        <w:trPr>
          <w:trHeight w:val="425" w:hRule="atLeast"/>
        </w:trPr>
        <w:tc>
          <w:tcPr>
            <w:tcW w:type="dxa" w:w="2436"/>
            <w:vAlign w:val="center"/>
          </w:tcPr>
          <w:p>
            <w:pPr>
              <w:spacing w:line="276" w:lineRule="auto" w:before="0" w:after="0"/>
            </w:pPr>
            <w:r/>
            <w:r>
              <w:rPr>
                <w:rFonts w:ascii="Figtree" w:hAnsi="Figtree"/>
                <w:b/>
                <w:i w:val="0"/>
                <w:sz w:val="20"/>
              </w:rPr>
              <w:t>Compliance modules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types</w:t>
            </w:r>
          </w:p>
        </w:tc>
        <w:tc>
          <w:tcPr>
            <w:tcW w:type="dxa" w:w="2436"/>
            <w:vAlign w:val="center"/>
          </w:tcPr>
          <w:p>
            <w:pPr>
              <w:spacing w:line="276" w:lineRule="auto" w:before="0" w:after="0"/>
            </w:pPr>
            <w:r/>
            <w:r>
              <w:rPr>
                <w:rFonts w:ascii="Figtree" w:hAnsi="Figtree"/>
                <w:b w:val="0"/>
                <w:i w:val="0"/>
                <w:sz w:val="20"/>
              </w:rPr>
              <w:t>All 18 + custom</w:t>
            </w:r>
          </w:p>
        </w:tc>
      </w:tr>
      <w:tr>
        <w:trPr>
          <w:trHeight w:val="425" w:hRule="atLeast"/>
        </w:trPr>
        <w:tc>
          <w:tcPr>
            <w:tcW w:type="dxa" w:w="2436"/>
            <w:vAlign w:val="center"/>
          </w:tcPr>
          <w:p>
            <w:pPr>
              <w:spacing w:line="276" w:lineRule="auto" w:before="0" w:after="0"/>
            </w:pPr>
            <w:r/>
            <w:r>
              <w:rPr>
                <w:rFonts w:ascii="Figtree" w:hAnsi="Figtree"/>
                <w:b/>
                <w:i w:val="0"/>
                <w:sz w:val="20"/>
              </w:rPr>
              <w:t>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i w:val="0"/>
                <w:sz w:val="20"/>
              </w:rPr>
              <w:t>Non-production environments</w:t>
            </w:r>
          </w:p>
        </w:tc>
        <w:tc>
          <w:tcPr>
            <w:tcW w:type="dxa" w:w="2436"/>
            <w:vAlign w:val="center"/>
          </w:tcPr>
          <w:p>
            <w:pPr>
              <w:spacing w:line="276" w:lineRule="auto" w:before="0" w:after="0"/>
            </w:pPr>
            <w:r/>
            <w:r>
              <w:rPr>
                <w:rFonts w:ascii="Figtree" w:hAnsi="Figtree"/>
                <w:b w:val="0"/>
                <w:i w:val="0"/>
                <w:sz w:val="20"/>
              </w:rPr>
              <w:t>1</w:t>
            </w:r>
          </w:p>
        </w:tc>
        <w:tc>
          <w:tcPr>
            <w:tcW w:type="dxa" w:w="2436"/>
            <w:vAlign w:val="center"/>
          </w:tcPr>
          <w:p>
            <w:pPr>
              <w:spacing w:line="276" w:lineRule="auto" w:before="0" w:after="0"/>
            </w:pPr>
            <w:r/>
            <w:r>
              <w:rPr>
                <w:rFonts w:ascii="Figtree" w:hAnsi="Figtree"/>
                <w:b w:val="0"/>
                <w:i w:val="0"/>
                <w:sz w:val="20"/>
              </w:rPr>
              <w:t>Multiple</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i w:val="0"/>
                <w:sz w:val="20"/>
              </w:rPr>
              <w:t>Network support</w:t>
            </w:r>
          </w:p>
        </w:tc>
        <w:tc>
          <w:tcPr>
            <w:tcW w:type="dxa" w:w="2436"/>
            <w:vAlign w:val="center"/>
          </w:tcPr>
          <w:p>
            <w:pPr>
              <w:spacing w:line="276" w:lineRule="auto" w:before="0" w:after="0"/>
            </w:pPr>
            <w:r/>
            <w:r>
              <w:rPr>
                <w:rFonts w:ascii="Figtree" w:hAnsi="Figtree"/>
                <w:b w:val="0"/>
                <w:i w:val="0"/>
                <w:sz w:val="20"/>
              </w:rPr>
              <w:t>Single</w:t>
            </w:r>
          </w:p>
        </w:tc>
        <w:tc>
          <w:tcPr>
            <w:tcW w:type="dxa" w:w="2436"/>
            <w:vAlign w:val="center"/>
          </w:tcPr>
          <w:p>
            <w:pPr>
              <w:spacing w:line="276" w:lineRule="auto" w:before="0" w:after="0"/>
            </w:pPr>
            <w:r/>
            <w:r>
              <w:rPr>
                <w:rFonts w:ascii="Figtree" w:hAnsi="Figtree"/>
                <w:b w:val="0"/>
                <w:i w:val="0"/>
                <w:sz w:val="20"/>
              </w:rPr>
              <w:t>Multi-network</w:t>
            </w:r>
          </w:p>
        </w:tc>
        <w:tc>
          <w:tcPr>
            <w:tcW w:type="dxa" w:w="2436"/>
            <w:vAlign w:val="center"/>
          </w:tcPr>
          <w:p>
            <w:pPr>
              <w:spacing w:line="276" w:lineRule="auto" w:before="0" w:after="0"/>
            </w:pPr>
            <w:r/>
            <w:r>
              <w:rPr>
                <w:rFonts w:ascii="Figtree" w:hAnsi="Figtree"/>
                <w:b w:val="0"/>
                <w:i w:val="0"/>
                <w:sz w:val="20"/>
              </w:rPr>
              <w:t>Multi-network, multi-region</w:t>
            </w:r>
          </w:p>
        </w:tc>
      </w:tr>
      <w:tr>
        <w:trPr>
          <w:trHeight w:val="425" w:hRule="atLeast"/>
        </w:trPr>
        <w:tc>
          <w:tcPr>
            <w:tcW w:type="dxa" w:w="2436"/>
            <w:vAlign w:val="center"/>
          </w:tcPr>
          <w:p>
            <w:pPr>
              <w:spacing w:line="276" w:lineRule="auto" w:before="0" w:after="0"/>
            </w:pPr>
            <w:r/>
            <w:r>
              <w:rPr>
                <w:rFonts w:ascii="Figtree" w:hAnsi="Figtree"/>
                <w:b/>
                <w:i w:val="0"/>
                <w:sz w:val="20"/>
              </w:rPr>
              <w:t>Custody integration</w:t>
            </w:r>
          </w:p>
        </w:tc>
        <w:tc>
          <w:tcPr>
            <w:tcW w:type="dxa" w:w="2436"/>
            <w:vAlign w:val="center"/>
          </w:tcPr>
          <w:p>
            <w:pPr>
              <w:spacing w:line="276" w:lineRule="auto" w:before="0" w:after="0"/>
            </w:pPr>
            <w:r/>
            <w:r>
              <w:rPr>
                <w:rFonts w:ascii="Figtree" w:hAnsi="Figtree"/>
                <w:b w:val="0"/>
                <w:i w:val="0"/>
                <w:sz w:val="20"/>
              </w:rPr>
              <w:t>1 provider</w:t>
            </w:r>
          </w:p>
        </w:tc>
        <w:tc>
          <w:tcPr>
            <w:tcW w:type="dxa" w:w="2436"/>
            <w:vAlign w:val="center"/>
          </w:tcPr>
          <w:p>
            <w:pPr>
              <w:spacing w:line="276" w:lineRule="auto" w:before="0" w:after="0"/>
            </w:pPr>
            <w:r/>
            <w:r>
              <w:rPr>
                <w:rFonts w:ascii="Figtree" w:hAnsi="Figtree"/>
                <w:b w:val="0"/>
                <w:i w:val="0"/>
                <w:sz w:val="20"/>
              </w:rPr>
              <w:t>Multi-provider</w:t>
            </w:r>
          </w:p>
        </w:tc>
        <w:tc>
          <w:tcPr>
            <w:tcW w:type="dxa" w:w="2436"/>
            <w:vAlign w:val="center"/>
          </w:tcPr>
          <w:p>
            <w:pPr>
              <w:spacing w:line="276" w:lineRule="auto" w:before="0" w:after="0"/>
            </w:pPr>
            <w:r/>
            <w:r>
              <w:rPr>
                <w:rFonts w:ascii="Figtree" w:hAnsi="Figtree"/>
                <w:b w:val="0"/>
                <w:i w:val="0"/>
                <w:sz w:val="20"/>
              </w:rPr>
              <w:t>Full flexibility + custom</w:t>
            </w:r>
          </w:p>
        </w:tc>
      </w:tr>
      <w:tr>
        <w:trPr>
          <w:trHeight w:val="425" w:hRule="atLeast"/>
        </w:trPr>
        <w:tc>
          <w:tcPr>
            <w:tcW w:type="dxa" w:w="2436"/>
            <w:vAlign w:val="center"/>
          </w:tcPr>
          <w:p>
            <w:pPr>
              <w:spacing w:line="276" w:lineRule="auto" w:before="0" w:after="0"/>
            </w:pPr>
            <w:r/>
            <w:r>
              <w:rPr>
                <w:rFonts w:ascii="Figtree" w:hAnsi="Figtree"/>
                <w:b/>
                <w:i w:val="0"/>
                <w:sz w:val="20"/>
              </w:rPr>
              <w:t>API access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Full + priority features</w:t>
            </w:r>
          </w:p>
        </w:tc>
      </w:tr>
      <w:tr>
        <w:trPr>
          <w:trHeight w:val="425" w:hRule="atLeast"/>
        </w:trPr>
        <w:tc>
          <w:tcPr>
            <w:tcW w:type="dxa" w:w="2436"/>
            <w:vAlign w:val="center"/>
          </w:tcPr>
          <w:p>
            <w:pPr>
              <w:spacing w:line="276" w:lineRule="auto" w:before="0" w:after="0"/>
            </w:pPr>
            <w:r/>
            <w:r>
              <w:rPr>
                <w:rFonts w:ascii="Figtree" w:hAnsi="Figtree"/>
                <w:b/>
                <w:i w:val="0"/>
                <w:sz w:val="20"/>
              </w:rPr>
              <w:t>Observability</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Enhanced</w:t>
            </w:r>
          </w:p>
        </w:tc>
        <w:tc>
          <w:tcPr>
            <w:tcW w:type="dxa" w:w="2436"/>
            <w:vAlign w:val="center"/>
          </w:tcPr>
          <w:p>
            <w:pPr>
              <w:spacing w:line="276" w:lineRule="auto" w:before="0" w:after="0"/>
            </w:pPr>
            <w:r/>
            <w:r>
              <w:rPr>
                <w:rFonts w:ascii="Figtree" w:hAnsi="Figtree"/>
                <w:b w:val="0"/>
                <w:i w:val="0"/>
                <w:sz w:val="20"/>
              </w:rPr>
              <w:t>Custom + dedicated</w:t>
            </w:r>
          </w:p>
        </w:tc>
      </w:tr>
      <w:tr>
        <w:trPr>
          <w:trHeight w:val="425" w:hRule="atLeast"/>
        </w:trPr>
        <w:tc>
          <w:tcPr>
            <w:tcW w:type="dxa" w:w="2436"/>
            <w:vAlign w:val="center"/>
          </w:tcPr>
          <w:p>
            <w:pPr>
              <w:spacing w:line="276" w:lineRule="auto" w:before="0" w:after="0"/>
            </w:pPr>
            <w:r/>
            <w:r>
              <w:rPr>
                <w:rFonts w:ascii="Figtree" w:hAnsi="Figtree"/>
                <w:b/>
                <w:i w:val="0"/>
                <w:sz w:val="20"/>
              </w:rPr>
              <w:t>Support tier</w:t>
            </w:r>
          </w:p>
        </w:tc>
        <w:tc>
          <w:tcPr>
            <w:tcW w:type="dxa" w:w="2436"/>
            <w:vAlign w:val="center"/>
          </w:tcPr>
          <w:p>
            <w:pPr>
              <w:spacing w:line="276" w:lineRule="auto" w:before="0" w:after="0"/>
            </w:pPr>
            <w:r/>
            <w:r>
              <w:rPr>
                <w:rFonts w:ascii="Figtree" w:hAnsi="Figtree"/>
                <w:b w:val="0"/>
                <w:i w:val="0"/>
                <w:sz w:val="20"/>
              </w:rPr>
              <w:t>Standard</w:t>
            </w:r>
          </w:p>
        </w:tc>
        <w:tc>
          <w:tcPr>
            <w:tcW w:type="dxa" w:w="2436"/>
            <w:vAlign w:val="center"/>
          </w:tcPr>
          <w:p>
            <w:pPr>
              <w:spacing w:line="276" w:lineRule="auto" w:before="0" w:after="0"/>
            </w:pPr>
            <w:r/>
            <w:r>
              <w:rPr>
                <w:rFonts w:ascii="Figtree" w:hAnsi="Figtree"/>
                <w:b w:val="0"/>
                <w:i w:val="0"/>
                <w:sz w:val="20"/>
              </w:rPr>
              <w:t>Premium</w:t>
            </w:r>
          </w:p>
        </w:tc>
        <w:tc>
          <w:tcPr>
            <w:tcW w:type="dxa" w:w="2436"/>
            <w:vAlign w:val="center"/>
          </w:tcPr>
          <w:p>
            <w:pPr>
              <w:spacing w:line="276" w:lineRule="auto" w:before="0" w:after="0"/>
            </w:pPr>
            <w:r/>
            <w:r>
              <w:rPr>
                <w:rFonts w:ascii="Figtree" w:hAnsi="Figtree"/>
                <w:b w:val="0"/>
                <w:i w:val="0"/>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Solution architect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Dedicated onboarding</w:t>
            </w:r>
          </w:p>
        </w:tc>
        <w:tc>
          <w:tcPr>
            <w:tcW w:type="dxa" w:w="2436"/>
            <w:vAlign w:val="center"/>
          </w:tcPr>
          <w:p>
            <w:pPr>
              <w:spacing w:line="276" w:lineRule="auto" w:before="0" w:after="0"/>
            </w:pPr>
            <w:r/>
            <w:r>
              <w:rPr>
                <w:rFonts w:ascii="Figtree" w:hAnsi="Figtree"/>
                <w:b w:val="0"/>
                <w:i w:val="0"/>
                <w:sz w:val="20"/>
              </w:rPr>
              <w:t>Dedicated ongoing</w:t>
            </w:r>
          </w:p>
        </w:tc>
      </w:tr>
      <w:tr>
        <w:trPr>
          <w:trHeight w:val="425" w:hRule="atLeast"/>
        </w:trPr>
        <w:tc>
          <w:tcPr>
            <w:tcW w:type="dxa" w:w="2436"/>
            <w:vAlign w:val="center"/>
          </w:tcPr>
          <w:p>
            <w:pPr>
              <w:spacing w:line="276" w:lineRule="auto" w:before="0" w:after="0"/>
            </w:pPr>
            <w:r/>
            <w:r>
              <w:rPr>
                <w:rFonts w:ascii="Figtree" w:hAnsi="Figtree"/>
                <w:b/>
                <w:i w:val="0"/>
                <w:sz w:val="20"/>
              </w:rPr>
              <w:t>Custom SLA</w:t>
            </w:r>
          </w:p>
        </w:tc>
        <w:tc>
          <w:tcPr>
            <w:tcW w:type="dxa" w:w="2436"/>
            <w:vAlign w:val="center"/>
          </w:tcPr>
          <w:p>
            <w:pPr>
              <w:spacing w:line="276" w:lineRule="auto" w:before="0" w:after="0"/>
            </w:pPr>
            <w:r/>
            <w:r>
              <w:rPr>
                <w:rFonts w:ascii="Figtree" w:hAnsi="Figtree"/>
                <w:b w:val="0"/>
                <w:i w:val="0"/>
                <w:sz w:val="20"/>
              </w:rPr>
              <w:t>Standard SLA</w:t>
            </w:r>
          </w:p>
        </w:tc>
        <w:tc>
          <w:tcPr>
            <w:tcW w:type="dxa" w:w="2436"/>
            <w:vAlign w:val="center"/>
          </w:tcPr>
          <w:p>
            <w:pPr>
              <w:spacing w:line="276" w:lineRule="auto" w:before="0" w:after="0"/>
            </w:pPr>
            <w:r/>
            <w:r>
              <w:rPr>
                <w:rFonts w:ascii="Figtree" w:hAnsi="Figtree"/>
                <w:b w:val="0"/>
                <w:i w:val="0"/>
                <w:sz w:val="20"/>
              </w:rPr>
              <w:t>Negotiated SLA</w:t>
            </w:r>
          </w:p>
        </w:tc>
        <w:tc>
          <w:tcPr>
            <w:tcW w:type="dxa" w:w="2436"/>
            <w:vAlign w:val="center"/>
          </w:tcPr>
          <w:p>
            <w:pPr>
              <w:spacing w:line="276" w:lineRule="auto" w:before="0" w:after="0"/>
            </w:pPr>
            <w:r/>
            <w:r>
              <w:rPr>
                <w:rFonts w:ascii="Figtree" w:hAnsi="Figtree"/>
                <w:b w:val="0"/>
                <w:i w:val="0"/>
                <w:sz w:val="20"/>
              </w:rPr>
              <w:t>Fully custom</w:t>
            </w:r>
          </w:p>
        </w:tc>
      </w:tr>
    </w:tbl>
    <w:p>
      <w:pPr>
        <w:spacing w:before="0" w:after="0" w:line="120" w:lineRule="exact"/>
      </w:pPr>
    </w:p>
    <w:p>
      <w:pPr>
        <w:pStyle w:val="H3"/>
        <w:numPr>
          <w:ilvl w:val="2"/>
          <w:numId w:val="1"/>
        </w:numPr>
      </w:pPr>
      <w:r>
        <w:t>Foundation Tier</w:t>
      </w:r>
    </w:p>
    <w:p>
      <w:r>
        <w:rPr>
          <w:rFonts w:ascii="Figtree" w:hAnsi="Figtree"/>
          <w:b/>
          <w:i w:val="0"/>
          <w:sz w:val="22"/>
        </w:rPr>
        <w:t>Designed for</w:t>
      </w:r>
      <w:r>
        <w:rPr>
          <w:rFonts w:ascii="Figtree" w:hAnsi="Figtree"/>
          <w:b w:val="0"/>
          <w:i w:val="0"/>
          <w:sz w:val="22"/>
        </w:rPr>
        <w:t>: Initial production deployments with focused use cases.</w:t>
      </w:r>
    </w:p>
    <w:p>
      <w:pPr>
        <w:pStyle w:val="ListParagraph"/>
        <w:numPr>
          <w:ilvl w:val="0"/>
          <w:numId w:val="4"/>
        </w:numPr>
      </w:pPr>
      <w:r>
        <w:rPr>
          <w:rFonts w:ascii="Figtree" w:hAnsi="Figtree"/>
          <w:b w:val="0"/>
          <w:i w:val="0"/>
          <w:sz w:val="22"/>
        </w:rPr>
        <w:t>Single production environment + one non-production environment</w:t>
      </w:r>
    </w:p>
    <w:p>
      <w:pPr>
        <w:pStyle w:val="ListParagraph"/>
        <w:numPr>
          <w:ilvl w:val="0"/>
          <w:numId w:val="4"/>
        </w:numPr>
      </w:pPr>
      <w:r>
        <w:rPr>
          <w:rFonts w:ascii="Figtree" w:hAnsi="Figtree"/>
          <w:b w:val="0"/>
          <w:i w:val="0"/>
          <w:sz w:val="22"/>
        </w:rPr>
        <w:t>Single EVM network (public or private)</w:t>
      </w:r>
    </w:p>
    <w:p>
      <w:pPr>
        <w:pStyle w:val="ListParagraph"/>
        <w:numPr>
          <w:ilvl w:val="0"/>
          <w:numId w:val="4"/>
        </w:numPr>
      </w:pPr>
      <w:r>
        <w:rPr>
          <w:rFonts w:ascii="Figtree" w:hAnsi="Figtree"/>
          <w:b w:val="0"/>
          <w:i w:val="0"/>
          <w:sz w:val="22"/>
        </w:rPr>
        <w:t>Single custody provider integration</w:t>
      </w:r>
    </w:p>
    <w:p>
      <w:pPr>
        <w:pStyle w:val="ListParagraph"/>
        <w:numPr>
          <w:ilvl w:val="0"/>
          <w:numId w:val="4"/>
        </w:numPr>
      </w:pPr>
      <w:r>
        <w:rPr>
          <w:rFonts w:ascii="Figtree" w:hAnsi="Figtree"/>
          <w:b w:val="0"/>
          <w:i w:val="0"/>
          <w:sz w:val="22"/>
        </w:rPr>
        <w:t>Standard support package</w:t>
      </w:r>
    </w:p>
    <w:p>
      <w:pPr>
        <w:pStyle w:val="ListParagraph"/>
        <w:numPr>
          <w:ilvl w:val="0"/>
          <w:numId w:val="4"/>
        </w:numPr>
      </w:pPr>
      <w:r>
        <w:rPr>
          <w:rFonts w:ascii="Figtree" w:hAnsi="Figtree"/>
          <w:b w:val="0"/>
          <w:i w:val="0"/>
          <w:sz w:val="22"/>
        </w:rPr>
        <w:t>Up to 5 concurrent asset types in production</w:t>
      </w:r>
    </w:p>
    <w:p>
      <w:pPr>
        <w:pStyle w:val="ListParagraph"/>
        <w:numPr>
          <w:ilvl w:val="0"/>
          <w:numId w:val="4"/>
        </w:numPr>
      </w:pPr>
      <w:r>
        <w:rPr>
          <w:rFonts w:ascii="Figtree" w:hAnsi="Figtree"/>
          <w:b w:val="0"/>
          <w:i w:val="0"/>
          <w:sz w:val="22"/>
        </w:rPr>
        <w:t>Standard observability stack</w:t>
      </w:r>
    </w:p>
    <w:p>
      <w:r>
        <w:rPr>
          <w:rFonts w:ascii="Figtree" w:hAnsi="Figtree"/>
          <w:b/>
          <w:i w:val="0"/>
          <w:sz w:val="22"/>
        </w:rPr>
        <w:t>Annual license fee</w:t>
      </w:r>
      <w:r>
        <w:rPr>
          <w:rFonts w:ascii="Figtree" w:hAnsi="Figtree"/>
          <w:b w:val="0"/>
          <w:i w:val="0"/>
          <w:sz w:val="22"/>
        </w:rPr>
        <w:t>: €180,000</w:t>
      </w:r>
    </w:p>
    <w:p>
      <w:pPr>
        <w:pStyle w:val="H3"/>
        <w:numPr>
          <w:ilvl w:val="2"/>
          <w:numId w:val="1"/>
        </w:numPr>
      </w:pPr>
      <w:r>
        <w:t>Enterprise Tier</w:t>
      </w:r>
    </w:p>
    <w:p>
      <w:r>
        <w:rPr>
          <w:rFonts w:ascii="Figtree" w:hAnsi="Figtree"/>
          <w:b/>
          <w:i w:val="0"/>
          <w:sz w:val="22"/>
        </w:rPr>
        <w:t>Designed for</w:t>
      </w:r>
      <w:r>
        <w:rPr>
          <w:rFonts w:ascii="Figtree" w:hAnsi="Figtree"/>
          <w:b w:val="0"/>
          <w:i w:val="0"/>
          <w:sz w:val="22"/>
        </w:rPr>
        <w:t>: Institutions scaling across multiple asset classes, jurisdictions, or business lines.</w:t>
      </w:r>
    </w:p>
    <w:p>
      <w:pPr>
        <w:pStyle w:val="ListParagraph"/>
        <w:numPr>
          <w:ilvl w:val="0"/>
          <w:numId w:val="4"/>
        </w:numPr>
      </w:pPr>
      <w:r>
        <w:rPr>
          <w:rFonts w:ascii="Figtree" w:hAnsi="Figtree"/>
          <w:b w:val="0"/>
          <w:i w:val="0"/>
          <w:sz w:val="22"/>
        </w:rPr>
        <w:t>Multiple environments (development, staging, UAT, production)</w:t>
      </w:r>
    </w:p>
    <w:p>
      <w:pPr>
        <w:pStyle w:val="ListParagraph"/>
        <w:numPr>
          <w:ilvl w:val="0"/>
          <w:numId w:val="4"/>
        </w:numPr>
      </w:pPr>
      <w:r>
        <w:rPr>
          <w:rFonts w:ascii="Figtree" w:hAnsi="Figtree"/>
          <w:b w:val="0"/>
          <w:i w:val="0"/>
          <w:sz w:val="22"/>
        </w:rPr>
        <w:t>Multi-network support (public + private EVM networks)</w:t>
      </w:r>
    </w:p>
    <w:p>
      <w:pPr>
        <w:pStyle w:val="ListParagraph"/>
        <w:numPr>
          <w:ilvl w:val="0"/>
          <w:numId w:val="4"/>
        </w:numPr>
      </w:pPr>
      <w:r>
        <w:rPr>
          <w:rFonts w:ascii="Figtree" w:hAnsi="Figtree"/>
          <w:b w:val="0"/>
          <w:i w:val="0"/>
          <w:sz w:val="22"/>
        </w:rPr>
        <w:t>Multi-custody provider integration</w:t>
      </w:r>
    </w:p>
    <w:p>
      <w:pPr>
        <w:pStyle w:val="ListParagraph"/>
        <w:numPr>
          <w:ilvl w:val="0"/>
          <w:numId w:val="4"/>
        </w:numPr>
      </w:pPr>
      <w:r>
        <w:rPr>
          <w:rFonts w:ascii="Figtree" w:hAnsi="Figtree"/>
          <w:b w:val="0"/>
          <w:i w:val="0"/>
          <w:sz w:val="22"/>
        </w:rPr>
        <w:t>Premium support package</w:t>
      </w:r>
    </w:p>
    <w:p>
      <w:pPr>
        <w:pStyle w:val="ListParagraph"/>
        <w:numPr>
          <w:ilvl w:val="0"/>
          <w:numId w:val="4"/>
        </w:numPr>
      </w:pPr>
      <w:r>
        <w:rPr>
          <w:rFonts w:ascii="Figtree" w:hAnsi="Figtree"/>
          <w:b w:val="0"/>
          <w:i w:val="0"/>
          <w:sz w:val="22"/>
        </w:rPr>
        <w:t>Unlimited asset types in production</w:t>
      </w:r>
    </w:p>
    <w:p>
      <w:pPr>
        <w:pStyle w:val="ListParagraph"/>
        <w:numPr>
          <w:ilvl w:val="0"/>
          <w:numId w:val="4"/>
        </w:numPr>
      </w:pPr>
      <w:r>
        <w:rPr>
          <w:rFonts w:ascii="Figtree" w:hAnsi="Figtree"/>
          <w:b w:val="0"/>
          <w:i w:val="0"/>
          <w:sz w:val="22"/>
        </w:rPr>
        <w:t>Enhanced observability with custom dashboard configuration</w:t>
      </w:r>
    </w:p>
    <w:p>
      <w:pPr>
        <w:pStyle w:val="ListParagraph"/>
        <w:numPr>
          <w:ilvl w:val="0"/>
          <w:numId w:val="4"/>
        </w:numPr>
      </w:pPr>
      <w:r>
        <w:rPr>
          <w:rFonts w:ascii="Figtree" w:hAnsi="Figtree"/>
          <w:b w:val="0"/>
          <w:i w:val="0"/>
          <w:sz w:val="22"/>
        </w:rPr>
        <w:t>Priority access to new platform capabilities</w:t>
      </w:r>
    </w:p>
    <w:p>
      <w:r>
        <w:rPr>
          <w:rFonts w:ascii="Figtree" w:hAnsi="Figtree"/>
          <w:b/>
          <w:i w:val="0"/>
          <w:sz w:val="22"/>
        </w:rPr>
        <w:t>Annual license fee</w:t>
      </w:r>
      <w:r>
        <w:rPr>
          <w:rFonts w:ascii="Figtree" w:hAnsi="Figtree"/>
          <w:b w:val="0"/>
          <w:i w:val="0"/>
          <w:sz w:val="22"/>
        </w:rPr>
        <w:t>: €300,000</w:t>
      </w:r>
    </w:p>
    <w:p>
      <w:pPr>
        <w:pStyle w:val="H3"/>
        <w:numPr>
          <w:ilvl w:val="2"/>
          <w:numId w:val="1"/>
        </w:numPr>
      </w:pPr>
      <w:r>
        <w:t>Sovereign Tier</w:t>
      </w:r>
    </w:p>
    <w:p>
      <w:r>
        <w:rPr>
          <w:rFonts w:ascii="Figtree" w:hAnsi="Figtree"/>
          <w:b/>
          <w:i w:val="0"/>
          <w:sz w:val="22"/>
        </w:rPr>
        <w:t>Designed for</w:t>
      </w:r>
      <w:r>
        <w:rPr>
          <w:rFonts w:ascii="Figtree" w:hAnsi="Figtree"/>
          <w:b w:val="0"/>
          <w:i w:val="0"/>
          <w:sz w:val="22"/>
        </w:rPr>
        <w:t>: National-scale programs or strategic deployments requiring maximum operational control.</w:t>
      </w:r>
    </w:p>
    <w:p>
      <w:pPr>
        <w:pStyle w:val="ListParagraph"/>
        <w:numPr>
          <w:ilvl w:val="0"/>
          <w:numId w:val="4"/>
        </w:numPr>
      </w:pPr>
      <w:r>
        <w:rPr>
          <w:rFonts w:ascii="Figtree" w:hAnsi="Figtree"/>
          <w:b w:val="0"/>
          <w:i w:val="0"/>
          <w:sz w:val="22"/>
        </w:rPr>
        <w:t>Unlimited environments with full isolation</w:t>
      </w:r>
    </w:p>
    <w:p>
      <w:pPr>
        <w:pStyle w:val="ListParagraph"/>
        <w:numPr>
          <w:ilvl w:val="0"/>
          <w:numId w:val="4"/>
        </w:numPr>
      </w:pPr>
      <w:r>
        <w:rPr>
          <w:rFonts w:ascii="Figtree" w:hAnsi="Figtree"/>
          <w:b w:val="0"/>
          <w:i w:val="0"/>
          <w:sz w:val="22"/>
        </w:rPr>
        <w:t>Multi-network, multi-region deployment</w:t>
      </w:r>
    </w:p>
    <w:p>
      <w:pPr>
        <w:pStyle w:val="ListParagraph"/>
        <w:numPr>
          <w:ilvl w:val="0"/>
          <w:numId w:val="4"/>
        </w:numPr>
      </w:pPr>
      <w:r>
        <w:rPr>
          <w:rFonts w:ascii="Figtree" w:hAnsi="Figtree"/>
          <w:b w:val="0"/>
          <w:i w:val="0"/>
          <w:sz w:val="22"/>
        </w:rPr>
        <w:t>Full custody provider flexibility with custom integration support</w:t>
      </w:r>
    </w:p>
    <w:p>
      <w:pPr>
        <w:pStyle w:val="ListParagraph"/>
        <w:numPr>
          <w:ilvl w:val="0"/>
          <w:numId w:val="4"/>
        </w:numPr>
      </w:pPr>
      <w:r>
        <w:rPr>
          <w:rFonts w:ascii="Figtree" w:hAnsi="Figtree"/>
          <w:b w:val="0"/>
          <w:i w:val="0"/>
          <w:sz w:val="22"/>
        </w:rPr>
        <w:t>Enterprise support with dedicated SRE engagement</w:t>
      </w:r>
    </w:p>
    <w:p>
      <w:pPr>
        <w:pStyle w:val="ListParagraph"/>
        <w:numPr>
          <w:ilvl w:val="0"/>
          <w:numId w:val="4"/>
        </w:numPr>
      </w:pPr>
      <w:r>
        <w:rPr>
          <w:rFonts w:ascii="Figtree" w:hAnsi="Figtree"/>
          <w:b w:val="0"/>
          <w:i w:val="0"/>
          <w:sz w:val="22"/>
        </w:rPr>
        <w:t>Custom compliance module development support</w:t>
      </w:r>
    </w:p>
    <w:p>
      <w:pPr>
        <w:pStyle w:val="ListParagraph"/>
        <w:numPr>
          <w:ilvl w:val="0"/>
          <w:numId w:val="4"/>
        </w:numPr>
      </w:pPr>
      <w:r>
        <w:rPr>
          <w:rFonts w:ascii="Figtree" w:hAnsi="Figtree"/>
          <w:b w:val="0"/>
          <w:i w:val="0"/>
          <w:sz w:val="22"/>
        </w:rPr>
        <w:t>Dedicated solution architect</w:t>
      </w:r>
    </w:p>
    <w:p>
      <w:pPr>
        <w:pStyle w:val="ListParagraph"/>
        <w:numPr>
          <w:ilvl w:val="0"/>
          <w:numId w:val="4"/>
        </w:numPr>
      </w:pPr>
      <w:r>
        <w:rPr>
          <w:rFonts w:ascii="Figtree" w:hAnsi="Figtree"/>
          <w:b w:val="0"/>
          <w:i w:val="0"/>
          <w:sz w:val="22"/>
        </w:rPr>
        <w:t>Fully custom SLA terms</w:t>
      </w:r>
    </w:p>
    <w:p>
      <w:pPr>
        <w:pStyle w:val="ListParagraph"/>
        <w:numPr>
          <w:ilvl w:val="0"/>
          <w:numId w:val="4"/>
        </w:numPr>
      </w:pPr>
      <w:r>
        <w:rPr>
          <w:rFonts w:ascii="Figtree" w:hAnsi="Figtree"/>
          <w:b w:val="0"/>
          <w:i w:val="0"/>
          <w:sz w:val="22"/>
        </w:rPr>
        <w:t>Early access to roadmap features</w:t>
      </w:r>
    </w:p>
    <w:p>
      <w:pPr>
        <w:pStyle w:val="ListParagraph"/>
        <w:numPr>
          <w:ilvl w:val="0"/>
          <w:numId w:val="4"/>
        </w:numPr>
      </w:pPr>
      <w:r>
        <w:rPr>
          <w:rFonts w:ascii="Figtree" w:hAnsi="Figtree"/>
          <w:b w:val="0"/>
          <w:i w:val="0"/>
          <w:sz w:val="22"/>
        </w:rPr>
        <w:t>Strategic advisory engagement</w:t>
      </w:r>
    </w:p>
    <w:p>
      <w:r>
        <w:rPr>
          <w:rFonts w:ascii="Figtree" w:hAnsi="Figtree"/>
          <w:b/>
          <w:i w:val="0"/>
          <w:sz w:val="22"/>
        </w:rPr>
        <w:t>Annual license fee</w:t>
      </w:r>
      <w:r>
        <w:rPr>
          <w:rFonts w:ascii="Figtree" w:hAnsi="Figtree"/>
          <w:b w:val="0"/>
          <w:i w:val="0"/>
          <w:sz w:val="22"/>
        </w:rPr>
        <w:t>: €500,000+</w:t>
      </w:r>
    </w:p>
    <w:p>
      <w:pPr>
        <w:pStyle w:val="H3"/>
        <w:numPr>
          <w:ilvl w:val="2"/>
          <w:numId w:val="1"/>
        </w:numPr>
      </w:pPr>
      <w:r>
        <w:t>Recommendation for ADGM</w:t>
      </w:r>
    </w:p>
    <w:p>
      <w:r>
        <w:rPr>
          <w:rFonts w:ascii="Figtree" w:hAnsi="Figtree"/>
          <w:b w:val="0"/>
          <w:i w:val="0"/>
          <w:sz w:val="22"/>
        </w:rPr>
        <w:t xml:space="preserve">Given ADGM's role as a regulatory body requiring multi-environment support, comprehensive audit capabilities, and integration with UAE enterprise systems, SettleMint recommends the </w:t>
      </w:r>
      <w:r>
        <w:rPr>
          <w:rFonts w:ascii="Figtree" w:hAnsi="Figtree"/>
          <w:b/>
          <w:i w:val="0"/>
          <w:sz w:val="22"/>
        </w:rPr>
        <w:t>Enterprise tier</w:t>
      </w:r>
      <w:r>
        <w:rPr>
          <w:rFonts w:ascii="Figtree" w:hAnsi="Figtree"/>
          <w:b w:val="0"/>
          <w:i w:val="0"/>
          <w:sz w:val="22"/>
        </w:rPr>
        <w:t>. This provides the necessary scale for phased rollout while maintaining access to all compliance modules and Premium Support.</w:t>
      </w:r>
    </w:p>
    <w:p>
      <w:r>
        <w:br w:type="page"/>
      </w:r>
    </w:p>
    <w:p>
      <w:pPr>
        <w:pStyle w:val="H1"/>
        <w:numPr>
          <w:ilvl w:val="0"/>
          <w:numId w:val="1"/>
        </w:numPr>
      </w:pPr>
      <w:r>
        <w:t>4. Deployment Options and Pricing</w:t>
      </w:r>
    </w:p>
    <w:p>
      <w:pPr>
        <w:pStyle w:val="H2"/>
        <w:numPr>
          <w:ilvl w:val="1"/>
          <w:numId w:val="1"/>
        </w:numPr>
      </w:pPr>
      <w:r>
        <w:t>4.1 Model Overview</w:t>
      </w:r>
    </w:p>
    <w:p>
      <w:r>
        <w:rPr>
          <w:rFonts w:ascii="Figtree" w:hAnsi="Figtree"/>
          <w:b w:val="0"/>
          <w:i w:val="0"/>
          <w:sz w:val="22"/>
        </w:rPr>
        <w:t>DALP supports four deployment models. All models deliver identical platform capabilities—the same lifecycle modules, compliance engine, settlement protocols, and API surface. The choice is driven by institutional requirements around data sovereignty, security posture, regulatory constraints, and operational preferences.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57"/>
        <w:gridCol w:w="2290"/>
        <w:gridCol w:w="2107"/>
        <w:gridCol w:w="1282"/>
        <w:gridCol w:w="183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Model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Infrastructure Management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Data Residency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Time-to-Deploy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Operational Overhead</w:t>
            </w:r>
          </w:p>
        </w:tc>
      </w:tr>
      <w:tr>
        <w:trPr>
          <w:trHeight w:val="425" w:hRule="atLeast"/>
        </w:trPr>
        <w:tc>
          <w:tcPr>
            <w:tcW w:type="dxa" w:w="1949"/>
            <w:vAlign w:val="center"/>
          </w:tcPr>
          <w:p>
            <w:pPr>
              <w:spacing w:line="276" w:lineRule="auto" w:before="0" w:after="0"/>
            </w:pPr>
            <w:r/>
            <w:r>
              <w:rPr>
                <w:rFonts w:ascii="Figtree" w:hAnsi="Figtree"/>
                <w:b/>
                <w:i w:val="0"/>
                <w:sz w:val="20"/>
              </w:rPr>
              <w:t>Managed SaaS</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Lowest</w:t>
            </w:r>
          </w:p>
        </w:tc>
      </w:tr>
      <w:tr>
        <w:trPr>
          <w:trHeight w:val="425" w:hRule="atLeast"/>
        </w:trPr>
        <w:tc>
          <w:tcPr>
            <w:tcW w:type="dxa" w:w="1949"/>
            <w:vAlign w:val="center"/>
          </w:tcPr>
          <w:p>
            <w:pPr>
              <w:spacing w:line="276" w:lineRule="auto" w:before="0" w:after="0"/>
            </w:pPr>
            <w:r/>
            <w:r>
              <w:rPr>
                <w:rFonts w:ascii="Figtree" w:hAnsi="Figtree"/>
                <w:b/>
                <w:i w:val="0"/>
                <w:sz w:val="20"/>
              </w:rPr>
              <w:t>Private Cloud</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i w:val="0"/>
                <w:sz w:val="20"/>
              </w:rPr>
              <w:t>On-Premises</w:t>
            </w:r>
          </w:p>
        </w:tc>
        <w:tc>
          <w:tcPr>
            <w:tcW w:type="dxa" w:w="1949"/>
            <w:vAlign w:val="center"/>
          </w:tcPr>
          <w:p>
            <w:pPr>
              <w:spacing w:line="276" w:lineRule="auto" w:before="0" w:after="0"/>
            </w:pPr>
            <w:r/>
            <w:r>
              <w:rPr>
                <w:rFonts w:ascii="Figtree" w:hAnsi="Figtree"/>
                <w:b w:val="0"/>
                <w:i w:val="0"/>
                <w:sz w:val="20"/>
              </w:rPr>
              <w:t>Client-managed</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Highest</w:t>
            </w:r>
          </w:p>
        </w:tc>
      </w:tr>
      <w:tr>
        <w:trPr>
          <w:trHeight w:val="425" w:hRule="atLeast"/>
        </w:trPr>
        <w:tc>
          <w:tcPr>
            <w:tcW w:type="dxa" w:w="1949"/>
            <w:vAlign w:val="center"/>
          </w:tcPr>
          <w:p>
            <w:pPr>
              <w:spacing w:line="276" w:lineRule="auto" w:before="0" w:after="0"/>
            </w:pPr>
            <w:r/>
            <w:r>
              <w:rPr>
                <w:rFonts w:ascii="Figtree" w:hAnsi="Figtree"/>
                <w:b/>
                <w:i w:val="0"/>
                <w:sz w:val="20"/>
              </w:rPr>
              <w:t>Hybrid</w:t>
            </w:r>
          </w:p>
        </w:tc>
        <w:tc>
          <w:tcPr>
            <w:tcW w:type="dxa" w:w="1949"/>
            <w:vAlign w:val="center"/>
          </w:tcPr>
          <w:p>
            <w:pPr>
              <w:spacing w:line="276" w:lineRule="auto" w:before="0" w:after="0"/>
            </w:pPr>
            <w:r/>
            <w:r>
              <w:rPr>
                <w:rFonts w:ascii="Figtree" w:hAnsi="Figtree"/>
                <w:b w:val="0"/>
                <w:i w:val="0"/>
                <w:sz w:val="20"/>
              </w:rPr>
              <w:t>Split by component</w:t>
            </w:r>
          </w:p>
        </w:tc>
        <w:tc>
          <w:tcPr>
            <w:tcW w:type="dxa" w:w="1949"/>
            <w:vAlign w:val="center"/>
          </w:tcPr>
          <w:p>
            <w:pPr>
              <w:spacing w:line="276" w:lineRule="auto" w:before="0" w:after="0"/>
            </w:pPr>
            <w:r/>
            <w:r>
              <w:rPr>
                <w:rFonts w:ascii="Figtree" w:hAnsi="Figtree"/>
                <w:b w:val="0"/>
                <w:i w:val="0"/>
                <w:sz w:val="20"/>
              </w:rPr>
              <w:t>Component-level control</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4.2 Comparison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8"/>
        <w:gridCol w:w="1610"/>
        <w:gridCol w:w="1950"/>
        <w:gridCol w:w="1526"/>
        <w:gridCol w:w="15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i w:val="0"/>
                <w:sz w:val="20"/>
              </w:rPr>
              <w:t>Infrastructure Management</w:t>
            </w:r>
          </w:p>
        </w:tc>
        <w:tc>
          <w:tcPr>
            <w:tcW w:type="dxa" w:w="1949"/>
            <w:vAlign w:val="center"/>
          </w:tcPr>
          <w:p>
            <w:pPr>
              <w:spacing w:line="276" w:lineRule="auto" w:before="0" w:after="0"/>
            </w:pPr>
            <w:r/>
            <w:r>
              <w:rPr>
                <w:rFonts w:ascii="Figtree" w:hAnsi="Figtree"/>
                <w:b w:val="0"/>
                <w:i w:val="0"/>
                <w:sz w:val="20"/>
              </w:rPr>
              <w:t>SettleMint</w:t>
            </w:r>
          </w:p>
        </w:tc>
        <w:tc>
          <w:tcPr>
            <w:tcW w:type="dxa" w:w="1949"/>
            <w:vAlign w:val="center"/>
          </w:tcPr>
          <w:p>
            <w:pPr>
              <w:spacing w:line="276" w:lineRule="auto" w:before="0" w:after="0"/>
            </w:pPr>
            <w:r/>
            <w:r>
              <w:rPr>
                <w:rFonts w:ascii="Figtree" w:hAnsi="Figtree"/>
                <w:b w:val="0"/>
                <w:i w:val="0"/>
                <w:sz w:val="20"/>
              </w:rPr>
              <w:t>Client/co-managed</w:t>
            </w:r>
          </w:p>
        </w:tc>
        <w:tc>
          <w:tcPr>
            <w:tcW w:type="dxa" w:w="1949"/>
            <w:vAlign w:val="center"/>
          </w:tcPr>
          <w:p>
            <w:pPr>
              <w:spacing w:line="276" w:lineRule="auto" w:before="0" w:after="0"/>
            </w:pPr>
            <w:r/>
            <w:r>
              <w:rPr>
                <w:rFonts w:ascii="Figtree" w:hAnsi="Figtree"/>
                <w:b w:val="0"/>
                <w:i w:val="0"/>
                <w:sz w:val="20"/>
              </w:rPr>
              <w:t>Client</w:t>
            </w:r>
          </w:p>
        </w:tc>
        <w:tc>
          <w:tcPr>
            <w:tcW w:type="dxa" w:w="1949"/>
            <w:vAlign w:val="center"/>
          </w:tcPr>
          <w:p>
            <w:pPr>
              <w:spacing w:line="276" w:lineRule="auto" w:before="0" w:after="0"/>
            </w:pPr>
            <w:r/>
            <w:r>
              <w:rPr>
                <w:rFonts w:ascii="Figtree" w:hAnsi="Figtree"/>
                <w:b w:val="0"/>
                <w:i w:val="0"/>
                <w:sz w:val="20"/>
              </w:rPr>
              <w:t>Split</w:t>
            </w:r>
          </w:p>
        </w:tc>
      </w:tr>
      <w:tr>
        <w:trPr>
          <w:trHeight w:val="425" w:hRule="atLeast"/>
        </w:trPr>
        <w:tc>
          <w:tcPr>
            <w:tcW w:type="dxa" w:w="1949"/>
            <w:vAlign w:val="center"/>
          </w:tcPr>
          <w:p>
            <w:pPr>
              <w:spacing w:line="276" w:lineRule="auto" w:before="0" w:after="0"/>
            </w:pPr>
            <w:r/>
            <w:r>
              <w:rPr>
                <w:rFonts w:ascii="Figtree" w:hAnsi="Figtree"/>
                <w:b/>
                <w:i w:val="0"/>
                <w:sz w:val="20"/>
              </w:rPr>
              <w:t>Data Residency</w:t>
            </w:r>
          </w:p>
        </w:tc>
        <w:tc>
          <w:tcPr>
            <w:tcW w:type="dxa" w:w="1949"/>
            <w:vAlign w:val="center"/>
          </w:tcPr>
          <w:p>
            <w:pPr>
              <w:spacing w:line="276" w:lineRule="auto" w:before="0" w:after="0"/>
            </w:pPr>
            <w:r/>
            <w:r>
              <w:rPr>
                <w:rFonts w:ascii="Figtree" w:hAnsi="Figtree"/>
                <w:b w:val="0"/>
                <w:i w:val="0"/>
                <w:sz w:val="20"/>
              </w:rPr>
              <w:t>Configurable region</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w:t>
            </w:r>
          </w:p>
        </w:tc>
      </w:tr>
      <w:tr>
        <w:trPr>
          <w:trHeight w:val="425" w:hRule="atLeast"/>
        </w:trPr>
        <w:tc>
          <w:tcPr>
            <w:tcW w:type="dxa" w:w="1949"/>
            <w:vAlign w:val="center"/>
          </w:tcPr>
          <w:p>
            <w:pPr>
              <w:spacing w:line="276" w:lineRule="auto" w:before="0" w:after="0"/>
            </w:pPr>
            <w:r/>
            <w:r>
              <w:rPr>
                <w:rFonts w:ascii="Figtree" w:hAnsi="Figtree"/>
                <w:b/>
                <w:i w:val="0"/>
                <w:sz w:val="20"/>
              </w:rPr>
              <w:t>Network Connectivity</w:t>
            </w:r>
          </w:p>
        </w:tc>
        <w:tc>
          <w:tcPr>
            <w:tcW w:type="dxa" w:w="1949"/>
            <w:vAlign w:val="center"/>
          </w:tcPr>
          <w:p>
            <w:pPr>
              <w:spacing w:line="276" w:lineRule="auto" w:before="0" w:after="0"/>
            </w:pPr>
            <w:r/>
            <w:r>
              <w:rPr>
                <w:rFonts w:ascii="Figtree" w:hAnsi="Figtree"/>
                <w:b w:val="0"/>
                <w:i w:val="0"/>
                <w:sz w:val="20"/>
              </w:rPr>
              <w:t>Internet/VPN</w:t>
            </w:r>
          </w:p>
        </w:tc>
        <w:tc>
          <w:tcPr>
            <w:tcW w:type="dxa" w:w="1949"/>
            <w:vAlign w:val="center"/>
          </w:tcPr>
          <w:p>
            <w:pPr>
              <w:spacing w:line="276" w:lineRule="auto" w:before="0" w:after="0"/>
            </w:pPr>
            <w:r/>
            <w:r>
              <w:rPr>
                <w:rFonts w:ascii="Figtree" w:hAnsi="Figtree"/>
                <w:b w:val="0"/>
                <w:i w:val="0"/>
                <w:sz w:val="20"/>
              </w:rPr>
              <w:t>Client VPN/private link</w:t>
            </w:r>
          </w:p>
        </w:tc>
        <w:tc>
          <w:tcPr>
            <w:tcW w:type="dxa" w:w="1949"/>
            <w:vAlign w:val="center"/>
          </w:tcPr>
          <w:p>
            <w:pPr>
              <w:spacing w:line="276" w:lineRule="auto" w:before="0" w:after="0"/>
            </w:pPr>
            <w:r/>
            <w:r>
              <w:rPr>
                <w:rFonts w:ascii="Figtree" w:hAnsi="Figtree"/>
                <w:b w:val="0"/>
                <w:i w:val="0"/>
                <w:sz w:val="20"/>
              </w:rPr>
              <w:t>Air-gapped capable</w:t>
            </w:r>
          </w:p>
        </w:tc>
        <w:tc>
          <w:tcPr>
            <w:tcW w:type="dxa" w:w="1949"/>
            <w:vAlign w:val="center"/>
          </w:tcPr>
          <w:p>
            <w:pPr>
              <w:spacing w:line="276" w:lineRule="auto" w:before="0" w:after="0"/>
            </w:pPr>
            <w:r/>
            <w:r>
              <w:rPr>
                <w:rFonts w:ascii="Figtree" w:hAnsi="Figtree"/>
                <w:b w:val="0"/>
                <w:i w:val="0"/>
                <w:sz w:val="20"/>
              </w:rPr>
              <w:t>Mixed</w:t>
            </w:r>
          </w:p>
        </w:tc>
      </w:tr>
      <w:tr>
        <w:trPr>
          <w:trHeight w:val="425" w:hRule="atLeast"/>
        </w:trPr>
        <w:tc>
          <w:tcPr>
            <w:tcW w:type="dxa" w:w="1949"/>
            <w:vAlign w:val="center"/>
          </w:tcPr>
          <w:p>
            <w:pPr>
              <w:spacing w:line="276" w:lineRule="auto" w:before="0" w:after="0"/>
            </w:pPr>
            <w:r/>
            <w:r>
              <w:rPr>
                <w:rFonts w:ascii="Figtree" w:hAnsi="Figtree"/>
                <w:b/>
                <w:i w:val="0"/>
                <w:sz w:val="20"/>
              </w:rPr>
              <w:t>Update Management</w:t>
            </w:r>
          </w:p>
        </w:tc>
        <w:tc>
          <w:tcPr>
            <w:tcW w:type="dxa" w:w="1949"/>
            <w:vAlign w:val="center"/>
          </w:tcPr>
          <w:p>
            <w:pPr>
              <w:spacing w:line="276" w:lineRule="auto" w:before="0" w:after="0"/>
            </w:pPr>
            <w:r/>
            <w:r>
              <w:rPr>
                <w:rFonts w:ascii="Figtree" w:hAnsi="Figtree"/>
                <w:b w:val="0"/>
                <w:i w:val="0"/>
                <w:sz w:val="20"/>
              </w:rPr>
              <w:t>Automated</w:t>
            </w:r>
          </w:p>
        </w:tc>
        <w:tc>
          <w:tcPr>
            <w:tcW w:type="dxa" w:w="1949"/>
            <w:vAlign w:val="center"/>
          </w:tcPr>
          <w:p>
            <w:pPr>
              <w:spacing w:line="276" w:lineRule="auto" w:before="0" w:after="0"/>
            </w:pPr>
            <w:r/>
            <w:r>
              <w:rPr>
                <w:rFonts w:ascii="Figtree" w:hAnsi="Figtree"/>
                <w:b w:val="0"/>
                <w:i w:val="0"/>
                <w:sz w:val="20"/>
              </w:rPr>
              <w:t>Coordinated releases</w:t>
            </w:r>
          </w:p>
        </w:tc>
        <w:tc>
          <w:tcPr>
            <w:tcW w:type="dxa" w:w="1949"/>
            <w:vAlign w:val="center"/>
          </w:tcPr>
          <w:p>
            <w:pPr>
              <w:spacing w:line="276" w:lineRule="auto" w:before="0" w:after="0"/>
            </w:pPr>
            <w:r/>
            <w:r>
              <w:rPr>
                <w:rFonts w:ascii="Figtree" w:hAnsi="Figtree"/>
                <w:b w:val="0"/>
                <w:i w:val="0"/>
                <w:sz w:val="20"/>
              </w:rPr>
              <w:t>Client-controlled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i w:val="0"/>
                <w:sz w:val="20"/>
              </w:rPr>
              <w:t>Scaling</w:t>
            </w:r>
          </w:p>
        </w:tc>
        <w:tc>
          <w:tcPr>
            <w:tcW w:type="dxa" w:w="1949"/>
            <w:vAlign w:val="center"/>
          </w:tcPr>
          <w:p>
            <w:pPr>
              <w:spacing w:line="276" w:lineRule="auto" w:before="0" w:after="0"/>
            </w:pPr>
            <w:r/>
            <w:r>
              <w:rPr>
                <w:rFonts w:ascii="Figtree" w:hAnsi="Figtree"/>
                <w:b w:val="0"/>
                <w:i w:val="0"/>
                <w:sz w:val="20"/>
              </w:rPr>
              <w:t>Auto-scaling</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Client-provisioned</w:t>
            </w:r>
          </w:p>
        </w:tc>
        <w:tc>
          <w:tcPr>
            <w:tcW w:type="dxa" w:w="1949"/>
            <w:vAlign w:val="center"/>
          </w:tcPr>
          <w:p>
            <w:pPr>
              <w:spacing w:line="276" w:lineRule="auto" w:before="0" w:after="0"/>
            </w:pPr>
            <w:r/>
            <w:r>
              <w:rPr>
                <w:rFonts w:ascii="Figtree" w:hAnsi="Figtree"/>
                <w:b w:val="0"/>
                <w:i w:val="0"/>
                <w:sz w:val="20"/>
              </w:rPr>
              <w:t>Component-specific</w:t>
            </w:r>
          </w:p>
        </w:tc>
      </w:tr>
      <w:tr>
        <w:trPr>
          <w:trHeight w:val="425" w:hRule="atLeast"/>
        </w:trPr>
        <w:tc>
          <w:tcPr>
            <w:tcW w:type="dxa" w:w="1949"/>
            <w:vAlign w:val="center"/>
          </w:tcPr>
          <w:p>
            <w:pPr>
              <w:spacing w:line="276" w:lineRule="auto" w:before="0" w:after="0"/>
            </w:pPr>
            <w:r/>
            <w:r>
              <w:rPr>
                <w:rFonts w:ascii="Figtree" w:hAnsi="Figtree"/>
                <w:b/>
                <w:i w:val="0"/>
                <w:sz w:val="20"/>
              </w:rPr>
              <w:t>Time-to-Deploy</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bl>
    <w:p>
      <w:pPr>
        <w:spacing w:before="0" w:after="0" w:line="120" w:lineRule="exact"/>
      </w:pPr>
    </w:p>
    <w:p>
      <w:pPr>
        <w:pStyle w:val="H2"/>
        <w:numPr>
          <w:ilvl w:val="1"/>
          <w:numId w:val="1"/>
        </w:numPr>
      </w:pPr>
      <w:r>
        <w:t>4.3 Cost Structure</w:t>
      </w:r>
    </w:p>
    <w:p>
      <w:r>
        <w:rPr>
          <w:rFonts w:ascii="Figtree" w:hAnsi="Figtree"/>
          <w:b w:val="0"/>
          <w:i w:val="0"/>
          <w:sz w:val="22"/>
        </w:rPr>
        <w:t>For each deployment model, ADGM should budget for the following cost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9"/>
        <w:gridCol w:w="4015"/>
        <w:gridCol w:w="31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i w:val="0"/>
                <w:sz w:val="20"/>
              </w:rPr>
              <w:t>Platform License</w:t>
            </w:r>
          </w:p>
        </w:tc>
        <w:tc>
          <w:tcPr>
            <w:tcW w:type="dxa" w:w="3249"/>
            <w:vAlign w:val="center"/>
          </w:tcPr>
          <w:p>
            <w:pPr>
              <w:spacing w:line="276" w:lineRule="auto" w:before="0" w:after="0"/>
            </w:pPr>
            <w:r/>
            <w:r>
              <w:rPr>
                <w:rFonts w:ascii="Figtree" w:hAnsi="Figtree"/>
                <w:b w:val="0"/>
                <w:i w:val="0"/>
                <w:sz w:val="20"/>
              </w:rPr>
              <w:t>Per tier (Foundation/Enterprise/Sovereign)</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i w:val="0"/>
                <w:sz w:val="20"/>
              </w:rPr>
              <w:t>Environment Costs</w:t>
            </w:r>
          </w:p>
        </w:tc>
        <w:tc>
          <w:tcPr>
            <w:tcW w:type="dxa" w:w="3249"/>
            <w:vAlign w:val="center"/>
          </w:tcPr>
          <w:p>
            <w:pPr>
              <w:spacing w:line="276" w:lineRule="auto" w:before="0" w:after="0"/>
            </w:pPr>
            <w:r/>
            <w:r>
              <w:rPr>
                <w:rFonts w:ascii="Figtree" w:hAnsi="Figtree"/>
                <w:b w:val="0"/>
                <w:i w:val="0"/>
                <w:sz w:val="20"/>
              </w:rPr>
              <w:t>Per additional environment beyond base</w:t>
            </w:r>
          </w:p>
        </w:tc>
        <w:tc>
          <w:tcPr>
            <w:tcW w:type="dxa" w:w="3249"/>
            <w:vAlign w:val="center"/>
          </w:tcPr>
          <w:p>
            <w:pPr>
              <w:spacing w:line="276" w:lineRule="auto" w:before="0" w:after="0"/>
            </w:pPr>
            <w:r/>
            <w:r>
              <w:rPr>
                <w:rFonts w:ascii="Figtree" w:hAnsi="Figtree"/>
                <w:b w:val="0"/>
                <w:i w:val="0"/>
                <w:sz w:val="20"/>
              </w:rPr>
              <w:t>Annual</w:t>
            </w:r>
          </w:p>
        </w:tc>
      </w:tr>
      <w:tr>
        <w:trPr>
          <w:trHeight w:val="425" w:hRule="atLeast"/>
        </w:trPr>
        <w:tc>
          <w:tcPr>
            <w:tcW w:type="dxa" w:w="3249"/>
            <w:vAlign w:val="center"/>
          </w:tcPr>
          <w:p>
            <w:pPr>
              <w:spacing w:line="276" w:lineRule="auto" w:before="0" w:after="0"/>
            </w:pPr>
            <w:r/>
            <w:r>
              <w:rPr>
                <w:rFonts w:ascii="Figtree" w:hAnsi="Figtree"/>
                <w:b/>
                <w:i w:val="0"/>
                <w:sz w:val="20"/>
              </w:rPr>
              <w:t>Infrastructure</w:t>
            </w:r>
          </w:p>
        </w:tc>
        <w:tc>
          <w:tcPr>
            <w:tcW w:type="dxa" w:w="3249"/>
            <w:vAlign w:val="center"/>
          </w:tcPr>
          <w:p>
            <w:pPr>
              <w:spacing w:line="276" w:lineRule="auto" w:before="0" w:after="0"/>
            </w:pPr>
            <w:r/>
            <w:r>
              <w:rPr>
                <w:rFonts w:ascii="Figtree" w:hAnsi="Figtree"/>
                <w:b w:val="0"/>
                <w:i w:val="0"/>
                <w:sz w:val="20"/>
              </w:rPr>
              <w:t>Kubernetes, databases, blockchain nodes, observability</w:t>
            </w:r>
          </w:p>
        </w:tc>
        <w:tc>
          <w:tcPr>
            <w:tcW w:type="dxa" w:w="3249"/>
            <w:vAlign w:val="center"/>
          </w:tcPr>
          <w:p>
            <w:pPr>
              <w:spacing w:line="276" w:lineRule="auto" w:before="0" w:after="0"/>
            </w:pPr>
            <w:r/>
            <w:r>
              <w:rPr>
                <w:rFonts w:ascii="Figtree" w:hAnsi="Figtree"/>
                <w:b w:val="0"/>
                <w:i w:val="0"/>
                <w:sz w:val="20"/>
              </w:rPr>
              <w:t>Monthly (cloud) or client-managed (on-prem)</w:t>
            </w:r>
          </w:p>
        </w:tc>
      </w:tr>
      <w:tr>
        <w:trPr>
          <w:trHeight w:val="425" w:hRule="atLeast"/>
        </w:trPr>
        <w:tc>
          <w:tcPr>
            <w:tcW w:type="dxa" w:w="3249"/>
            <w:vAlign w:val="center"/>
          </w:tcPr>
          <w:p>
            <w:pPr>
              <w:spacing w:line="276" w:lineRule="auto" w:before="0" w:after="0"/>
            </w:pPr>
            <w:r/>
            <w:r>
              <w:rPr>
                <w:rFonts w:ascii="Figtree" w:hAnsi="Figtree"/>
                <w:b/>
                <w:i w:val="0"/>
                <w:sz w:val="20"/>
              </w:rPr>
              <w:t>Implementation</w:t>
            </w:r>
          </w:p>
        </w:tc>
        <w:tc>
          <w:tcPr>
            <w:tcW w:type="dxa" w:w="3249"/>
            <w:vAlign w:val="center"/>
          </w:tcPr>
          <w:p>
            <w:pPr>
              <w:spacing w:line="276" w:lineRule="auto" w:before="0" w:after="0"/>
            </w:pPr>
            <w:r/>
            <w:r>
              <w:rPr>
                <w:rFonts w:ascii="Figtree" w:hAnsi="Figtree"/>
                <w:b w:val="0"/>
                <w:i w:val="0"/>
                <w:sz w:val="20"/>
              </w:rPr>
              <w:t>Discovery through go-live</w:t>
            </w:r>
          </w:p>
        </w:tc>
        <w:tc>
          <w:tcPr>
            <w:tcW w:type="dxa" w:w="3249"/>
            <w:vAlign w:val="center"/>
          </w:tcPr>
          <w:p>
            <w:pPr>
              <w:spacing w:line="276" w:lineRule="auto" w:before="0" w:after="0"/>
            </w:pPr>
            <w:r/>
            <w:r>
              <w:rPr>
                <w:rFonts w:ascii="Figtree" w:hAnsi="Figtree"/>
                <w:b w:val="0"/>
                <w:i w:val="0"/>
                <w:sz w:val="20"/>
              </w:rPr>
              <w:t>One-time</w:t>
            </w:r>
          </w:p>
        </w:tc>
      </w:tr>
      <w:tr>
        <w:trPr>
          <w:trHeight w:val="425" w:hRule="atLeast"/>
        </w:trPr>
        <w:tc>
          <w:tcPr>
            <w:tcW w:type="dxa" w:w="3249"/>
            <w:vAlign w:val="center"/>
          </w:tcPr>
          <w:p>
            <w:pPr>
              <w:spacing w:line="276" w:lineRule="auto" w:before="0" w:after="0"/>
            </w:pPr>
            <w:r/>
            <w:r>
              <w:rPr>
                <w:rFonts w:ascii="Figtree" w:hAnsi="Figtree"/>
                <w:b/>
                <w:i w:val="0"/>
                <w:sz w:val="20"/>
              </w:rPr>
              <w:t>Support &amp; Maintenance</w:t>
            </w:r>
          </w:p>
        </w:tc>
        <w:tc>
          <w:tcPr>
            <w:tcW w:type="dxa" w:w="3249"/>
            <w:vAlign w:val="center"/>
          </w:tcPr>
          <w:p>
            <w:pPr>
              <w:spacing w:line="276" w:lineRule="auto" w:before="0" w:after="0"/>
            </w:pPr>
            <w:r/>
            <w:r>
              <w:rPr>
                <w:rFonts w:ascii="Figtree" w:hAnsi="Figtree"/>
                <w:b w:val="0"/>
                <w:i w:val="0"/>
                <w:sz w:val="20"/>
              </w:rPr>
              <w:t>Per tier (Standard/Premium/Enterprise)</w:t>
            </w:r>
          </w:p>
        </w:tc>
        <w:tc>
          <w:tcPr>
            <w:tcW w:type="dxa" w:w="3249"/>
            <w:vAlign w:val="center"/>
          </w:tcPr>
          <w:p>
            <w:pPr>
              <w:spacing w:line="276" w:lineRule="auto" w:before="0" w:after="0"/>
            </w:pPr>
            <w:r/>
            <w:r>
              <w:rPr>
                <w:rFonts w:ascii="Figtree" w:hAnsi="Figtree"/>
                <w:b w:val="0"/>
                <w:i w:val="0"/>
                <w:sz w:val="20"/>
              </w:rPr>
              <w:t>Annual</w:t>
            </w:r>
          </w:p>
        </w:tc>
      </w:tr>
    </w:tbl>
    <w:p>
      <w:pPr>
        <w:spacing w:before="0" w:after="0" w:line="120" w:lineRule="exact"/>
      </w:pPr>
    </w:p>
    <w:p>
      <w:pPr>
        <w:pStyle w:val="H3"/>
        <w:numPr>
          <w:ilvl w:val="2"/>
          <w:numId w:val="1"/>
        </w:numPr>
      </w:pPr>
      <w:r>
        <w:t>Indicative Pricing for ADGM (Enterprise Tier, Private Cloud)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02"/>
        <w:gridCol w:w="2134"/>
        <w:gridCol w:w="213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r>
      <w:tr>
        <w:trPr>
          <w:trHeight w:val="425" w:hRule="atLeast"/>
        </w:trPr>
        <w:tc>
          <w:tcPr>
            <w:tcW w:type="dxa" w:w="3249"/>
            <w:vAlign w:val="center"/>
          </w:tcPr>
          <w:p>
            <w:pPr>
              <w:spacing w:line="276" w:lineRule="auto" w:before="0" w:after="0"/>
            </w:pPr>
            <w:r/>
            <w:r>
              <w:rPr>
                <w:rFonts w:ascii="Figtree" w:hAnsi="Figtree"/>
                <w:b w:val="0"/>
                <w:i w:val="0"/>
                <w:sz w:val="20"/>
              </w:rPr>
              <w:t>Enterprise Platform License</w:t>
            </w:r>
          </w:p>
        </w:tc>
        <w:tc>
          <w:tcPr>
            <w:tcW w:type="dxa" w:w="3249"/>
            <w:vAlign w:val="center"/>
          </w:tcPr>
          <w:p>
            <w:pPr>
              <w:spacing w:line="276" w:lineRule="auto" w:before="0" w:after="0"/>
            </w:pPr>
            <w:r/>
            <w:r>
              <w:rPr>
                <w:rFonts w:ascii="Figtree" w:hAnsi="Figtree"/>
                <w:b w:val="0"/>
                <w:i w:val="0"/>
                <w:sz w:val="20"/>
              </w:rPr>
              <w:t>€300,000</w:t>
            </w:r>
          </w:p>
        </w:tc>
        <w:tc>
          <w:tcPr>
            <w:tcW w:type="dxa" w:w="3249"/>
            <w:vAlign w:val="center"/>
          </w:tcPr>
          <w:p>
            <w:pPr>
              <w:spacing w:line="276" w:lineRule="auto" w:before="0" w:after="0"/>
            </w:pPr>
            <w:r/>
            <w:r>
              <w:rPr>
                <w:rFonts w:ascii="Figtree" w:hAnsi="Figtree"/>
                <w:b w:val="0"/>
                <w:i w:val="0"/>
                <w:sz w:val="20"/>
              </w:rPr>
              <w:t>€300,000</w:t>
            </w:r>
          </w:p>
        </w:tc>
      </w:tr>
      <w:tr>
        <w:trPr>
          <w:trHeight w:val="425" w:hRule="atLeast"/>
        </w:trPr>
        <w:tc>
          <w:tcPr>
            <w:tcW w:type="dxa" w:w="3249"/>
            <w:vAlign w:val="center"/>
          </w:tcPr>
          <w:p>
            <w:pPr>
              <w:spacing w:line="276" w:lineRule="auto" w:before="0" w:after="0"/>
            </w:pPr>
            <w:r/>
            <w:r>
              <w:rPr>
                <w:rFonts w:ascii="Figtree" w:hAnsi="Figtree"/>
                <w:b w:val="0"/>
                <w:i w:val="0"/>
                <w:sz w:val="20"/>
              </w:rPr>
              <w:t>Premium Support</w:t>
            </w:r>
          </w:p>
        </w:tc>
        <w:tc>
          <w:tcPr>
            <w:tcW w:type="dxa" w:w="3249"/>
            <w:vAlign w:val="center"/>
          </w:tcPr>
          <w:p>
            <w:pPr>
              <w:spacing w:line="276" w:lineRule="auto" w:before="0" w:after="0"/>
            </w:pPr>
            <w:r/>
            <w:r>
              <w:rPr>
                <w:rFonts w:ascii="Figtree" w:hAnsi="Figtree"/>
                <w:b w:val="0"/>
                <w:i w:val="0"/>
                <w:sz w:val="20"/>
              </w:rPr>
              <w:t>€60,000</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(estimated)</w:t>
            </w:r>
          </w:p>
        </w:tc>
        <w:tc>
          <w:tcPr>
            <w:tcW w:type="dxa" w:w="3249"/>
            <w:vAlign w:val="center"/>
          </w:tcPr>
          <w:p>
            <w:pPr>
              <w:spacing w:line="276" w:lineRule="auto" w:before="0" w:after="0"/>
            </w:pPr>
            <w:r/>
            <w:r>
              <w:rPr>
                <w:rFonts w:ascii="Figtree" w:hAnsi="Figtree"/>
                <w:b w:val="0"/>
                <w:i w:val="0"/>
                <w:sz w:val="20"/>
              </w:rPr>
              <w:t>€48,000</w:t>
            </w:r>
          </w:p>
        </w:tc>
        <w:tc>
          <w:tcPr>
            <w:tcW w:type="dxa" w:w="3249"/>
            <w:vAlign w:val="center"/>
          </w:tcPr>
          <w:p>
            <w:pPr>
              <w:spacing w:line="276" w:lineRule="auto" w:before="0" w:after="0"/>
            </w:pPr>
            <w:r/>
            <w:r>
              <w:rPr>
                <w:rFonts w:ascii="Figtree" w:hAnsi="Figtree"/>
                <w:b w:val="0"/>
                <w:i w:val="0"/>
                <w:sz w:val="20"/>
              </w:rPr>
              <w:t>€48,000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(one-time)</w:t>
            </w:r>
          </w:p>
        </w:tc>
        <w:tc>
          <w:tcPr>
            <w:tcW w:type="dxa" w:w="3249"/>
            <w:vAlign w:val="center"/>
          </w:tcPr>
          <w:p>
            <w:pPr>
              <w:spacing w:line="276" w:lineRule="auto" w:before="0" w:after="0"/>
            </w:pPr>
            <w:r/>
            <w:r>
              <w:rPr>
                <w:rFonts w:ascii="Figtree" w:hAnsi="Figtree"/>
                <w:b w:val="0"/>
                <w:i w:val="0"/>
                <w:sz w:val="20"/>
              </w:rPr>
              <w:t>€420,000</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€828,000</w:t>
            </w:r>
          </w:p>
        </w:tc>
        <w:tc>
          <w:tcPr>
            <w:tcW w:type="dxa" w:w="3249"/>
            <w:vAlign w:val="center"/>
          </w:tcPr>
          <w:p>
            <w:pPr>
              <w:spacing w:line="276" w:lineRule="auto" w:before="0" w:after="0"/>
            </w:pPr>
            <w:r/>
            <w:r>
              <w:rPr>
                <w:rFonts w:ascii="Figtree" w:hAnsi="Figtree"/>
                <w:b/>
                <w:i w:val="0"/>
                <w:sz w:val="20"/>
              </w:rPr>
              <w:t>€408,000</w:t>
            </w:r>
          </w:p>
        </w:tc>
      </w:tr>
    </w:tbl>
    <w:p>
      <w:pPr>
        <w:spacing w:before="0" w:after="0" w:line="120" w:lineRule="exact"/>
      </w:pPr>
    </w:p>
    <w:p>
      <w:r>
        <w:rPr>
          <w:rFonts w:ascii="Figtree" w:hAnsi="Figtree"/>
          <w:b w:val="0"/>
          <w:i/>
          <w:sz w:val="22"/>
        </w:rPr>
        <w:t>Infrastructure costs are estimates based on typical enterprise cloud deployment. Actual costs depend on volume profiles and specific cloud provider arrangements.</w:t>
      </w:r>
    </w:p>
    <w:p>
      <w:pPr>
        <w:pStyle w:val="H2"/>
        <w:numPr>
          <w:ilvl w:val="1"/>
          <w:numId w:val="1"/>
        </w:numPr>
      </w:pPr>
      <w:r>
        <w:t>4.4 Cost Drivers</w:t>
      </w:r>
    </w:p>
    <w:p>
      <w:r>
        <w:rPr>
          <w:rFonts w:ascii="Figtree" w:hAnsi="Figtree"/>
          <w:b w:val="0"/>
          <w:i w:val="0"/>
          <w:sz w:val="22"/>
        </w:rPr>
        <w:t>The following factors increase or decrease total cost of ownership:</w:t>
      </w:r>
    </w:p>
    <w:p>
      <w:pPr>
        <w:pStyle w:val="H3"/>
        <w:numPr>
          <w:ilvl w:val="2"/>
          <w:numId w:val="1"/>
        </w:numPr>
      </w:pPr>
      <w:r>
        <w:t>Factors That Increase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39"/>
        <w:gridCol w:w="563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Multi-region deployment</w:t>
            </w:r>
          </w:p>
        </w:tc>
        <w:tc>
          <w:tcPr>
            <w:tcW w:type="dxa" w:w="4873"/>
            <w:vAlign w:val="center"/>
          </w:tcPr>
          <w:p>
            <w:pPr>
              <w:spacing w:line="276" w:lineRule="auto" w:before="0" w:after="0"/>
            </w:pPr>
            <w:r/>
            <w:r>
              <w:rPr>
                <w:rFonts w:ascii="Figtree" w:hAnsi="Figtree"/>
                <w:b w:val="0"/>
                <w:i w:val="0"/>
                <w:sz w:val="20"/>
              </w:rPr>
              <w:t>Additional infrastructure and networking complexity</w:t>
            </w:r>
          </w:p>
        </w:tc>
      </w:tr>
      <w:tr>
        <w:trPr>
          <w:trHeight w:val="425" w:hRule="atLeast"/>
        </w:trPr>
        <w:tc>
          <w:tcPr>
            <w:tcW w:type="dxa" w:w="4873"/>
            <w:vAlign w:val="center"/>
          </w:tcPr>
          <w:p>
            <w:pPr>
              <w:spacing w:line="276" w:lineRule="auto" w:before="0" w:after="0"/>
            </w:pPr>
            <w:r/>
            <w:r>
              <w:rPr>
                <w:rFonts w:ascii="Figtree" w:hAnsi="Figtree"/>
                <w:b w:val="0"/>
                <w:i w:val="0"/>
                <w:sz w:val="20"/>
              </w:rPr>
              <w:t>On-premises deployment with HSM</w:t>
            </w:r>
          </w:p>
        </w:tc>
        <w:tc>
          <w:tcPr>
            <w:tcW w:type="dxa" w:w="4873"/>
            <w:vAlign w:val="center"/>
          </w:tcPr>
          <w:p>
            <w:pPr>
              <w:spacing w:line="276" w:lineRule="auto" w:before="0" w:after="0"/>
            </w:pPr>
            <w:r/>
            <w:r>
              <w:rPr>
                <w:rFonts w:ascii="Figtree" w:hAnsi="Figtree"/>
                <w:b w:val="0"/>
                <w:i w:val="0"/>
                <w:sz w:val="20"/>
              </w:rPr>
              <w:t>Extended implementation timeline, higher infrastructure overhead</w:t>
            </w:r>
          </w:p>
        </w:tc>
      </w:tr>
      <w:tr>
        <w:trPr>
          <w:trHeight w:val="425" w:hRule="atLeast"/>
        </w:trPr>
        <w:tc>
          <w:tcPr>
            <w:tcW w:type="dxa" w:w="4873"/>
            <w:vAlign w:val="center"/>
          </w:tcPr>
          <w:p>
            <w:pPr>
              <w:spacing w:line="276" w:lineRule="auto" w:before="0" w:after="0"/>
            </w:pPr>
            <w:r/>
            <w:r>
              <w:rPr>
                <w:rFonts w:ascii="Figtree" w:hAnsi="Figtree"/>
                <w:b w:val="0"/>
                <w:i w:val="0"/>
                <w:sz w:val="20"/>
              </w:rPr>
              <w:t>Heavy custom integration</w:t>
            </w:r>
          </w:p>
        </w:tc>
        <w:tc>
          <w:tcPr>
            <w:tcW w:type="dxa" w:w="4873"/>
            <w:vAlign w:val="center"/>
          </w:tcPr>
          <w:p>
            <w:pPr>
              <w:spacing w:line="276" w:lineRule="auto" w:before="0" w:after="0"/>
            </w:pPr>
            <w:r/>
            <w:r>
              <w:rPr>
                <w:rFonts w:ascii="Figtree" w:hAnsi="Figtree"/>
                <w:b w:val="0"/>
                <w:i w:val="0"/>
                <w:sz w:val="20"/>
              </w:rPr>
              <w:t>Additional implementation effort beyond standard connectors</w:t>
            </w:r>
          </w:p>
        </w:tc>
      </w:tr>
      <w:tr>
        <w:trPr>
          <w:trHeight w:val="425" w:hRule="atLeast"/>
        </w:trPr>
        <w:tc>
          <w:tcPr>
            <w:tcW w:type="dxa" w:w="4873"/>
            <w:vAlign w:val="center"/>
          </w:tcPr>
          <w:p>
            <w:pPr>
              <w:spacing w:line="276" w:lineRule="auto" w:before="0" w:after="0"/>
            </w:pPr>
            <w:r/>
            <w:r>
              <w:rPr>
                <w:rFonts w:ascii="Figtree" w:hAnsi="Figtree"/>
                <w:b w:val="0"/>
                <w:i w:val="0"/>
                <w:sz w:val="20"/>
              </w:rPr>
              <w:t>Custom compliance module development</w:t>
            </w:r>
          </w:p>
        </w:tc>
        <w:tc>
          <w:tcPr>
            <w:tcW w:type="dxa" w:w="4873"/>
            <w:vAlign w:val="center"/>
          </w:tcPr>
          <w:p>
            <w:pPr>
              <w:spacing w:line="276" w:lineRule="auto" w:before="0" w:after="0"/>
            </w:pPr>
            <w:r/>
            <w:r>
              <w:rPr>
                <w:rFonts w:ascii="Figtree" w:hAnsi="Figtree"/>
                <w:b w:val="0"/>
                <w:i w:val="0"/>
                <w:sz w:val="20"/>
              </w:rPr>
              <w:t>Development effort scoped separately</w:t>
            </w:r>
          </w:p>
        </w:tc>
      </w:tr>
      <w:tr>
        <w:trPr>
          <w:trHeight w:val="425" w:hRule="atLeast"/>
        </w:trPr>
        <w:tc>
          <w:tcPr>
            <w:tcW w:type="dxa" w:w="4873"/>
            <w:vAlign w:val="center"/>
          </w:tcPr>
          <w:p>
            <w:pPr>
              <w:spacing w:line="276" w:lineRule="auto" w:before="0" w:after="0"/>
            </w:pPr>
            <w:r/>
            <w:r>
              <w:rPr>
                <w:rFonts w:ascii="Figtree" w:hAnsi="Figtree"/>
                <w:b w:val="0"/>
                <w:i w:val="0"/>
                <w:sz w:val="20"/>
              </w:rPr>
              <w:t>Phased rollout with extended timeline</w:t>
            </w:r>
          </w:p>
        </w:tc>
        <w:tc>
          <w:tcPr>
            <w:tcW w:type="dxa" w:w="4873"/>
            <w:vAlign w:val="center"/>
          </w:tcPr>
          <w:p>
            <w:pPr>
              <w:spacing w:line="276" w:lineRule="auto" w:before="0" w:after="0"/>
            </w:pPr>
            <w:r/>
            <w:r>
              <w:rPr>
                <w:rFonts w:ascii="Figtree" w:hAnsi="Figtree"/>
                <w:b w:val="0"/>
                <w:i w:val="0"/>
                <w:sz w:val="20"/>
              </w:rPr>
              <w:t>Additional project management and resource allocation</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tier</w:t>
            </w:r>
          </w:p>
        </w:tc>
        <w:tc>
          <w:tcPr>
            <w:tcW w:type="dxa" w:w="4873"/>
            <w:vAlign w:val="center"/>
          </w:tcPr>
          <w:p>
            <w:pPr>
              <w:spacing w:line="276" w:lineRule="auto" w:before="0" w:after="0"/>
            </w:pPr>
            <w:r/>
            <w:r>
              <w:rPr>
                <w:rFonts w:ascii="Figtree" w:hAnsi="Figtree"/>
                <w:b w:val="0"/>
                <w:i w:val="0"/>
                <w:sz w:val="20"/>
              </w:rPr>
              <w:t>Higher support costs but lower operational risk</w:t>
            </w:r>
          </w:p>
        </w:tc>
      </w:tr>
    </w:tbl>
    <w:p>
      <w:pPr>
        <w:spacing w:before="0" w:after="0" w:line="120" w:lineRule="exact"/>
      </w:pPr>
    </w:p>
    <w:p>
      <w:pPr>
        <w:pStyle w:val="H3"/>
        <w:numPr>
          <w:ilvl w:val="2"/>
          <w:numId w:val="1"/>
        </w:numPr>
      </w:pPr>
      <w:r>
        <w:t>Factors That Decrease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1"/>
        <w:gridCol w:w="596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Driver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Managed SaaS deployment</w:t>
            </w:r>
          </w:p>
        </w:tc>
        <w:tc>
          <w:tcPr>
            <w:tcW w:type="dxa" w:w="4873"/>
            <w:vAlign w:val="center"/>
          </w:tcPr>
          <w:p>
            <w:pPr>
              <w:spacing w:line="276" w:lineRule="auto" w:before="0" w:after="0"/>
            </w:pPr>
            <w:r/>
            <w:r>
              <w:rPr>
                <w:rFonts w:ascii="Figtree" w:hAnsi="Figtree"/>
                <w:b w:val="0"/>
                <w:i w:val="0"/>
                <w:sz w:val="20"/>
              </w:rPr>
              <w:t>Lowest infrastructure overhead and fastest time-to-deploy</w:t>
            </w:r>
          </w:p>
        </w:tc>
      </w:tr>
      <w:tr>
        <w:trPr>
          <w:trHeight w:val="425" w:hRule="atLeast"/>
        </w:trPr>
        <w:tc>
          <w:tcPr>
            <w:tcW w:type="dxa" w:w="4873"/>
            <w:vAlign w:val="center"/>
          </w:tcPr>
          <w:p>
            <w:pPr>
              <w:spacing w:line="276" w:lineRule="auto" w:before="0" w:after="0"/>
            </w:pPr>
            <w:r/>
            <w:r>
              <w:rPr>
                <w:rFonts w:ascii="Figtree" w:hAnsi="Figtree"/>
                <w:b w:val="0"/>
                <w:i w:val="0"/>
                <w:sz w:val="20"/>
              </w:rPr>
              <w:t>Multi-year commitment</w:t>
            </w:r>
          </w:p>
        </w:tc>
        <w:tc>
          <w:tcPr>
            <w:tcW w:type="dxa" w:w="4873"/>
            <w:vAlign w:val="center"/>
          </w:tcPr>
          <w:p>
            <w:pPr>
              <w:spacing w:line="276" w:lineRule="auto" w:before="0" w:after="0"/>
            </w:pPr>
            <w:r/>
            <w:r>
              <w:rPr>
                <w:rFonts w:ascii="Figtree" w:hAnsi="Figtree"/>
                <w:b w:val="0"/>
                <w:i w:val="0"/>
                <w:sz w:val="20"/>
              </w:rPr>
              <w:t>Negotiated pricing consideration</w:t>
            </w:r>
          </w:p>
        </w:tc>
      </w:tr>
      <w:tr>
        <w:trPr>
          <w:trHeight w:val="425" w:hRule="atLeast"/>
        </w:trPr>
        <w:tc>
          <w:tcPr>
            <w:tcW w:type="dxa" w:w="4873"/>
            <w:vAlign w:val="center"/>
          </w:tcPr>
          <w:p>
            <w:pPr>
              <w:spacing w:line="276" w:lineRule="auto" w:before="0" w:after="0"/>
            </w:pPr>
            <w:r/>
            <w:r>
              <w:rPr>
                <w:rFonts w:ascii="Figtree" w:hAnsi="Figtree"/>
                <w:b w:val="0"/>
                <w:i w:val="0"/>
                <w:sz w:val="20"/>
              </w:rPr>
              <w:t>Standard integrations only</w:t>
            </w:r>
          </w:p>
        </w:tc>
        <w:tc>
          <w:tcPr>
            <w:tcW w:type="dxa" w:w="4873"/>
            <w:vAlign w:val="center"/>
          </w:tcPr>
          <w:p>
            <w:pPr>
              <w:spacing w:line="276" w:lineRule="auto" w:before="0" w:after="0"/>
            </w:pPr>
            <w:r/>
            <w:r>
              <w:rPr>
                <w:rFonts w:ascii="Figtree" w:hAnsi="Figtree"/>
                <w:b w:val="0"/>
                <w:i w:val="0"/>
                <w:sz w:val="20"/>
              </w:rPr>
              <w:t>Reduced implementation scope</w:t>
            </w:r>
          </w:p>
        </w:tc>
      </w:tr>
      <w:tr>
        <w:trPr>
          <w:trHeight w:val="425" w:hRule="atLeast"/>
        </w:trPr>
        <w:tc>
          <w:tcPr>
            <w:tcW w:type="dxa" w:w="4873"/>
            <w:vAlign w:val="center"/>
          </w:tcPr>
          <w:p>
            <w:pPr>
              <w:spacing w:line="276" w:lineRule="auto" w:before="0" w:after="0"/>
            </w:pPr>
            <w:r/>
            <w:r>
              <w:rPr>
                <w:rFonts w:ascii="Figtree" w:hAnsi="Figtree"/>
                <w:b w:val="0"/>
                <w:i w:val="0"/>
                <w:sz w:val="20"/>
              </w:rPr>
              <w:t>Single-region operation</w:t>
            </w:r>
          </w:p>
        </w:tc>
        <w:tc>
          <w:tcPr>
            <w:tcW w:type="dxa" w:w="4873"/>
            <w:vAlign w:val="center"/>
          </w:tcPr>
          <w:p>
            <w:pPr>
              <w:spacing w:line="276" w:lineRule="auto" w:before="0" w:after="0"/>
            </w:pPr>
            <w:r/>
            <w:r>
              <w:rPr>
                <w:rFonts w:ascii="Figtree" w:hAnsi="Figtree"/>
                <w:b w:val="0"/>
                <w:i w:val="0"/>
                <w:sz w:val="20"/>
              </w:rPr>
              <w:t>Simplified infrastructure</w:t>
            </w:r>
          </w:p>
        </w:tc>
      </w:tr>
    </w:tbl>
    <w:p>
      <w:pPr>
        <w:spacing w:before="0" w:after="0" w:line="120" w:lineRule="exact"/>
      </w:pPr>
    </w:p>
    <w:p>
      <w:pPr>
        <w:pStyle w:val="H3"/>
        <w:numPr>
          <w:ilvl w:val="2"/>
          <w:numId w:val="1"/>
        </w:numPr>
      </w:pPr>
      <w:r>
        <w:t>Recommendation for ADGM</w:t>
      </w:r>
    </w:p>
    <w:p>
      <w:r>
        <w:rPr>
          <w:rFonts w:ascii="Figtree" w:hAnsi="Figtree"/>
          <w:b w:val="0"/>
          <w:i w:val="0"/>
          <w:sz w:val="22"/>
        </w:rPr>
        <w:t xml:space="preserve">SettleMint recommends </w:t>
      </w:r>
      <w:r>
        <w:rPr>
          <w:rFonts w:ascii="Figtree" w:hAnsi="Figtree"/>
          <w:b/>
          <w:i w:val="0"/>
          <w:sz w:val="22"/>
        </w:rPr>
        <w:t>Private Cloud deployment</w:t>
      </w:r>
      <w:r>
        <w:rPr>
          <w:rFonts w:ascii="Figtree" w:hAnsi="Figtree"/>
          <w:b w:val="0"/>
          <w:i w:val="0"/>
          <w:sz w:val="22"/>
        </w:rPr>
        <w:t xml:space="preserve"> within the UAE region. This provides:</w:t>
      </w:r>
    </w:p>
    <w:p>
      <w:pPr>
        <w:pStyle w:val="ListParagraph"/>
        <w:numPr>
          <w:ilvl w:val="0"/>
          <w:numId w:val="4"/>
        </w:numPr>
      </w:pPr>
      <w:r>
        <w:rPr>
          <w:rFonts w:ascii="Figtree" w:hAnsi="Figtree"/>
          <w:b w:val="0"/>
          <w:i w:val="0"/>
          <w:sz w:val="22"/>
        </w:rPr>
        <w:t>Full control over data residency (critical for regulator operating in UAE)</w:t>
      </w:r>
    </w:p>
    <w:p>
      <w:pPr>
        <w:pStyle w:val="ListParagraph"/>
        <w:numPr>
          <w:ilvl w:val="0"/>
          <w:numId w:val="4"/>
        </w:numPr>
      </w:pPr>
      <w:r>
        <w:rPr>
          <w:rFonts w:ascii="Figtree" w:hAnsi="Figtree"/>
          <w:b w:val="0"/>
          <w:i w:val="0"/>
          <w:sz w:val="22"/>
        </w:rPr>
        <w:t>Integration with ADGM's existing cloud infrastructure (AWS, Azure, or GCP)</w:t>
      </w:r>
    </w:p>
    <w:p>
      <w:pPr>
        <w:pStyle w:val="ListParagraph"/>
        <w:numPr>
          <w:ilvl w:val="0"/>
          <w:numId w:val="4"/>
        </w:numPr>
      </w:pPr>
      <w:r>
        <w:rPr>
          <w:rFonts w:ascii="Figtree" w:hAnsi="Figtree"/>
          <w:b w:val="0"/>
          <w:i w:val="0"/>
          <w:sz w:val="22"/>
        </w:rPr>
        <w:t>Lower operational overhead than on-premises while maintaining control</w:t>
      </w:r>
    </w:p>
    <w:p>
      <w:pPr>
        <w:pStyle w:val="ListParagraph"/>
        <w:numPr>
          <w:ilvl w:val="0"/>
          <w:numId w:val="4"/>
        </w:numPr>
      </w:pPr>
      <w:r>
        <w:rPr>
          <w:rFonts w:ascii="Figtree" w:hAnsi="Figtree"/>
          <w:b w:val="0"/>
          <w:i w:val="0"/>
          <w:sz w:val="22"/>
        </w:rPr>
        <w:t>Faster deployment than fully on-premises options</w:t>
      </w:r>
    </w:p>
    <w:p>
      <w:r>
        <w:br w:type="page"/>
      </w:r>
    </w:p>
    <w:p>
      <w:pPr>
        <w:pStyle w:val="H1"/>
        <w:numPr>
          <w:ilvl w:val="0"/>
          <w:numId w:val="1"/>
        </w:numPr>
      </w:pPr>
      <w:r>
        <w:t>5. Support and SLA Framework</w:t>
      </w:r>
    </w:p>
    <w:p>
      <w:pPr>
        <w:pStyle w:val="H2"/>
        <w:numPr>
          <w:ilvl w:val="1"/>
          <w:numId w:val="1"/>
        </w:numPr>
      </w:pPr>
      <w:r>
        <w:t>5.1 Tiers</w:t>
      </w:r>
    </w:p>
    <w:p>
      <w:r>
        <w:rPr>
          <w:rFonts w:ascii="Figtree" w:hAnsi="Figtree"/>
          <w:b w:val="0"/>
          <w:i w:val="0"/>
          <w:sz w:val="22"/>
        </w:rPr>
        <w:t>SettleMint offers three support tiers aligned with deployment criticality.</w:t>
      </w:r>
    </w:p>
    <w:p>
      <w:pPr>
        <w:pStyle w:val="H3"/>
        <w:numPr>
          <w:ilvl w:val="2"/>
          <w:numId w:val="1"/>
        </w:numPr>
      </w:pPr>
      <w:r>
        <w:t>Standard Support</w:t>
      </w:r>
    </w:p>
    <w:p>
      <w:r>
        <w:rPr>
          <w:rFonts w:ascii="Figtree" w:hAnsi="Figtree"/>
          <w:b w:val="0"/>
          <w:i w:val="0"/>
          <w:sz w:val="22"/>
        </w:rPr>
        <w:t>Included with Foundation tier. For initial production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9"/>
        <w:gridCol w:w="580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Business hours (09:00–18:00 CET, Monday–Friday)</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Up to 3 authorized support contacts</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Quarterly release cycle</w:t>
            </w:r>
          </w:p>
        </w:tc>
      </w:tr>
      <w:tr>
        <w:trPr>
          <w:trHeight w:val="425" w:hRule="atLeast"/>
        </w:trPr>
        <w:tc>
          <w:tcPr>
            <w:tcW w:type="dxa" w:w="4873"/>
            <w:vAlign w:val="center"/>
          </w:tcPr>
          <w:p>
            <w:pPr>
              <w:spacing w:line="276" w:lineRule="auto" w:before="0" w:after="0"/>
            </w:pPr>
            <w:r/>
            <w:r>
              <w:rPr>
                <w:rFonts w:ascii="Figtree" w:hAnsi="Figtree"/>
                <w:b/>
                <w:i w:val="0"/>
                <w:sz w:val="20"/>
              </w:rPr>
              <w:t>Proactive Monitoring</w:t>
            </w:r>
          </w:p>
        </w:tc>
        <w:tc>
          <w:tcPr>
            <w:tcW w:type="dxa" w:w="4873"/>
            <w:vAlign w:val="center"/>
          </w:tcPr>
          <w:p>
            <w:pPr>
              <w:spacing w:line="276" w:lineRule="auto" w:before="0" w:after="0"/>
            </w:pPr>
            <w:r/>
            <w:r>
              <w:rPr>
                <w:rFonts w:ascii="Figtree" w:hAnsi="Figtree"/>
                <w:b w:val="0"/>
                <w:i w:val="0"/>
                <w:sz w:val="20"/>
              </w:rPr>
              <w:t>Platform health monitoring</w:t>
            </w:r>
          </w:p>
        </w:tc>
      </w:tr>
    </w:tbl>
    <w:p>
      <w:pPr>
        <w:spacing w:before="0" w:after="0" w:line="120" w:lineRule="exact"/>
      </w:pPr>
    </w:p>
    <w:p>
      <w:pPr>
        <w:pStyle w:val="H3"/>
        <w:numPr>
          <w:ilvl w:val="2"/>
          <w:numId w:val="1"/>
        </w:numPr>
      </w:pPr>
      <w:r>
        <w:t>Premium Support</w:t>
      </w:r>
    </w:p>
    <w:p>
      <w:r>
        <w:rPr>
          <w:rFonts w:ascii="Figtree" w:hAnsi="Figtree"/>
          <w:b w:val="0"/>
          <w:i w:val="0"/>
          <w:sz w:val="22"/>
        </w:rPr>
        <w:t>Included with Enterprise tier. For business-critical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0"/>
        <w:gridCol w:w="59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Extended (07:00–22:00 CET, Monday–Friday; on-call for P1 on weekends)</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escalation</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Up to 8 authorized support contacts</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99.95%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Monthly release cycle with early access</w:t>
            </w:r>
          </w:p>
        </w:tc>
      </w:tr>
      <w:tr>
        <w:trPr>
          <w:trHeight w:val="425" w:hRule="atLeast"/>
        </w:trPr>
        <w:tc>
          <w:tcPr>
            <w:tcW w:type="dxa" w:w="4873"/>
            <w:vAlign w:val="center"/>
          </w:tcPr>
          <w:p>
            <w:pPr>
              <w:spacing w:line="276" w:lineRule="auto" w:before="0" w:after="0"/>
            </w:pPr>
            <w:r/>
            <w:r>
              <w:rPr>
                <w:rFonts w:ascii="Figtree" w:hAnsi="Figtree"/>
                <w:b/>
                <w:i w:val="0"/>
                <w:sz w:val="20"/>
              </w:rPr>
              <w:t>Designated Support Engineer</w:t>
            </w:r>
          </w:p>
        </w:tc>
        <w:tc>
          <w:tcPr>
            <w:tcW w:type="dxa" w:w="4873"/>
            <w:vAlign w:val="center"/>
          </w:tcPr>
          <w:p>
            <w:pPr>
              <w:spacing w:line="276" w:lineRule="auto" w:before="0" w:after="0"/>
            </w:pPr>
            <w:r/>
            <w:r>
              <w:rPr>
                <w:rFonts w:ascii="Figtree" w:hAnsi="Figtree"/>
                <w:b w:val="0"/>
                <w:i w:val="0"/>
                <w:sz w:val="20"/>
              </w:rPr>
              <w:t>Named engineer familiar with deployment</w:t>
            </w:r>
          </w:p>
        </w:tc>
      </w:tr>
      <w:tr>
        <w:trPr>
          <w:trHeight w:val="425" w:hRule="atLeast"/>
        </w:trPr>
        <w:tc>
          <w:tcPr>
            <w:tcW w:type="dxa" w:w="4873"/>
            <w:vAlign w:val="center"/>
          </w:tcPr>
          <w:p>
            <w:pPr>
              <w:spacing w:line="276" w:lineRule="auto" w:before="0" w:after="0"/>
            </w:pPr>
            <w:r/>
            <w:r>
              <w:rPr>
                <w:rFonts w:ascii="Figtree" w:hAnsi="Figtree"/>
                <w:b/>
                <w:i w:val="0"/>
                <w:sz w:val="20"/>
              </w:rPr>
              <w:t>Account Management</w:t>
            </w:r>
          </w:p>
        </w:tc>
        <w:tc>
          <w:tcPr>
            <w:tcW w:type="dxa" w:w="4873"/>
            <w:vAlign w:val="center"/>
          </w:tcPr>
          <w:p>
            <w:pPr>
              <w:spacing w:line="276" w:lineRule="auto" w:before="0" w:after="0"/>
            </w:pPr>
            <w:r/>
            <w:r>
              <w:rPr>
                <w:rFonts w:ascii="Figtree" w:hAnsi="Figtree"/>
                <w:b w:val="0"/>
                <w:i w:val="0"/>
                <w:sz w:val="20"/>
              </w:rPr>
              <w:t>Monthly business review</w:t>
            </w:r>
          </w:p>
        </w:tc>
      </w:tr>
    </w:tbl>
    <w:p>
      <w:pPr>
        <w:spacing w:before="0" w:after="0" w:line="120" w:lineRule="exact"/>
      </w:pPr>
    </w:p>
    <w:p>
      <w:pPr>
        <w:pStyle w:val="H3"/>
        <w:numPr>
          <w:ilvl w:val="2"/>
          <w:numId w:val="1"/>
        </w:numPr>
      </w:pPr>
      <w:r>
        <w:t>Enterprise Support</w:t>
      </w:r>
    </w:p>
    <w:p>
      <w:r>
        <w:rPr>
          <w:rFonts w:ascii="Figtree" w:hAnsi="Figtree"/>
          <w:b w:val="0"/>
          <w:i w:val="0"/>
          <w:sz w:val="22"/>
        </w:rPr>
        <w:t>Included with Sovereign tier. For mission-critical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56"/>
        <w:gridCol w:w="611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i w:val="0"/>
                <w:sz w:val="20"/>
              </w:rPr>
              <w:t>Coverage Hours</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i w:val="0"/>
                <w:sz w:val="20"/>
              </w:rPr>
              <w:t>Support Channels</w:t>
            </w:r>
          </w:p>
        </w:tc>
        <w:tc>
          <w:tcPr>
            <w:tcW w:type="dxa" w:w="4873"/>
            <w:vAlign w:val="center"/>
          </w:tcPr>
          <w:p>
            <w:pPr>
              <w:spacing w:line="276" w:lineRule="auto" w:before="0" w:after="0"/>
            </w:pPr>
            <w:r/>
            <w:r>
              <w:rPr>
                <w:rFonts w:ascii="Figtree" w:hAnsi="Figtree"/>
                <w:b w:val="0"/>
                <w:i w:val="0"/>
                <w:sz w:val="20"/>
              </w:rPr>
              <w:t>Email, support portal, dedicated Slack channel, phone, video escalation</w:t>
            </w:r>
          </w:p>
        </w:tc>
      </w:tr>
      <w:tr>
        <w:trPr>
          <w:trHeight w:val="425" w:hRule="atLeast"/>
        </w:trPr>
        <w:tc>
          <w:tcPr>
            <w:tcW w:type="dxa" w:w="4873"/>
            <w:vAlign w:val="center"/>
          </w:tcPr>
          <w:p>
            <w:pPr>
              <w:spacing w:line="276" w:lineRule="auto" w:before="0" w:after="0"/>
            </w:pPr>
            <w:r/>
            <w:r>
              <w:rPr>
                <w:rFonts w:ascii="Figtree" w:hAnsi="Figtree"/>
                <w:b/>
                <w:i w:val="0"/>
                <w:sz w:val="20"/>
              </w:rPr>
              <w:t>Named 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i w:val="0"/>
                <w:sz w:val="20"/>
              </w:rPr>
              <w:t>Platform Updates</w:t>
            </w:r>
          </w:p>
        </w:tc>
        <w:tc>
          <w:tcPr>
            <w:tcW w:type="dxa" w:w="4873"/>
            <w:vAlign w:val="center"/>
          </w:tcPr>
          <w:p>
            <w:pPr>
              <w:spacing w:line="276" w:lineRule="auto" w:before="0" w:after="0"/>
            </w:pPr>
            <w:r/>
            <w:r>
              <w:rPr>
                <w:rFonts w:ascii="Figtree" w:hAnsi="Figtree"/>
                <w:b w:val="0"/>
                <w:i w:val="0"/>
                <w:sz w:val="20"/>
              </w:rPr>
              <w:t>Continuous delivery with staged rollouts</w:t>
            </w:r>
          </w:p>
        </w:tc>
      </w:tr>
      <w:tr>
        <w:trPr>
          <w:trHeight w:val="425" w:hRule="atLeast"/>
        </w:trPr>
        <w:tc>
          <w:tcPr>
            <w:tcW w:type="dxa" w:w="4873"/>
            <w:vAlign w:val="center"/>
          </w:tcPr>
          <w:p>
            <w:pPr>
              <w:spacing w:line="276" w:lineRule="auto" w:before="0" w:after="0"/>
            </w:pPr>
            <w:r/>
            <w:r>
              <w:rPr>
                <w:rFonts w:ascii="Figtree" w:hAnsi="Figtree"/>
                <w:b/>
                <w:i w:val="0"/>
                <w:sz w:val="20"/>
              </w:rPr>
              <w:t>Dedicated Support Team</w:t>
            </w:r>
          </w:p>
        </w:tc>
        <w:tc>
          <w:tcPr>
            <w:tcW w:type="dxa" w:w="4873"/>
            <w:vAlign w:val="center"/>
          </w:tcPr>
          <w:p>
            <w:pPr>
              <w:spacing w:line="276" w:lineRule="auto" w:before="0" w:after="0"/>
            </w:pPr>
            <w:r/>
            <w:r>
              <w:rPr>
                <w:rFonts w:ascii="Figtree" w:hAnsi="Figtree"/>
                <w:b w:val="0"/>
                <w:i w:val="0"/>
                <w:sz w:val="20"/>
              </w:rPr>
              <w:t>Named team with deep deployment familiarity</w:t>
            </w:r>
          </w:p>
        </w:tc>
      </w:tr>
      <w:tr>
        <w:trPr>
          <w:trHeight w:val="425" w:hRule="atLeast"/>
        </w:trPr>
        <w:tc>
          <w:tcPr>
            <w:tcW w:type="dxa" w:w="4873"/>
            <w:vAlign w:val="center"/>
          </w:tcPr>
          <w:p>
            <w:pPr>
              <w:spacing w:line="276" w:lineRule="auto" w:before="0" w:after="0"/>
            </w:pPr>
            <w:r/>
            <w:r>
              <w:rPr>
                <w:rFonts w:ascii="Figtree" w:hAnsi="Figtree"/>
                <w:b/>
                <w:i w:val="0"/>
                <w:sz w:val="20"/>
              </w:rPr>
              <w:t>Solution Architect Access</w:t>
            </w:r>
          </w:p>
        </w:tc>
        <w:tc>
          <w:tcPr>
            <w:tcW w:type="dxa" w:w="4873"/>
            <w:vAlign w:val="center"/>
          </w:tcPr>
          <w:p>
            <w:pPr>
              <w:spacing w:line="276" w:lineRule="auto" w:before="0" w:after="0"/>
            </w:pPr>
            <w:r/>
            <w:r>
              <w:rPr>
                <w:rFonts w:ascii="Figtree" w:hAnsi="Figtree"/>
                <w:b w:val="0"/>
                <w:i w:val="0"/>
                <w:sz w:val="20"/>
              </w:rPr>
              <w:t>Quarterly architecture reviews</w:t>
            </w:r>
          </w:p>
        </w:tc>
      </w:tr>
      <w:tr>
        <w:trPr>
          <w:trHeight w:val="425" w:hRule="atLeast"/>
        </w:trPr>
        <w:tc>
          <w:tcPr>
            <w:tcW w:type="dxa" w:w="4873"/>
            <w:vAlign w:val="center"/>
          </w:tcPr>
          <w:p>
            <w:pPr>
              <w:spacing w:line="276" w:lineRule="auto" w:before="0" w:after="0"/>
            </w:pPr>
            <w:r/>
            <w:r>
              <w:rPr>
                <w:rFonts w:ascii="Figtree" w:hAnsi="Figtree"/>
                <w:b/>
                <w:i w:val="0"/>
                <w:sz w:val="20"/>
              </w:rPr>
              <w:t>Account Management</w:t>
            </w:r>
          </w:p>
        </w:tc>
        <w:tc>
          <w:tcPr>
            <w:tcW w:type="dxa" w:w="4873"/>
            <w:vAlign w:val="center"/>
          </w:tcPr>
          <w:p>
            <w:pPr>
              <w:spacing w:line="276" w:lineRule="auto" w:before="0" w:after="0"/>
            </w:pPr>
            <w:r/>
            <w:r>
              <w:rPr>
                <w:rFonts w:ascii="Figtree" w:hAnsi="Figtree"/>
                <w:b w:val="0"/>
                <w:i w:val="0"/>
                <w:sz w:val="20"/>
              </w:rPr>
              <w:t>Bi-weekly operational review; named CSM</w:t>
            </w:r>
          </w:p>
        </w:tc>
      </w:tr>
    </w:tbl>
    <w:p>
      <w:pPr>
        <w:spacing w:before="0" w:after="0" w:line="120" w:lineRule="exact"/>
      </w:pPr>
    </w:p>
    <w:p>
      <w:pPr>
        <w:pStyle w:val="H3"/>
        <w:numPr>
          <w:ilvl w:val="2"/>
          <w:numId w:val="1"/>
        </w:numPr>
      </w:pPr>
      <w:r>
        <w:t>Recommendation for ADGM</w:t>
      </w:r>
    </w:p>
    <w:p>
      <w:r>
        <w:rPr>
          <w:rFonts w:ascii="Figtree" w:hAnsi="Figtree"/>
          <w:b w:val="0"/>
          <w:i w:val="0"/>
          <w:sz w:val="22"/>
        </w:rPr>
        <w:t xml:space="preserve">Given ADGM's regulatory role and the criticality of uninterrupted operations, SettleMint recommends </w:t>
      </w:r>
      <w:r>
        <w:rPr>
          <w:rFonts w:ascii="Figtree" w:hAnsi="Figtree"/>
          <w:b/>
          <w:i w:val="0"/>
          <w:sz w:val="22"/>
        </w:rPr>
        <w:t>Premium Support</w:t>
      </w:r>
      <w:r>
        <w:rPr>
          <w:rFonts w:ascii="Figtree" w:hAnsi="Figtree"/>
          <w:b w:val="0"/>
          <w:i w:val="0"/>
          <w:sz w:val="22"/>
        </w:rPr>
        <w:t xml:space="preserve"> (included with Enterprise tier). This provides extended coverage hours, dedicated support engineering, and a 99.95% uptime SLA—appropriate for a business-critical deployment without the full cost of Enterprise tier.</w:t>
      </w:r>
    </w:p>
    <w:p>
      <w:pPr>
        <w:pStyle w:val="H2"/>
        <w:numPr>
          <w:ilvl w:val="1"/>
          <w:numId w:val="1"/>
        </w:numPr>
      </w:pPr>
      <w:r>
        <w:t>5.2 Severity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52"/>
        <w:gridCol w:w="1002"/>
        <w:gridCol w:w="3759"/>
        <w:gridCol w:w="345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Examples</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Production down</w:t>
            </w:r>
          </w:p>
        </w:tc>
        <w:tc>
          <w:tcPr>
            <w:tcW w:type="dxa" w:w="2436"/>
            <w:vAlign w:val="center"/>
          </w:tcPr>
          <w:p>
            <w:pPr>
              <w:spacing w:line="276" w:lineRule="auto" w:before="0" w:after="0"/>
            </w:pPr>
            <w:r/>
            <w:r>
              <w:rPr>
                <w:rFonts w:ascii="Figtree" w:hAnsi="Figtree"/>
                <w:b w:val="0"/>
                <w:i w:val="0"/>
                <w:sz w:val="20"/>
              </w:rPr>
              <w:t>Complete platform unavailability, data loss, compliance enforcement failure</w:t>
            </w:r>
          </w:p>
        </w:tc>
        <w:tc>
          <w:tcPr>
            <w:tcW w:type="dxa" w:w="2436"/>
            <w:vAlign w:val="center"/>
          </w:tcPr>
          <w:p>
            <w:pPr>
              <w:spacing w:line="276" w:lineRule="auto" w:before="0" w:after="0"/>
            </w:pPr>
            <w:r/>
            <w:r>
              <w:rPr>
                <w:rFonts w:ascii="Figtree" w:hAnsi="Figtree"/>
                <w:b w:val="0"/>
                <w:i w:val="0"/>
                <w:sz w:val="20"/>
              </w:rPr>
              <w:t>DALP dApp unresponsive; compliance bypass; settlement failure</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Major impact</w:t>
            </w:r>
          </w:p>
        </w:tc>
        <w:tc>
          <w:tcPr>
            <w:tcW w:type="dxa" w:w="2436"/>
            <w:vAlign w:val="center"/>
          </w:tcPr>
          <w:p>
            <w:pPr>
              <w:spacing w:line="276" w:lineRule="auto" w:before="0" w:after="0"/>
            </w:pPr>
            <w:r/>
            <w:r>
              <w:rPr>
                <w:rFonts w:ascii="Figtree" w:hAnsi="Figtree"/>
                <w:b w:val="0"/>
                <w:i w:val="0"/>
                <w:sz w:val="20"/>
              </w:rPr>
              <w:t>Significant degradation affecting multiple users or critical workflows</w:t>
            </w:r>
          </w:p>
        </w:tc>
        <w:tc>
          <w:tcPr>
            <w:tcW w:type="dxa" w:w="2436"/>
            <w:vAlign w:val="center"/>
          </w:tcPr>
          <w:p>
            <w:pPr>
              <w:spacing w:line="276" w:lineRule="auto" w:before="0" w:after="0"/>
            </w:pPr>
            <w:r/>
            <w:r>
              <w:rPr>
                <w:rFonts w:ascii="Figtree" w:hAnsi="Figtree"/>
                <w:b w:val="0"/>
                <w:i w:val="0"/>
                <w:sz w:val="20"/>
              </w:rPr>
              <w:t>Settlement delays; identity verification failures; observability down</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Workaround available</w:t>
            </w:r>
          </w:p>
        </w:tc>
        <w:tc>
          <w:tcPr>
            <w:tcW w:type="dxa" w:w="2436"/>
            <w:vAlign w:val="center"/>
          </w:tcPr>
          <w:p>
            <w:pPr>
              <w:spacing w:line="276" w:lineRule="auto" w:before="0" w:after="0"/>
            </w:pPr>
            <w:r/>
            <w:r>
              <w:rPr>
                <w:rFonts w:ascii="Figtree" w:hAnsi="Figtree"/>
                <w:b w:val="0"/>
                <w:i w:val="0"/>
                <w:sz w:val="20"/>
              </w:rPr>
              <w:t>Functional issue with reasonable workaround</w:t>
            </w:r>
          </w:p>
        </w:tc>
        <w:tc>
          <w:tcPr>
            <w:tcW w:type="dxa" w:w="2436"/>
            <w:vAlign w:val="center"/>
          </w:tcPr>
          <w:p>
            <w:pPr>
              <w:spacing w:line="276" w:lineRule="auto" w:before="0" w:after="0"/>
            </w:pPr>
            <w:r/>
            <w:r>
              <w:rPr>
                <w:rFonts w:ascii="Figtree" w:hAnsi="Figtree"/>
                <w:b w:val="0"/>
                <w:i w:val="0"/>
                <w:sz w:val="20"/>
              </w:rPr>
              <w:t>Reporting delay; non-critical API degradation; dashboard issues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Minor/cosmetic</w:t>
            </w:r>
          </w:p>
        </w:tc>
        <w:tc>
          <w:tcPr>
            <w:tcW w:type="dxa" w:w="2436"/>
            <w:vAlign w:val="center"/>
          </w:tcPr>
          <w:p>
            <w:pPr>
              <w:spacing w:line="276" w:lineRule="auto" w:before="0" w:after="0"/>
            </w:pPr>
            <w:r/>
            <w:r>
              <w:rPr>
                <w:rFonts w:ascii="Figtree" w:hAnsi="Figtree"/>
                <w:b w:val="0"/>
                <w:i w:val="0"/>
                <w:sz w:val="20"/>
              </w:rPr>
              <w:t>No material impact</w:t>
            </w:r>
          </w:p>
        </w:tc>
        <w:tc>
          <w:tcPr>
            <w:tcW w:type="dxa" w:w="2436"/>
            <w:vAlign w:val="center"/>
          </w:tcPr>
          <w:p>
            <w:pPr>
              <w:spacing w:line="276" w:lineRule="auto" w:before="0" w:after="0"/>
            </w:pPr>
            <w:r/>
            <w:r>
              <w:rPr>
                <w:rFonts w:ascii="Figtree" w:hAnsi="Figtree"/>
                <w:b w:val="0"/>
                <w:i w:val="0"/>
                <w:sz w:val="20"/>
              </w:rPr>
              <w:t>UI cosmetic defect; documentation error</w:t>
            </w:r>
          </w:p>
        </w:tc>
      </w:tr>
    </w:tbl>
    <w:p>
      <w:pPr>
        <w:spacing w:before="0" w:after="0" w:line="120" w:lineRule="exact"/>
      </w:pPr>
    </w:p>
    <w:p>
      <w:pPr>
        <w:pStyle w:val="H3"/>
        <w:numPr>
          <w:ilvl w:val="2"/>
          <w:numId w:val="1"/>
        </w:numPr>
      </w:pPr>
      <w:r>
        <w:t>Response Time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8"/>
        <w:gridCol w:w="2230"/>
        <w:gridCol w:w="2230"/>
        <w:gridCol w:w="20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c>
          <w:tcPr>
            <w:tcW w:type="dxa" w:w="2436"/>
            <w:vAlign w:val="center"/>
          </w:tcPr>
          <w:p>
            <w:pPr>
              <w:spacing w:line="276" w:lineRule="auto" w:before="0" w:after="0"/>
            </w:pPr>
            <w:r/>
            <w:r>
              <w:rPr>
                <w:rFonts w:ascii="Figtree" w:hAnsi="Figtree"/>
                <w:b w:val="0"/>
                <w:i w:val="0"/>
                <w:sz w:val="20"/>
              </w:rPr>
              <w:t>15 minutes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1 hour</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1 business day</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3"/>
        <w:numPr>
          <w:ilvl w:val="2"/>
          <w:numId w:val="1"/>
        </w:numPr>
      </w:pPr>
      <w:r>
        <w:t>Resolution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8"/>
        <w:gridCol w:w="2304"/>
        <w:gridCol w:w="2160"/>
        <w:gridCol w:w="216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i w:val="0"/>
                <w:sz w:val="20"/>
              </w:rPr>
              <w:t>P1 — Critical</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r>
      <w:tr>
        <w:trPr>
          <w:trHeight w:val="425" w:hRule="atLeast"/>
        </w:trPr>
        <w:tc>
          <w:tcPr>
            <w:tcW w:type="dxa" w:w="2436"/>
            <w:vAlign w:val="center"/>
          </w:tcPr>
          <w:p>
            <w:pPr>
              <w:spacing w:line="276" w:lineRule="auto" w:before="0" w:after="0"/>
            </w:pPr>
            <w:r/>
            <w:r>
              <w:rPr>
                <w:rFonts w:ascii="Figtree" w:hAnsi="Figtree"/>
                <w:b/>
                <w:i w:val="0"/>
                <w:sz w:val="20"/>
              </w:rPr>
              <w:t>P2 — High</w:t>
            </w:r>
          </w:p>
        </w:tc>
        <w:tc>
          <w:tcPr>
            <w:tcW w:type="dxa" w:w="2436"/>
            <w:vAlign w:val="center"/>
          </w:tcPr>
          <w:p>
            <w:pPr>
              <w:spacing w:line="276" w:lineRule="auto" w:before="0" w:after="0"/>
            </w:pPr>
            <w:r/>
            <w:r>
              <w:rPr>
                <w:rFonts w:ascii="Figtree" w:hAnsi="Figtree"/>
                <w:b w:val="0"/>
                <w:i w:val="0"/>
                <w:sz w:val="20"/>
              </w:rPr>
              <w:t>24 hours</w:t>
            </w:r>
          </w:p>
        </w:tc>
        <w:tc>
          <w:tcPr>
            <w:tcW w:type="dxa" w:w="2436"/>
            <w:vAlign w:val="center"/>
          </w:tcPr>
          <w:p>
            <w:pPr>
              <w:spacing w:line="276" w:lineRule="auto" w:before="0" w:after="0"/>
            </w:pPr>
            <w:r/>
            <w:r>
              <w:rPr>
                <w:rFonts w:ascii="Figtree" w:hAnsi="Figtree"/>
                <w:b w:val="0"/>
                <w:i w:val="0"/>
                <w:sz w:val="20"/>
              </w:rPr>
              <w:t>8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i w:val="0"/>
                <w:sz w:val="20"/>
              </w:rPr>
              <w:t>P3 — Medium</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c>
          <w:tcPr>
            <w:tcW w:type="dxa" w:w="2436"/>
            <w:vAlign w:val="center"/>
          </w:tcPr>
          <w:p>
            <w:pPr>
              <w:spacing w:line="276" w:lineRule="auto" w:before="0" w:after="0"/>
            </w:pPr>
            <w:r/>
            <w:r>
              <w:rPr>
                <w:rFonts w:ascii="Figtree" w:hAnsi="Figtree"/>
                <w:b w:val="0"/>
                <w:i w:val="0"/>
                <w:sz w:val="20"/>
              </w:rPr>
              <w:t>2 business days</w:t>
            </w:r>
          </w:p>
        </w:tc>
      </w:tr>
      <w:tr>
        <w:trPr>
          <w:trHeight w:val="425" w:hRule="atLeast"/>
        </w:trPr>
        <w:tc>
          <w:tcPr>
            <w:tcW w:type="dxa" w:w="2436"/>
            <w:vAlign w:val="center"/>
          </w:tcPr>
          <w:p>
            <w:pPr>
              <w:spacing w:line="276" w:lineRule="auto" w:before="0" w:after="0"/>
            </w:pPr>
            <w:r/>
            <w:r>
              <w:rPr>
                <w:rFonts w:ascii="Figtree" w:hAnsi="Figtree"/>
                <w:b/>
                <w:i w:val="0"/>
                <w:sz w:val="20"/>
              </w:rPr>
              <w:t>P4 — Low</w:t>
            </w:r>
          </w:p>
        </w:tc>
        <w:tc>
          <w:tcPr>
            <w:tcW w:type="dxa" w:w="2436"/>
            <w:vAlign w:val="center"/>
          </w:tcPr>
          <w:p>
            <w:pPr>
              <w:spacing w:line="276" w:lineRule="auto" w:before="0" w:after="0"/>
            </w:pPr>
            <w:r/>
            <w:r>
              <w:rPr>
                <w:rFonts w:ascii="Figtree" w:hAnsi="Figtree"/>
                <w:b w:val="0"/>
                <w:i w:val="0"/>
                <w:sz w:val="20"/>
              </w:rPr>
              <w:t>10 business days</w:t>
            </w:r>
          </w:p>
        </w:tc>
        <w:tc>
          <w:tcPr>
            <w:tcW w:type="dxa" w:w="2436"/>
            <w:vAlign w:val="center"/>
          </w:tcPr>
          <w:p>
            <w:pPr>
              <w:spacing w:line="276" w:lineRule="auto" w:before="0" w:after="0"/>
            </w:pPr>
            <w:r/>
            <w:r>
              <w:rPr>
                <w:rFonts w:ascii="Figtree" w:hAnsi="Figtree"/>
                <w:b w:val="0"/>
                <w:i w:val="0"/>
                <w:sz w:val="20"/>
              </w:rPr>
              <w:t>5 business days</w:t>
            </w:r>
          </w:p>
        </w:tc>
        <w:tc>
          <w:tcPr>
            <w:tcW w:type="dxa" w:w="2436"/>
            <w:vAlign w:val="center"/>
          </w:tcPr>
          <w:p>
            <w:pPr>
              <w:spacing w:line="276" w:lineRule="auto" w:before="0" w:after="0"/>
            </w:pPr>
            <w:r/>
            <w:r>
              <w:rPr>
                <w:rFonts w:ascii="Figtree" w:hAnsi="Figtree"/>
                <w:b w:val="0"/>
                <w:i w:val="0"/>
                <w:sz w:val="20"/>
              </w:rPr>
              <w:t>3 business days</w:t>
            </w:r>
          </w:p>
        </w:tc>
      </w:tr>
    </w:tbl>
    <w:p>
      <w:pPr>
        <w:spacing w:before="0" w:after="0" w:line="120" w:lineRule="exact"/>
      </w:pPr>
    </w:p>
    <w:p>
      <w:pPr>
        <w:pStyle w:val="H2"/>
        <w:numPr>
          <w:ilvl w:val="1"/>
          <w:numId w:val="1"/>
        </w:numPr>
      </w:pPr>
      <w:r>
        <w:t>5.3 Uptime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0"/>
        <w:gridCol w:w="2312"/>
        <w:gridCol w:w="42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Uptime 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Maximum Monthly Downtime</w:t>
            </w:r>
          </w:p>
        </w:tc>
      </w:tr>
      <w:tr>
        <w:trPr>
          <w:trHeight w:val="425" w:hRule="atLeast"/>
        </w:trPr>
        <w:tc>
          <w:tcPr>
            <w:tcW w:type="dxa" w:w="3249"/>
            <w:vAlign w:val="center"/>
          </w:tcPr>
          <w:p>
            <w:pPr>
              <w:spacing w:line="276" w:lineRule="auto" w:before="0" w:after="0"/>
            </w:pPr>
            <w:r/>
            <w:r>
              <w:rPr>
                <w:rFonts w:ascii="Figtree" w:hAnsi="Figtree"/>
                <w:b/>
                <w:i w:val="0"/>
                <w:sz w:val="20"/>
              </w:rPr>
              <w:t>Standard</w:t>
            </w:r>
          </w:p>
        </w:tc>
        <w:tc>
          <w:tcPr>
            <w:tcW w:type="dxa" w:w="3249"/>
            <w:vAlign w:val="center"/>
          </w:tcPr>
          <w:p>
            <w:pPr>
              <w:spacing w:line="276" w:lineRule="auto" w:before="0" w:after="0"/>
            </w:pPr>
            <w:r/>
            <w:r>
              <w:rPr>
                <w:rFonts w:ascii="Figtree" w:hAnsi="Figtree"/>
                <w:b w:val="0"/>
                <w:i w:val="0"/>
                <w:sz w:val="20"/>
              </w:rPr>
              <w:t>99.9%</w:t>
            </w:r>
          </w:p>
        </w:tc>
        <w:tc>
          <w:tcPr>
            <w:tcW w:type="dxa" w:w="3249"/>
            <w:vAlign w:val="center"/>
          </w:tcPr>
          <w:p>
            <w:pPr>
              <w:spacing w:line="276" w:lineRule="auto" w:before="0" w:after="0"/>
            </w:pPr>
            <w:r/>
            <w:r>
              <w:rPr>
                <w:rFonts w:ascii="Figtree" w:hAnsi="Figtree"/>
                <w:b w:val="0"/>
                <w:i w:val="0"/>
                <w:sz w:val="20"/>
              </w:rPr>
              <w:t>~43 minutes</w:t>
            </w:r>
          </w:p>
        </w:tc>
      </w:tr>
      <w:tr>
        <w:trPr>
          <w:trHeight w:val="425" w:hRule="atLeast"/>
        </w:trPr>
        <w:tc>
          <w:tcPr>
            <w:tcW w:type="dxa" w:w="3249"/>
            <w:vAlign w:val="center"/>
          </w:tcPr>
          <w:p>
            <w:pPr>
              <w:spacing w:line="276" w:lineRule="auto" w:before="0" w:after="0"/>
            </w:pPr>
            <w:r/>
            <w:r>
              <w:rPr>
                <w:rFonts w:ascii="Figtree" w:hAnsi="Figtree"/>
                <w:b/>
                <w:i w:val="0"/>
                <w:sz w:val="20"/>
              </w:rPr>
              <w:t>Premium</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~22 minutes</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99.99%</w:t>
            </w:r>
          </w:p>
        </w:tc>
        <w:tc>
          <w:tcPr>
            <w:tcW w:type="dxa" w:w="3249"/>
            <w:vAlign w:val="center"/>
          </w:tcPr>
          <w:p>
            <w:pPr>
              <w:spacing w:line="276" w:lineRule="auto" w:before="0" w:after="0"/>
            </w:pPr>
            <w:r/>
            <w:r>
              <w:rPr>
                <w:rFonts w:ascii="Figtree" w:hAnsi="Figtree"/>
                <w:b w:val="0"/>
                <w:i w:val="0"/>
                <w:sz w:val="20"/>
              </w:rPr>
              <w:t>~4.3 minutes</w:t>
            </w:r>
          </w:p>
        </w:tc>
      </w:tr>
    </w:tbl>
    <w:p>
      <w:pPr>
        <w:spacing w:before="0" w:after="0" w:line="120" w:lineRule="exact"/>
      </w:pPr>
    </w:p>
    <w:p>
      <w:pPr>
        <w:pStyle w:val="H3"/>
        <w:numPr>
          <w:ilvl w:val="2"/>
          <w:numId w:val="1"/>
        </w:numPr>
      </w:pPr>
      <w:r>
        <w:t>Service Credits</w:t>
      </w:r>
    </w:p>
    <w:p>
      <w:r>
        <w:rPr>
          <w:rFonts w:ascii="Figtree" w:hAnsi="Figtree"/>
          <w:b w:val="0"/>
          <w:i w:val="0"/>
          <w:sz w:val="22"/>
        </w:rPr>
        <w:t>In the event of SLA breach, service credits apply to the following month's invoice: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8"/>
        <w:gridCol w:w="445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Uptime Achieved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Service Credit</w:t>
            </w:r>
          </w:p>
        </w:tc>
      </w:tr>
      <w:tr>
        <w:trPr>
          <w:trHeight w:val="425" w:hRule="atLeast"/>
        </w:trPr>
        <w:tc>
          <w:tcPr>
            <w:tcW w:type="dxa" w:w="4873"/>
            <w:vAlign w:val="center"/>
          </w:tcPr>
          <w:p>
            <w:pPr>
              <w:spacing w:line="276" w:lineRule="auto" w:before="0" w:after="0"/>
            </w:pPr>
            <w:r/>
            <w:r>
              <w:rPr>
                <w:rFonts w:ascii="Figtree" w:hAnsi="Figtree"/>
                <w:b w:val="0"/>
                <w:i w:val="0"/>
                <w:sz w:val="20"/>
              </w:rPr>
              <w:t>Below SLA target but ≥ 99.0%</w:t>
            </w:r>
          </w:p>
        </w:tc>
        <w:tc>
          <w:tcPr>
            <w:tcW w:type="dxa" w:w="4873"/>
            <w:vAlign w:val="center"/>
          </w:tcPr>
          <w:p>
            <w:pPr>
              <w:spacing w:line="276" w:lineRule="auto" w:before="0" w:after="0"/>
            </w:pPr>
            <w:r/>
            <w:r>
              <w:rPr>
                <w:rFonts w:ascii="Figtree" w:hAnsi="Figtree"/>
                <w:b w:val="0"/>
                <w:i w:val="0"/>
                <w:sz w:val="20"/>
              </w:rPr>
              <w:t>10%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99.0% but ≥ 98.0%</w:t>
            </w:r>
          </w:p>
        </w:tc>
        <w:tc>
          <w:tcPr>
            <w:tcW w:type="dxa" w:w="4873"/>
            <w:vAlign w:val="center"/>
          </w:tcPr>
          <w:p>
            <w:pPr>
              <w:spacing w:line="276" w:lineRule="auto" w:before="0" w:after="0"/>
            </w:pPr>
            <w:r/>
            <w:r>
              <w:rPr>
                <w:rFonts w:ascii="Figtree" w:hAnsi="Figtree"/>
                <w:b w:val="0"/>
                <w:i w:val="0"/>
                <w:sz w:val="20"/>
              </w:rPr>
              <w:t>25% of monthly support fees</w:t>
            </w:r>
          </w:p>
        </w:tc>
      </w:tr>
      <w:tr>
        <w:trPr>
          <w:trHeight w:val="425" w:hRule="atLeast"/>
        </w:trPr>
        <w:tc>
          <w:tcPr>
            <w:tcW w:type="dxa" w:w="4873"/>
            <w:vAlign w:val="center"/>
          </w:tcPr>
          <w:p>
            <w:pPr>
              <w:spacing w:line="276" w:lineRule="auto" w:before="0" w:after="0"/>
            </w:pPr>
            <w:r/>
            <w:r>
              <w:rPr>
                <w:rFonts w:ascii="Figtree" w:hAnsi="Figtree"/>
                <w:b w:val="0"/>
                <w:i w:val="0"/>
                <w:sz w:val="20"/>
              </w:rPr>
              <w:t>Below 98.0%</w:t>
            </w:r>
          </w:p>
        </w:tc>
        <w:tc>
          <w:tcPr>
            <w:tcW w:type="dxa" w:w="4873"/>
            <w:vAlign w:val="center"/>
          </w:tcPr>
          <w:p>
            <w:pPr>
              <w:spacing w:line="276" w:lineRule="auto" w:before="0" w:after="0"/>
            </w:pPr>
            <w:r/>
            <w:r>
              <w:rPr>
                <w:rFonts w:ascii="Figtree" w:hAnsi="Figtree"/>
                <w:b w:val="0"/>
                <w:i w:val="0"/>
                <w:sz w:val="20"/>
              </w:rPr>
              <w:t>50% of monthly support fees</w:t>
            </w:r>
          </w:p>
        </w:tc>
      </w:tr>
    </w:tbl>
    <w:p>
      <w:pPr>
        <w:spacing w:before="0" w:after="0" w:line="120" w:lineRule="exact"/>
      </w:pPr>
    </w:p>
    <w:p>
      <w:r>
        <w:rPr>
          <w:rFonts w:ascii="Figtree" w:hAnsi="Figtree"/>
          <w:b w:val="0"/>
          <w:i w:val="0"/>
          <w:sz w:val="22"/>
        </w:rPr>
        <w:t>Credits are capped at 50% of monthly support fees and must be requested within 30 days of the relevant period.</w:t>
      </w:r>
    </w:p>
    <w:p>
      <w:pPr>
        <w:pStyle w:val="H2"/>
        <w:numPr>
          <w:ilvl w:val="1"/>
          <w:numId w:val="1"/>
        </w:numPr>
      </w:pPr>
      <w:r>
        <w:t>5.4 Escalation</w:t>
      </w:r>
    </w:p>
    <w:p>
      <w:pPr>
        <w:pStyle w:val="H3"/>
        <w:numPr>
          <w:ilvl w:val="2"/>
          <w:numId w:val="1"/>
        </w:numPr>
      </w:pPr>
      <w:r>
        <w:t>Automatic Escalation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10"/>
        <w:gridCol w:w="52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Trigger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Action</w:t>
            </w:r>
          </w:p>
        </w:tc>
      </w:tr>
      <w:tr>
        <w:trPr>
          <w:trHeight w:val="425" w:hRule="atLeast"/>
        </w:trPr>
        <w:tc>
          <w:tcPr>
            <w:tcW w:type="dxa" w:w="4873"/>
            <w:vAlign w:val="center"/>
          </w:tcPr>
          <w:p>
            <w:pPr>
              <w:spacing w:line="276" w:lineRule="auto" w:before="0" w:after="0"/>
            </w:pPr>
            <w:r/>
            <w:r>
              <w:rPr>
                <w:rFonts w:ascii="Figtree" w:hAnsi="Figtree"/>
                <w:b w:val="0"/>
                <w:i w:val="0"/>
                <w:sz w:val="20"/>
              </w:rPr>
              <w:t>P1 not acknowledged within response target</w:t>
            </w:r>
          </w:p>
        </w:tc>
        <w:tc>
          <w:tcPr>
            <w:tcW w:type="dxa" w:w="4873"/>
            <w:vAlign w:val="center"/>
          </w:tcPr>
          <w:p>
            <w:pPr>
              <w:spacing w:line="276" w:lineRule="auto" w:before="0" w:after="0"/>
            </w:pPr>
            <w:r/>
            <w:r>
              <w:rPr>
                <w:rFonts w:ascii="Figtree" w:hAnsi="Figtree"/>
                <w:b w:val="0"/>
                <w:i w:val="0"/>
                <w:sz w:val="20"/>
              </w:rPr>
              <w:t>Immediate 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P1 not resolved within resolution target</w:t>
            </w:r>
          </w:p>
        </w:tc>
        <w:tc>
          <w:tcPr>
            <w:tcW w:type="dxa" w:w="4873"/>
            <w:vAlign w:val="center"/>
          </w:tcPr>
          <w:p>
            <w:pPr>
              <w:spacing w:line="276" w:lineRule="auto" w:before="0" w:after="0"/>
            </w:pPr>
            <w:r/>
            <w:r>
              <w:rPr>
                <w:rFonts w:ascii="Figtree" w:hAnsi="Figtree"/>
                <w:b w:val="0"/>
                <w:i w:val="0"/>
                <w:sz w:val="20"/>
              </w:rPr>
              <w:t>Escalation to VP Engineering; client notification</w:t>
            </w:r>
          </w:p>
        </w:tc>
      </w:tr>
      <w:tr>
        <w:trPr>
          <w:trHeight w:val="425" w:hRule="atLeast"/>
        </w:trPr>
        <w:tc>
          <w:tcPr>
            <w:tcW w:type="dxa" w:w="4873"/>
            <w:vAlign w:val="center"/>
          </w:tcPr>
          <w:p>
            <w:pPr>
              <w:spacing w:line="276" w:lineRule="auto" w:before="0" w:after="0"/>
            </w:pPr>
            <w:r/>
            <w:r>
              <w:rPr>
                <w:rFonts w:ascii="Figtree" w:hAnsi="Figtree"/>
                <w:b w:val="0"/>
                <w:i w:val="0"/>
                <w:sz w:val="20"/>
              </w:rPr>
              <w:t>P2 exceeding 2× resolution target</w:t>
            </w:r>
          </w:p>
        </w:tc>
        <w:tc>
          <w:tcPr>
            <w:tcW w:type="dxa" w:w="4873"/>
            <w:vAlign w:val="center"/>
          </w:tcPr>
          <w:p>
            <w:pPr>
              <w:spacing w:line="276" w:lineRule="auto" w:before="0" w:after="0"/>
            </w:pPr>
            <w:r/>
            <w:r>
              <w:rPr>
                <w:rFonts w:ascii="Figtree" w:hAnsi="Figtree"/>
                <w:b w:val="0"/>
                <w:i w:val="0"/>
                <w:sz w:val="20"/>
              </w:rPr>
              <w:t>Escalation to Support Engineering Manager</w:t>
            </w:r>
          </w:p>
        </w:tc>
      </w:tr>
      <w:tr>
        <w:trPr>
          <w:trHeight w:val="425" w:hRule="atLeast"/>
        </w:trPr>
        <w:tc>
          <w:tcPr>
            <w:tcW w:type="dxa" w:w="4873"/>
            <w:vAlign w:val="center"/>
          </w:tcPr>
          <w:p>
            <w:pPr>
              <w:spacing w:line="276" w:lineRule="auto" w:before="0" w:after="0"/>
            </w:pPr>
            <w:r/>
            <w:r>
              <w:rPr>
                <w:rFonts w:ascii="Figtree" w:hAnsi="Figtree"/>
                <w:b w:val="0"/>
                <w:i w:val="0"/>
                <w:sz w:val="20"/>
              </w:rPr>
              <w:t>Recurring P1/P2 incidents (3+ in 30 days)</w:t>
            </w:r>
          </w:p>
        </w:tc>
        <w:tc>
          <w:tcPr>
            <w:tcW w:type="dxa" w:w="4873"/>
            <w:vAlign w:val="center"/>
          </w:tcPr>
          <w:p>
            <w:pPr>
              <w:spacing w:line="276" w:lineRule="auto" w:before="0" w:after="0"/>
            </w:pPr>
            <w:r/>
            <w:r>
              <w:rPr>
                <w:rFonts w:ascii="Figtree" w:hAnsi="Figtree"/>
                <w:b w:val="0"/>
                <w:i w:val="0"/>
                <w:sz w:val="20"/>
              </w:rPr>
              <w:t>Root Cause Review with Solution Architect; client briefing</w:t>
            </w:r>
          </w:p>
        </w:tc>
      </w:tr>
    </w:tbl>
    <w:p>
      <w:pPr>
        <w:spacing w:before="0" w:after="0" w:line="120" w:lineRule="exact"/>
      </w:pPr>
    </w:p>
    <w:p>
      <w:pPr>
        <w:pStyle w:val="H3"/>
        <w:numPr>
          <w:ilvl w:val="2"/>
          <w:numId w:val="1"/>
        </w:numPr>
      </w:pPr>
      <w:r>
        <w:t>Client-Initiated Escalation Path</w:t>
      </w:r>
    </w:p>
    <w:p>
      <w:pPr>
        <w:pStyle w:val="ListParagraph"/>
        <w:numPr>
          <w:ilvl w:val="0"/>
          <w:numId w:val="10"/>
        </w:numPr>
      </w:pPr>
      <w:r>
        <w:rPr>
          <w:rFonts w:ascii="Figtree" w:hAnsi="Figtree"/>
          <w:b/>
          <w:i w:val="0"/>
          <w:sz w:val="22"/>
        </w:rPr>
        <w:t>Level 1</w:t>
      </w:r>
      <w:r>
        <w:rPr>
          <w:rFonts w:ascii="Figtree" w:hAnsi="Figtree"/>
          <w:b w:val="0"/>
          <w:i w:val="0"/>
          <w:sz w:val="22"/>
        </w:rPr>
        <w:t>: Designated Support Engineer</w:t>
      </w:r>
    </w:p>
    <w:p>
      <w:pPr>
        <w:pStyle w:val="ListParagraph"/>
        <w:numPr>
          <w:ilvl w:val="0"/>
          <w:numId w:val="10"/>
        </w:numPr>
      </w:pPr>
      <w:r>
        <w:rPr>
          <w:rFonts w:ascii="Figtree" w:hAnsi="Figtree"/>
          <w:b/>
          <w:i w:val="0"/>
          <w:sz w:val="22"/>
        </w:rPr>
        <w:t>Level 2</w:t>
      </w:r>
      <w:r>
        <w:rPr>
          <w:rFonts w:ascii="Figtree" w:hAnsi="Figtree"/>
          <w:b w:val="0"/>
          <w:i w:val="0"/>
          <w:sz w:val="22"/>
        </w:rPr>
        <w:t>: Support Engineering Manager</w:t>
      </w:r>
    </w:p>
    <w:p>
      <w:pPr>
        <w:pStyle w:val="ListParagraph"/>
        <w:numPr>
          <w:ilvl w:val="0"/>
          <w:numId w:val="10"/>
        </w:numPr>
      </w:pPr>
      <w:r>
        <w:rPr>
          <w:rFonts w:ascii="Figtree" w:hAnsi="Figtree"/>
          <w:b/>
          <w:i w:val="0"/>
          <w:sz w:val="22"/>
        </w:rPr>
        <w:t>Level 3</w:t>
      </w:r>
      <w:r>
        <w:rPr>
          <w:rFonts w:ascii="Figtree" w:hAnsi="Figtree"/>
          <w:b w:val="0"/>
          <w:i w:val="0"/>
          <w:sz w:val="22"/>
        </w:rPr>
        <w:t>: VP Engineering / Head of Customer Success</w:t>
      </w:r>
    </w:p>
    <w:p>
      <w:pPr>
        <w:pStyle w:val="ListParagraph"/>
        <w:numPr>
          <w:ilvl w:val="0"/>
          <w:numId w:val="10"/>
        </w:numPr>
      </w:pPr>
      <w:r>
        <w:rPr>
          <w:rFonts w:ascii="Figtree" w:hAnsi="Figtree"/>
          <w:b/>
          <w:i w:val="0"/>
          <w:sz w:val="22"/>
        </w:rPr>
        <w:t>Level 4</w:t>
      </w:r>
      <w:r>
        <w:rPr>
          <w:rFonts w:ascii="Figtree" w:hAnsi="Figtree"/>
          <w:b w:val="0"/>
          <w:i w:val="0"/>
          <w:sz w:val="22"/>
        </w:rPr>
        <w:t>: SettleMint Executive Management</w:t>
      </w:r>
    </w:p>
    <w:p>
      <w:pPr>
        <w:pStyle w:val="H2"/>
        <w:numPr>
          <w:ilvl w:val="1"/>
          <w:numId w:val="1"/>
        </w:numPr>
      </w:pPr>
      <w:r>
        <w:t>5.5 Maintenance</w:t>
      </w:r>
    </w:p>
    <w:p>
      <w:pPr>
        <w:pStyle w:val="H3"/>
        <w:numPr>
          <w:ilvl w:val="2"/>
          <w:numId w:val="1"/>
        </w:numPr>
      </w:pPr>
      <w:r>
        <w:t>Scheduled Maintenance</w:t>
      </w:r>
    </w:p>
    <w:p>
      <w:pPr>
        <w:pStyle w:val="ListParagraph"/>
        <w:numPr>
          <w:ilvl w:val="0"/>
          <w:numId w:val="4"/>
        </w:numPr>
      </w:pPr>
      <w:r>
        <w:rPr>
          <w:rFonts w:ascii="Figtree" w:hAnsi="Figtree"/>
          <w:b/>
          <w:i w:val="0"/>
          <w:sz w:val="22"/>
        </w:rPr>
        <w:t>Standard window</w:t>
      </w:r>
      <w:r>
        <w:rPr>
          <w:rFonts w:ascii="Figtree" w:hAnsi="Figtree"/>
          <w:b w:val="0"/>
          <w:i w:val="0"/>
          <w:sz w:val="22"/>
        </w:rPr>
        <w:t>: Saturdays 02:00–06:00 CET (or client-agreed alternative)</w:t>
      </w:r>
    </w:p>
    <w:p>
      <w:pPr>
        <w:pStyle w:val="ListParagraph"/>
        <w:numPr>
          <w:ilvl w:val="0"/>
          <w:numId w:val="4"/>
        </w:numPr>
      </w:pPr>
      <w:r>
        <w:rPr>
          <w:rFonts w:ascii="Figtree" w:hAnsi="Figtree"/>
          <w:b/>
          <w:i w:val="0"/>
          <w:sz w:val="22"/>
        </w:rPr>
        <w:t>Notification period</w:t>
      </w:r>
      <w:r>
        <w:rPr>
          <w:rFonts w:ascii="Figtree" w:hAnsi="Figtree"/>
          <w:b w:val="0"/>
          <w:i w:val="0"/>
          <w:sz w:val="22"/>
        </w:rPr>
        <w:t>: 5 business days for standard maintenance; 10 business days for major upgrades</w:t>
      </w:r>
    </w:p>
    <w:p>
      <w:pPr>
        <w:pStyle w:val="ListParagraph"/>
        <w:numPr>
          <w:ilvl w:val="0"/>
          <w:numId w:val="4"/>
        </w:numPr>
      </w:pPr>
      <w:r>
        <w:rPr>
          <w:rFonts w:ascii="Figtree" w:hAnsi="Figtree"/>
          <w:b/>
          <w:i w:val="0"/>
          <w:sz w:val="22"/>
        </w:rPr>
        <w:t>Emergency maintenance</w:t>
      </w:r>
      <w:r>
        <w:rPr>
          <w:rFonts w:ascii="Figtree" w:hAnsi="Figtree"/>
          <w:b w:val="0"/>
          <w:i w:val="0"/>
          <w:sz w:val="22"/>
        </w:rPr>
        <w:t>: Critical security patches applied with maximum practical notice</w:t>
      </w:r>
    </w:p>
    <w:p>
      <w:pPr>
        <w:pStyle w:val="H3"/>
        <w:numPr>
          <w:ilvl w:val="2"/>
          <w:numId w:val="1"/>
        </w:numPr>
      </w:pPr>
      <w:r>
        <w:t>Platform Update Policy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0"/>
        <w:gridCol w:w="1972"/>
        <w:gridCol w:w="525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Release Cadence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Update Model</w:t>
            </w:r>
          </w:p>
        </w:tc>
      </w:tr>
      <w:tr>
        <w:trPr>
          <w:trHeight w:val="425" w:hRule="atLeast"/>
        </w:trPr>
        <w:tc>
          <w:tcPr>
            <w:tcW w:type="dxa" w:w="3249"/>
            <w:vAlign w:val="center"/>
          </w:tcPr>
          <w:p>
            <w:pPr>
              <w:spacing w:line="276" w:lineRule="auto" w:before="0" w:after="0"/>
            </w:pPr>
            <w:r/>
            <w:r>
              <w:rPr>
                <w:rFonts w:ascii="Figtree" w:hAnsi="Figtree"/>
                <w:b/>
                <w:i w:val="0"/>
                <w:sz w:val="20"/>
              </w:rPr>
              <w:t>Standard</w:t>
            </w:r>
          </w:p>
        </w:tc>
        <w:tc>
          <w:tcPr>
            <w:tcW w:type="dxa" w:w="3249"/>
            <w:vAlign w:val="center"/>
          </w:tcPr>
          <w:p>
            <w:pPr>
              <w:spacing w:line="276" w:lineRule="auto" w:before="0" w:after="0"/>
            </w:pPr>
            <w:r/>
            <w:r>
              <w:rPr>
                <w:rFonts w:ascii="Figtree" w:hAnsi="Figtree"/>
                <w:b w:val="0"/>
                <w:i w:val="0"/>
                <w:sz w:val="20"/>
              </w:rPr>
              <w:t>Quarterly</w:t>
            </w:r>
          </w:p>
        </w:tc>
        <w:tc>
          <w:tcPr>
            <w:tcW w:type="dxa" w:w="3249"/>
            <w:vAlign w:val="center"/>
          </w:tcPr>
          <w:p>
            <w:pPr>
              <w:spacing w:line="276" w:lineRule="auto" w:before="0" w:after="0"/>
            </w:pPr>
            <w:r/>
            <w:r>
              <w:rPr>
                <w:rFonts w:ascii="Figtree" w:hAnsi="Figtree"/>
                <w:b w:val="0"/>
                <w:i w:val="0"/>
                <w:sz w:val="20"/>
              </w:rPr>
              <w:t>Scheduled update with release notes</w:t>
            </w:r>
          </w:p>
        </w:tc>
      </w:tr>
      <w:tr>
        <w:trPr>
          <w:trHeight w:val="425" w:hRule="atLeast"/>
        </w:trPr>
        <w:tc>
          <w:tcPr>
            <w:tcW w:type="dxa" w:w="3249"/>
            <w:vAlign w:val="center"/>
          </w:tcPr>
          <w:p>
            <w:pPr>
              <w:spacing w:line="276" w:lineRule="auto" w:before="0" w:after="0"/>
            </w:pPr>
            <w:r/>
            <w:r>
              <w:rPr>
                <w:rFonts w:ascii="Figtree" w:hAnsi="Figtree"/>
                <w:b/>
                <w:i w:val="0"/>
                <w:sz w:val="20"/>
              </w:rPr>
              <w:t>Premium</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Staged rollout (staging → production)</w:t>
            </w:r>
          </w:p>
        </w:tc>
      </w:tr>
      <w:tr>
        <w:trPr>
          <w:trHeight w:val="425" w:hRule="atLeast"/>
        </w:trPr>
        <w:tc>
          <w:tcPr>
            <w:tcW w:type="dxa" w:w="3249"/>
            <w:vAlign w:val="center"/>
          </w:tcPr>
          <w:p>
            <w:pPr>
              <w:spacing w:line="276" w:lineRule="auto" w:before="0" w:after="0"/>
            </w:pPr>
            <w:r/>
            <w:r>
              <w:rPr>
                <w:rFonts w:ascii="Figtree" w:hAnsi="Figtree"/>
                <w:b/>
                <w:i w:val="0"/>
                <w:sz w:val="20"/>
              </w:rPr>
              <w:t>Enterprise</w:t>
            </w:r>
          </w:p>
        </w:tc>
        <w:tc>
          <w:tcPr>
            <w:tcW w:type="dxa" w:w="3249"/>
            <w:vAlign w:val="center"/>
          </w:tcPr>
          <w:p>
            <w:pPr>
              <w:spacing w:line="276" w:lineRule="auto" w:before="0" w:after="0"/>
            </w:pPr>
            <w:r/>
            <w:r>
              <w:rPr>
                <w:rFonts w:ascii="Figtree" w:hAnsi="Figtree"/>
                <w:b w:val="0"/>
                <w:i w:val="0"/>
                <w:sz w:val="20"/>
              </w:rPr>
              <w:t>Continuous</w:t>
            </w:r>
          </w:p>
        </w:tc>
        <w:tc>
          <w:tcPr>
            <w:tcW w:type="dxa" w:w="3249"/>
            <w:vAlign w:val="center"/>
          </w:tcPr>
          <w:p>
            <w:pPr>
              <w:spacing w:line="276" w:lineRule="auto" w:before="0" w:after="0"/>
            </w:pPr>
            <w:r/>
            <w:r>
              <w:rPr>
                <w:rFonts w:ascii="Figtree" w:hAnsi="Figtree"/>
                <w:b w:val="0"/>
                <w:i w:val="0"/>
                <w:sz w:val="20"/>
              </w:rPr>
              <w:t>Staged rollout with preview environments</w:t>
            </w:r>
          </w:p>
        </w:tc>
      </w:tr>
    </w:tbl>
    <w:p>
      <w:pPr>
        <w:spacing w:before="0" w:after="0" w:line="120" w:lineRule="exact"/>
      </w:pPr>
    </w:p>
    <w:p>
      <w:r>
        <w:br w:type="page"/>
      </w:r>
    </w:p>
    <w:p>
      <w:pPr>
        <w:pStyle w:val="H1"/>
        <w:numPr>
          <w:ilvl w:val="0"/>
          <w:numId w:val="1"/>
        </w:numPr>
      </w:pPr>
      <w:r>
        <w:t>6. Implementation Investment</w:t>
      </w:r>
    </w:p>
    <w:p>
      <w:pPr>
        <w:pStyle w:val="H2"/>
        <w:numPr>
          <w:ilvl w:val="1"/>
          <w:numId w:val="1"/>
        </w:numPr>
      </w:pPr>
      <w:r>
        <w:t>6.1 Methodology</w:t>
      </w:r>
    </w:p>
    <w:p>
      <w:r>
        <w:rPr>
          <w:rFonts w:ascii="Figtree" w:hAnsi="Figtree"/>
          <w:b w:val="0"/>
          <w:i w:val="0"/>
          <w:sz w:val="22"/>
        </w:rPr>
        <w:t>SettleMint follows a structured, phase-gated implementation methodology refined through multiple regulated institution deployments. The approach balances speed-to-value with the rigorous governance, security, and compliance requirements expected by ADGM.</w:t>
      </w:r>
    </w:p>
    <w:p>
      <w:r>
        <w:rPr>
          <w:rFonts w:ascii="Figtree" w:hAnsi="Figtree"/>
          <w:b w:val="0"/>
          <w:i w:val="0"/>
          <w:sz w:val="22"/>
        </w:rPr>
        <w:t>Each phase concludes with a formal gate review. Progression requires sign-off on defined deliverables and acceptance criteria.</w:t>
      </w:r>
    </w:p>
    <w:p>
      <w:r>
        <w:rPr>
          <w:rFonts w:ascii="Figtree" w:hAnsi="Figtree"/>
          <w:b/>
          <w:i w:val="0"/>
          <w:sz w:val="22"/>
        </w:rPr>
        <w:t>Standard timeline</w:t>
      </w:r>
      <w:r>
        <w:rPr>
          <w:rFonts w:ascii="Figtree" w:hAnsi="Figtree"/>
          <w:b w:val="0"/>
          <w:i w:val="0"/>
          <w:sz w:val="22"/>
        </w:rPr>
        <w:t>: 15–19 weeks from kickoff to production go-live, plus 4-week hypercare.</w:t>
      </w:r>
    </w:p>
    <w:p>
      <w:pPr>
        <w:pStyle w:val="H2"/>
        <w:numPr>
          <w:ilvl w:val="1"/>
          <w:numId w:val="1"/>
        </w:numPr>
      </w:pPr>
      <w:r>
        <w:t>6.2 Discovery and Requirements</w:t>
      </w:r>
    </w:p>
    <w:p>
      <w:r>
        <w:rPr>
          <w:rFonts w:ascii="Figtree" w:hAnsi="Figtree"/>
          <w:b/>
          <w:i w:val="0"/>
          <w:sz w:val="22"/>
        </w:rPr>
        <w:t>Duration</w:t>
      </w:r>
      <w:r>
        <w:rPr>
          <w:rFonts w:ascii="Figtree" w:hAnsi="Figtree"/>
          <w:b w:val="0"/>
          <w:i w:val="0"/>
          <w:sz w:val="22"/>
        </w:rPr>
        <w:t>: Weeks 1–3</w:t>
      </w:r>
    </w:p>
    <w:p>
      <w:pPr>
        <w:pStyle w:val="H3"/>
        <w:numPr>
          <w:ilvl w:val="2"/>
          <w:numId w:val="1"/>
        </w:numPr>
      </w:pPr>
      <w:r>
        <w:t>Objective</w:t>
      </w:r>
    </w:p>
    <w:p>
      <w:r>
        <w:rPr>
          <w:rFonts w:ascii="Figtree" w:hAnsi="Figtree"/>
          <w:b w:val="0"/>
          <w:i w:val="0"/>
          <w:sz w:val="22"/>
        </w:rPr>
        <w:t>Establish comprehensive understanding of ADGM's business objectives, technical landscape, regulatory environment, and operational requirements.</w:t>
      </w:r>
    </w:p>
    <w:p>
      <w:pPr>
        <w:pStyle w:val="H3"/>
        <w:numPr>
          <w:ilvl w:val="2"/>
          <w:numId w:val="1"/>
        </w:numPr>
      </w:pPr>
      <w:r>
        <w:t>Activities</w:t>
      </w:r>
    </w:p>
    <w:p>
      <w:pPr>
        <w:pStyle w:val="ListParagraph"/>
        <w:numPr>
          <w:ilvl w:val="0"/>
          <w:numId w:val="4"/>
        </w:numPr>
      </w:pPr>
      <w:r>
        <w:rPr>
          <w:rFonts w:ascii="Figtree" w:hAnsi="Figtree"/>
          <w:b w:val="0"/>
          <w:i w:val="0"/>
          <w:sz w:val="22"/>
        </w:rPr>
        <w:t>Stakeholder interviews with business sponsors, technology leadership, compliance/risk officers</w:t>
      </w:r>
    </w:p>
    <w:p>
      <w:pPr>
        <w:pStyle w:val="ListParagraph"/>
        <w:numPr>
          <w:ilvl w:val="0"/>
          <w:numId w:val="4"/>
        </w:numPr>
      </w:pPr>
      <w:r>
        <w:rPr>
          <w:rFonts w:ascii="Figtree" w:hAnsi="Figtree"/>
          <w:b w:val="0"/>
          <w:i w:val="0"/>
          <w:sz w:val="22"/>
        </w:rPr>
        <w:t>Current state assessment of systems landscape (core banking, custody, compliance tooling, identity management)</w:t>
      </w:r>
    </w:p>
    <w:p>
      <w:pPr>
        <w:pStyle w:val="ListParagraph"/>
        <w:numPr>
          <w:ilvl w:val="0"/>
          <w:numId w:val="4"/>
        </w:numPr>
      </w:pPr>
      <w:r>
        <w:rPr>
          <w:rFonts w:ascii="Figtree" w:hAnsi="Figtree"/>
          <w:b w:val="0"/>
          <w:i w:val="0"/>
          <w:sz w:val="22"/>
        </w:rPr>
        <w:t>Regulatory and compliance mapping to DFSA, ADGM FSMR, CBUAE, UAE AML/CFT requirements</w:t>
      </w:r>
    </w:p>
    <w:p>
      <w:pPr>
        <w:pStyle w:val="ListParagraph"/>
        <w:numPr>
          <w:ilvl w:val="0"/>
          <w:numId w:val="4"/>
        </w:numPr>
      </w:pPr>
      <w:r>
        <w:rPr>
          <w:rFonts w:ascii="Figtree" w:hAnsi="Figtree"/>
          <w:b w:val="0"/>
          <w:i w:val="0"/>
          <w:sz w:val="22"/>
        </w:rPr>
        <w:t>Asset class and lifecycle scoping</w:t>
      </w:r>
    </w:p>
    <w:p>
      <w:pPr>
        <w:pStyle w:val="ListParagraph"/>
        <w:numPr>
          <w:ilvl w:val="0"/>
          <w:numId w:val="4"/>
        </w:numPr>
      </w:pPr>
      <w:r>
        <w:rPr>
          <w:rFonts w:ascii="Figtree" w:hAnsi="Figtree"/>
          <w:b w:val="0"/>
          <w:i w:val="0"/>
          <w:sz w:val="22"/>
        </w:rPr>
        <w:t>Architecture design for deployment topology, network selection, custody model</w:t>
      </w:r>
    </w:p>
    <w:p>
      <w:pPr>
        <w:pStyle w:val="ListParagraph"/>
        <w:numPr>
          <w:ilvl w:val="0"/>
          <w:numId w:val="4"/>
        </w:numPr>
      </w:pPr>
      <w:r>
        <w:rPr>
          <w:rFonts w:ascii="Figtree" w:hAnsi="Figtree"/>
          <w:b w:val="0"/>
          <w:i w:val="0"/>
          <w:sz w:val="22"/>
        </w:rPr>
        <w:t>Risk assessment and mitigation planning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62"/>
        <w:gridCol w:w="560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Business Requirements Document</w:t>
            </w:r>
          </w:p>
        </w:tc>
        <w:tc>
          <w:tcPr>
            <w:tcW w:type="dxa" w:w="4873"/>
            <w:vAlign w:val="center"/>
          </w:tcPr>
          <w:p>
            <w:pPr>
              <w:spacing w:line="276" w:lineRule="auto" w:before="0" w:after="0"/>
            </w:pPr>
            <w:r/>
            <w:r>
              <w:rPr>
                <w:rFonts w:ascii="Figtree" w:hAnsi="Figtree"/>
                <w:b w:val="0"/>
                <w:i w:val="0"/>
                <w:sz w:val="20"/>
              </w:rPr>
              <w:t>Validated requirements with acceptance criteria</w:t>
            </w:r>
          </w:p>
        </w:tc>
      </w:tr>
      <w:tr>
        <w:trPr>
          <w:trHeight w:val="425" w:hRule="atLeast"/>
        </w:trPr>
        <w:tc>
          <w:tcPr>
            <w:tcW w:type="dxa" w:w="4873"/>
            <w:vAlign w:val="center"/>
          </w:tcPr>
          <w:p>
            <w:pPr>
              <w:spacing w:line="276" w:lineRule="auto" w:before="0" w:after="0"/>
            </w:pPr>
            <w:r/>
            <w:r>
              <w:rPr>
                <w:rFonts w:ascii="Figtree" w:hAnsi="Figtree"/>
                <w:b w:val="0"/>
                <w:i w:val="0"/>
                <w:sz w:val="20"/>
              </w:rPr>
              <w:t>Regulatory &amp; Compliance Matrix</w:t>
            </w:r>
          </w:p>
        </w:tc>
        <w:tc>
          <w:tcPr>
            <w:tcW w:type="dxa" w:w="4873"/>
            <w:vAlign w:val="center"/>
          </w:tcPr>
          <w:p>
            <w:pPr>
              <w:spacing w:line="276" w:lineRule="auto" w:before="0" w:after="0"/>
            </w:pPr>
            <w:r/>
            <w:r>
              <w:rPr>
                <w:rFonts w:ascii="Figtree" w:hAnsi="Figtree"/>
                <w:b w:val="0"/>
                <w:i w:val="0"/>
                <w:sz w:val="20"/>
              </w:rPr>
              <w:t>Mapping to DALP compliance modules</w:t>
            </w:r>
          </w:p>
        </w:tc>
      </w:tr>
      <w:tr>
        <w:trPr>
          <w:trHeight w:val="425" w:hRule="atLeast"/>
        </w:trPr>
        <w:tc>
          <w:tcPr>
            <w:tcW w:type="dxa" w:w="4873"/>
            <w:vAlign w:val="center"/>
          </w:tcPr>
          <w:p>
            <w:pPr>
              <w:spacing w:line="276" w:lineRule="auto" w:before="0" w:after="0"/>
            </w:pPr>
            <w:r/>
            <w:r>
              <w:rPr>
                <w:rFonts w:ascii="Figtree" w:hAnsi="Figtree"/>
                <w:b w:val="0"/>
                <w:i w:val="0"/>
                <w:sz w:val="20"/>
              </w:rPr>
              <w:t>Target Architecture Document</w:t>
            </w:r>
          </w:p>
        </w:tc>
        <w:tc>
          <w:tcPr>
            <w:tcW w:type="dxa" w:w="4873"/>
            <w:vAlign w:val="center"/>
          </w:tcPr>
          <w:p>
            <w:pPr>
              <w:spacing w:line="276" w:lineRule="auto" w:before="0" w:after="0"/>
            </w:pPr>
            <w:r/>
            <w:r>
              <w:rPr>
                <w:rFonts w:ascii="Figtree" w:hAnsi="Figtree"/>
                <w:b w:val="0"/>
                <w:i w:val="0"/>
                <w:sz w:val="20"/>
              </w:rPr>
              <w:t>Deployment topology, network design, security model</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Roadmap</w:t>
            </w:r>
          </w:p>
        </w:tc>
        <w:tc>
          <w:tcPr>
            <w:tcW w:type="dxa" w:w="4873"/>
            <w:vAlign w:val="center"/>
          </w:tcPr>
          <w:p>
            <w:pPr>
              <w:spacing w:line="276" w:lineRule="auto" w:before="0" w:after="0"/>
            </w:pPr>
            <w:r/>
            <w:r>
              <w:rPr>
                <w:rFonts w:ascii="Figtree" w:hAnsi="Figtree"/>
                <w:b w:val="0"/>
                <w:i w:val="0"/>
                <w:sz w:val="20"/>
              </w:rPr>
              <w:t>Phase plan with milestones and risk register</w:t>
            </w:r>
          </w:p>
        </w:tc>
      </w:tr>
      <w:tr>
        <w:trPr>
          <w:trHeight w:val="425" w:hRule="atLeast"/>
        </w:trPr>
        <w:tc>
          <w:tcPr>
            <w:tcW w:type="dxa" w:w="4873"/>
            <w:vAlign w:val="center"/>
          </w:tcPr>
          <w:p>
            <w:pPr>
              <w:spacing w:line="276" w:lineRule="auto" w:before="0" w:after="0"/>
            </w:pPr>
            <w:r/>
            <w:r>
              <w:rPr>
                <w:rFonts w:ascii="Figtree" w:hAnsi="Figtree"/>
                <w:b w:val="0"/>
                <w:i w:val="0"/>
                <w:sz w:val="20"/>
              </w:rPr>
              <w:t>RACI Matrix</w:t>
            </w:r>
          </w:p>
        </w:tc>
        <w:tc>
          <w:tcPr>
            <w:tcW w:type="dxa" w:w="4873"/>
            <w:vAlign w:val="center"/>
          </w:tcPr>
          <w:p>
            <w:pPr>
              <w:spacing w:line="276" w:lineRule="auto" w:before="0" w:after="0"/>
            </w:pPr>
            <w:r/>
            <w:r>
              <w:rPr>
                <w:rFonts w:ascii="Figtree" w:hAnsi="Figtree"/>
                <w:b w:val="0"/>
                <w:i w:val="0"/>
                <w:sz w:val="20"/>
              </w:rPr>
              <w:t>Responsibility assignment</w:t>
            </w:r>
          </w:p>
        </w:tc>
      </w:tr>
    </w:tbl>
    <w:p>
      <w:pPr>
        <w:spacing w:before="0" w:after="0" w:line="120" w:lineRule="exact"/>
      </w:pPr>
    </w:p>
    <w:p>
      <w:pPr>
        <w:pStyle w:val="H3"/>
        <w:numPr>
          <w:ilvl w:val="2"/>
          <w:numId w:val="1"/>
        </w:numPr>
      </w:pPr>
      <w:r>
        <w:t>Investment</w:t>
      </w:r>
    </w:p>
    <w:p>
      <w:r>
        <w:rPr>
          <w:rFonts w:ascii="Figtree" w:hAnsi="Figtree"/>
          <w:b w:val="0"/>
          <w:i w:val="0"/>
          <w:sz w:val="22"/>
        </w:rPr>
        <w:t>€60,000 (fixed-price)</w:t>
      </w:r>
    </w:p>
    <w:p>
      <w:pPr>
        <w:pStyle w:val="H2"/>
        <w:numPr>
          <w:ilvl w:val="1"/>
          <w:numId w:val="1"/>
        </w:numPr>
      </w:pPr>
      <w:r>
        <w:t>6.3 Configuration and Setup</w:t>
      </w:r>
    </w:p>
    <w:p>
      <w:r>
        <w:rPr>
          <w:rFonts w:ascii="Figtree" w:hAnsi="Figtree"/>
          <w:b/>
          <w:i w:val="0"/>
          <w:sz w:val="22"/>
        </w:rPr>
        <w:t>Duration</w:t>
      </w:r>
      <w:r>
        <w:rPr>
          <w:rFonts w:ascii="Figtree" w:hAnsi="Figtree"/>
          <w:b w:val="0"/>
          <w:i w:val="0"/>
          <w:sz w:val="22"/>
        </w:rPr>
        <w:t>: Weeks 4–7</w:t>
      </w:r>
    </w:p>
    <w:p>
      <w:pPr>
        <w:pStyle w:val="H3"/>
        <w:numPr>
          <w:ilvl w:val="2"/>
          <w:numId w:val="1"/>
        </w:numPr>
      </w:pPr>
      <w:r>
        <w:t>Objective</w:t>
      </w:r>
    </w:p>
    <w:p>
      <w:r>
        <w:rPr>
          <w:rFonts w:ascii="Figtree" w:hAnsi="Figtree"/>
          <w:b w:val="0"/>
          <w:i w:val="0"/>
          <w:sz w:val="22"/>
        </w:rPr>
        <w:t>Provision DALP environments, configure asset types and compliance modules, establish identity framework, prepare integration layer.</w:t>
      </w:r>
    </w:p>
    <w:p>
      <w:pPr>
        <w:pStyle w:val="H3"/>
        <w:numPr>
          <w:ilvl w:val="2"/>
          <w:numId w:val="1"/>
        </w:numPr>
      </w:pPr>
      <w:r>
        <w:t>Activities</w:t>
      </w:r>
    </w:p>
    <w:p>
      <w:pPr>
        <w:pStyle w:val="ListParagraph"/>
        <w:numPr>
          <w:ilvl w:val="0"/>
          <w:numId w:val="4"/>
        </w:numPr>
      </w:pPr>
      <w:r>
        <w:rPr>
          <w:rFonts w:ascii="Figtree" w:hAnsi="Figtree"/>
          <w:b w:val="0"/>
          <w:i w:val="0"/>
          <w:sz w:val="22"/>
        </w:rPr>
        <w:t>Environment provisioning (development, staging, production)</w:t>
      </w:r>
    </w:p>
    <w:p>
      <w:pPr>
        <w:pStyle w:val="ListParagraph"/>
        <w:numPr>
          <w:ilvl w:val="0"/>
          <w:numId w:val="4"/>
        </w:numPr>
      </w:pPr>
      <w:r>
        <w:rPr>
          <w:rFonts w:ascii="Figtree" w:hAnsi="Figtree"/>
          <w:b w:val="0"/>
          <w:i w:val="0"/>
          <w:sz w:val="22"/>
        </w:rPr>
        <w:t>Network configuration (target blockchain networks)</w:t>
      </w:r>
    </w:p>
    <w:p>
      <w:pPr>
        <w:pStyle w:val="ListParagraph"/>
        <w:numPr>
          <w:ilvl w:val="0"/>
          <w:numId w:val="4"/>
        </w:numPr>
      </w:pPr>
      <w:r>
        <w:rPr>
          <w:rFonts w:ascii="Figtree" w:hAnsi="Figtree"/>
          <w:b w:val="0"/>
          <w:i w:val="0"/>
          <w:sz w:val="22"/>
        </w:rPr>
        <w:t>Token and asset configuration</w:t>
      </w:r>
    </w:p>
    <w:p>
      <w:pPr>
        <w:pStyle w:val="ListParagraph"/>
        <w:numPr>
          <w:ilvl w:val="0"/>
          <w:numId w:val="4"/>
        </w:numPr>
      </w:pPr>
      <w:r>
        <w:rPr>
          <w:rFonts w:ascii="Figtree" w:hAnsi="Figtree"/>
          <w:b w:val="0"/>
          <w:i w:val="0"/>
          <w:sz w:val="22"/>
        </w:rPr>
        <w:t>Compliance module setup (18 types mapped to UAE requirements)</w:t>
      </w:r>
    </w:p>
    <w:p>
      <w:pPr>
        <w:pStyle w:val="ListParagraph"/>
        <w:numPr>
          <w:ilvl w:val="0"/>
          <w:numId w:val="4"/>
        </w:numPr>
      </w:pPr>
      <w:r>
        <w:rPr>
          <w:rFonts w:ascii="Figtree" w:hAnsi="Figtree"/>
          <w:b w:val="0"/>
          <w:i w:val="0"/>
          <w:sz w:val="22"/>
        </w:rPr>
        <w:t>Identity and access framework configuration</w:t>
      </w:r>
    </w:p>
    <w:p>
      <w:pPr>
        <w:pStyle w:val="ListParagraph"/>
        <w:numPr>
          <w:ilvl w:val="0"/>
          <w:numId w:val="4"/>
        </w:numPr>
      </w:pPr>
      <w:r>
        <w:rPr>
          <w:rFonts w:ascii="Figtree" w:hAnsi="Figtree"/>
          <w:b w:val="0"/>
          <w:i w:val="0"/>
          <w:sz w:val="22"/>
        </w:rPr>
        <w:t>Key management setup</w:t>
      </w:r>
    </w:p>
    <w:p>
      <w:pPr>
        <w:pStyle w:val="ListParagraph"/>
        <w:numPr>
          <w:ilvl w:val="0"/>
          <w:numId w:val="4"/>
        </w:numPr>
      </w:pPr>
      <w:r>
        <w:rPr>
          <w:rFonts w:ascii="Figtree" w:hAnsi="Figtree"/>
          <w:b w:val="0"/>
          <w:i w:val="0"/>
          <w:sz w:val="22"/>
        </w:rPr>
        <w:t>Integration planning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46"/>
        <w:gridCol w:w="57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Provisioned Environments</w:t>
            </w:r>
          </w:p>
        </w:tc>
        <w:tc>
          <w:tcPr>
            <w:tcW w:type="dxa" w:w="4873"/>
            <w:vAlign w:val="center"/>
          </w:tcPr>
          <w:p>
            <w:pPr>
              <w:spacing w:line="276" w:lineRule="auto" w:before="0" w:after="0"/>
            </w:pPr>
            <w:r/>
            <w:r>
              <w:rPr>
                <w:rFonts w:ascii="Figtree" w:hAnsi="Figtree"/>
                <w:b w:val="0"/>
                <w:i w:val="0"/>
                <w:sz w:val="20"/>
              </w:rPr>
              <w:t>Development, staging, production DALP environments</w:t>
            </w:r>
          </w:p>
        </w:tc>
      </w:tr>
      <w:tr>
        <w:trPr>
          <w:trHeight w:val="425" w:hRule="atLeast"/>
        </w:trPr>
        <w:tc>
          <w:tcPr>
            <w:tcW w:type="dxa" w:w="4873"/>
            <w:vAlign w:val="center"/>
          </w:tcPr>
          <w:p>
            <w:pPr>
              <w:spacing w:line="276" w:lineRule="auto" w:before="0" w:after="0"/>
            </w:pPr>
            <w:r/>
            <w:r>
              <w:rPr>
                <w:rFonts w:ascii="Figtree" w:hAnsi="Figtree"/>
                <w:b w:val="0"/>
                <w:i w:val="0"/>
                <w:sz w:val="20"/>
              </w:rPr>
              <w:t>Asset Configuration</w:t>
            </w:r>
          </w:p>
        </w:tc>
        <w:tc>
          <w:tcPr>
            <w:tcW w:type="dxa" w:w="4873"/>
            <w:vAlign w:val="center"/>
          </w:tcPr>
          <w:p>
            <w:pPr>
              <w:spacing w:line="276" w:lineRule="auto" w:before="0" w:after="0"/>
            </w:pPr>
            <w:r/>
            <w:r>
              <w:rPr>
                <w:rFonts w:ascii="Figtree" w:hAnsi="Figtree"/>
                <w:b w:val="0"/>
                <w:i w:val="0"/>
                <w:sz w:val="20"/>
              </w:rPr>
              <w:t>Token parameters, business rules per asset type</w:t>
            </w:r>
          </w:p>
        </w:tc>
      </w:tr>
      <w:tr>
        <w:trPr>
          <w:trHeight w:val="425" w:hRule="atLeast"/>
        </w:trPr>
        <w:tc>
          <w:tcPr>
            <w:tcW w:type="dxa" w:w="4873"/>
            <w:vAlign w:val="center"/>
          </w:tcPr>
          <w:p>
            <w:pPr>
              <w:spacing w:line="276" w:lineRule="auto" w:before="0" w:after="0"/>
            </w:pPr>
            <w:r/>
            <w:r>
              <w:rPr>
                <w:rFonts w:ascii="Figtree" w:hAnsi="Figtree"/>
                <w:b w:val="0"/>
                <w:i w:val="0"/>
                <w:sz w:val="20"/>
              </w:rPr>
              <w:t>Compliance Configuration</w:t>
            </w:r>
          </w:p>
        </w:tc>
        <w:tc>
          <w:tcPr>
            <w:tcW w:type="dxa" w:w="4873"/>
            <w:vAlign w:val="center"/>
          </w:tcPr>
          <w:p>
            <w:pPr>
              <w:spacing w:line="276" w:lineRule="auto" w:before="0" w:after="0"/>
            </w:pPr>
            <w:r/>
            <w:r>
              <w:rPr>
                <w:rFonts w:ascii="Figtree" w:hAnsi="Figtree"/>
                <w:b w:val="0"/>
                <w:i w:val="0"/>
                <w:sz w:val="20"/>
              </w:rPr>
              <w:t>Rules mapped to jurisdictions</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Design Document</w:t>
            </w:r>
          </w:p>
        </w:tc>
        <w:tc>
          <w:tcPr>
            <w:tcW w:type="dxa" w:w="4873"/>
            <w:vAlign w:val="center"/>
          </w:tcPr>
          <w:p>
            <w:pPr>
              <w:spacing w:line="276" w:lineRule="auto" w:before="0" w:after="0"/>
            </w:pPr>
            <w:r/>
            <w:r>
              <w:rPr>
                <w:rFonts w:ascii="Figtree" w:hAnsi="Figtree"/>
                <w:b w:val="0"/>
                <w:i w:val="0"/>
                <w:sz w:val="20"/>
              </w:rPr>
              <w:t>API specifications, data mappings</w:t>
            </w:r>
          </w:p>
        </w:tc>
      </w:tr>
    </w:tbl>
    <w:p>
      <w:pPr>
        <w:spacing w:before="0" w:after="0" w:line="120" w:lineRule="exact"/>
      </w:pPr>
    </w:p>
    <w:p>
      <w:pPr>
        <w:pStyle w:val="H3"/>
        <w:numPr>
          <w:ilvl w:val="2"/>
          <w:numId w:val="1"/>
        </w:numPr>
      </w:pPr>
      <w:r>
        <w:t>Investment</w:t>
      </w:r>
    </w:p>
    <w:p>
      <w:r>
        <w:rPr>
          <w:rFonts w:ascii="Figtree" w:hAnsi="Figtree"/>
          <w:b w:val="0"/>
          <w:i w:val="0"/>
          <w:sz w:val="22"/>
        </w:rPr>
        <w:t>€120,000 (fixed-price)</w:t>
      </w:r>
    </w:p>
    <w:p>
      <w:pPr>
        <w:pStyle w:val="H2"/>
        <w:numPr>
          <w:ilvl w:val="1"/>
          <w:numId w:val="1"/>
        </w:numPr>
      </w:pPr>
      <w:r>
        <w:t>6.4 Integration</w:t>
      </w:r>
    </w:p>
    <w:p>
      <w:r>
        <w:rPr>
          <w:rFonts w:ascii="Figtree" w:hAnsi="Figtree"/>
          <w:b/>
          <w:i w:val="0"/>
          <w:sz w:val="22"/>
        </w:rPr>
        <w:t>Duration</w:t>
      </w:r>
      <w:r>
        <w:rPr>
          <w:rFonts w:ascii="Figtree" w:hAnsi="Figtree"/>
          <w:b w:val="0"/>
          <w:i w:val="0"/>
          <w:sz w:val="22"/>
        </w:rPr>
        <w:t>: Weeks 8–11</w:t>
      </w:r>
    </w:p>
    <w:p>
      <w:pPr>
        <w:pStyle w:val="H3"/>
        <w:numPr>
          <w:ilvl w:val="2"/>
          <w:numId w:val="1"/>
        </w:numPr>
      </w:pPr>
      <w:r>
        <w:t>Objective</w:t>
      </w:r>
    </w:p>
    <w:p>
      <w:r>
        <w:rPr>
          <w:rFonts w:ascii="Figtree" w:hAnsi="Figtree"/>
          <w:b w:val="0"/>
          <w:i w:val="0"/>
          <w:sz w:val="22"/>
        </w:rPr>
        <w:t>Connect DALP to ADGM's existing enterprise systems.</w:t>
      </w:r>
    </w:p>
    <w:p>
      <w:pPr>
        <w:pStyle w:val="H3"/>
        <w:numPr>
          <w:ilvl w:val="2"/>
          <w:numId w:val="1"/>
        </w:numPr>
      </w:pPr>
      <w:r>
        <w:t>Activities</w:t>
      </w:r>
    </w:p>
    <w:p>
      <w:pPr>
        <w:pStyle w:val="ListParagraph"/>
        <w:numPr>
          <w:ilvl w:val="0"/>
          <w:numId w:val="4"/>
        </w:numPr>
      </w:pPr>
      <w:r>
        <w:rPr>
          <w:rFonts w:ascii="Figtree" w:hAnsi="Figtree"/>
          <w:b w:val="0"/>
          <w:i w:val="0"/>
          <w:sz w:val="22"/>
        </w:rPr>
        <w:t>API integration with enterprise systems</w:t>
      </w:r>
    </w:p>
    <w:p>
      <w:pPr>
        <w:pStyle w:val="ListParagraph"/>
        <w:numPr>
          <w:ilvl w:val="0"/>
          <w:numId w:val="4"/>
        </w:numPr>
      </w:pPr>
      <w:r>
        <w:rPr>
          <w:rFonts w:ascii="Figtree" w:hAnsi="Figtree"/>
          <w:b w:val="0"/>
          <w:i w:val="0"/>
          <w:sz w:val="22"/>
        </w:rPr>
        <w:t>Identity and KYC provider integration</w:t>
      </w:r>
    </w:p>
    <w:p>
      <w:pPr>
        <w:pStyle w:val="ListParagraph"/>
        <w:numPr>
          <w:ilvl w:val="0"/>
          <w:numId w:val="4"/>
        </w:numPr>
      </w:pPr>
      <w:r>
        <w:rPr>
          <w:rFonts w:ascii="Figtree" w:hAnsi="Figtree"/>
          <w:b w:val="0"/>
          <w:i w:val="0"/>
          <w:sz w:val="22"/>
        </w:rPr>
        <w:t>Core banking and payment rail connectivity</w:t>
      </w:r>
    </w:p>
    <w:p>
      <w:pPr>
        <w:pStyle w:val="ListParagraph"/>
        <w:numPr>
          <w:ilvl w:val="0"/>
          <w:numId w:val="4"/>
        </w:numPr>
      </w:pPr>
      <w:r>
        <w:rPr>
          <w:rFonts w:ascii="Figtree" w:hAnsi="Figtree"/>
          <w:b w:val="0"/>
          <w:i w:val="0"/>
          <w:sz w:val="22"/>
        </w:rPr>
        <w:t>Data feed configuration</w:t>
      </w:r>
    </w:p>
    <w:p>
      <w:pPr>
        <w:pStyle w:val="ListParagraph"/>
        <w:numPr>
          <w:ilvl w:val="0"/>
          <w:numId w:val="4"/>
        </w:numPr>
      </w:pPr>
      <w:r>
        <w:rPr>
          <w:rFonts w:ascii="Figtree" w:hAnsi="Figtree"/>
          <w:b w:val="0"/>
          <w:i w:val="0"/>
          <w:sz w:val="22"/>
        </w:rPr>
        <w:t>Reporting and audit integration</w:t>
      </w:r>
    </w:p>
    <w:p>
      <w:pPr>
        <w:pStyle w:val="ListParagraph"/>
        <w:numPr>
          <w:ilvl w:val="0"/>
          <w:numId w:val="4"/>
        </w:numPr>
      </w:pPr>
      <w:r>
        <w:rPr>
          <w:rFonts w:ascii="Figtree" w:hAnsi="Figtree"/>
          <w:b w:val="0"/>
          <w:i w:val="0"/>
          <w:sz w:val="22"/>
        </w:rPr>
        <w:t>Workflow orchestration</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58"/>
        <w:gridCol w:w="49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Integrated System Landscape</w:t>
            </w:r>
          </w:p>
        </w:tc>
        <w:tc>
          <w:tcPr>
            <w:tcW w:type="dxa" w:w="4873"/>
            <w:vAlign w:val="center"/>
          </w:tcPr>
          <w:p>
            <w:pPr>
              <w:spacing w:line="276" w:lineRule="auto" w:before="0" w:after="0"/>
            </w:pPr>
            <w:r/>
            <w:r>
              <w:rPr>
                <w:rFonts w:ascii="Figtree" w:hAnsi="Figtree"/>
                <w:b w:val="0"/>
                <w:i w:val="0"/>
                <w:sz w:val="20"/>
              </w:rPr>
              <w:t>All connectors operational</w:t>
            </w:r>
          </w:p>
        </w:tc>
      </w:tr>
      <w:tr>
        <w:trPr>
          <w:trHeight w:val="425" w:hRule="atLeast"/>
        </w:trPr>
        <w:tc>
          <w:tcPr>
            <w:tcW w:type="dxa" w:w="4873"/>
            <w:vAlign w:val="center"/>
          </w:tcPr>
          <w:p>
            <w:pPr>
              <w:spacing w:line="276" w:lineRule="auto" w:before="0" w:after="0"/>
            </w:pPr>
            <w:r/>
            <w:r>
              <w:rPr>
                <w:rFonts w:ascii="Figtree" w:hAnsi="Figtree"/>
                <w:b w:val="0"/>
                <w:i w:val="0"/>
                <w:sz w:val="20"/>
              </w:rPr>
              <w:t>API Integration Documentation</w:t>
            </w:r>
          </w:p>
        </w:tc>
        <w:tc>
          <w:tcPr>
            <w:tcW w:type="dxa" w:w="4873"/>
            <w:vAlign w:val="center"/>
          </w:tcPr>
          <w:p>
            <w:pPr>
              <w:spacing w:line="276" w:lineRule="auto" w:before="0" w:after="0"/>
            </w:pPr>
            <w:r/>
            <w:r>
              <w:rPr>
                <w:rFonts w:ascii="Figtree" w:hAnsi="Figtree"/>
                <w:b w:val="0"/>
                <w:i w:val="0"/>
                <w:sz w:val="20"/>
              </w:rPr>
              <w:t>Endpoint specifications, error handling</w:t>
            </w:r>
          </w:p>
        </w:tc>
      </w:tr>
      <w:tr>
        <w:trPr>
          <w:trHeight w:val="425" w:hRule="atLeast"/>
        </w:trPr>
        <w:tc>
          <w:tcPr>
            <w:tcW w:type="dxa" w:w="4873"/>
            <w:vAlign w:val="center"/>
          </w:tcPr>
          <w:p>
            <w:pPr>
              <w:spacing w:line="276" w:lineRule="auto" w:before="0" w:after="0"/>
            </w:pPr>
            <w:r/>
            <w:r>
              <w:rPr>
                <w:rFonts w:ascii="Figtree" w:hAnsi="Figtree"/>
                <w:b w:val="0"/>
                <w:i w:val="0"/>
                <w:sz w:val="20"/>
              </w:rPr>
              <w:t>End-to-End Workflow Documentation</w:t>
            </w:r>
          </w:p>
        </w:tc>
        <w:tc>
          <w:tcPr>
            <w:tcW w:type="dxa" w:w="4873"/>
            <w:vAlign w:val="center"/>
          </w:tcPr>
          <w:p>
            <w:pPr>
              <w:spacing w:line="276" w:lineRule="auto" w:before="0" w:after="0"/>
            </w:pPr>
            <w:r/>
            <w:r>
              <w:rPr>
                <w:rFonts w:ascii="Figtree" w:hAnsi="Figtree"/>
                <w:b w:val="0"/>
                <w:i w:val="0"/>
                <w:sz w:val="20"/>
              </w:rPr>
              <w:t>Operational workflows with data flows</w:t>
            </w:r>
          </w:p>
        </w:tc>
      </w:tr>
      <w:tr>
        <w:trPr>
          <w:trHeight w:val="425" w:hRule="atLeast"/>
        </w:trPr>
        <w:tc>
          <w:tcPr>
            <w:tcW w:type="dxa" w:w="4873"/>
            <w:vAlign w:val="center"/>
          </w:tcPr>
          <w:p>
            <w:pPr>
              <w:spacing w:line="276" w:lineRule="auto" w:before="0" w:after="0"/>
            </w:pPr>
            <w:r/>
            <w:r>
              <w:rPr>
                <w:rFonts w:ascii="Figtree" w:hAnsi="Figtree"/>
                <w:b w:val="0"/>
                <w:i w:val="0"/>
                <w:sz w:val="20"/>
              </w:rPr>
              <w:t>Integration Test Results</w:t>
            </w:r>
          </w:p>
        </w:tc>
        <w:tc>
          <w:tcPr>
            <w:tcW w:type="dxa" w:w="4873"/>
            <w:vAlign w:val="center"/>
          </w:tcPr>
          <w:p>
            <w:pPr>
              <w:spacing w:line="276" w:lineRule="auto" w:before="0" w:after="0"/>
            </w:pPr>
            <w:r/>
            <w:r>
              <w:rPr>
                <w:rFonts w:ascii="Figtree" w:hAnsi="Figtree"/>
                <w:b w:val="0"/>
                <w:i w:val="0"/>
                <w:sz w:val="20"/>
              </w:rPr>
              <w:t>Validation evidence</w:t>
            </w:r>
          </w:p>
        </w:tc>
      </w:tr>
    </w:tbl>
    <w:p>
      <w:pPr>
        <w:spacing w:before="0" w:after="0" w:line="120" w:lineRule="exact"/>
      </w:pPr>
    </w:p>
    <w:p>
      <w:pPr>
        <w:pStyle w:val="H3"/>
        <w:numPr>
          <w:ilvl w:val="2"/>
          <w:numId w:val="1"/>
        </w:numPr>
      </w:pPr>
      <w:r>
        <w:t>Investment</w:t>
      </w:r>
    </w:p>
    <w:p>
      <w:r>
        <w:rPr>
          <w:rFonts w:ascii="Figtree" w:hAnsi="Figtree"/>
          <w:b w:val="0"/>
          <w:i w:val="0"/>
          <w:sz w:val="22"/>
        </w:rPr>
        <w:t>€140,000 (fixed-price)</w:t>
      </w:r>
    </w:p>
    <w:p>
      <w:pPr>
        <w:pStyle w:val="H2"/>
        <w:numPr>
          <w:ilvl w:val="1"/>
          <w:numId w:val="1"/>
        </w:numPr>
      </w:pPr>
      <w:r>
        <w:t>6.5 Testing and User Acceptance</w:t>
      </w:r>
    </w:p>
    <w:p>
      <w:r>
        <w:rPr>
          <w:rFonts w:ascii="Figtree" w:hAnsi="Figtree"/>
          <w:b/>
          <w:i w:val="0"/>
          <w:sz w:val="22"/>
        </w:rPr>
        <w:t>Duration</w:t>
      </w:r>
      <w:r>
        <w:rPr>
          <w:rFonts w:ascii="Figtree" w:hAnsi="Figtree"/>
          <w:b w:val="0"/>
          <w:i w:val="0"/>
          <w:sz w:val="22"/>
        </w:rPr>
        <w:t>: Weeks 12–14</w:t>
      </w:r>
    </w:p>
    <w:p>
      <w:pPr>
        <w:pStyle w:val="H3"/>
        <w:numPr>
          <w:ilvl w:val="2"/>
          <w:numId w:val="1"/>
        </w:numPr>
      </w:pPr>
      <w:r>
        <w:t>Objective</w:t>
      </w:r>
    </w:p>
    <w:p>
      <w:r>
        <w:rPr>
          <w:rFonts w:ascii="Figtree" w:hAnsi="Figtree"/>
          <w:b w:val="0"/>
          <w:i w:val="0"/>
          <w:sz w:val="22"/>
        </w:rPr>
        <w:t>Validate complete deployment meets functional, security, performance, and compliance requirements.</w:t>
      </w:r>
    </w:p>
    <w:p>
      <w:pPr>
        <w:pStyle w:val="H3"/>
        <w:numPr>
          <w:ilvl w:val="2"/>
          <w:numId w:val="1"/>
        </w:numPr>
      </w:pPr>
      <w:r>
        <w:t>Activities</w:t>
      </w:r>
    </w:p>
    <w:p>
      <w:pPr>
        <w:pStyle w:val="ListParagraph"/>
        <w:numPr>
          <w:ilvl w:val="0"/>
          <w:numId w:val="4"/>
        </w:numPr>
      </w:pPr>
      <w:r>
        <w:rPr>
          <w:rFonts w:ascii="Figtree" w:hAnsi="Figtree"/>
          <w:b w:val="0"/>
          <w:i w:val="0"/>
          <w:sz w:val="22"/>
        </w:rPr>
        <w:t>Functional testing</w:t>
      </w:r>
    </w:p>
    <w:p>
      <w:pPr>
        <w:pStyle w:val="ListParagraph"/>
        <w:numPr>
          <w:ilvl w:val="0"/>
          <w:numId w:val="4"/>
        </w:numPr>
      </w:pPr>
      <w:r>
        <w:rPr>
          <w:rFonts w:ascii="Figtree" w:hAnsi="Figtree"/>
          <w:b w:val="0"/>
          <w:i w:val="0"/>
          <w:sz w:val="22"/>
        </w:rPr>
        <w:t>Security testing (penetration testing, vulnerability scanning)</w:t>
      </w:r>
    </w:p>
    <w:p>
      <w:pPr>
        <w:pStyle w:val="ListParagraph"/>
        <w:numPr>
          <w:ilvl w:val="0"/>
          <w:numId w:val="4"/>
        </w:numPr>
      </w:pPr>
      <w:r>
        <w:rPr>
          <w:rFonts w:ascii="Figtree" w:hAnsi="Figtree"/>
          <w:b w:val="0"/>
          <w:i w:val="0"/>
          <w:sz w:val="22"/>
        </w:rPr>
        <w:t>Performance testing</w:t>
      </w:r>
    </w:p>
    <w:p>
      <w:pPr>
        <w:pStyle w:val="ListParagraph"/>
        <w:numPr>
          <w:ilvl w:val="0"/>
          <w:numId w:val="4"/>
        </w:numPr>
      </w:pPr>
      <w:r>
        <w:rPr>
          <w:rFonts w:ascii="Figtree" w:hAnsi="Figtree"/>
          <w:b w:val="0"/>
          <w:i w:val="0"/>
          <w:sz w:val="22"/>
        </w:rPr>
        <w:t>Compliance validation</w:t>
      </w:r>
    </w:p>
    <w:p>
      <w:pPr>
        <w:pStyle w:val="ListParagraph"/>
        <w:numPr>
          <w:ilvl w:val="0"/>
          <w:numId w:val="4"/>
        </w:numPr>
      </w:pPr>
      <w:r>
        <w:rPr>
          <w:rFonts w:ascii="Figtree" w:hAnsi="Figtree"/>
          <w:b w:val="0"/>
          <w:i w:val="0"/>
          <w:sz w:val="22"/>
        </w:rPr>
        <w:t>User Acceptance Testing (UAT)</w:t>
      </w:r>
    </w:p>
    <w:p>
      <w:pPr>
        <w:pStyle w:val="ListParagraph"/>
        <w:numPr>
          <w:ilvl w:val="0"/>
          <w:numId w:val="4"/>
        </w:numPr>
      </w:pPr>
      <w:r>
        <w:rPr>
          <w:rFonts w:ascii="Figtree" w:hAnsi="Figtree"/>
          <w:b w:val="0"/>
          <w:i w:val="0"/>
          <w:sz w:val="22"/>
        </w:rPr>
        <w:t>Disaster recovery testing</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54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Test Plan &amp; Test Cases</w:t>
            </w:r>
          </w:p>
        </w:tc>
        <w:tc>
          <w:tcPr>
            <w:tcW w:type="dxa" w:w="4873"/>
            <w:vAlign w:val="center"/>
          </w:tcPr>
          <w:p>
            <w:pPr>
              <w:spacing w:line="276" w:lineRule="auto" w:before="0" w:after="0"/>
            </w:pPr>
            <w:r/>
            <w:r>
              <w:rPr>
                <w:rFonts w:ascii="Figtree" w:hAnsi="Figtree"/>
                <w:b w:val="0"/>
                <w:i w:val="0"/>
                <w:sz w:val="20"/>
              </w:rPr>
              <w:t>Comprehensive coverage</w:t>
            </w:r>
          </w:p>
        </w:tc>
      </w:tr>
      <w:tr>
        <w:trPr>
          <w:trHeight w:val="425" w:hRule="atLeast"/>
        </w:trPr>
        <w:tc>
          <w:tcPr>
            <w:tcW w:type="dxa" w:w="4873"/>
            <w:vAlign w:val="center"/>
          </w:tcPr>
          <w:p>
            <w:pPr>
              <w:spacing w:line="276" w:lineRule="auto" w:before="0" w:after="0"/>
            </w:pPr>
            <w:r/>
            <w:r>
              <w:rPr>
                <w:rFonts w:ascii="Figtree" w:hAnsi="Figtree"/>
                <w:b w:val="0"/>
                <w:i w:val="0"/>
                <w:sz w:val="20"/>
              </w:rPr>
              <w:t>Functional Test Report</w:t>
            </w:r>
          </w:p>
        </w:tc>
        <w:tc>
          <w:tcPr>
            <w:tcW w:type="dxa" w:w="4873"/>
            <w:vAlign w:val="center"/>
          </w:tcPr>
          <w:p>
            <w:pPr>
              <w:spacing w:line="276" w:lineRule="auto" w:before="0" w:after="0"/>
            </w:pPr>
            <w:r/>
            <w:r>
              <w:rPr>
                <w:rFonts w:ascii="Figtree" w:hAnsi="Figtree"/>
                <w:b w:val="0"/>
                <w:i w:val="0"/>
                <w:sz w:val="20"/>
              </w:rPr>
              <w:t>Results with defect log</w:t>
            </w:r>
          </w:p>
        </w:tc>
      </w:tr>
      <w:tr>
        <w:trPr>
          <w:trHeight w:val="425" w:hRule="atLeast"/>
        </w:trPr>
        <w:tc>
          <w:tcPr>
            <w:tcW w:type="dxa" w:w="4873"/>
            <w:vAlign w:val="center"/>
          </w:tcPr>
          <w:p>
            <w:pPr>
              <w:spacing w:line="276" w:lineRule="auto" w:before="0" w:after="0"/>
            </w:pPr>
            <w:r/>
            <w:r>
              <w:rPr>
                <w:rFonts w:ascii="Figtree" w:hAnsi="Figtree"/>
                <w:b w:val="0"/>
                <w:i w:val="0"/>
                <w:sz w:val="20"/>
              </w:rPr>
              <w:t>Security Assessment Report</w:t>
            </w:r>
          </w:p>
        </w:tc>
        <w:tc>
          <w:tcPr>
            <w:tcW w:type="dxa" w:w="4873"/>
            <w:vAlign w:val="center"/>
          </w:tcPr>
          <w:p>
            <w:pPr>
              <w:spacing w:line="276" w:lineRule="auto" w:before="0" w:after="0"/>
            </w:pPr>
            <w:r/>
            <w:r>
              <w:rPr>
                <w:rFonts w:ascii="Figtree" w:hAnsi="Figtree"/>
                <w:b w:val="0"/>
                <w:i w:val="0"/>
                <w:sz w:val="20"/>
              </w:rPr>
              <w:t>Findings and remediation</w:t>
            </w:r>
          </w:p>
        </w:tc>
      </w:tr>
      <w:tr>
        <w:trPr>
          <w:trHeight w:val="425" w:hRule="atLeast"/>
        </w:trPr>
        <w:tc>
          <w:tcPr>
            <w:tcW w:type="dxa" w:w="4873"/>
            <w:vAlign w:val="center"/>
          </w:tcPr>
          <w:p>
            <w:pPr>
              <w:spacing w:line="276" w:lineRule="auto" w:before="0" w:after="0"/>
            </w:pPr>
            <w:r/>
            <w:r>
              <w:rPr>
                <w:rFonts w:ascii="Figtree" w:hAnsi="Figtree"/>
                <w:b w:val="0"/>
                <w:i w:val="0"/>
                <w:sz w:val="20"/>
              </w:rPr>
              <w:t>Performance Test Report</w:t>
            </w:r>
          </w:p>
        </w:tc>
        <w:tc>
          <w:tcPr>
            <w:tcW w:type="dxa" w:w="4873"/>
            <w:vAlign w:val="center"/>
          </w:tcPr>
          <w:p>
            <w:pPr>
              <w:spacing w:line="276" w:lineRule="auto" w:before="0" w:after="0"/>
            </w:pPr>
            <w:r/>
            <w:r>
              <w:rPr>
                <w:rFonts w:ascii="Figtree" w:hAnsi="Figtree"/>
                <w:b w:val="0"/>
                <w:i w:val="0"/>
                <w:sz w:val="20"/>
              </w:rPr>
              <w:t>Benchmarks and capacity recommendations</w:t>
            </w:r>
          </w:p>
        </w:tc>
      </w:tr>
      <w:tr>
        <w:trPr>
          <w:trHeight w:val="425" w:hRule="atLeast"/>
        </w:trPr>
        <w:tc>
          <w:tcPr>
            <w:tcW w:type="dxa" w:w="4873"/>
            <w:vAlign w:val="center"/>
          </w:tcPr>
          <w:p>
            <w:pPr>
              <w:spacing w:line="276" w:lineRule="auto" w:before="0" w:after="0"/>
            </w:pPr>
            <w:r/>
            <w:r>
              <w:rPr>
                <w:rFonts w:ascii="Figtree" w:hAnsi="Figtree"/>
                <w:b w:val="0"/>
                <w:i w:val="0"/>
                <w:sz w:val="20"/>
              </w:rPr>
              <w:t>UAT Sign-Off</w:t>
            </w:r>
          </w:p>
        </w:tc>
        <w:tc>
          <w:tcPr>
            <w:tcW w:type="dxa" w:w="4873"/>
            <w:vAlign w:val="center"/>
          </w:tcPr>
          <w:p>
            <w:pPr>
              <w:spacing w:line="276" w:lineRule="auto" w:before="0" w:after="0"/>
            </w:pPr>
            <w:r/>
            <w:r>
              <w:rPr>
                <w:rFonts w:ascii="Figtree" w:hAnsi="Figtree"/>
                <w:b w:val="0"/>
                <w:i w:val="0"/>
                <w:sz w:val="20"/>
              </w:rPr>
              <w:t>Formal acceptance</w:t>
            </w:r>
          </w:p>
        </w:tc>
      </w:tr>
    </w:tbl>
    <w:p>
      <w:pPr>
        <w:spacing w:before="0" w:after="0" w:line="120" w:lineRule="exact"/>
      </w:pPr>
    </w:p>
    <w:p>
      <w:pPr>
        <w:pStyle w:val="H3"/>
        <w:numPr>
          <w:ilvl w:val="2"/>
          <w:numId w:val="1"/>
        </w:numPr>
      </w:pPr>
      <w:r>
        <w:t>Investment</w:t>
      </w:r>
    </w:p>
    <w:p>
      <w:r>
        <w:rPr>
          <w:rFonts w:ascii="Figtree" w:hAnsi="Figtree"/>
          <w:b w:val="0"/>
          <w:i w:val="0"/>
          <w:sz w:val="22"/>
        </w:rPr>
        <w:t>€60,000 (fixed-price)</w:t>
      </w:r>
    </w:p>
    <w:p>
      <w:pPr>
        <w:pStyle w:val="H2"/>
        <w:numPr>
          <w:ilvl w:val="1"/>
          <w:numId w:val="1"/>
        </w:numPr>
      </w:pPr>
      <w:r>
        <w:t>6.6 Go-Live</w:t>
      </w:r>
    </w:p>
    <w:p>
      <w:r>
        <w:rPr>
          <w:rFonts w:ascii="Figtree" w:hAnsi="Figtree"/>
          <w:b/>
          <w:i w:val="0"/>
          <w:sz w:val="22"/>
        </w:rPr>
        <w:t>Duration</w:t>
      </w:r>
      <w:r>
        <w:rPr>
          <w:rFonts w:ascii="Figtree" w:hAnsi="Figtree"/>
          <w:b w:val="0"/>
          <w:i w:val="0"/>
          <w:sz w:val="22"/>
        </w:rPr>
        <w:t>: Week 15</w:t>
      </w:r>
    </w:p>
    <w:p>
      <w:pPr>
        <w:pStyle w:val="H3"/>
        <w:numPr>
          <w:ilvl w:val="2"/>
          <w:numId w:val="1"/>
        </w:numPr>
      </w:pPr>
      <w:r>
        <w:t>Objective</w:t>
      </w:r>
    </w:p>
    <w:p>
      <w:r>
        <w:rPr>
          <w:rFonts w:ascii="Figtree" w:hAnsi="Figtree"/>
          <w:b w:val="0"/>
          <w:i w:val="0"/>
          <w:sz w:val="22"/>
        </w:rPr>
        <w:t>Execute controlled production deployment with minimal risk.</w:t>
      </w:r>
    </w:p>
    <w:p>
      <w:pPr>
        <w:pStyle w:val="H3"/>
        <w:numPr>
          <w:ilvl w:val="2"/>
          <w:numId w:val="1"/>
        </w:numPr>
      </w:pPr>
      <w:r>
        <w:t>Activities</w:t>
      </w:r>
    </w:p>
    <w:p>
      <w:pPr>
        <w:pStyle w:val="ListParagraph"/>
        <w:numPr>
          <w:ilvl w:val="0"/>
          <w:numId w:val="4"/>
        </w:numPr>
      </w:pPr>
      <w:r>
        <w:rPr>
          <w:rFonts w:ascii="Figtree" w:hAnsi="Figtree"/>
          <w:b w:val="0"/>
          <w:i w:val="0"/>
          <w:sz w:val="22"/>
        </w:rPr>
        <w:t>Production deployment</w:t>
      </w:r>
    </w:p>
    <w:p>
      <w:pPr>
        <w:pStyle w:val="ListParagraph"/>
        <w:numPr>
          <w:ilvl w:val="0"/>
          <w:numId w:val="4"/>
        </w:numPr>
      </w:pPr>
      <w:r>
        <w:rPr>
          <w:rFonts w:ascii="Figtree" w:hAnsi="Figtree"/>
          <w:b w:val="0"/>
          <w:i w:val="0"/>
          <w:sz w:val="22"/>
        </w:rPr>
        <w:t>Data migration and validation</w:t>
      </w:r>
    </w:p>
    <w:p>
      <w:pPr>
        <w:pStyle w:val="ListParagraph"/>
        <w:numPr>
          <w:ilvl w:val="0"/>
          <w:numId w:val="4"/>
        </w:numPr>
      </w:pPr>
      <w:r>
        <w:rPr>
          <w:rFonts w:ascii="Figtree" w:hAnsi="Figtree"/>
          <w:b w:val="0"/>
          <w:i w:val="0"/>
          <w:sz w:val="22"/>
        </w:rPr>
        <w:t>Go-live validation (smoke tests)</w:t>
      </w:r>
    </w:p>
    <w:p>
      <w:pPr>
        <w:pStyle w:val="ListParagraph"/>
        <w:numPr>
          <w:ilvl w:val="0"/>
          <w:numId w:val="4"/>
        </w:numPr>
      </w:pPr>
      <w:r>
        <w:rPr>
          <w:rFonts w:ascii="Figtree" w:hAnsi="Figtree"/>
          <w:b w:val="0"/>
          <w:i w:val="0"/>
          <w:sz w:val="22"/>
        </w:rPr>
        <w:t>Cutover coordination</w:t>
      </w:r>
    </w:p>
    <w:p>
      <w:pPr>
        <w:pStyle w:val="ListParagraph"/>
        <w:numPr>
          <w:ilvl w:val="0"/>
          <w:numId w:val="4"/>
        </w:numPr>
      </w:pPr>
      <w:r>
        <w:rPr>
          <w:rFonts w:ascii="Figtree" w:hAnsi="Figtree"/>
          <w:b w:val="0"/>
          <w:i w:val="0"/>
          <w:sz w:val="22"/>
        </w:rPr>
        <w:t>Dedicated go-live support</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68"/>
        <w:gridCol w:w="4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 Confirmation</w:t>
            </w:r>
          </w:p>
        </w:tc>
        <w:tc>
          <w:tcPr>
            <w:tcW w:type="dxa" w:w="4873"/>
            <w:vAlign w:val="center"/>
          </w:tcPr>
          <w:p>
            <w:pPr>
              <w:spacing w:line="276" w:lineRule="auto" w:before="0" w:after="0"/>
            </w:pPr>
            <w:r/>
            <w:r>
              <w:rPr>
                <w:rFonts w:ascii="Figtree" w:hAnsi="Figtree"/>
                <w:b w:val="0"/>
                <w:i w:val="0"/>
                <w:sz w:val="20"/>
              </w:rPr>
              <w:t>Validated production environment</w:t>
            </w:r>
          </w:p>
        </w:tc>
      </w:tr>
      <w:tr>
        <w:trPr>
          <w:trHeight w:val="425" w:hRule="atLeast"/>
        </w:trPr>
        <w:tc>
          <w:tcPr>
            <w:tcW w:type="dxa" w:w="4873"/>
            <w:vAlign w:val="center"/>
          </w:tcPr>
          <w:p>
            <w:pPr>
              <w:spacing w:line="276" w:lineRule="auto" w:before="0" w:after="0"/>
            </w:pPr>
            <w:r/>
            <w:r>
              <w:rPr>
                <w:rFonts w:ascii="Figtree" w:hAnsi="Figtree"/>
                <w:b w:val="0"/>
                <w:i w:val="0"/>
                <w:sz w:val="20"/>
              </w:rPr>
              <w:t>Migration Validation Report</w:t>
            </w:r>
          </w:p>
        </w:tc>
        <w:tc>
          <w:tcPr>
            <w:tcW w:type="dxa" w:w="4873"/>
            <w:vAlign w:val="center"/>
          </w:tcPr>
          <w:p>
            <w:pPr>
              <w:spacing w:line="276" w:lineRule="auto" w:before="0" w:after="0"/>
            </w:pPr>
            <w:r/>
            <w:r>
              <w:rPr>
                <w:rFonts w:ascii="Figtree" w:hAnsi="Figtree"/>
                <w:b w:val="0"/>
                <w:i w:val="0"/>
                <w:sz w:val="20"/>
              </w:rPr>
              <w:t>Data integrity confirmation</w:t>
            </w:r>
          </w:p>
        </w:tc>
      </w:tr>
      <w:tr>
        <w:trPr>
          <w:trHeight w:val="425" w:hRule="atLeast"/>
        </w:trPr>
        <w:tc>
          <w:tcPr>
            <w:tcW w:type="dxa" w:w="4873"/>
            <w:vAlign w:val="center"/>
          </w:tcPr>
          <w:p>
            <w:pPr>
              <w:spacing w:line="276" w:lineRule="auto" w:before="0" w:after="0"/>
            </w:pPr>
            <w:r/>
            <w:r>
              <w:rPr>
                <w:rFonts w:ascii="Figtree" w:hAnsi="Figtree"/>
                <w:b w:val="0"/>
                <w:i w:val="0"/>
                <w:sz w:val="20"/>
              </w:rPr>
              <w:t>Go-Live Communication</w:t>
            </w:r>
          </w:p>
        </w:tc>
        <w:tc>
          <w:tcPr>
            <w:tcW w:type="dxa" w:w="4873"/>
            <w:vAlign w:val="center"/>
          </w:tcPr>
          <w:p>
            <w:pPr>
              <w:spacing w:line="276" w:lineRule="auto" w:before="0" w:after="0"/>
            </w:pPr>
            <w:r/>
            <w:r>
              <w:rPr>
                <w:rFonts w:ascii="Figtree" w:hAnsi="Figtree"/>
                <w:b w:val="0"/>
                <w:i w:val="0"/>
                <w:sz w:val="20"/>
              </w:rPr>
              <w:t>Stakeholder notifications</w:t>
            </w:r>
          </w:p>
        </w:tc>
      </w:tr>
      <w:tr>
        <w:trPr>
          <w:trHeight w:val="425" w:hRule="atLeast"/>
        </w:trPr>
        <w:tc>
          <w:tcPr>
            <w:tcW w:type="dxa" w:w="4873"/>
            <w:vAlign w:val="center"/>
          </w:tcPr>
          <w:p>
            <w:pPr>
              <w:spacing w:line="276" w:lineRule="auto" w:before="0" w:after="0"/>
            </w:pPr>
            <w:r/>
            <w:r>
              <w:rPr>
                <w:rFonts w:ascii="Figtree" w:hAnsi="Figtree"/>
                <w:b w:val="0"/>
                <w:i w:val="0"/>
                <w:sz w:val="20"/>
              </w:rPr>
              <w:t>Incident Response Procedures</w:t>
            </w:r>
          </w:p>
        </w:tc>
        <w:tc>
          <w:tcPr>
            <w:tcW w:type="dxa" w:w="4873"/>
            <w:vAlign w:val="center"/>
          </w:tcPr>
          <w:p>
            <w:pPr>
              <w:spacing w:line="276" w:lineRule="auto" w:before="0" w:after="0"/>
            </w:pPr>
            <w:r/>
            <w:r>
              <w:rPr>
                <w:rFonts w:ascii="Figtree" w:hAnsi="Figtree"/>
                <w:b w:val="0"/>
                <w:i w:val="0"/>
                <w:sz w:val="20"/>
              </w:rPr>
              <w:t>Escalation paths and rollback procedures</w:t>
            </w:r>
          </w:p>
        </w:tc>
      </w:tr>
    </w:tbl>
    <w:p>
      <w:pPr>
        <w:spacing w:before="0" w:after="0" w:line="120" w:lineRule="exact"/>
      </w:pPr>
    </w:p>
    <w:p>
      <w:pPr>
        <w:pStyle w:val="H3"/>
        <w:numPr>
          <w:ilvl w:val="2"/>
          <w:numId w:val="1"/>
        </w:numPr>
      </w:pPr>
      <w:r>
        <w:t>Investment</w:t>
      </w:r>
    </w:p>
    <w:p>
      <w:r>
        <w:rPr>
          <w:rFonts w:ascii="Figtree" w:hAnsi="Figtree"/>
          <w:b w:val="0"/>
          <w:i w:val="0"/>
          <w:sz w:val="22"/>
        </w:rPr>
        <w:t>€20,000 (fixed-price)</w:t>
      </w:r>
    </w:p>
    <w:p>
      <w:pPr>
        <w:pStyle w:val="H2"/>
        <w:numPr>
          <w:ilvl w:val="1"/>
          <w:numId w:val="1"/>
        </w:numPr>
      </w:pPr>
      <w:r>
        <w:t>6.7 Hypercare and Optimization</w:t>
      </w:r>
    </w:p>
    <w:p>
      <w:r>
        <w:rPr>
          <w:rFonts w:ascii="Figtree" w:hAnsi="Figtree"/>
          <w:b/>
          <w:i w:val="0"/>
          <w:sz w:val="22"/>
        </w:rPr>
        <w:t>Duration</w:t>
      </w:r>
      <w:r>
        <w:rPr>
          <w:rFonts w:ascii="Figtree" w:hAnsi="Figtree"/>
          <w:b w:val="0"/>
          <w:i w:val="0"/>
          <w:sz w:val="22"/>
        </w:rPr>
        <w:t>: Weeks 16–19</w:t>
      </w:r>
    </w:p>
    <w:p>
      <w:pPr>
        <w:pStyle w:val="H3"/>
        <w:numPr>
          <w:ilvl w:val="2"/>
          <w:numId w:val="1"/>
        </w:numPr>
      </w:pPr>
      <w:r>
        <w:t>Objective</w:t>
      </w:r>
    </w:p>
    <w:p>
      <w:r>
        <w:rPr>
          <w:rFonts w:ascii="Figtree" w:hAnsi="Figtree"/>
          <w:b w:val="0"/>
          <w:i w:val="0"/>
          <w:sz w:val="22"/>
        </w:rPr>
        <w:t>Provide intensive post-go-live support and complete knowledge transfer.</w:t>
      </w:r>
    </w:p>
    <w:p>
      <w:pPr>
        <w:pStyle w:val="H3"/>
        <w:numPr>
          <w:ilvl w:val="2"/>
          <w:numId w:val="1"/>
        </w:numPr>
      </w:pPr>
      <w:r>
        <w:t>Activities</w:t>
      </w:r>
    </w:p>
    <w:p>
      <w:pPr>
        <w:pStyle w:val="ListParagraph"/>
        <w:numPr>
          <w:ilvl w:val="0"/>
          <w:numId w:val="4"/>
        </w:numPr>
      </w:pPr>
      <w:r>
        <w:rPr>
          <w:rFonts w:ascii="Figtree" w:hAnsi="Figtree"/>
          <w:b w:val="0"/>
          <w:i w:val="0"/>
          <w:sz w:val="22"/>
        </w:rPr>
        <w:t>Intensive monitoring</w:t>
      </w:r>
    </w:p>
    <w:p>
      <w:pPr>
        <w:pStyle w:val="ListParagraph"/>
        <w:numPr>
          <w:ilvl w:val="0"/>
          <w:numId w:val="4"/>
        </w:numPr>
      </w:pPr>
      <w:r>
        <w:rPr>
          <w:rFonts w:ascii="Figtree" w:hAnsi="Figtree"/>
          <w:b w:val="0"/>
          <w:i w:val="0"/>
          <w:sz w:val="22"/>
        </w:rPr>
        <w:t>Performance optimization</w:t>
      </w:r>
    </w:p>
    <w:p>
      <w:pPr>
        <w:pStyle w:val="ListParagraph"/>
        <w:numPr>
          <w:ilvl w:val="0"/>
          <w:numId w:val="4"/>
        </w:numPr>
      </w:pPr>
      <w:r>
        <w:rPr>
          <w:rFonts w:ascii="Figtree" w:hAnsi="Figtree"/>
          <w:b w:val="0"/>
          <w:i w:val="0"/>
          <w:sz w:val="22"/>
        </w:rPr>
        <w:t>Issue resolution</w:t>
      </w:r>
    </w:p>
    <w:p>
      <w:pPr>
        <w:pStyle w:val="ListParagraph"/>
        <w:numPr>
          <w:ilvl w:val="0"/>
          <w:numId w:val="4"/>
        </w:numPr>
      </w:pPr>
      <w:r>
        <w:rPr>
          <w:rFonts w:ascii="Figtree" w:hAnsi="Figtree"/>
          <w:b w:val="0"/>
          <w:i w:val="0"/>
          <w:sz w:val="22"/>
        </w:rPr>
        <w:t>Knowledge transfer completion</w:t>
      </w:r>
    </w:p>
    <w:p>
      <w:pPr>
        <w:pStyle w:val="ListParagraph"/>
        <w:numPr>
          <w:ilvl w:val="0"/>
          <w:numId w:val="4"/>
        </w:numPr>
      </w:pPr>
      <w:r>
        <w:rPr>
          <w:rFonts w:ascii="Figtree" w:hAnsi="Figtree"/>
          <w:b w:val="0"/>
          <w:i w:val="0"/>
          <w:sz w:val="22"/>
        </w:rPr>
        <w:t>Operational readiness validation</w:t>
      </w:r>
    </w:p>
    <w:p>
      <w:pPr>
        <w:pStyle w:val="ListParagraph"/>
        <w:numPr>
          <w:ilvl w:val="0"/>
          <w:numId w:val="4"/>
        </w:numPr>
      </w:pPr>
      <w:r>
        <w:rPr>
          <w:rFonts w:ascii="Figtree" w:hAnsi="Figtree"/>
          <w:b w:val="0"/>
          <w:i w:val="0"/>
          <w:sz w:val="22"/>
        </w:rPr>
        <w:t>Transition to standard support</w:t>
      </w:r>
    </w:p>
    <w:p>
      <w:pPr>
        <w:pStyle w:val="H3"/>
        <w:numPr>
          <w:ilvl w:val="2"/>
          <w:numId w:val="1"/>
        </w:numPr>
      </w:pPr>
      <w:r>
        <w:t>Deliverables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28"/>
        <w:gridCol w:w="534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4873"/>
            <w:vAlign w:val="center"/>
          </w:tcPr>
          <w:p>
            <w:pPr>
              <w:spacing w:line="276" w:lineRule="auto" w:before="0" w:after="0"/>
            </w:pPr>
            <w:r/>
            <w:r>
              <w:rPr>
                <w:rFonts w:ascii="Figtree" w:hAnsi="Figtree"/>
                <w:b w:val="0"/>
                <w:i w:val="0"/>
                <w:sz w:val="20"/>
              </w:rPr>
              <w:t>Hypercare Summary Report</w:t>
            </w:r>
          </w:p>
        </w:tc>
        <w:tc>
          <w:tcPr>
            <w:tcW w:type="dxa" w:w="4873"/>
            <w:vAlign w:val="center"/>
          </w:tcPr>
          <w:p>
            <w:pPr>
              <w:spacing w:line="276" w:lineRule="auto" w:before="0" w:after="0"/>
            </w:pPr>
            <w:r/>
            <w:r>
              <w:rPr>
                <w:rFonts w:ascii="Figtree" w:hAnsi="Figtree"/>
                <w:b w:val="0"/>
                <w:i w:val="0"/>
                <w:sz w:val="20"/>
              </w:rPr>
              <w:t>Incident log, metrics, optimization actions</w:t>
            </w:r>
          </w:p>
        </w:tc>
      </w:tr>
      <w:tr>
        <w:trPr>
          <w:trHeight w:val="425" w:hRule="atLeast"/>
        </w:trPr>
        <w:tc>
          <w:tcPr>
            <w:tcW w:type="dxa" w:w="4873"/>
            <w:vAlign w:val="center"/>
          </w:tcPr>
          <w:p>
            <w:pPr>
              <w:spacing w:line="276" w:lineRule="auto" w:before="0" w:after="0"/>
            </w:pPr>
            <w:r/>
            <w:r>
              <w:rPr>
                <w:rFonts w:ascii="Figtree" w:hAnsi="Figtree"/>
                <w:b w:val="0"/>
                <w:i w:val="0"/>
                <w:sz w:val="20"/>
              </w:rPr>
              <w:t>Complete Documentation Package</w:t>
            </w:r>
          </w:p>
        </w:tc>
        <w:tc>
          <w:tcPr>
            <w:tcW w:type="dxa" w:w="4873"/>
            <w:vAlign w:val="center"/>
          </w:tcPr>
          <w:p>
            <w:pPr>
              <w:spacing w:line="276" w:lineRule="auto" w:before="0" w:after="0"/>
            </w:pPr>
            <w:r/>
            <w:r>
              <w:rPr>
                <w:rFonts w:ascii="Figtree" w:hAnsi="Figtree"/>
                <w:b w:val="0"/>
                <w:i w:val="0"/>
                <w:sz w:val="20"/>
              </w:rPr>
              <w:t>All runbooks and guides</w:t>
            </w:r>
          </w:p>
        </w:tc>
      </w:tr>
      <w:tr>
        <w:trPr>
          <w:trHeight w:val="425" w:hRule="atLeast"/>
        </w:trPr>
        <w:tc>
          <w:tcPr>
            <w:tcW w:type="dxa" w:w="4873"/>
            <w:vAlign w:val="center"/>
          </w:tcPr>
          <w:p>
            <w:pPr>
              <w:spacing w:line="276" w:lineRule="auto" w:before="0" w:after="0"/>
            </w:pPr>
            <w:r/>
            <w:r>
              <w:rPr>
                <w:rFonts w:ascii="Figtree" w:hAnsi="Figtree"/>
                <w:b w:val="0"/>
                <w:i w:val="0"/>
                <w:sz w:val="20"/>
              </w:rPr>
              <w:t>Knowledge Transfer Certificate</w:t>
            </w:r>
          </w:p>
        </w:tc>
        <w:tc>
          <w:tcPr>
            <w:tcW w:type="dxa" w:w="4873"/>
            <w:vAlign w:val="center"/>
          </w:tcPr>
          <w:p>
            <w:pPr>
              <w:spacing w:line="276" w:lineRule="auto" w:before="0" w:after="0"/>
            </w:pPr>
            <w:r/>
            <w:r>
              <w:rPr>
                <w:rFonts w:ascii="Figtree" w:hAnsi="Figtree"/>
                <w:b w:val="0"/>
                <w:i w:val="0"/>
                <w:sz w:val="20"/>
              </w:rPr>
              <w:t>Sign-off confirmation</w:t>
            </w:r>
          </w:p>
        </w:tc>
      </w:tr>
      <w:tr>
        <w:trPr>
          <w:trHeight w:val="425" w:hRule="atLeast"/>
        </w:trPr>
        <w:tc>
          <w:tcPr>
            <w:tcW w:type="dxa" w:w="4873"/>
            <w:vAlign w:val="center"/>
          </w:tcPr>
          <w:p>
            <w:pPr>
              <w:spacing w:line="276" w:lineRule="auto" w:before="0" w:after="0"/>
            </w:pPr>
            <w:r/>
            <w:r>
              <w:rPr>
                <w:rFonts w:ascii="Figtree" w:hAnsi="Figtree"/>
                <w:b w:val="0"/>
                <w:i w:val="0"/>
                <w:sz w:val="20"/>
              </w:rPr>
              <w:t>Support Transition Plan</w:t>
            </w:r>
          </w:p>
        </w:tc>
        <w:tc>
          <w:tcPr>
            <w:tcW w:type="dxa" w:w="4873"/>
            <w:vAlign w:val="center"/>
          </w:tcPr>
          <w:p>
            <w:pPr>
              <w:spacing w:line="276" w:lineRule="auto" w:before="0" w:after="0"/>
            </w:pPr>
            <w:r/>
            <w:r>
              <w:rPr>
                <w:rFonts w:ascii="Figtree" w:hAnsi="Figtree"/>
                <w:b w:val="0"/>
                <w:i w:val="0"/>
                <w:sz w:val="20"/>
              </w:rPr>
              <w:t>Handover to ongoing support</w:t>
            </w:r>
          </w:p>
        </w:tc>
      </w:tr>
    </w:tbl>
    <w:p>
      <w:pPr>
        <w:spacing w:before="0" w:after="0" w:line="120" w:lineRule="exact"/>
      </w:pPr>
    </w:p>
    <w:p>
      <w:pPr>
        <w:pStyle w:val="H3"/>
        <w:numPr>
          <w:ilvl w:val="2"/>
          <w:numId w:val="1"/>
        </w:numPr>
      </w:pPr>
      <w:r>
        <w:t>Investment</w:t>
      </w:r>
    </w:p>
    <w:p>
      <w:r>
        <w:rPr>
          <w:rFonts w:ascii="Figtree" w:hAnsi="Figtree"/>
          <w:b w:val="0"/>
          <w:i w:val="0"/>
          <w:sz w:val="22"/>
        </w:rPr>
        <w:t>€20,000 (included in implementation)</w:t>
      </w:r>
    </w:p>
    <w:p>
      <w:pPr>
        <w:pStyle w:val="H2"/>
        <w:numPr>
          <w:ilvl w:val="1"/>
          <w:numId w:val="1"/>
        </w:numPr>
      </w:pPr>
      <w:r>
        <w:t>6.8 Pricing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2268"/>
        <w:gridCol w:w="226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Investment</w:t>
            </w:r>
          </w:p>
        </w:tc>
      </w:tr>
      <w:tr>
        <w:trPr>
          <w:trHeight w:val="425" w:hRule="atLeast"/>
        </w:trPr>
        <w:tc>
          <w:tcPr>
            <w:tcW w:type="dxa" w:w="3249"/>
            <w:vAlign w:val="center"/>
          </w:tcPr>
          <w:p>
            <w:pPr>
              <w:spacing w:line="276" w:lineRule="auto" w:before="0" w:after="0"/>
            </w:pPr>
            <w:r/>
            <w:r>
              <w:rPr>
                <w:rFonts w:ascii="Figtree" w:hAnsi="Figtree"/>
                <w:b w:val="0"/>
                <w:i w:val="0"/>
                <w:sz w:val="20"/>
              </w:rPr>
              <w:t>Discovery &amp; Requirements</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&amp; Setup</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€120,000</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€140,000</w:t>
            </w:r>
          </w:p>
        </w:tc>
      </w:tr>
      <w:tr>
        <w:trPr>
          <w:trHeight w:val="425" w:hRule="atLeast"/>
        </w:trPr>
        <w:tc>
          <w:tcPr>
            <w:tcW w:type="dxa" w:w="3249"/>
            <w:vAlign w:val="center"/>
          </w:tcPr>
          <w:p>
            <w:pPr>
              <w:spacing w:line="276" w:lineRule="auto" w:before="0" w:after="0"/>
            </w:pPr>
            <w:r/>
            <w:r>
              <w:rPr>
                <w:rFonts w:ascii="Figtree" w:hAnsi="Figtree"/>
                <w:b w:val="0"/>
                <w:i w:val="0"/>
                <w:sz w:val="20"/>
              </w:rPr>
              <w:t>Testing &amp; UAT</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€60,000</w:t>
            </w:r>
          </w:p>
        </w:tc>
      </w:tr>
      <w:tr>
        <w:trPr>
          <w:trHeight w:val="425" w:hRule="atLeast"/>
        </w:trPr>
        <w:tc>
          <w:tcPr>
            <w:tcW w:type="dxa" w:w="3249"/>
            <w:vAlign w:val="center"/>
          </w:tcPr>
          <w:p>
            <w:pPr>
              <w:spacing w:line="276" w:lineRule="auto" w:before="0" w:after="0"/>
            </w:pPr>
            <w:r/>
            <w:r>
              <w:rPr>
                <w:rFonts w:ascii="Figtree" w:hAnsi="Figtree"/>
                <w:b w:val="0"/>
                <w:i w:val="0"/>
                <w:sz w:val="20"/>
              </w:rPr>
              <w:t>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€20,000</w:t>
            </w:r>
          </w:p>
        </w:tc>
      </w:tr>
      <w:tr>
        <w:trPr>
          <w:trHeight w:val="425" w:hRule="atLeast"/>
        </w:trPr>
        <w:tc>
          <w:tcPr>
            <w:tcW w:type="dxa" w:w="3249"/>
            <w:vAlign w:val="center"/>
          </w:tcPr>
          <w:p>
            <w:pPr>
              <w:spacing w:line="276" w:lineRule="auto" w:before="0" w:after="0"/>
            </w:pPr>
            <w:r/>
            <w:r>
              <w:rPr>
                <w:rFonts w:ascii="Figtree" w:hAnsi="Figtree"/>
                <w:b w:val="0"/>
                <w:i w:val="0"/>
                <w:sz w:val="20"/>
              </w:rPr>
              <w:t>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i w:val="0"/>
                <w:sz w:val="20"/>
              </w:rPr>
              <w:t>Total</w:t>
            </w:r>
          </w:p>
        </w:tc>
        <w:tc>
          <w:tcPr>
            <w:tcW w:type="dxa" w:w="3249"/>
            <w:vAlign w:val="center"/>
          </w:tcPr>
          <w:p>
            <w:pPr>
              <w:spacing w:line="276" w:lineRule="auto" w:before="0" w:after="0"/>
            </w:pPr>
            <w:r/>
            <w:r>
              <w:rPr>
                <w:rFonts w:ascii="Figtree" w:hAnsi="Figtree"/>
                <w:b/>
                <w:i w:val="0"/>
                <w:sz w:val="20"/>
              </w:rPr>
              <w:t>19 weeks</w:t>
            </w:r>
          </w:p>
        </w:tc>
        <w:tc>
          <w:tcPr>
            <w:tcW w:type="dxa" w:w="3249"/>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Implementation pricing assumes standard scope. Final pricing subject to scoping workshop validation.</w:t>
      </w:r>
    </w:p>
    <w:p>
      <w:pPr>
        <w:pStyle w:val="H2"/>
        <w:numPr>
          <w:ilvl w:val="1"/>
          <w:numId w:val="1"/>
        </w:numPr>
      </w:pPr>
      <w:r>
        <w:t>6.9 Accelerators and Risks</w:t>
      </w:r>
    </w:p>
    <w:p>
      <w:pPr>
        <w:pStyle w:val="H3"/>
        <w:numPr>
          <w:ilvl w:val="2"/>
          <w:numId w:val="1"/>
        </w:numPr>
      </w:pPr>
      <w:r>
        <w:t>Accelerators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35"/>
        <w:gridCol w:w="53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Accelerator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r>
      <w:tr>
        <w:trPr>
          <w:trHeight w:val="425" w:hRule="atLeast"/>
        </w:trPr>
        <w:tc>
          <w:tcPr>
            <w:tcW w:type="dxa" w:w="4873"/>
            <w:vAlign w:val="center"/>
          </w:tcPr>
          <w:p>
            <w:pPr>
              <w:spacing w:line="276" w:lineRule="auto" w:before="0" w:after="0"/>
            </w:pPr>
            <w:r/>
            <w:r>
              <w:rPr>
                <w:rFonts w:ascii="Figtree" w:hAnsi="Figtree"/>
                <w:b w:val="0"/>
                <w:i w:val="0"/>
                <w:sz w:val="20"/>
              </w:rPr>
              <w:t>Pre-built asset templates</w:t>
            </w:r>
          </w:p>
        </w:tc>
        <w:tc>
          <w:tcPr>
            <w:tcW w:type="dxa" w:w="4873"/>
            <w:vAlign w:val="center"/>
          </w:tcPr>
          <w:p>
            <w:pPr>
              <w:spacing w:line="276" w:lineRule="auto" w:before="0" w:after="0"/>
            </w:pPr>
            <w:r/>
            <w:r>
              <w:rPr>
                <w:rFonts w:ascii="Figtree" w:hAnsi="Figtree"/>
                <w:b w:val="0"/>
                <w:i w:val="0"/>
                <w:sz w:val="20"/>
              </w:rPr>
              <w:t>Reduce configuration time by 30–40%</w:t>
            </w:r>
          </w:p>
        </w:tc>
      </w:tr>
      <w:tr>
        <w:trPr>
          <w:trHeight w:val="425" w:hRule="atLeast"/>
        </w:trPr>
        <w:tc>
          <w:tcPr>
            <w:tcW w:type="dxa" w:w="4873"/>
            <w:vAlign w:val="center"/>
          </w:tcPr>
          <w:p>
            <w:pPr>
              <w:spacing w:line="276" w:lineRule="auto" w:before="0" w:after="0"/>
            </w:pPr>
            <w:r/>
            <w:r>
              <w:rPr>
                <w:rFonts w:ascii="Figtree" w:hAnsi="Figtree"/>
                <w:b w:val="0"/>
                <w:i w:val="0"/>
                <w:sz w:val="20"/>
              </w:rPr>
              <w:t>Jurisdictional compliance templates</w:t>
            </w:r>
          </w:p>
        </w:tc>
        <w:tc>
          <w:tcPr>
            <w:tcW w:type="dxa" w:w="4873"/>
            <w:vAlign w:val="center"/>
          </w:tcPr>
          <w:p>
            <w:pPr>
              <w:spacing w:line="276" w:lineRule="auto" w:before="0" w:after="0"/>
            </w:pPr>
            <w:r/>
            <w:r>
              <w:rPr>
                <w:rFonts w:ascii="Figtree" w:hAnsi="Figtree"/>
                <w:b w:val="0"/>
                <w:i w:val="0"/>
                <w:sz w:val="20"/>
              </w:rPr>
              <w:t>Pre-configured modules for MiCA, Reg D/S, MAS, FCA</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architectures</w:t>
            </w:r>
          </w:p>
        </w:tc>
        <w:tc>
          <w:tcPr>
            <w:tcW w:type="dxa" w:w="4873"/>
            <w:vAlign w:val="center"/>
          </w:tcPr>
          <w:p>
            <w:pPr>
              <w:spacing w:line="276" w:lineRule="auto" w:before="0" w:after="0"/>
            </w:pPr>
            <w:r/>
            <w:r>
              <w:rPr>
                <w:rFonts w:ascii="Figtree" w:hAnsi="Figtree"/>
                <w:b w:val="0"/>
                <w:i w:val="0"/>
                <w:sz w:val="20"/>
              </w:rPr>
              <w:t>Faster deployment for common configurations</w:t>
            </w:r>
          </w:p>
        </w:tc>
      </w:tr>
      <w:tr>
        <w:trPr>
          <w:trHeight w:val="425" w:hRule="atLeast"/>
        </w:trPr>
        <w:tc>
          <w:tcPr>
            <w:tcW w:type="dxa" w:w="4873"/>
            <w:vAlign w:val="center"/>
          </w:tcPr>
          <w:p>
            <w:pPr>
              <w:spacing w:line="276" w:lineRule="auto" w:before="0" w:after="0"/>
            </w:pPr>
            <w:r/>
            <w:r>
              <w:rPr>
                <w:rFonts w:ascii="Figtree" w:hAnsi="Figtree"/>
                <w:b w:val="0"/>
                <w:i w:val="0"/>
                <w:sz w:val="20"/>
              </w:rPr>
              <w:t>SDK and CLI</w:t>
            </w:r>
          </w:p>
        </w:tc>
        <w:tc>
          <w:tcPr>
            <w:tcW w:type="dxa" w:w="4873"/>
            <w:vAlign w:val="center"/>
          </w:tcPr>
          <w:p>
            <w:pPr>
              <w:spacing w:line="276" w:lineRule="auto" w:before="0" w:after="0"/>
            </w:pPr>
            <w:r/>
            <w:r>
              <w:rPr>
                <w:rFonts w:ascii="Figtree" w:hAnsi="Figtree"/>
                <w:b w:val="0"/>
                <w:i w:val="0"/>
                <w:sz w:val="20"/>
              </w:rPr>
              <w:t>Rapid integration development</w:t>
            </w:r>
          </w:p>
        </w:tc>
      </w:tr>
      <w:tr>
        <w:trPr>
          <w:trHeight w:val="425" w:hRule="atLeast"/>
        </w:trPr>
        <w:tc>
          <w:tcPr>
            <w:tcW w:type="dxa" w:w="4873"/>
            <w:vAlign w:val="center"/>
          </w:tcPr>
          <w:p>
            <w:pPr>
              <w:spacing w:line="276" w:lineRule="auto" w:before="0" w:after="0"/>
            </w:pPr>
            <w:r/>
            <w:r>
              <w:rPr>
                <w:rFonts w:ascii="Figtree" w:hAnsi="Figtree"/>
                <w:b w:val="0"/>
                <w:i w:val="0"/>
                <w:sz w:val="20"/>
              </w:rPr>
              <w:t>Sandbox environments</w:t>
            </w:r>
          </w:p>
        </w:tc>
        <w:tc>
          <w:tcPr>
            <w:tcW w:type="dxa" w:w="4873"/>
            <w:vAlign w:val="center"/>
          </w:tcPr>
          <w:p>
            <w:pPr>
              <w:spacing w:line="276" w:lineRule="auto" w:before="0" w:after="0"/>
            </w:pPr>
            <w:r/>
            <w:r>
              <w:rPr>
                <w:rFonts w:ascii="Figtree" w:hAnsi="Figtree"/>
                <w:b w:val="0"/>
                <w:i w:val="0"/>
                <w:sz w:val="20"/>
              </w:rPr>
              <w:t>Pre-configured dev environments</w:t>
            </w:r>
          </w:p>
        </w:tc>
      </w:tr>
    </w:tbl>
    <w:p>
      <w:pPr>
        <w:spacing w:before="0" w:after="0" w:line="120" w:lineRule="exact"/>
      </w:pPr>
    </w:p>
    <w:p>
      <w:pPr>
        <w:pStyle w:val="H3"/>
        <w:numPr>
          <w:ilvl w:val="2"/>
          <w:numId w:val="1"/>
        </w:numPr>
      </w:pPr>
      <w:r>
        <w:t>Risks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77"/>
        <w:gridCol w:w="715"/>
        <w:gridCol w:w="715"/>
        <w:gridCol w:w="53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changes during implementation</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Phase-gated compliance validation at each gate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exceeds estimates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Detailed integration assessment in Phase 1; DALP's comprehensive API layer reduces custom development</w:t>
            </w:r>
          </w:p>
        </w:tc>
      </w:tr>
      <w:tr>
        <w:trPr>
          <w:trHeight w:val="425" w:hRule="atLeast"/>
        </w:trPr>
        <w:tc>
          <w:tcPr>
            <w:tcW w:type="dxa" w:w="2436"/>
            <w:vAlign w:val="center"/>
          </w:tcPr>
          <w:p>
            <w:pPr>
              <w:spacing w:line="276" w:lineRule="auto" w:before="0" w:after="0"/>
            </w:pPr>
            <w:r/>
            <w:r>
              <w:rPr>
                <w:rFonts w:ascii="Figtree" w:hAnsi="Figtree"/>
                <w:b w:val="0"/>
                <w:i w:val="0"/>
                <w:sz w:val="20"/>
              </w:rPr>
              <w:t>Client resource availability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RACI matrix agreed in Phase 1; parallel workstreams where possible</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extends timeline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Early engagement with InfoSec in Phase 1</w:t>
            </w:r>
          </w:p>
        </w:tc>
      </w:tr>
      <w:tr>
        <w:trPr>
          <w:trHeight w:val="425" w:hRule="atLeast"/>
        </w:trPr>
        <w:tc>
          <w:tcPr>
            <w:tcW w:type="dxa" w:w="2436"/>
            <w:vAlign w:val="center"/>
          </w:tcPr>
          <w:p>
            <w:pPr>
              <w:spacing w:line="276" w:lineRule="auto" w:before="0" w:after="0"/>
            </w:pPr>
            <w:r/>
            <w:r>
              <w:rPr>
                <w:rFonts w:ascii="Figtree" w:hAnsi="Figtree"/>
                <w:b w:val="0"/>
                <w:i w:val="0"/>
                <w:sz w:val="20"/>
              </w:rPr>
              <w:t>Scope expansion</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Formal change control process; scope locked at Phase 1 gate</w:t>
            </w:r>
          </w:p>
        </w:tc>
      </w:tr>
    </w:tbl>
    <w:p>
      <w:pPr>
        <w:spacing w:before="0" w:after="0" w:line="120" w:lineRule="exact"/>
      </w:pPr>
    </w:p>
    <w:p>
      <w:pPr>
        <w:pStyle w:val="H2"/>
        <w:numPr>
          <w:ilvl w:val="1"/>
          <w:numId w:val="1"/>
        </w:numPr>
      </w:pPr>
      <w:r>
        <w:t>6.10 Training</w:t>
      </w:r>
    </w:p>
    <w:p>
      <w:r>
        <w:rPr>
          <w:rFonts w:ascii="Figtree" w:hAnsi="Figtree"/>
          <w:b w:val="0"/>
          <w:i w:val="0"/>
          <w:sz w:val="22"/>
        </w:rPr>
        <w:t>Training scope maps to platform administration, compliance operations, monitoring, and integration 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5423"/>
        <w:gridCol w:w="13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3249"/>
            <w:vAlign w:val="center"/>
          </w:tcPr>
          <w:p>
            <w:pPr>
              <w:spacing w:line="276" w:lineRule="auto" w:before="0" w:after="0"/>
            </w:pPr>
            <w:r/>
            <w:r>
              <w:rPr>
                <w:rFonts w:ascii="Figtree" w:hAnsi="Figtree"/>
                <w:b w:val="0"/>
                <w:i w:val="0"/>
                <w:sz w:val="20"/>
              </w:rPr>
              <w:t>Platform Administrators</w:t>
            </w:r>
          </w:p>
        </w:tc>
        <w:tc>
          <w:tcPr>
            <w:tcW w:type="dxa" w:w="3249"/>
            <w:vAlign w:val="center"/>
          </w:tcPr>
          <w:p>
            <w:pPr>
              <w:spacing w:line="276" w:lineRule="auto" w:before="0" w:after="0"/>
            </w:pPr>
            <w:r/>
            <w:r>
              <w:rPr>
                <w:rFonts w:ascii="Figtree" w:hAnsi="Figtree"/>
                <w:b w:val="0"/>
                <w:i w:val="0"/>
                <w:sz w:val="20"/>
              </w:rPr>
              <w:t>Environment management, user administration, monitoring</w:t>
            </w:r>
          </w:p>
        </w:tc>
        <w:tc>
          <w:tcPr>
            <w:tcW w:type="dxa" w:w="3249"/>
            <w:vAlign w:val="center"/>
          </w:tcPr>
          <w:p>
            <w:pPr>
              <w:spacing w:line="276" w:lineRule="auto" w:before="0" w:after="0"/>
            </w:pPr>
            <w:r/>
            <w:r>
              <w:rPr>
                <w:rFonts w:ascii="Figtree" w:hAnsi="Figtree"/>
                <w:b w:val="0"/>
                <w:i w:val="0"/>
                <w:sz w:val="20"/>
              </w:rPr>
              <w:t>2-day workshop</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Officers</w:t>
            </w:r>
          </w:p>
        </w:tc>
        <w:tc>
          <w:tcPr>
            <w:tcW w:type="dxa" w:w="3249"/>
            <w:vAlign w:val="center"/>
          </w:tcPr>
          <w:p>
            <w:pPr>
              <w:spacing w:line="276" w:lineRule="auto" w:before="0" w:after="0"/>
            </w:pPr>
            <w:r/>
            <w:r>
              <w:rPr>
                <w:rFonts w:ascii="Figtree" w:hAnsi="Figtree"/>
                <w:b w:val="0"/>
                <w:i w:val="0"/>
                <w:sz w:val="20"/>
              </w:rPr>
              <w:t>Compliance module configuration, policy management</w:t>
            </w:r>
          </w:p>
        </w:tc>
        <w:tc>
          <w:tcPr>
            <w:tcW w:type="dxa" w:w="3249"/>
            <w:vAlign w:val="center"/>
          </w:tcPr>
          <w:p>
            <w:pPr>
              <w:spacing w:line="276" w:lineRule="auto" w:before="0" w:after="0"/>
            </w:pPr>
            <w:r/>
            <w:r>
              <w:rPr>
                <w:rFonts w:ascii="Figtree" w:hAnsi="Figtree"/>
                <w:b w:val="0"/>
                <w:i w:val="0"/>
                <w:sz w:val="20"/>
              </w:rPr>
              <w:t>1-day workshop</w:t>
            </w:r>
          </w:p>
        </w:tc>
      </w:tr>
      <w:tr>
        <w:trPr>
          <w:trHeight w:val="425" w:hRule="atLeast"/>
        </w:trPr>
        <w:tc>
          <w:tcPr>
            <w:tcW w:type="dxa" w:w="3249"/>
            <w:vAlign w:val="center"/>
          </w:tcPr>
          <w:p>
            <w:pPr>
              <w:spacing w:line="276" w:lineRule="auto" w:before="0" w:after="0"/>
            </w:pPr>
            <w:r/>
            <w:r>
              <w:rPr>
                <w:rFonts w:ascii="Figtree" w:hAnsi="Figtree"/>
                <w:b w:val="0"/>
                <w:i w:val="0"/>
                <w:sz w:val="20"/>
              </w:rPr>
              <w:t>Operations Teams</w:t>
            </w:r>
          </w:p>
        </w:tc>
        <w:tc>
          <w:tcPr>
            <w:tcW w:type="dxa" w:w="3249"/>
            <w:vAlign w:val="center"/>
          </w:tcPr>
          <w:p>
            <w:pPr>
              <w:spacing w:line="276" w:lineRule="auto" w:before="0" w:after="0"/>
            </w:pPr>
            <w:r/>
            <w:r>
              <w:rPr>
                <w:rFonts w:ascii="Figtree" w:hAnsi="Figtree"/>
                <w:b w:val="0"/>
                <w:i w:val="0"/>
                <w:sz w:val="20"/>
              </w:rPr>
              <w:t>Day-to-day operations, troubleshooting, runbook usage</w:t>
            </w:r>
          </w:p>
        </w:tc>
        <w:tc>
          <w:tcPr>
            <w:tcW w:type="dxa" w:w="3249"/>
            <w:vAlign w:val="center"/>
          </w:tcPr>
          <w:p>
            <w:pPr>
              <w:spacing w:line="276" w:lineRule="auto" w:before="0" w:after="0"/>
            </w:pPr>
            <w:r/>
            <w:r>
              <w:rPr>
                <w:rFonts w:ascii="Figtree" w:hAnsi="Figtree"/>
                <w:b w:val="0"/>
                <w:i w:val="0"/>
                <w:sz w:val="20"/>
              </w:rPr>
              <w:t>1-day workshop</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Developers</w:t>
            </w:r>
          </w:p>
        </w:tc>
        <w:tc>
          <w:tcPr>
            <w:tcW w:type="dxa" w:w="3249"/>
            <w:vAlign w:val="center"/>
          </w:tcPr>
          <w:p>
            <w:pPr>
              <w:spacing w:line="276" w:lineRule="auto" w:before="0" w:after="0"/>
            </w:pPr>
            <w:r/>
            <w:r>
              <w:rPr>
                <w:rFonts w:ascii="Figtree" w:hAnsi="Figtree"/>
                <w:b w:val="0"/>
                <w:i w:val="0"/>
                <w:sz w:val="20"/>
              </w:rPr>
              <w:t>API usage, webhook configuration, SDK implementation</w:t>
            </w:r>
          </w:p>
        </w:tc>
        <w:tc>
          <w:tcPr>
            <w:tcW w:type="dxa" w:w="3249"/>
            <w:vAlign w:val="center"/>
          </w:tcPr>
          <w:p>
            <w:pPr>
              <w:spacing w:line="276" w:lineRule="auto" w:before="0" w:after="0"/>
            </w:pPr>
            <w:r/>
            <w:r>
              <w:rPr>
                <w:rFonts w:ascii="Figtree" w:hAnsi="Figtree"/>
                <w:b w:val="0"/>
                <w:i w:val="0"/>
                <w:sz w:val="20"/>
              </w:rPr>
              <w:t>2-day workshop</w:t>
            </w:r>
          </w:p>
        </w:tc>
      </w:tr>
    </w:tbl>
    <w:p>
      <w:pPr>
        <w:spacing w:before="0" w:after="0" w:line="120" w:lineRule="exact"/>
      </w:pPr>
    </w:p>
    <w:p>
      <w:r>
        <w:rPr>
          <w:rFonts w:ascii="Figtree" w:hAnsi="Figtree"/>
          <w:b w:val="0"/>
          <w:i w:val="0"/>
          <w:sz w:val="22"/>
        </w:rPr>
        <w:t>Training is included in implementation pricing. Additional sessions available as scoped services.</w:t>
      </w:r>
    </w:p>
    <w:p>
      <w:r>
        <w:br w:type="page"/>
      </w:r>
    </w:p>
    <w:p>
      <w:pPr>
        <w:pStyle w:val="H1"/>
        <w:numPr>
          <w:ilvl w:val="0"/>
          <w:numId w:val="1"/>
        </w:numPr>
      </w:pPr>
      <w:r>
        <w:t>7. Commercial Terms</w:t>
      </w:r>
    </w:p>
    <w:p>
      <w:pPr>
        <w:pStyle w:val="H2"/>
        <w:numPr>
          <w:ilvl w:val="1"/>
          <w:numId w:val="1"/>
        </w:numPr>
      </w:pPr>
      <w:r>
        <w:t>7.1 Contract Structure</w:t>
      </w:r>
    </w:p>
    <w:p>
      <w:r>
        <w:rPr>
          <w:rFonts w:ascii="Figtree" w:hAnsi="Figtree"/>
          <w:b w:val="0"/>
          <w:i w:val="0"/>
          <w:sz w:val="22"/>
        </w:rPr>
        <w:t>A typical DALP engagement comprises: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6"/>
        <w:gridCol w:w="2992"/>
        <w:gridCol w:w="29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Term</w:t>
            </w:r>
          </w:p>
        </w:tc>
      </w:tr>
      <w:tr>
        <w:trPr>
          <w:trHeight w:val="425" w:hRule="atLeast"/>
        </w:trPr>
        <w:tc>
          <w:tcPr>
            <w:tcW w:type="dxa" w:w="3249"/>
            <w:vAlign w:val="center"/>
          </w:tcPr>
          <w:p>
            <w:pPr>
              <w:spacing w:line="276" w:lineRule="auto" w:before="0" w:after="0"/>
            </w:pPr>
            <w:r/>
            <w:r>
              <w:rPr>
                <w:rFonts w:ascii="Figtree" w:hAnsi="Figtree"/>
                <w:b w:val="0"/>
                <w:i w:val="0"/>
                <w:sz w:val="20"/>
              </w:rPr>
              <w:t>Platform License Agreement</w:t>
            </w:r>
          </w:p>
        </w:tc>
        <w:tc>
          <w:tcPr>
            <w:tcW w:type="dxa" w:w="3249"/>
            <w:vAlign w:val="center"/>
          </w:tcPr>
          <w:p>
            <w:pPr>
              <w:spacing w:line="276" w:lineRule="auto" w:before="0" w:after="0"/>
            </w:pPr>
            <w:r/>
            <w:r>
              <w:rPr>
                <w:rFonts w:ascii="Figtree" w:hAnsi="Figtree"/>
                <w:b w:val="0"/>
                <w:i w:val="0"/>
                <w:sz w:val="20"/>
              </w:rPr>
              <w:t>DALP platform licensing</w:t>
            </w:r>
          </w:p>
        </w:tc>
        <w:tc>
          <w:tcPr>
            <w:tcW w:type="dxa" w:w="3249"/>
            <w:vAlign w:val="center"/>
          </w:tcPr>
          <w:p>
            <w:pPr>
              <w:spacing w:line="276" w:lineRule="auto" w:before="0" w:after="0"/>
            </w:pPr>
            <w:r/>
            <w:r>
              <w:rPr>
                <w:rFonts w:ascii="Figtree" w:hAnsi="Figtree"/>
                <w:b w:val="0"/>
                <w:i w:val="0"/>
                <w:sz w:val="20"/>
              </w:rPr>
              <w:t>Annual, renewable</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 Agreement</w:t>
            </w:r>
          </w:p>
        </w:tc>
        <w:tc>
          <w:tcPr>
            <w:tcW w:type="dxa" w:w="3249"/>
            <w:vAlign w:val="center"/>
          </w:tcPr>
          <w:p>
            <w:pPr>
              <w:spacing w:line="276" w:lineRule="auto" w:before="0" w:after="0"/>
            </w:pPr>
            <w:r/>
            <w:r>
              <w:rPr>
                <w:rFonts w:ascii="Figtree" w:hAnsi="Figtree"/>
                <w:b w:val="0"/>
                <w:i w:val="0"/>
                <w:sz w:val="20"/>
              </w:rPr>
              <w:t>Discovery through go-live</w:t>
            </w:r>
          </w:p>
        </w:tc>
        <w:tc>
          <w:tcPr>
            <w:tcW w:type="dxa" w:w="3249"/>
            <w:vAlign w:val="center"/>
          </w:tcPr>
          <w:p>
            <w:pPr>
              <w:spacing w:line="276" w:lineRule="auto" w:before="0" w:after="0"/>
            </w:pPr>
            <w:r/>
            <w:r>
              <w:rPr>
                <w:rFonts w:ascii="Figtree" w:hAnsi="Figtree"/>
                <w:b w:val="0"/>
                <w:i w:val="0"/>
                <w:sz w:val="20"/>
              </w:rPr>
              <w:t>Fixed-price or T&amp;M</w:t>
            </w:r>
          </w:p>
        </w:tc>
      </w:tr>
      <w:tr>
        <w:trPr>
          <w:trHeight w:val="425" w:hRule="atLeast"/>
        </w:trPr>
        <w:tc>
          <w:tcPr>
            <w:tcW w:type="dxa" w:w="3249"/>
            <w:vAlign w:val="center"/>
          </w:tcPr>
          <w:p>
            <w:pPr>
              <w:spacing w:line="276" w:lineRule="auto" w:before="0" w:after="0"/>
            </w:pPr>
            <w:r/>
            <w:r>
              <w:rPr>
                <w:rFonts w:ascii="Figtree" w:hAnsi="Figtree"/>
                <w:b w:val="0"/>
                <w:i w:val="0"/>
                <w:sz w:val="20"/>
              </w:rPr>
              <w:t>Support &amp; Maintenance Agreement</w:t>
            </w:r>
          </w:p>
        </w:tc>
        <w:tc>
          <w:tcPr>
            <w:tcW w:type="dxa" w:w="3249"/>
            <w:vAlign w:val="center"/>
          </w:tcPr>
          <w:p>
            <w:pPr>
              <w:spacing w:line="276" w:lineRule="auto" w:before="0" w:after="0"/>
            </w:pPr>
            <w:r/>
            <w:r>
              <w:rPr>
                <w:rFonts w:ascii="Figtree" w:hAnsi="Figtree"/>
                <w:b w:val="0"/>
                <w:i w:val="0"/>
                <w:sz w:val="20"/>
              </w:rPr>
              <w:t>Ongoing support</w:t>
            </w:r>
          </w:p>
        </w:tc>
        <w:tc>
          <w:tcPr>
            <w:tcW w:type="dxa" w:w="3249"/>
            <w:vAlign w:val="center"/>
          </w:tcPr>
          <w:p>
            <w:pPr>
              <w:spacing w:line="276" w:lineRule="auto" w:before="0" w:after="0"/>
            </w:pPr>
            <w:r/>
            <w:r>
              <w:rPr>
                <w:rFonts w:ascii="Figtree" w:hAnsi="Figtree"/>
                <w:b w:val="0"/>
                <w:i w:val="0"/>
                <w:sz w:val="20"/>
              </w:rPr>
              <w:t>Annual, co-terminus with license</w:t>
            </w:r>
          </w:p>
        </w:tc>
      </w:tr>
      <w:tr>
        <w:trPr>
          <w:trHeight w:val="425" w:hRule="atLeast"/>
        </w:trPr>
        <w:tc>
          <w:tcPr>
            <w:tcW w:type="dxa" w:w="3249"/>
            <w:vAlign w:val="center"/>
          </w:tcPr>
          <w:p>
            <w:pPr>
              <w:spacing w:line="276" w:lineRule="auto" w:before="0" w:after="0"/>
            </w:pPr>
            <w:r/>
            <w:r>
              <w:rPr>
                <w:rFonts w:ascii="Figtree" w:hAnsi="Figtree"/>
                <w:b w:val="0"/>
                <w:i w:val="0"/>
                <w:sz w:val="20"/>
              </w:rPr>
              <w:t>Statement of Work (SOW)</w:t>
            </w:r>
          </w:p>
        </w:tc>
        <w:tc>
          <w:tcPr>
            <w:tcW w:type="dxa" w:w="3249"/>
            <w:vAlign w:val="center"/>
          </w:tcPr>
          <w:p>
            <w:pPr>
              <w:spacing w:line="276" w:lineRule="auto" w:before="0" w:after="0"/>
            </w:pPr>
            <w:r/>
            <w:r>
              <w:rPr>
                <w:rFonts w:ascii="Figtree" w:hAnsi="Figtree"/>
                <w:b w:val="0"/>
                <w:i w:val="0"/>
                <w:sz w:val="20"/>
              </w:rPr>
              <w:t>Custom development if applicable</w:t>
            </w:r>
          </w:p>
        </w:tc>
        <w:tc>
          <w:tcPr>
            <w:tcW w:type="dxa" w:w="3249"/>
            <w:vAlign w:val="center"/>
          </w:tcPr>
          <w:p>
            <w:pPr>
              <w:spacing w:line="276" w:lineRule="auto" w:before="0" w:after="0"/>
            </w:pPr>
            <w:r/>
            <w:r>
              <w:rPr>
                <w:rFonts w:ascii="Figtree" w:hAnsi="Figtree"/>
                <w:b w:val="0"/>
                <w:i w:val="0"/>
                <w:sz w:val="20"/>
              </w:rPr>
              <w:t>Separate scope</w:t>
            </w:r>
          </w:p>
        </w:tc>
      </w:tr>
    </w:tbl>
    <w:p>
      <w:pPr>
        <w:spacing w:before="0" w:after="0" w:line="120" w:lineRule="exact"/>
      </w:pPr>
    </w:p>
    <w:p>
      <w:pPr>
        <w:pStyle w:val="H3"/>
        <w:numPr>
          <w:ilvl w:val="2"/>
          <w:numId w:val="1"/>
        </w:numPr>
      </w:pPr>
      <w:r>
        <w:t>Recommendation for ADGM</w:t>
      </w:r>
    </w:p>
    <w:p>
      <w:r>
        <w:rPr>
          <w:rFonts w:ascii="Figtree" w:hAnsi="Figtree"/>
          <w:b w:val="0"/>
          <w:i w:val="0"/>
          <w:sz w:val="22"/>
        </w:rPr>
        <w:t>SettleMint recommends a combined agreement structure with:</w:t>
      </w:r>
    </w:p>
    <w:p>
      <w:pPr>
        <w:pStyle w:val="ListParagraph"/>
        <w:numPr>
          <w:ilvl w:val="0"/>
          <w:numId w:val="4"/>
        </w:numPr>
      </w:pPr>
      <w:r>
        <w:rPr>
          <w:rFonts w:ascii="Figtree" w:hAnsi="Figtree"/>
          <w:b w:val="0"/>
          <w:i w:val="0"/>
          <w:sz w:val="22"/>
        </w:rPr>
        <w:t>3-year platform license term (provides pricing stability)</w:t>
      </w:r>
    </w:p>
    <w:p>
      <w:pPr>
        <w:pStyle w:val="ListParagraph"/>
        <w:numPr>
          <w:ilvl w:val="0"/>
          <w:numId w:val="4"/>
        </w:numPr>
      </w:pPr>
      <w:r>
        <w:rPr>
          <w:rFonts w:ascii="Figtree" w:hAnsi="Figtree"/>
          <w:b w:val="0"/>
          <w:i w:val="0"/>
          <w:sz w:val="22"/>
        </w:rPr>
        <w:t>Fixed-price implementation SOW</w:t>
      </w:r>
    </w:p>
    <w:p>
      <w:pPr>
        <w:pStyle w:val="ListParagraph"/>
        <w:numPr>
          <w:ilvl w:val="0"/>
          <w:numId w:val="4"/>
        </w:numPr>
      </w:pPr>
      <w:r>
        <w:rPr>
          <w:rFonts w:ascii="Figtree" w:hAnsi="Figtree"/>
          <w:b w:val="0"/>
          <w:i w:val="0"/>
          <w:sz w:val="22"/>
        </w:rPr>
        <w:t>Annual support agreement co-terminus with license</w:t>
      </w:r>
    </w:p>
    <w:p>
      <w:pPr>
        <w:pStyle w:val="H2"/>
        <w:numPr>
          <w:ilvl w:val="1"/>
          <w:numId w:val="1"/>
        </w:numPr>
      </w:pPr>
      <w:r>
        <w:t>7.2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78"/>
        <w:gridCol w:w="659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Payment Terms</w:t>
            </w:r>
          </w:p>
        </w:tc>
      </w:tr>
      <w:tr>
        <w:trPr>
          <w:trHeight w:val="425" w:hRule="atLeast"/>
        </w:trPr>
        <w:tc>
          <w:tcPr>
            <w:tcW w:type="dxa" w:w="4873"/>
            <w:vAlign w:val="center"/>
          </w:tcPr>
          <w:p>
            <w:pPr>
              <w:spacing w:line="276" w:lineRule="auto" w:before="0" w:after="0"/>
            </w:pPr>
            <w:r/>
            <w:r>
              <w:rPr>
                <w:rFonts w:ascii="Figtree" w:hAnsi="Figtree"/>
                <w:b w:val="0"/>
                <w:i w:val="0"/>
                <w:sz w:val="20"/>
              </w:rPr>
              <w:t>Platform License</w:t>
            </w:r>
          </w:p>
        </w:tc>
        <w:tc>
          <w:tcPr>
            <w:tcW w:type="dxa" w:w="4873"/>
            <w:vAlign w:val="center"/>
          </w:tcPr>
          <w:p>
            <w:pPr>
              <w:spacing w:line="276" w:lineRule="auto" w:before="0" w:after="0"/>
            </w:pPr>
            <w:r/>
            <w:r>
              <w:rPr>
                <w:rFonts w:ascii="Figtree" w:hAnsi="Figtree"/>
                <w:b w:val="0"/>
                <w:i w:val="0"/>
                <w:sz w:val="20"/>
              </w:rPr>
              <w:t>50% on contract execution; 50% on go-live</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Services</w:t>
            </w:r>
          </w:p>
        </w:tc>
        <w:tc>
          <w:tcPr>
            <w:tcW w:type="dxa" w:w="4873"/>
            <w:vAlign w:val="center"/>
          </w:tcPr>
          <w:p>
            <w:pPr>
              <w:spacing w:line="276" w:lineRule="auto" w:before="0" w:after="0"/>
            </w:pPr>
            <w:r/>
            <w:r>
              <w:rPr>
                <w:rFonts w:ascii="Figtree" w:hAnsi="Figtree"/>
                <w:b w:val="0"/>
                <w:i w:val="0"/>
                <w:sz w:val="20"/>
              </w:rPr>
              <w:t>20% on contract execution; 40% on Phase 3 completion; 40% on go-live acceptance</w:t>
            </w:r>
          </w:p>
        </w:tc>
      </w:tr>
      <w:tr>
        <w:trPr>
          <w:trHeight w:val="425" w:hRule="atLeast"/>
        </w:trPr>
        <w:tc>
          <w:tcPr>
            <w:tcW w:type="dxa" w:w="4873"/>
            <w:vAlign w:val="center"/>
          </w:tcPr>
          <w:p>
            <w:pPr>
              <w:spacing w:line="276" w:lineRule="auto" w:before="0" w:after="0"/>
            </w:pPr>
            <w:r/>
            <w:r>
              <w:rPr>
                <w:rFonts w:ascii="Figtree" w:hAnsi="Figtree"/>
                <w:b w:val="0"/>
                <w:i w:val="0"/>
                <w:sz w:val="20"/>
              </w:rPr>
              <w:t>Support &amp; Maintenance</w:t>
            </w:r>
          </w:p>
        </w:tc>
        <w:tc>
          <w:tcPr>
            <w:tcW w:type="dxa" w:w="4873"/>
            <w:vAlign w:val="center"/>
          </w:tcPr>
          <w:p>
            <w:pPr>
              <w:spacing w:line="276" w:lineRule="auto" w:before="0" w:after="0"/>
            </w:pPr>
            <w:r/>
            <w:r>
              <w:rPr>
                <w:rFonts w:ascii="Figtree" w:hAnsi="Figtree"/>
                <w:b w:val="0"/>
                <w:i w:val="0"/>
                <w:sz w:val="20"/>
              </w:rPr>
              <w:t>Annual in advance</w:t>
            </w:r>
          </w:p>
        </w:tc>
      </w:tr>
    </w:tbl>
    <w:p>
      <w:pPr>
        <w:spacing w:before="0" w:after="0" w:line="120" w:lineRule="exact"/>
      </w:pPr>
    </w:p>
    <w:p>
      <w:r>
        <w:rPr>
          <w:rFonts w:ascii="Figtree" w:hAnsi="Figtree"/>
          <w:b w:val="0"/>
          <w:i/>
          <w:sz w:val="22"/>
        </w:rPr>
        <w:t>Payment terms are negotiable based on ADGM's procurement policies.</w:t>
      </w:r>
    </w:p>
    <w:p>
      <w:pPr>
        <w:pStyle w:val="H2"/>
        <w:numPr>
          <w:ilvl w:val="1"/>
          <w:numId w:val="1"/>
        </w:numPr>
      </w:pPr>
      <w:r>
        <w:t>7.3 Duration</w:t>
      </w:r>
    </w:p>
    <w:p>
      <w:pPr>
        <w:pStyle w:val="ListParagraph"/>
        <w:numPr>
          <w:ilvl w:val="0"/>
          <w:numId w:val="4"/>
        </w:numPr>
      </w:pPr>
      <w:r>
        <w:rPr>
          <w:rFonts w:ascii="Figtree" w:hAnsi="Figtree"/>
          <w:b/>
          <w:i w:val="0"/>
          <w:sz w:val="22"/>
        </w:rPr>
        <w:t>Initial term</w:t>
      </w:r>
      <w:r>
        <w:rPr>
          <w:rFonts w:ascii="Figtree" w:hAnsi="Figtree"/>
          <w:b w:val="0"/>
          <w:i w:val="0"/>
          <w:sz w:val="22"/>
        </w:rPr>
        <w:t>: 3 years recommended (provides optimal pricing and commitment)</w:t>
      </w:r>
    </w:p>
    <w:p>
      <w:pPr>
        <w:pStyle w:val="ListParagraph"/>
        <w:numPr>
          <w:ilvl w:val="0"/>
          <w:numId w:val="4"/>
        </w:numPr>
      </w:pPr>
      <w:r>
        <w:rPr>
          <w:rFonts w:ascii="Figtree" w:hAnsi="Figtree"/>
          <w:b/>
          <w:i w:val="0"/>
          <w:sz w:val="22"/>
        </w:rPr>
        <w:t>Activation trigger</w:t>
      </w:r>
      <w:r>
        <w:rPr>
          <w:rFonts w:ascii="Figtree" w:hAnsi="Figtree"/>
          <w:b w:val="0"/>
          <w:i w:val="0"/>
          <w:sz w:val="22"/>
        </w:rPr>
        <w:t>: License commences on contract execution; support begins on go-live</w:t>
      </w:r>
    </w:p>
    <w:p>
      <w:pPr>
        <w:pStyle w:val="ListParagraph"/>
        <w:numPr>
          <w:ilvl w:val="0"/>
          <w:numId w:val="4"/>
        </w:numPr>
      </w:pPr>
      <w:r>
        <w:rPr>
          <w:rFonts w:ascii="Figtree" w:hAnsi="Figtree"/>
          <w:b/>
          <w:i w:val="0"/>
          <w:sz w:val="22"/>
        </w:rPr>
        <w:t>Multi-year options</w:t>
      </w:r>
      <w:r>
        <w:rPr>
          <w:rFonts w:ascii="Figtree" w:hAnsi="Figtree"/>
          <w:b w:val="0"/>
          <w:i w:val="0"/>
          <w:sz w:val="22"/>
        </w:rPr>
        <w:t>: 1-year, 3-year, and 5-year terms available with pricing benefits for longer commitments</w:t>
      </w:r>
    </w:p>
    <w:p>
      <w:pPr>
        <w:pStyle w:val="H2"/>
        <w:numPr>
          <w:ilvl w:val="1"/>
          <w:numId w:val="1"/>
        </w:numPr>
      </w:pPr>
      <w:r>
        <w:t>7.4 Renewal</w:t>
      </w:r>
    </w:p>
    <w:p>
      <w:pPr>
        <w:pStyle w:val="ListParagraph"/>
        <w:numPr>
          <w:ilvl w:val="0"/>
          <w:numId w:val="4"/>
        </w:numPr>
      </w:pPr>
      <w:r>
        <w:rPr>
          <w:rFonts w:ascii="Figtree" w:hAnsi="Figtree"/>
          <w:b/>
          <w:i w:val="0"/>
          <w:sz w:val="22"/>
        </w:rPr>
        <w:t>Notice period</w:t>
      </w:r>
      <w:r>
        <w:rPr>
          <w:rFonts w:ascii="Figtree" w:hAnsi="Figtree"/>
          <w:b w:val="0"/>
          <w:i w:val="0"/>
          <w:sz w:val="22"/>
        </w:rPr>
        <w:t>: 90 days written notice prior to term expiration</w:t>
      </w:r>
    </w:p>
    <w:p>
      <w:pPr>
        <w:pStyle w:val="ListParagraph"/>
        <w:numPr>
          <w:ilvl w:val="0"/>
          <w:numId w:val="4"/>
        </w:numPr>
      </w:pPr>
      <w:r>
        <w:rPr>
          <w:rFonts w:ascii="Figtree" w:hAnsi="Figtree"/>
          <w:b/>
          <w:i w:val="0"/>
          <w:sz w:val="22"/>
        </w:rPr>
        <w:t>Renewal pricing</w:t>
      </w:r>
      <w:r>
        <w:rPr>
          <w:rFonts w:ascii="Figtree" w:hAnsi="Figtree"/>
          <w:b w:val="0"/>
          <w:i w:val="0"/>
          <w:sz w:val="22"/>
        </w:rPr>
        <w:t>: At then-current list price, subject to negotiation</w:t>
      </w:r>
    </w:p>
    <w:p>
      <w:pPr>
        <w:pStyle w:val="ListParagraph"/>
        <w:numPr>
          <w:ilvl w:val="0"/>
          <w:numId w:val="4"/>
        </w:numPr>
      </w:pPr>
      <w:r>
        <w:rPr>
          <w:rFonts w:ascii="Figtree" w:hAnsi="Figtree"/>
          <w:b/>
          <w:i w:val="0"/>
          <w:sz w:val="22"/>
        </w:rPr>
        <w:t>Early renewal incentive</w:t>
      </w:r>
      <w:r>
        <w:rPr>
          <w:rFonts w:ascii="Figtree" w:hAnsi="Figtree"/>
          <w:b w:val="0"/>
          <w:i w:val="0"/>
          <w:sz w:val="22"/>
        </w:rPr>
        <w:t>: 5% discount for renewals committed 60+ days before expiration</w:t>
      </w:r>
    </w:p>
    <w:p>
      <w:pPr>
        <w:pStyle w:val="ListParagraph"/>
        <w:numPr>
          <w:ilvl w:val="0"/>
          <w:numId w:val="4"/>
        </w:numPr>
      </w:pPr>
      <w:r>
        <w:rPr>
          <w:rFonts w:ascii="Figtree" w:hAnsi="Figtree"/>
          <w:b/>
          <w:i w:val="0"/>
          <w:sz w:val="22"/>
        </w:rPr>
        <w:t>Multi-year renewal</w:t>
      </w:r>
      <w:r>
        <w:rPr>
          <w:rFonts w:ascii="Figtree" w:hAnsi="Figtree"/>
          <w:b w:val="0"/>
          <w:i w:val="0"/>
          <w:sz w:val="22"/>
        </w:rPr>
        <w:t>: 3-year and 5-year renewal terms available with preferential pricing</w:t>
      </w:r>
    </w:p>
    <w:p>
      <w:pPr>
        <w:pStyle w:val="H2"/>
        <w:numPr>
          <w:ilvl w:val="1"/>
          <w:numId w:val="1"/>
        </w:numPr>
      </w:pPr>
      <w:r>
        <w:t>7.5 Termination</w:t>
      </w:r>
    </w:p>
    <w:p>
      <w:pPr>
        <w:pStyle w:val="H3"/>
        <w:numPr>
          <w:ilvl w:val="2"/>
          <w:numId w:val="1"/>
        </w:numPr>
      </w:pPr>
      <w:r>
        <w:t>Termination for Convenience</w:t>
      </w:r>
    </w:p>
    <w:p>
      <w:pPr>
        <w:pStyle w:val="ListParagraph"/>
        <w:numPr>
          <w:ilvl w:val="0"/>
          <w:numId w:val="4"/>
        </w:numPr>
      </w:pPr>
      <w:r>
        <w:rPr>
          <w:rFonts w:ascii="Figtree" w:hAnsi="Figtree"/>
          <w:b w:val="0"/>
          <w:i w:val="0"/>
          <w:sz w:val="22"/>
        </w:rPr>
        <w:t>Available after initial term completion</w:t>
      </w:r>
    </w:p>
    <w:p>
      <w:pPr>
        <w:pStyle w:val="ListParagraph"/>
        <w:numPr>
          <w:ilvl w:val="0"/>
          <w:numId w:val="4"/>
        </w:numPr>
      </w:pPr>
      <w:r>
        <w:rPr>
          <w:rFonts w:ascii="Figtree" w:hAnsi="Figtree"/>
          <w:b w:val="0"/>
          <w:i w:val="0"/>
          <w:sz w:val="22"/>
        </w:rPr>
        <w:t>90 days written notice required</w:t>
      </w:r>
    </w:p>
    <w:p>
      <w:pPr>
        <w:pStyle w:val="ListParagraph"/>
        <w:numPr>
          <w:ilvl w:val="0"/>
          <w:numId w:val="4"/>
        </w:numPr>
      </w:pPr>
      <w:r>
        <w:rPr>
          <w:rFonts w:ascii="Figtree" w:hAnsi="Figtree"/>
          <w:b w:val="0"/>
          <w:i w:val="0"/>
          <w:sz w:val="22"/>
        </w:rPr>
        <w:t>No refund of prepaid license or support fees</w:t>
      </w:r>
    </w:p>
    <w:p>
      <w:pPr>
        <w:pStyle w:val="ListParagraph"/>
        <w:numPr>
          <w:ilvl w:val="0"/>
          <w:numId w:val="4"/>
        </w:numPr>
      </w:pPr>
      <w:r>
        <w:rPr>
          <w:rFonts w:ascii="Figtree" w:hAnsi="Figtree"/>
          <w:b w:val="0"/>
          <w:i w:val="0"/>
          <w:sz w:val="22"/>
        </w:rPr>
        <w:t>Client retains access to platform for remainder of paid term</w:t>
      </w:r>
    </w:p>
    <w:p>
      <w:pPr>
        <w:pStyle w:val="H3"/>
        <w:numPr>
          <w:ilvl w:val="2"/>
          <w:numId w:val="1"/>
        </w:numPr>
      </w:pPr>
      <w:r>
        <w:t>Termination for Cause</w:t>
      </w:r>
    </w:p>
    <w:p>
      <w:pPr>
        <w:pStyle w:val="ListParagraph"/>
        <w:numPr>
          <w:ilvl w:val="0"/>
          <w:numId w:val="4"/>
        </w:numPr>
      </w:pPr>
      <w:r>
        <w:rPr>
          <w:rFonts w:ascii="Figtree" w:hAnsi="Figtree"/>
          <w:b w:val="0"/>
          <w:i w:val="0"/>
          <w:sz w:val="22"/>
        </w:rPr>
        <w:t>Material breach with 30 days to cure</w:t>
      </w:r>
    </w:p>
    <w:p>
      <w:pPr>
        <w:pStyle w:val="ListParagraph"/>
        <w:numPr>
          <w:ilvl w:val="0"/>
          <w:numId w:val="4"/>
        </w:numPr>
      </w:pPr>
      <w:r>
        <w:rPr>
          <w:rFonts w:ascii="Figtree" w:hAnsi="Figtree"/>
          <w:b w:val="0"/>
          <w:i w:val="0"/>
          <w:sz w:val="22"/>
        </w:rPr>
        <w:t>Non-payment: 10 days to cure after written notice</w:t>
      </w:r>
    </w:p>
    <w:p>
      <w:pPr>
        <w:pStyle w:val="ListParagraph"/>
        <w:numPr>
          <w:ilvl w:val="0"/>
          <w:numId w:val="4"/>
        </w:numPr>
      </w:pPr>
      <w:r>
        <w:rPr>
          <w:rFonts w:ascii="Figtree" w:hAnsi="Figtree"/>
          <w:b w:val="0"/>
          <w:i w:val="0"/>
          <w:sz w:val="22"/>
        </w:rPr>
        <w:t>Upon termination: 30-day data export period; SettleMint provides standard export utilities</w:t>
      </w:r>
    </w:p>
    <w:p>
      <w:pPr>
        <w:pStyle w:val="H3"/>
        <w:numPr>
          <w:ilvl w:val="2"/>
          <w:numId w:val="1"/>
        </w:numPr>
      </w:pPr>
      <w:r>
        <w:t>Effect of Termination</w:t>
      </w:r>
    </w:p>
    <w:p>
      <w:pPr>
        <w:pStyle w:val="ListParagraph"/>
        <w:numPr>
          <w:ilvl w:val="0"/>
          <w:numId w:val="4"/>
        </w:numPr>
      </w:pPr>
      <w:r>
        <w:rPr>
          <w:rFonts w:ascii="Figtree" w:hAnsi="Figtree"/>
          <w:b w:val="0"/>
          <w:i w:val="0"/>
          <w:sz w:val="22"/>
        </w:rPr>
        <w:t>License and support access terminates</w:t>
      </w:r>
    </w:p>
    <w:p>
      <w:pPr>
        <w:pStyle w:val="ListParagraph"/>
        <w:numPr>
          <w:ilvl w:val="0"/>
          <w:numId w:val="4"/>
        </w:numPr>
      </w:pPr>
      <w:r>
        <w:rPr>
          <w:rFonts w:ascii="Figtree" w:hAnsi="Figtree"/>
          <w:b w:val="0"/>
          <w:i w:val="0"/>
          <w:sz w:val="22"/>
        </w:rPr>
        <w:t>Client data retained for 30 days post-termination (export available)</w:t>
      </w:r>
    </w:p>
    <w:p>
      <w:pPr>
        <w:pStyle w:val="ListParagraph"/>
        <w:numPr>
          <w:ilvl w:val="0"/>
          <w:numId w:val="4"/>
        </w:numPr>
      </w:pPr>
      <w:r>
        <w:rPr>
          <w:rFonts w:ascii="Figtree" w:hAnsi="Figtree"/>
          <w:b w:val="0"/>
          <w:i w:val="0"/>
          <w:sz w:val="22"/>
        </w:rPr>
        <w:t>Intellectual property provisions survive termination</w:t>
      </w:r>
    </w:p>
    <w:p>
      <w:pPr>
        <w:pStyle w:val="ListParagraph"/>
        <w:numPr>
          <w:ilvl w:val="0"/>
          <w:numId w:val="4"/>
        </w:numPr>
      </w:pPr>
      <w:r>
        <w:rPr>
          <w:rFonts w:ascii="Figtree" w:hAnsi="Figtree"/>
          <w:b w:val="0"/>
          <w:i w:val="0"/>
          <w:sz w:val="22"/>
        </w:rPr>
        <w:t>Confidentiality obligations continue per agreement terms</w:t>
      </w:r>
    </w:p>
    <w:p>
      <w:pPr>
        <w:pStyle w:val="H2"/>
        <w:numPr>
          <w:ilvl w:val="1"/>
          <w:numId w:val="1"/>
        </w:numPr>
      </w:pPr>
      <w:r>
        <w:t>7.6 Intellectual Property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99"/>
        <w:gridCol w:w="31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Ownership</w:t>
            </w:r>
          </w:p>
        </w:tc>
      </w:tr>
      <w:tr>
        <w:trPr>
          <w:trHeight w:val="425" w:hRule="atLeast"/>
        </w:trPr>
        <w:tc>
          <w:tcPr>
            <w:tcW w:type="dxa" w:w="4873"/>
            <w:vAlign w:val="center"/>
          </w:tcPr>
          <w:p>
            <w:pPr>
              <w:spacing w:line="276" w:lineRule="auto" w:before="0" w:after="0"/>
            </w:pPr>
            <w:r/>
            <w:r>
              <w:rPr>
                <w:rFonts w:ascii="Figtree" w:hAnsi="Figtree"/>
                <w:b w:val="0"/>
                <w:i w:val="0"/>
                <w:sz w:val="20"/>
              </w:rPr>
              <w:t>DALP Platform</w:t>
            </w:r>
          </w:p>
        </w:tc>
        <w:tc>
          <w:tcPr>
            <w:tcW w:type="dxa" w:w="4873"/>
            <w:vAlign w:val="center"/>
          </w:tcPr>
          <w:p>
            <w:pPr>
              <w:spacing w:line="276" w:lineRule="auto" w:before="0" w:after="0"/>
            </w:pPr>
            <w:r/>
            <w:r>
              <w:rPr>
                <w:rFonts w:ascii="Figtree" w:hAnsi="Figtree"/>
                <w:b w:val="0"/>
                <w:i w:val="0"/>
                <w:sz w:val="20"/>
              </w:rPr>
              <w:t>SettleMint</w:t>
            </w:r>
          </w:p>
        </w:tc>
      </w:tr>
      <w:tr>
        <w:trPr>
          <w:trHeight w:val="425" w:hRule="atLeast"/>
        </w:trPr>
        <w:tc>
          <w:tcPr>
            <w:tcW w:type="dxa" w:w="4873"/>
            <w:vAlign w:val="center"/>
          </w:tcPr>
          <w:p>
            <w:pPr>
              <w:spacing w:line="276" w:lineRule="auto" w:before="0" w:after="0"/>
            </w:pPr>
            <w:r/>
            <w:r>
              <w:rPr>
                <w:rFonts w:ascii="Figtree" w:hAnsi="Figtree"/>
                <w:b w:val="0"/>
                <w:i w:val="0"/>
                <w:sz w:val="20"/>
              </w:rPr>
              <w:t>Client configurations</w:t>
            </w:r>
          </w:p>
        </w:tc>
        <w:tc>
          <w:tcPr>
            <w:tcW w:type="dxa" w:w="4873"/>
            <w:vAlign w:val="center"/>
          </w:tcPr>
          <w:p>
            <w:pPr>
              <w:spacing w:line="276" w:lineRule="auto" w:before="0" w:after="0"/>
            </w:pPr>
            <w:r/>
            <w:r>
              <w:rPr>
                <w:rFonts w:ascii="Figtree" w:hAnsi="Figtree"/>
                <w:b w:val="0"/>
                <w:i w:val="0"/>
                <w:sz w:val="20"/>
              </w:rPr>
              <w:t>Client</w:t>
            </w:r>
          </w:p>
        </w:tc>
      </w:tr>
      <w:tr>
        <w:trPr>
          <w:trHeight w:val="425" w:hRule="atLeast"/>
        </w:trPr>
        <w:tc>
          <w:tcPr>
            <w:tcW w:type="dxa" w:w="4873"/>
            <w:vAlign w:val="center"/>
          </w:tcPr>
          <w:p>
            <w:pPr>
              <w:spacing w:line="276" w:lineRule="auto" w:before="0" w:after="0"/>
            </w:pPr>
            <w:r/>
            <w:r>
              <w:rPr>
                <w:rFonts w:ascii="Figtree" w:hAnsi="Figtree"/>
                <w:b w:val="0"/>
                <w:i w:val="0"/>
                <w:sz w:val="20"/>
              </w:rPr>
              <w:t>Client data</w:t>
            </w:r>
          </w:p>
        </w:tc>
        <w:tc>
          <w:tcPr>
            <w:tcW w:type="dxa" w:w="4873"/>
            <w:vAlign w:val="center"/>
          </w:tcPr>
          <w:p>
            <w:pPr>
              <w:spacing w:line="276" w:lineRule="auto" w:before="0" w:after="0"/>
            </w:pPr>
            <w:r/>
            <w:r>
              <w:rPr>
                <w:rFonts w:ascii="Figtree" w:hAnsi="Figtree"/>
                <w:b w:val="0"/>
                <w:i w:val="0"/>
                <w:sz w:val="20"/>
              </w:rPr>
              <w:t>Client</w:t>
            </w:r>
          </w:p>
        </w:tc>
      </w:tr>
    </w:tbl>
    <w:p>
      <w:pPr>
        <w:spacing w:before="0" w:after="0" w:line="120" w:lineRule="exact"/>
      </w:pPr>
    </w:p>
    <w:p>
      <w:r>
        <w:rPr>
          <w:rFonts w:ascii="Figtree" w:hAnsi="Figtree"/>
          <w:b w:val="0"/>
          <w:i w:val="0"/>
          <w:sz w:val="22"/>
        </w:rPr>
        <w:t>custom integrations created by client. Client retains ownership of integration code developed specifically for their deployment. SettleMint retains all intellectual property rights in the DALP platform, including underlying smart contracts, APIs, documentation, and technology stack.</w:t>
      </w:r>
    </w:p>
    <w:p>
      <w:pPr>
        <w:pStyle w:val="ListParagraph"/>
        <w:numPr>
          <w:ilvl w:val="0"/>
          <w:numId w:val="4"/>
        </w:numPr>
      </w:pPr>
      <w:r>
        <w:rPr>
          <w:rFonts w:ascii="Figtree" w:hAnsi="Figtree"/>
          <w:b w:val="0"/>
          <w:i w:val="0"/>
          <w:sz w:val="22"/>
        </w:rPr>
        <w:t>SettleMint grants client a non-exclusive, non-transferable license to use DALP platform during the term</w:t>
      </w:r>
    </w:p>
    <w:p>
      <w:pPr>
        <w:pStyle w:val="ListParagraph"/>
        <w:numPr>
          <w:ilvl w:val="0"/>
          <w:numId w:val="4"/>
        </w:numPr>
      </w:pPr>
      <w:r>
        <w:rPr>
          <w:rFonts w:ascii="Figtree" w:hAnsi="Figtree"/>
          <w:b w:val="0"/>
          <w:i w:val="0"/>
          <w:sz w:val="22"/>
        </w:rPr>
        <w:t>Client retains ownership of all data uploaded to the platform</w:t>
      </w:r>
    </w:p>
    <w:p>
      <w:pPr>
        <w:pStyle w:val="ListParagraph"/>
        <w:numPr>
          <w:ilvl w:val="0"/>
          <w:numId w:val="4"/>
        </w:numPr>
      </w:pPr>
      <w:r>
        <w:rPr>
          <w:rFonts w:ascii="Figtree" w:hAnsi="Figtree"/>
          <w:b w:val="0"/>
          <w:i w:val="0"/>
          <w:sz w:val="22"/>
        </w:rPr>
        <w:t>No transfer of source code except as necessary for on-premises deployments under separate escrow arrangements</w:t>
      </w:r>
    </w:p>
    <w:p>
      <w:pPr>
        <w:pStyle w:val="H2"/>
        <w:numPr>
          <w:ilvl w:val="1"/>
          <w:numId w:val="1"/>
        </w:numPr>
      </w:pPr>
      <w:r>
        <w:t>7.7 Liability</w:t>
      </w:r>
    </w:p>
    <w:p>
      <w:pPr>
        <w:pStyle w:val="ListParagraph"/>
        <w:numPr>
          <w:ilvl w:val="0"/>
          <w:numId w:val="4"/>
        </w:numPr>
      </w:pPr>
      <w:r>
        <w:rPr>
          <w:rFonts w:ascii="Figtree" w:hAnsi="Figtree"/>
          <w:b/>
          <w:i w:val="0"/>
          <w:sz w:val="22"/>
        </w:rPr>
        <w:t>Liability cap</w:t>
      </w:r>
      <w:r>
        <w:rPr>
          <w:rFonts w:ascii="Figtree" w:hAnsi="Figtree"/>
          <w:b w:val="0"/>
          <w:i w:val="0"/>
          <w:sz w:val="22"/>
        </w:rPr>
        <w:t>: Total liability capped at 12 months of fees paid under the applicable agreement</w:t>
      </w:r>
    </w:p>
    <w:p>
      <w:pPr>
        <w:pStyle w:val="ListParagraph"/>
        <w:numPr>
          <w:ilvl w:val="0"/>
          <w:numId w:val="4"/>
        </w:numPr>
      </w:pPr>
      <w:r>
        <w:rPr>
          <w:rFonts w:ascii="Figtree" w:hAnsi="Figtree"/>
          <w:b/>
          <w:i w:val="0"/>
          <w:sz w:val="22"/>
        </w:rPr>
        <w:t>Exclusions</w:t>
      </w:r>
      <w:r>
        <w:rPr>
          <w:rFonts w:ascii="Figtree" w:hAnsi="Figtree"/>
          <w:b w:val="0"/>
          <w:i w:val="0"/>
          <w:sz w:val="22"/>
        </w:rPr>
        <w:t>: Consequential damages, lost profits, and indirect damages are excluded</w:t>
      </w:r>
    </w:p>
    <w:p>
      <w:pPr>
        <w:pStyle w:val="ListParagraph"/>
        <w:numPr>
          <w:ilvl w:val="0"/>
          <w:numId w:val="4"/>
        </w:numPr>
      </w:pPr>
      <w:r>
        <w:rPr>
          <w:rFonts w:ascii="Figtree" w:hAnsi="Figtree"/>
          <w:b/>
          <w:i w:val="0"/>
          <w:sz w:val="22"/>
        </w:rPr>
        <w:t>Warranties</w:t>
      </w:r>
      <w:r>
        <w:rPr>
          <w:rFonts w:ascii="Figtree" w:hAnsi="Figtree"/>
          <w:b w:val="0"/>
          <w:i w:val="0"/>
          <w:sz w:val="22"/>
        </w:rPr>
        <w:t>: Platform provided "as-is" with standard warranty for material conformance to documentation</w:t>
      </w:r>
    </w:p>
    <w:p>
      <w:pPr>
        <w:pStyle w:val="ListParagraph"/>
        <w:numPr>
          <w:ilvl w:val="0"/>
          <w:numId w:val="4"/>
        </w:numPr>
      </w:pPr>
      <w:r>
        <w:rPr>
          <w:rFonts w:ascii="Figtree" w:hAnsi="Figtree"/>
          <w:b/>
          <w:i w:val="0"/>
          <w:sz w:val="22"/>
        </w:rPr>
        <w:t>Indemnification</w:t>
      </w:r>
      <w:r>
        <w:rPr>
          <w:rFonts w:ascii="Figtree" w:hAnsi="Figtree"/>
          <w:b w:val="0"/>
          <w:i w:val="0"/>
          <w:sz w:val="22"/>
        </w:rPr>
        <w:t>: SettleMint indemnifies against IP infringement claims; client indemnifies against misuse</w:t>
      </w:r>
    </w:p>
    <w:p>
      <w:pPr>
        <w:pStyle w:val="H2"/>
        <w:numPr>
          <w:ilvl w:val="1"/>
          <w:numId w:val="1"/>
        </w:numPr>
      </w:pPr>
      <w:r>
        <w:t>7.8 Confidentiality</w:t>
      </w:r>
    </w:p>
    <w:p>
      <w:pPr>
        <w:pStyle w:val="ListParagraph"/>
        <w:numPr>
          <w:ilvl w:val="0"/>
          <w:numId w:val="4"/>
        </w:numPr>
      </w:pPr>
      <w:r>
        <w:rPr>
          <w:rFonts w:ascii="Figtree" w:hAnsi="Figtree"/>
          <w:b/>
          <w:i w:val="0"/>
          <w:sz w:val="22"/>
        </w:rPr>
        <w:t>Obligations</w:t>
      </w:r>
      <w:r>
        <w:rPr>
          <w:rFonts w:ascii="Figtree" w:hAnsi="Figtree"/>
          <w:b w:val="0"/>
          <w:i w:val="0"/>
          <w:sz w:val="22"/>
        </w:rPr>
        <w:t>: Both parties agree to protect confidential information with at least reasonable care</w:t>
      </w:r>
    </w:p>
    <w:p>
      <w:pPr>
        <w:pStyle w:val="ListParagraph"/>
        <w:numPr>
          <w:ilvl w:val="0"/>
          <w:numId w:val="4"/>
        </w:numPr>
      </w:pPr>
      <w:r>
        <w:rPr>
          <w:rFonts w:ascii="Figtree" w:hAnsi="Figtree"/>
          <w:b/>
          <w:i w:val="0"/>
          <w:sz w:val="22"/>
        </w:rPr>
        <w:t>Duration</w:t>
      </w:r>
      <w:r>
        <w:rPr>
          <w:rFonts w:ascii="Figtree" w:hAnsi="Figtree"/>
          <w:b w:val="0"/>
          <w:i w:val="0"/>
          <w:sz w:val="22"/>
        </w:rPr>
        <w:t>: Confidentiality obligations survive for 3 years post-termination</w:t>
      </w:r>
    </w:p>
    <w:p>
      <w:pPr>
        <w:pStyle w:val="ListParagraph"/>
        <w:numPr>
          <w:ilvl w:val="0"/>
          <w:numId w:val="4"/>
        </w:numPr>
      </w:pPr>
      <w:r>
        <w:rPr>
          <w:rFonts w:ascii="Figtree" w:hAnsi="Figtree"/>
          <w:b/>
          <w:i w:val="0"/>
          <w:sz w:val="22"/>
        </w:rPr>
        <w:t>Exceptions</w:t>
      </w:r>
      <w:r>
        <w:rPr>
          <w:rFonts w:ascii="Figtree" w:hAnsi="Figtree"/>
          <w:b w:val="0"/>
          <w:i w:val="0"/>
          <w:sz w:val="22"/>
        </w:rPr>
        <w:t>: Legal compulsion, publicly available information, information received from third parties</w:t>
      </w:r>
    </w:p>
    <w:p>
      <w:pPr>
        <w:pStyle w:val="H2"/>
        <w:numPr>
          <w:ilvl w:val="1"/>
          <w:numId w:val="1"/>
        </w:numPr>
      </w:pPr>
      <w:r>
        <w:t>7.9 Escrow</w:t>
      </w:r>
    </w:p>
    <w:p>
      <w:pPr>
        <w:pStyle w:val="ListParagraph"/>
        <w:numPr>
          <w:ilvl w:val="0"/>
          <w:numId w:val="4"/>
        </w:numPr>
      </w:pPr>
      <w:r>
        <w:rPr>
          <w:rFonts w:ascii="Figtree" w:hAnsi="Figtree"/>
          <w:b/>
          <w:i w:val="0"/>
          <w:sz w:val="22"/>
        </w:rPr>
        <w:t>Availability</w:t>
      </w:r>
      <w:r>
        <w:rPr>
          <w:rFonts w:ascii="Figtree" w:hAnsi="Figtree"/>
          <w:b w:val="0"/>
          <w:i w:val="0"/>
          <w:sz w:val="22"/>
        </w:rPr>
        <w:t>: Source code escrow available for Enterprise and Sovereign tier clients</w:t>
      </w:r>
    </w:p>
    <w:p>
      <w:pPr>
        <w:pStyle w:val="ListParagraph"/>
        <w:numPr>
          <w:ilvl w:val="0"/>
          <w:numId w:val="4"/>
        </w:numPr>
      </w:pPr>
      <w:r>
        <w:rPr>
          <w:rFonts w:ascii="Figtree" w:hAnsi="Figtree"/>
          <w:b/>
          <w:i w:val="0"/>
          <w:sz w:val="22"/>
        </w:rPr>
        <w:t>Terms</w:t>
      </w:r>
      <w:r>
        <w:rPr>
          <w:rFonts w:ascii="Figtree" w:hAnsi="Figtree"/>
          <w:b w:val="0"/>
          <w:i w:val="0"/>
          <w:sz w:val="22"/>
        </w:rPr>
        <w:t>: Escrow agreement negotiated separately; covers platform source code for business continuity</w:t>
      </w:r>
    </w:p>
    <w:p>
      <w:pPr>
        <w:pStyle w:val="ListParagraph"/>
        <w:numPr>
          <w:ilvl w:val="0"/>
          <w:numId w:val="4"/>
        </w:numPr>
      </w:pPr>
      <w:r>
        <w:rPr>
          <w:rFonts w:ascii="Figtree" w:hAnsi="Figtree"/>
          <w:b/>
          <w:i w:val="0"/>
          <w:sz w:val="22"/>
        </w:rPr>
        <w:t>Release triggers</w:t>
      </w:r>
      <w:r>
        <w:rPr>
          <w:rFonts w:ascii="Figtree" w:hAnsi="Figtree"/>
          <w:b w:val="0"/>
          <w:i w:val="0"/>
          <w:sz w:val="22"/>
        </w:rPr>
        <w:t>: Material breach, insolvency, or extended service discontinuation</w:t>
      </w:r>
    </w:p>
    <w:p>
      <w:r>
        <w:br w:type="page"/>
      </w:r>
    </w:p>
    <w:p>
      <w:pPr>
        <w:pStyle w:val="H1"/>
        <w:numPr>
          <w:ilvl w:val="0"/>
          <w:numId w:val="1"/>
        </w:numPr>
      </w:pPr>
      <w:r>
        <w:t>8. Total Cost of Ownership</w:t>
      </w:r>
    </w:p>
    <w:p>
      <w:pPr>
        <w:pStyle w:val="H2"/>
        <w:numPr>
          <w:ilvl w:val="1"/>
          <w:numId w:val="1"/>
        </w:numPr>
      </w:pPr>
      <w:r>
        <w:t>8.1 TCO Framework</w:t>
      </w:r>
    </w:p>
    <w:p>
      <w:r>
        <w:rPr>
          <w:rFonts w:ascii="Figtree" w:hAnsi="Figtree"/>
          <w:b w:val="0"/>
          <w:i w:val="0"/>
          <w:sz w:val="22"/>
        </w:rPr>
        <w:t>The Total Cost of Ownership (TCO) framework compares DALP against realistic alternatives over multi-year horizons. The comparison includes not just software fees but also hidden integration, infrastructure, and maintenance costs that are often underestimated in initial procurement assessments.</w:t>
      </w:r>
    </w:p>
    <w:p>
      <w:pPr>
        <w:pStyle w:val="H3"/>
        <w:numPr>
          <w:ilvl w:val="2"/>
          <w:numId w:val="1"/>
        </w:numPr>
      </w:pPr>
      <w:r>
        <w:t>TCO Comparison Dimensions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97"/>
        <w:gridCol w:w="2496"/>
        <w:gridCol w:w="2413"/>
        <w:gridCol w:w="216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2436"/>
            <w:vAlign w:val="center"/>
          </w:tcPr>
          <w:p>
            <w:pPr>
              <w:spacing w:line="276" w:lineRule="auto" w:before="0" w:after="0"/>
            </w:pPr>
            <w:r/>
            <w:r>
              <w:rPr>
                <w:rFonts w:ascii="Figtree" w:hAnsi="Figtree"/>
                <w:b/>
                <w:i w:val="0"/>
                <w:sz w:val="20"/>
              </w:rPr>
              <w:t>Platform licensing</w:t>
            </w:r>
          </w:p>
        </w:tc>
        <w:tc>
          <w:tcPr>
            <w:tcW w:type="dxa" w:w="2436"/>
            <w:vAlign w:val="center"/>
          </w:tcPr>
          <w:p>
            <w:pPr>
              <w:spacing w:line="276" w:lineRule="auto" w:before="0" w:after="0"/>
            </w:pPr>
            <w:r/>
            <w:r>
              <w:rPr>
                <w:rFonts w:ascii="Figtree" w:hAnsi="Figtree"/>
                <w:b w:val="0"/>
                <w:i w:val="0"/>
                <w:sz w:val="20"/>
              </w:rPr>
              <w:t>Annual subscription</w:t>
            </w:r>
          </w:p>
        </w:tc>
        <w:tc>
          <w:tcPr>
            <w:tcW w:type="dxa" w:w="2436"/>
            <w:vAlign w:val="center"/>
          </w:tcPr>
          <w:p>
            <w:pPr>
              <w:spacing w:line="276" w:lineRule="auto" w:before="0" w:after="0"/>
            </w:pPr>
            <w:r/>
            <w:r>
              <w:rPr>
                <w:rFonts w:ascii="Figtree" w:hAnsi="Figtree"/>
                <w:b w:val="0"/>
                <w:i w:val="0"/>
                <w:sz w:val="20"/>
              </w:rPr>
              <w:t>Internal engineering costs</w:t>
            </w:r>
          </w:p>
        </w:tc>
        <w:tc>
          <w:tcPr>
            <w:tcW w:type="dxa" w:w="2436"/>
            <w:vAlign w:val="center"/>
          </w:tcPr>
          <w:p>
            <w:pPr>
              <w:spacing w:line="276" w:lineRule="auto" w:before="0" w:after="0"/>
            </w:pPr>
            <w:r/>
            <w:r>
              <w:rPr>
                <w:rFonts w:ascii="Figtree" w:hAnsi="Figtree"/>
                <w:b w:val="0"/>
                <w:i w:val="0"/>
                <w:sz w:val="20"/>
              </w:rPr>
              <w:t>Multiple vendor licenses</w:t>
            </w:r>
          </w:p>
        </w:tc>
      </w:tr>
      <w:tr>
        <w:trPr>
          <w:trHeight w:val="425" w:hRule="atLeast"/>
        </w:trPr>
        <w:tc>
          <w:tcPr>
            <w:tcW w:type="dxa" w:w="2436"/>
            <w:vAlign w:val="center"/>
          </w:tcPr>
          <w:p>
            <w:pPr>
              <w:spacing w:line="276" w:lineRule="auto" w:before="0" w:after="0"/>
            </w:pPr>
            <w:r/>
            <w:r>
              <w:rPr>
                <w:rFonts w:ascii="Figtree" w:hAnsi="Figtree"/>
                <w:b/>
                <w:i w:val="0"/>
                <w:sz w:val="20"/>
              </w:rPr>
              <w:t>Implementation</w:t>
            </w:r>
          </w:p>
        </w:tc>
        <w:tc>
          <w:tcPr>
            <w:tcW w:type="dxa" w:w="2436"/>
            <w:vAlign w:val="center"/>
          </w:tcPr>
          <w:p>
            <w:pPr>
              <w:spacing w:line="276" w:lineRule="auto" w:before="0" w:after="0"/>
            </w:pPr>
            <w:r/>
            <w:r>
              <w:rPr>
                <w:rFonts w:ascii="Figtree" w:hAnsi="Figtree"/>
                <w:b w:val="0"/>
                <w:i w:val="0"/>
                <w:sz w:val="20"/>
              </w:rPr>
              <w:t>Fixed-price scope</w:t>
            </w:r>
          </w:p>
        </w:tc>
        <w:tc>
          <w:tcPr>
            <w:tcW w:type="dxa" w:w="2436"/>
            <w:vAlign w:val="center"/>
          </w:tcPr>
          <w:p>
            <w:pPr>
              <w:spacing w:line="276" w:lineRule="auto" w:before="0" w:after="0"/>
            </w:pPr>
            <w:r/>
            <w:r>
              <w:rPr>
                <w:rFonts w:ascii="Figtree" w:hAnsi="Figtree"/>
                <w:b w:val="0"/>
                <w:i w:val="0"/>
                <w:sz w:val="20"/>
              </w:rPr>
              <w:t>Extended development timeline</w:t>
            </w:r>
          </w:p>
        </w:tc>
        <w:tc>
          <w:tcPr>
            <w:tcW w:type="dxa" w:w="2436"/>
            <w:vAlign w:val="center"/>
          </w:tcPr>
          <w:p>
            <w:pPr>
              <w:spacing w:line="276" w:lineRule="auto" w:before="0" w:after="0"/>
            </w:pPr>
            <w:r/>
            <w:r>
              <w:rPr>
                <w:rFonts w:ascii="Figtree" w:hAnsi="Figtree"/>
                <w:b w:val="0"/>
                <w:i w:val="0"/>
                <w:sz w:val="20"/>
              </w:rPr>
              <w:t>Integration coordination</w:t>
            </w:r>
          </w:p>
        </w:tc>
      </w:tr>
      <w:tr>
        <w:trPr>
          <w:trHeight w:val="425" w:hRule="atLeast"/>
        </w:trPr>
        <w:tc>
          <w:tcPr>
            <w:tcW w:type="dxa" w:w="2436"/>
            <w:vAlign w:val="center"/>
          </w:tcPr>
          <w:p>
            <w:pPr>
              <w:spacing w:line="276" w:lineRule="auto" w:before="0" w:after="0"/>
            </w:pPr>
            <w:r/>
            <w:r>
              <w:rPr>
                <w:rFonts w:ascii="Figtree" w:hAnsi="Figtree"/>
                <w:b/>
                <w:i w:val="0"/>
                <w:sz w:val="20"/>
              </w:rPr>
              <w:t>Infrastructure</w:t>
            </w:r>
          </w:p>
        </w:tc>
        <w:tc>
          <w:tcPr>
            <w:tcW w:type="dxa" w:w="2436"/>
            <w:vAlign w:val="center"/>
          </w:tcPr>
          <w:p>
            <w:pPr>
              <w:spacing w:line="276" w:lineRule="auto" w:before="0" w:after="0"/>
            </w:pPr>
            <w:r/>
            <w:r>
              <w:rPr>
                <w:rFonts w:ascii="Figtree" w:hAnsi="Figtree"/>
                <w:b w:val="0"/>
                <w:i w:val="0"/>
                <w:sz w:val="20"/>
              </w:rPr>
              <w:t>Client-managed or pass-through</w:t>
            </w:r>
          </w:p>
        </w:tc>
        <w:tc>
          <w:tcPr>
            <w:tcW w:type="dxa" w:w="2436"/>
            <w:vAlign w:val="center"/>
          </w:tcPr>
          <w:p>
            <w:pPr>
              <w:spacing w:line="276" w:lineRule="auto" w:before="0" w:after="0"/>
            </w:pPr>
            <w:r/>
            <w:r>
              <w:rPr>
                <w:rFonts w:ascii="Figtree" w:hAnsi="Figtree"/>
                <w:b w:val="0"/>
                <w:i w:val="0"/>
                <w:sz w:val="20"/>
              </w:rPr>
              <w:t>Full infrastructure ownership</w:t>
            </w:r>
          </w:p>
        </w:tc>
        <w:tc>
          <w:tcPr>
            <w:tcW w:type="dxa" w:w="2436"/>
            <w:vAlign w:val="center"/>
          </w:tcPr>
          <w:p>
            <w:pPr>
              <w:spacing w:line="276" w:lineRule="auto" w:before="0" w:after="0"/>
            </w:pPr>
            <w:r/>
            <w:r>
              <w:rPr>
                <w:rFonts w:ascii="Figtree" w:hAnsi="Figtree"/>
                <w:b w:val="0"/>
                <w:i w:val="0"/>
                <w:sz w:val="20"/>
              </w:rPr>
              <w:t>Per-vendor infrastructure</w:t>
            </w:r>
          </w:p>
        </w:tc>
      </w:tr>
      <w:tr>
        <w:trPr>
          <w:trHeight w:val="425" w:hRule="atLeast"/>
        </w:trPr>
        <w:tc>
          <w:tcPr>
            <w:tcW w:type="dxa" w:w="2436"/>
            <w:vAlign w:val="center"/>
          </w:tcPr>
          <w:p>
            <w:pPr>
              <w:spacing w:line="276" w:lineRule="auto" w:before="0" w:after="0"/>
            </w:pPr>
            <w:r/>
            <w:r>
              <w:rPr>
                <w:rFonts w:ascii="Figtree" w:hAnsi="Figtree"/>
                <w:b/>
                <w:i w:val="0"/>
                <w:sz w:val="20"/>
              </w:rPr>
              <w:t>Support</w:t>
            </w:r>
          </w:p>
        </w:tc>
        <w:tc>
          <w:tcPr>
            <w:tcW w:type="dxa" w:w="2436"/>
            <w:vAlign w:val="center"/>
          </w:tcPr>
          <w:p>
            <w:pPr>
              <w:spacing w:line="276" w:lineRule="auto" w:before="0" w:after="0"/>
            </w:pPr>
            <w:r/>
            <w:r>
              <w:rPr>
                <w:rFonts w:ascii="Figtree" w:hAnsi="Figtree"/>
                <w:b w:val="0"/>
                <w:i w:val="0"/>
                <w:sz w:val="20"/>
              </w:rPr>
              <w:t>Tiered included</w:t>
            </w:r>
          </w:p>
        </w:tc>
        <w:tc>
          <w:tcPr>
            <w:tcW w:type="dxa" w:w="2436"/>
            <w:vAlign w:val="center"/>
          </w:tcPr>
          <w:p>
            <w:pPr>
              <w:spacing w:line="276" w:lineRule="auto" w:before="0" w:after="0"/>
            </w:pPr>
            <w:r/>
            <w:r>
              <w:rPr>
                <w:rFonts w:ascii="Figtree" w:hAnsi="Figtree"/>
                <w:b w:val="0"/>
                <w:i w:val="0"/>
                <w:sz w:val="20"/>
              </w:rPr>
              <w:t>Internal support headcount</w:t>
            </w:r>
          </w:p>
        </w:tc>
        <w:tc>
          <w:tcPr>
            <w:tcW w:type="dxa" w:w="2436"/>
            <w:vAlign w:val="center"/>
          </w:tcPr>
          <w:p>
            <w:pPr>
              <w:spacing w:line="276" w:lineRule="auto" w:before="0" w:after="0"/>
            </w:pPr>
            <w:r/>
            <w:r>
              <w:rPr>
                <w:rFonts w:ascii="Figtree" w:hAnsi="Figtree"/>
                <w:b w:val="0"/>
                <w:i w:val="0"/>
                <w:sz w:val="20"/>
              </w:rPr>
              <w:t>Multiple support contracts</w:t>
            </w:r>
          </w:p>
        </w:tc>
      </w:tr>
      <w:tr>
        <w:trPr>
          <w:trHeight w:val="425" w:hRule="atLeast"/>
        </w:trPr>
        <w:tc>
          <w:tcPr>
            <w:tcW w:type="dxa" w:w="2436"/>
            <w:vAlign w:val="center"/>
          </w:tcPr>
          <w:p>
            <w:pPr>
              <w:spacing w:line="276" w:lineRule="auto" w:before="0" w:after="0"/>
            </w:pPr>
            <w:r/>
            <w:r>
              <w:rPr>
                <w:rFonts w:ascii="Figtree" w:hAnsi="Figtree"/>
                <w:b/>
                <w:i w:val="0"/>
                <w:sz w:val="20"/>
              </w:rPr>
              <w:t>Maintenance</w:t>
            </w:r>
          </w:p>
        </w:tc>
        <w:tc>
          <w:tcPr>
            <w:tcW w:type="dxa" w:w="2436"/>
            <w:vAlign w:val="center"/>
          </w:tcPr>
          <w:p>
            <w:pPr>
              <w:spacing w:line="276" w:lineRule="auto" w:before="0" w:after="0"/>
            </w:pPr>
            <w:r/>
            <w:r>
              <w:rPr>
                <w:rFonts w:ascii="Figtree" w:hAnsi="Figtree"/>
                <w:b w:val="0"/>
                <w:i w:val="0"/>
                <w:sz w:val="20"/>
              </w:rPr>
              <w:t>Managed by SettleMint</w:t>
            </w:r>
          </w:p>
        </w:tc>
        <w:tc>
          <w:tcPr>
            <w:tcW w:type="dxa" w:w="2436"/>
            <w:vAlign w:val="center"/>
          </w:tcPr>
          <w:p>
            <w:pPr>
              <w:spacing w:line="276" w:lineRule="auto" w:before="0" w:after="0"/>
            </w:pPr>
            <w:r/>
            <w:r>
              <w:rPr>
                <w:rFonts w:ascii="Figtree" w:hAnsi="Figtree"/>
                <w:b w:val="0"/>
                <w:i w:val="0"/>
                <w:sz w:val="20"/>
              </w:rPr>
              <w:t>Internal engineering team</w:t>
            </w:r>
          </w:p>
        </w:tc>
        <w:tc>
          <w:tcPr>
            <w:tcW w:type="dxa" w:w="2436"/>
            <w:vAlign w:val="center"/>
          </w:tcPr>
          <w:p>
            <w:pPr>
              <w:spacing w:line="276" w:lineRule="auto" w:before="0" w:after="0"/>
            </w:pPr>
            <w:r/>
            <w:r>
              <w:rPr>
                <w:rFonts w:ascii="Figtree" w:hAnsi="Figtree"/>
                <w:b w:val="0"/>
                <w:i w:val="0"/>
                <w:sz w:val="20"/>
              </w:rPr>
              <w:t>Coordination overhead</w:t>
            </w:r>
          </w:p>
        </w:tc>
      </w:tr>
      <w:tr>
        <w:trPr>
          <w:trHeight w:val="425" w:hRule="atLeast"/>
        </w:trPr>
        <w:tc>
          <w:tcPr>
            <w:tcW w:type="dxa" w:w="2436"/>
            <w:vAlign w:val="center"/>
          </w:tcPr>
          <w:p>
            <w:pPr>
              <w:spacing w:line="276" w:lineRule="auto" w:before="0" w:after="0"/>
            </w:pPr>
            <w:r/>
            <w:r>
              <w:rPr>
                <w:rFonts w:ascii="Figtree" w:hAnsi="Figtree"/>
                <w:b/>
                <w:i w:val="0"/>
                <w:sz w:val="20"/>
              </w:rPr>
              <w:t>Compliance updates</w:t>
            </w:r>
          </w:p>
        </w:tc>
        <w:tc>
          <w:tcPr>
            <w:tcW w:type="dxa" w:w="2436"/>
            <w:vAlign w:val="center"/>
          </w:tcPr>
          <w:p>
            <w:pPr>
              <w:spacing w:line="276" w:lineRule="auto" w:before="0" w:after="0"/>
            </w:pPr>
            <w:r/>
            <w:r>
              <w:rPr>
                <w:rFonts w:ascii="Figtree" w:hAnsi="Figtree"/>
                <w:b w:val="0"/>
                <w:i w:val="0"/>
                <w:sz w:val="20"/>
              </w:rPr>
              <w:t>Configuration changes</w:t>
            </w:r>
          </w:p>
        </w:tc>
        <w:tc>
          <w:tcPr>
            <w:tcW w:type="dxa" w:w="2436"/>
            <w:vAlign w:val="center"/>
          </w:tcPr>
          <w:p>
            <w:pPr>
              <w:spacing w:line="276" w:lineRule="auto" w:before="0" w:after="0"/>
            </w:pPr>
            <w:r/>
            <w:r>
              <w:rPr>
                <w:rFonts w:ascii="Figtree" w:hAnsi="Figtree"/>
                <w:b w:val="0"/>
                <w:i w:val="0"/>
                <w:sz w:val="20"/>
              </w:rPr>
              <w:t>Custom development</w:t>
            </w:r>
          </w:p>
        </w:tc>
        <w:tc>
          <w:tcPr>
            <w:tcW w:type="dxa" w:w="2436"/>
            <w:vAlign w:val="center"/>
          </w:tcPr>
          <w:p>
            <w:pPr>
              <w:spacing w:line="276" w:lineRule="auto" w:before="0" w:after="0"/>
            </w:pPr>
            <w:r/>
            <w:r>
              <w:rPr>
                <w:rFonts w:ascii="Figtree" w:hAnsi="Figtree"/>
                <w:b w:val="0"/>
                <w:i w:val="0"/>
                <w:sz w:val="20"/>
              </w:rPr>
              <w:t>Vendor-dependent</w:t>
            </w:r>
          </w:p>
        </w:tc>
      </w:tr>
      <w:tr>
        <w:trPr>
          <w:trHeight w:val="425" w:hRule="atLeast"/>
        </w:trPr>
        <w:tc>
          <w:tcPr>
            <w:tcW w:type="dxa" w:w="2436"/>
            <w:vAlign w:val="center"/>
          </w:tcPr>
          <w:p>
            <w:pPr>
              <w:spacing w:line="276" w:lineRule="auto" w:before="0" w:after="0"/>
            </w:pPr>
            <w:r/>
            <w:r>
              <w:rPr>
                <w:rFonts w:ascii="Figtree" w:hAnsi="Figtree"/>
                <w:b/>
                <w:i w:val="0"/>
                <w:sz w:val="20"/>
              </w:rPr>
              <w:t>Operational overhead</w:t>
            </w:r>
          </w:p>
        </w:tc>
        <w:tc>
          <w:tcPr>
            <w:tcW w:type="dxa" w:w="2436"/>
            <w:vAlign w:val="center"/>
          </w:tcPr>
          <w:p>
            <w:pPr>
              <w:spacing w:line="276" w:lineRule="auto" w:before="0" w:after="0"/>
            </w:pPr>
            <w:r/>
            <w:r>
              <w:rPr>
                <w:rFonts w:ascii="Figtree" w:hAnsi="Figtree"/>
                <w:b w:val="0"/>
                <w:i w:val="0"/>
                <w:sz w:val="20"/>
              </w:rPr>
              <w:t>Single platform</w:t>
            </w:r>
          </w:p>
        </w:tc>
        <w:tc>
          <w:tcPr>
            <w:tcW w:type="dxa" w:w="2436"/>
            <w:vAlign w:val="center"/>
          </w:tcPr>
          <w:p>
            <w:pPr>
              <w:spacing w:line="276" w:lineRule="auto" w:before="0" w:after="0"/>
            </w:pPr>
            <w:r/>
            <w:r>
              <w:rPr>
                <w:rFonts w:ascii="Figtree" w:hAnsi="Figtree"/>
                <w:b w:val="0"/>
                <w:i w:val="0"/>
                <w:sz w:val="20"/>
              </w:rPr>
              <w:t>Full operations ownership</w:t>
            </w:r>
          </w:p>
        </w:tc>
        <w:tc>
          <w:tcPr>
            <w:tcW w:type="dxa" w:w="2436"/>
            <w:vAlign w:val="center"/>
          </w:tcPr>
          <w:p>
            <w:pPr>
              <w:spacing w:line="276" w:lineRule="auto" w:before="0" w:after="0"/>
            </w:pPr>
            <w:r/>
            <w:r>
              <w:rPr>
                <w:rFonts w:ascii="Figtree" w:hAnsi="Figtree"/>
                <w:b w:val="0"/>
                <w:i w:val="0"/>
                <w:sz w:val="20"/>
              </w:rPr>
              <w:t>Reconciliation complexity</w:t>
            </w:r>
          </w:p>
        </w:tc>
      </w:tr>
    </w:tbl>
    <w:p>
      <w:pPr>
        <w:spacing w:before="0" w:after="0" w:line="120" w:lineRule="exact"/>
      </w:pPr>
    </w:p>
    <w:p>
      <w:pPr>
        <w:pStyle w:val="H3"/>
        <w:numPr>
          <w:ilvl w:val="2"/>
          <w:numId w:val="1"/>
        </w:numPr>
      </w:pPr>
      <w:r>
        <w:t>TCO Assumptions</w:t>
      </w:r>
    </w:p>
    <w:p>
      <w:pPr>
        <w:pStyle w:val="ListParagraph"/>
        <w:numPr>
          <w:ilvl w:val="0"/>
          <w:numId w:val="4"/>
        </w:numPr>
      </w:pPr>
      <w:r>
        <w:rPr>
          <w:rFonts w:ascii="Figtree" w:hAnsi="Figtree"/>
          <w:b w:val="0"/>
          <w:i w:val="0"/>
          <w:sz w:val="22"/>
        </w:rPr>
        <w:t>Enterprise tier pricing with Premium Support</w:t>
      </w:r>
    </w:p>
    <w:p>
      <w:pPr>
        <w:pStyle w:val="ListParagraph"/>
        <w:numPr>
          <w:ilvl w:val="0"/>
          <w:numId w:val="4"/>
        </w:numPr>
      </w:pPr>
      <w:r>
        <w:rPr>
          <w:rFonts w:ascii="Figtree" w:hAnsi="Figtree"/>
          <w:b w:val="0"/>
          <w:i w:val="0"/>
          <w:sz w:val="22"/>
        </w:rPr>
        <w:t>Private Cloud deployment within UAE region</w:t>
      </w:r>
    </w:p>
    <w:p>
      <w:pPr>
        <w:pStyle w:val="ListParagraph"/>
        <w:numPr>
          <w:ilvl w:val="0"/>
          <w:numId w:val="4"/>
        </w:numPr>
      </w:pPr>
      <w:r>
        <w:rPr>
          <w:rFonts w:ascii="Figtree" w:hAnsi="Figtree"/>
          <w:b w:val="0"/>
          <w:i w:val="0"/>
          <w:sz w:val="22"/>
        </w:rPr>
        <w:t>3-year commitment term</w:t>
      </w:r>
    </w:p>
    <w:p>
      <w:pPr>
        <w:pStyle w:val="ListParagraph"/>
        <w:numPr>
          <w:ilvl w:val="0"/>
          <w:numId w:val="4"/>
        </w:numPr>
      </w:pPr>
      <w:r>
        <w:rPr>
          <w:rFonts w:ascii="Figtree" w:hAnsi="Figtree"/>
          <w:b w:val="0"/>
          <w:i w:val="0"/>
          <w:sz w:val="22"/>
        </w:rPr>
        <w:t>Standard integration scope (5–8 external system integrations)</w:t>
      </w:r>
    </w:p>
    <w:p>
      <w:pPr>
        <w:pStyle w:val="ListParagraph"/>
        <w:numPr>
          <w:ilvl w:val="0"/>
          <w:numId w:val="4"/>
        </w:numPr>
      </w:pPr>
      <w:r>
        <w:rPr>
          <w:rFonts w:ascii="Figtree" w:hAnsi="Figtree"/>
          <w:b w:val="0"/>
          <w:i w:val="0"/>
          <w:sz w:val="22"/>
        </w:rPr>
        <w:t>No custom compliance module development required</w:t>
      </w:r>
    </w:p>
    <w:p>
      <w:pPr>
        <w:pStyle w:val="H2"/>
        <w:numPr>
          <w:ilvl w:val="1"/>
          <w:numId w:val="1"/>
        </w:numPr>
      </w:pPr>
      <w:r>
        <w:t>8.2 3-Year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51"/>
        <w:gridCol w:w="1451"/>
        <w:gridCol w:w="1451"/>
        <w:gridCol w:w="169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€300,000</w:t>
            </w:r>
          </w:p>
        </w:tc>
        <w:tc>
          <w:tcPr>
            <w:tcW w:type="dxa" w:w="1949"/>
            <w:vAlign w:val="center"/>
          </w:tcPr>
          <w:p>
            <w:pPr>
              <w:spacing w:line="276" w:lineRule="auto" w:before="0" w:after="0"/>
            </w:pPr>
            <w:r/>
            <w:r>
              <w:rPr>
                <w:rFonts w:ascii="Figtree" w:hAnsi="Figtree"/>
                <w:b w:val="0"/>
                <w:i w:val="0"/>
                <w:sz w:val="20"/>
              </w:rPr>
              <w:t>€900,000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€420,000</w:t>
            </w:r>
          </w:p>
        </w:tc>
      </w:tr>
      <w:tr>
        <w:trPr>
          <w:trHeight w:val="425" w:hRule="atLeast"/>
        </w:trPr>
        <w:tc>
          <w:tcPr>
            <w:tcW w:type="dxa" w:w="1949"/>
            <w:vAlign w:val="center"/>
          </w:tcPr>
          <w:p>
            <w:pPr>
              <w:spacing w:line="276" w:lineRule="auto" w:before="0" w:after="0"/>
            </w:pPr>
            <w:r/>
            <w:r>
              <w:rPr>
                <w:rFonts w:ascii="Figtree" w:hAnsi="Figtree"/>
                <w:b w:val="0"/>
                <w:i w:val="0"/>
                <w:sz w:val="20"/>
              </w:rPr>
              <w:t>Premium Support</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€48,000</w:t>
            </w:r>
          </w:p>
        </w:tc>
        <w:tc>
          <w:tcPr>
            <w:tcW w:type="dxa" w:w="1949"/>
            <w:vAlign w:val="center"/>
          </w:tcPr>
          <w:p>
            <w:pPr>
              <w:spacing w:line="276" w:lineRule="auto" w:before="0" w:after="0"/>
            </w:pPr>
            <w:r/>
            <w:r>
              <w:rPr>
                <w:rFonts w:ascii="Figtree" w:hAnsi="Figtree"/>
                <w:b w:val="0"/>
                <w:i w:val="0"/>
                <w:sz w:val="20"/>
              </w:rPr>
              <w:t>€144,000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€828,000</w:t>
            </w:r>
          </w:p>
        </w:tc>
        <w:tc>
          <w:tcPr>
            <w:tcW w:type="dxa" w:w="1949"/>
            <w:vAlign w:val="center"/>
          </w:tcPr>
          <w:p>
            <w:pPr>
              <w:spacing w:line="276" w:lineRule="auto" w:before="0" w:after="0"/>
            </w:pPr>
            <w:r/>
            <w:r>
              <w:rPr>
                <w:rFonts w:ascii="Figtree" w:hAnsi="Figtree"/>
                <w:b/>
                <w:i w:val="0"/>
                <w:sz w:val="20"/>
              </w:rPr>
              <w:t>€408,000</w:t>
            </w:r>
          </w:p>
        </w:tc>
        <w:tc>
          <w:tcPr>
            <w:tcW w:type="dxa" w:w="1949"/>
            <w:vAlign w:val="center"/>
          </w:tcPr>
          <w:p>
            <w:pPr>
              <w:spacing w:line="276" w:lineRule="auto" w:before="0" w:after="0"/>
            </w:pPr>
            <w:r/>
            <w:r>
              <w:rPr>
                <w:rFonts w:ascii="Figtree" w:hAnsi="Figtree"/>
                <w:b/>
                <w:i w:val="0"/>
                <w:sz w:val="20"/>
              </w:rPr>
              <w:t>€408,000</w:t>
            </w:r>
          </w:p>
        </w:tc>
        <w:tc>
          <w:tcPr>
            <w:tcW w:type="dxa" w:w="1949"/>
            <w:vAlign w:val="center"/>
          </w:tcPr>
          <w:p>
            <w:pPr>
              <w:spacing w:line="276" w:lineRule="auto" w:before="0" w:after="0"/>
            </w:pPr>
            <w:r/>
            <w:r>
              <w:rPr>
                <w:rFonts w:ascii="Figtree" w:hAnsi="Figtree"/>
                <w:b/>
                <w:i w:val="0"/>
                <w:sz w:val="20"/>
              </w:rPr>
              <w:t>€1,644,000</w:t>
            </w:r>
          </w:p>
        </w:tc>
      </w:tr>
    </w:tbl>
    <w:p>
      <w:pPr>
        <w:spacing w:before="0" w:after="0" w:line="120" w:lineRule="exact"/>
      </w:pPr>
    </w:p>
    <w:p>
      <w:r>
        <w:rPr>
          <w:rFonts w:ascii="Figtree" w:hAnsi="Figtree"/>
          <w:b w:val="0"/>
          <w:i/>
          <w:sz w:val="22"/>
        </w:rPr>
        <w:t>Year 1 includes implementation. Years 2 and 3 are recurring operational costs only.</w:t>
      </w:r>
    </w:p>
    <w:p>
      <w:pPr>
        <w:pStyle w:val="H2"/>
        <w:numPr>
          <w:ilvl w:val="1"/>
          <w:numId w:val="1"/>
        </w:numPr>
      </w:pPr>
      <w:r>
        <w:t>8.3 5-Year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2"/>
        <w:gridCol w:w="1209"/>
        <w:gridCol w:w="1209"/>
        <w:gridCol w:w="1209"/>
        <w:gridCol w:w="1209"/>
        <w:gridCol w:w="1209"/>
        <w:gridCol w:w="1411"/>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Total</w:t>
            </w:r>
          </w:p>
        </w:tc>
      </w:tr>
      <w:tr>
        <w:trPr>
          <w:trHeight w:val="425" w:hRule="atLeast"/>
        </w:trPr>
        <w:tc>
          <w:tcPr>
            <w:tcW w:type="dxa" w:w="1392"/>
            <w:vAlign w:val="center"/>
          </w:tcPr>
          <w:p>
            <w:pPr>
              <w:spacing w:line="276" w:lineRule="auto" w:before="0" w:after="0"/>
            </w:pPr>
            <w:r/>
            <w:r>
              <w:rPr>
                <w:rFonts w:ascii="Figtree" w:hAnsi="Figtree"/>
                <w:b w:val="0"/>
                <w:i w:val="0"/>
                <w:sz w:val="20"/>
              </w:rPr>
              <w:t>Platform License</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€300,000</w:t>
            </w:r>
          </w:p>
        </w:tc>
        <w:tc>
          <w:tcPr>
            <w:tcW w:type="dxa" w:w="1392"/>
            <w:vAlign w:val="center"/>
          </w:tcPr>
          <w:p>
            <w:pPr>
              <w:spacing w:line="276" w:lineRule="auto" w:before="0" w:after="0"/>
            </w:pPr>
            <w:r/>
            <w:r>
              <w:rPr>
                <w:rFonts w:ascii="Figtree" w:hAnsi="Figtree"/>
                <w:b w:val="0"/>
                <w:i w:val="0"/>
                <w:sz w:val="20"/>
              </w:rPr>
              <w:t>€285,000*</w:t>
            </w:r>
          </w:p>
        </w:tc>
        <w:tc>
          <w:tcPr>
            <w:tcW w:type="dxa" w:w="1392"/>
            <w:vAlign w:val="center"/>
          </w:tcPr>
          <w:p>
            <w:pPr>
              <w:spacing w:line="276" w:lineRule="auto" w:before="0" w:after="0"/>
            </w:pPr>
            <w:r/>
            <w:r>
              <w:rPr>
                <w:rFonts w:ascii="Figtree" w:hAnsi="Figtree"/>
                <w:b w:val="0"/>
                <w:i w:val="0"/>
                <w:sz w:val="20"/>
              </w:rPr>
              <w:t>€285,000*</w:t>
            </w:r>
          </w:p>
        </w:tc>
        <w:tc>
          <w:tcPr>
            <w:tcW w:type="dxa" w:w="1392"/>
            <w:vAlign w:val="center"/>
          </w:tcPr>
          <w:p>
            <w:pPr>
              <w:spacing w:line="276" w:lineRule="auto" w:before="0" w:after="0"/>
            </w:pPr>
            <w:r/>
            <w:r>
              <w:rPr>
                <w:rFonts w:ascii="Figtree" w:hAnsi="Figtree"/>
                <w:b w:val="0"/>
                <w:i w:val="0"/>
                <w:sz w:val="20"/>
              </w:rPr>
              <w:t>€1,470,000</w:t>
            </w:r>
          </w:p>
        </w:tc>
      </w:tr>
      <w:tr>
        <w:trPr>
          <w:trHeight w:val="425" w:hRule="atLeast"/>
        </w:trPr>
        <w:tc>
          <w:tcPr>
            <w:tcW w:type="dxa" w:w="1392"/>
            <w:vAlign w:val="center"/>
          </w:tcPr>
          <w:p>
            <w:pPr>
              <w:spacing w:line="276" w:lineRule="auto" w:before="0" w:after="0"/>
            </w:pPr>
            <w:r/>
            <w:r>
              <w:rPr>
                <w:rFonts w:ascii="Figtree" w:hAnsi="Figtree"/>
                <w:b w:val="0"/>
                <w:i w:val="0"/>
                <w:sz w:val="20"/>
              </w:rPr>
              <w:t>Implementation</w:t>
            </w:r>
          </w:p>
        </w:tc>
        <w:tc>
          <w:tcPr>
            <w:tcW w:type="dxa" w:w="1392"/>
            <w:vAlign w:val="center"/>
          </w:tcPr>
          <w:p>
            <w:pPr>
              <w:spacing w:line="276" w:lineRule="auto" w:before="0" w:after="0"/>
            </w:pPr>
            <w:r/>
            <w:r>
              <w:rPr>
                <w:rFonts w:ascii="Figtree" w:hAnsi="Figtree"/>
                <w:b w:val="0"/>
                <w:i w:val="0"/>
                <w:sz w:val="20"/>
              </w:rPr>
              <w:t>€420,000</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€420,000</w:t>
            </w:r>
          </w:p>
        </w:tc>
      </w:tr>
      <w:tr>
        <w:trPr>
          <w:trHeight w:val="425" w:hRule="atLeast"/>
        </w:trPr>
        <w:tc>
          <w:tcPr>
            <w:tcW w:type="dxa" w:w="1392"/>
            <w:vAlign w:val="center"/>
          </w:tcPr>
          <w:p>
            <w:pPr>
              <w:spacing w:line="276" w:lineRule="auto" w:before="0" w:after="0"/>
            </w:pPr>
            <w:r/>
            <w:r>
              <w:rPr>
                <w:rFonts w:ascii="Figtree" w:hAnsi="Figtree"/>
                <w:b w:val="0"/>
                <w:i w:val="0"/>
                <w:sz w:val="20"/>
              </w:rPr>
              <w:t>Premium Support</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€60,000</w:t>
            </w:r>
          </w:p>
        </w:tc>
        <w:tc>
          <w:tcPr>
            <w:tcW w:type="dxa" w:w="1392"/>
            <w:vAlign w:val="center"/>
          </w:tcPr>
          <w:p>
            <w:pPr>
              <w:spacing w:line="276" w:lineRule="auto" w:before="0" w:after="0"/>
            </w:pPr>
            <w:r/>
            <w:r>
              <w:rPr>
                <w:rFonts w:ascii="Figtree" w:hAnsi="Figtree"/>
                <w:b w:val="0"/>
                <w:i w:val="0"/>
                <w:sz w:val="20"/>
              </w:rPr>
              <w:t>€57,000*</w:t>
            </w:r>
          </w:p>
        </w:tc>
        <w:tc>
          <w:tcPr>
            <w:tcW w:type="dxa" w:w="1392"/>
            <w:vAlign w:val="center"/>
          </w:tcPr>
          <w:p>
            <w:pPr>
              <w:spacing w:line="276" w:lineRule="auto" w:before="0" w:after="0"/>
            </w:pPr>
            <w:r/>
            <w:r>
              <w:rPr>
                <w:rFonts w:ascii="Figtree" w:hAnsi="Figtree"/>
                <w:b w:val="0"/>
                <w:i w:val="0"/>
                <w:sz w:val="20"/>
              </w:rPr>
              <w:t>€57,000*</w:t>
            </w:r>
          </w:p>
        </w:tc>
        <w:tc>
          <w:tcPr>
            <w:tcW w:type="dxa" w:w="1392"/>
            <w:vAlign w:val="center"/>
          </w:tcPr>
          <w:p>
            <w:pPr>
              <w:spacing w:line="276" w:lineRule="auto" w:before="0" w:after="0"/>
            </w:pPr>
            <w:r/>
            <w:r>
              <w:rPr>
                <w:rFonts w:ascii="Figtree" w:hAnsi="Figtree"/>
                <w:b w:val="0"/>
                <w:i w:val="0"/>
                <w:sz w:val="20"/>
              </w:rPr>
              <w:t>€294,000</w:t>
            </w:r>
          </w:p>
        </w:tc>
      </w:tr>
      <w:tr>
        <w:trPr>
          <w:trHeight w:val="425" w:hRule="atLeast"/>
        </w:trPr>
        <w:tc>
          <w:tcPr>
            <w:tcW w:type="dxa" w:w="1392"/>
            <w:vAlign w:val="center"/>
          </w:tcPr>
          <w:p>
            <w:pPr>
              <w:spacing w:line="276" w:lineRule="auto" w:before="0" w:after="0"/>
            </w:pPr>
            <w:r/>
            <w:r>
              <w:rPr>
                <w:rFonts w:ascii="Figtree" w:hAnsi="Figtree"/>
                <w:b w:val="0"/>
                <w:i w:val="0"/>
                <w:sz w:val="20"/>
              </w:rPr>
              <w:t>Infrastructure</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€48,000</w:t>
            </w:r>
          </w:p>
        </w:tc>
        <w:tc>
          <w:tcPr>
            <w:tcW w:type="dxa" w:w="1392"/>
            <w:vAlign w:val="center"/>
          </w:tcPr>
          <w:p>
            <w:pPr>
              <w:spacing w:line="276" w:lineRule="auto" w:before="0" w:after="0"/>
            </w:pPr>
            <w:r/>
            <w:r>
              <w:rPr>
                <w:rFonts w:ascii="Figtree" w:hAnsi="Figtree"/>
                <w:b w:val="0"/>
                <w:i w:val="0"/>
                <w:sz w:val="20"/>
              </w:rPr>
              <w:t>€240,000</w:t>
            </w:r>
          </w:p>
        </w:tc>
      </w:tr>
      <w:tr>
        <w:trPr>
          <w:trHeight w:val="425" w:hRule="atLeast"/>
        </w:trPr>
        <w:tc>
          <w:tcPr>
            <w:tcW w:type="dxa" w:w="1392"/>
            <w:vAlign w:val="center"/>
          </w:tcPr>
          <w:p>
            <w:pPr>
              <w:spacing w:line="276" w:lineRule="auto" w:before="0" w:after="0"/>
            </w:pPr>
            <w:r/>
            <w:r>
              <w:rPr>
                <w:rFonts w:ascii="Figtree" w:hAnsi="Figtree"/>
                <w:b/>
                <w:i w:val="0"/>
                <w:sz w:val="20"/>
              </w:rPr>
              <w:t>Total</w:t>
            </w:r>
          </w:p>
        </w:tc>
        <w:tc>
          <w:tcPr>
            <w:tcW w:type="dxa" w:w="1392"/>
            <w:vAlign w:val="center"/>
          </w:tcPr>
          <w:p>
            <w:pPr>
              <w:spacing w:line="276" w:lineRule="auto" w:before="0" w:after="0"/>
            </w:pPr>
            <w:r/>
            <w:r>
              <w:rPr>
                <w:rFonts w:ascii="Figtree" w:hAnsi="Figtree"/>
                <w:b/>
                <w:i w:val="0"/>
                <w:sz w:val="20"/>
              </w:rPr>
              <w:t>€828,000</w:t>
            </w:r>
          </w:p>
        </w:tc>
        <w:tc>
          <w:tcPr>
            <w:tcW w:type="dxa" w:w="1392"/>
            <w:vAlign w:val="center"/>
          </w:tcPr>
          <w:p>
            <w:pPr>
              <w:spacing w:line="276" w:lineRule="auto" w:before="0" w:after="0"/>
            </w:pPr>
            <w:r/>
            <w:r>
              <w:rPr>
                <w:rFonts w:ascii="Figtree" w:hAnsi="Figtree"/>
                <w:b/>
                <w:i w:val="0"/>
                <w:sz w:val="20"/>
              </w:rPr>
              <w:t>€408,000</w:t>
            </w:r>
          </w:p>
        </w:tc>
        <w:tc>
          <w:tcPr>
            <w:tcW w:type="dxa" w:w="1392"/>
            <w:vAlign w:val="center"/>
          </w:tcPr>
          <w:p>
            <w:pPr>
              <w:spacing w:line="276" w:lineRule="auto" w:before="0" w:after="0"/>
            </w:pPr>
            <w:r/>
            <w:r>
              <w:rPr>
                <w:rFonts w:ascii="Figtree" w:hAnsi="Figtree"/>
                <w:b/>
                <w:i w:val="0"/>
                <w:sz w:val="20"/>
              </w:rPr>
              <w:t>€408,000</w:t>
            </w:r>
          </w:p>
        </w:tc>
        <w:tc>
          <w:tcPr>
            <w:tcW w:type="dxa" w:w="1392"/>
            <w:vAlign w:val="center"/>
          </w:tcPr>
          <w:p>
            <w:pPr>
              <w:spacing w:line="276" w:lineRule="auto" w:before="0" w:after="0"/>
            </w:pPr>
            <w:r/>
            <w:r>
              <w:rPr>
                <w:rFonts w:ascii="Figtree" w:hAnsi="Figtree"/>
                <w:b/>
                <w:i w:val="0"/>
                <w:sz w:val="20"/>
              </w:rPr>
              <w:t>€390,000</w:t>
            </w:r>
          </w:p>
        </w:tc>
        <w:tc>
          <w:tcPr>
            <w:tcW w:type="dxa" w:w="1392"/>
            <w:vAlign w:val="center"/>
          </w:tcPr>
          <w:p>
            <w:pPr>
              <w:spacing w:line="276" w:lineRule="auto" w:before="0" w:after="0"/>
            </w:pPr>
            <w:r/>
            <w:r>
              <w:rPr>
                <w:rFonts w:ascii="Figtree" w:hAnsi="Figtree"/>
                <w:b/>
                <w:i w:val="0"/>
                <w:sz w:val="20"/>
              </w:rPr>
              <w:t>€390,000</w:t>
            </w:r>
          </w:p>
        </w:tc>
        <w:tc>
          <w:tcPr>
            <w:tcW w:type="dxa" w:w="1392"/>
            <w:vAlign w:val="center"/>
          </w:tcPr>
          <w:p>
            <w:pPr>
              <w:spacing w:line="276" w:lineRule="auto" w:before="0" w:after="0"/>
            </w:pPr>
            <w:r/>
            <w:r>
              <w:rPr>
                <w:rFonts w:ascii="Figtree" w:hAnsi="Figtree"/>
                <w:b/>
                <w:i w:val="0"/>
                <w:sz w:val="20"/>
              </w:rPr>
              <w:t>€2,424,000</w:t>
            </w:r>
          </w:p>
        </w:tc>
      </w:tr>
    </w:tbl>
    <w:p>
      <w:pPr>
        <w:spacing w:before="0" w:after="0" w:line="120" w:lineRule="exact"/>
      </w:pPr>
    </w:p>
    <w:p>
      <w:r>
        <w:rPr>
          <w:rFonts w:ascii="Figtree" w:hAnsi="Figtree"/>
          <w:b w:val="0"/>
          <w:i/>
          <w:sz w:val="22"/>
        </w:rPr>
        <w:t>Years 4–5 reflect 5% early renewal discount applied to base pricing.</w:t>
      </w:r>
    </w:p>
    <w:p>
      <w:pPr>
        <w:pStyle w:val="H2"/>
        <w:numPr>
          <w:ilvl w:val="1"/>
          <w:numId w:val="1"/>
        </w:numPr>
      </w:pPr>
      <w:r>
        <w:t>8.4 Comparative Analysis</w:t>
      </w:r>
    </w:p>
    <w:p>
      <w:pPr>
        <w:pStyle w:val="H3"/>
        <w:numPr>
          <w:ilvl w:val="2"/>
          <w:numId w:val="1"/>
        </w:numPr>
      </w:pPr>
      <w:r>
        <w:t>DALP vs Build In-House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0"/>
        <w:gridCol w:w="2721"/>
        <w:gridCol w:w="336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In-House</w:t>
            </w:r>
          </w:p>
        </w:tc>
      </w:tr>
      <w:tr>
        <w:trPr>
          <w:trHeight w:val="425" w:hRule="atLeast"/>
        </w:trPr>
        <w:tc>
          <w:tcPr>
            <w:tcW w:type="dxa" w:w="3249"/>
            <w:vAlign w:val="center"/>
          </w:tcPr>
          <w:p>
            <w:pPr>
              <w:spacing w:line="276" w:lineRule="auto" w:before="0" w:after="0"/>
            </w:pPr>
            <w:r/>
            <w:r>
              <w:rPr>
                <w:rFonts w:ascii="Figtree" w:hAnsi="Figtree"/>
                <w:b/>
                <w:i w:val="0"/>
                <w:sz w:val="20"/>
              </w:rPr>
              <w:t>Time to production</w:t>
            </w:r>
          </w:p>
        </w:tc>
        <w:tc>
          <w:tcPr>
            <w:tcW w:type="dxa" w:w="3249"/>
            <w:vAlign w:val="center"/>
          </w:tcPr>
          <w:p>
            <w:pPr>
              <w:spacing w:line="276" w:lineRule="auto" w:before="0" w:after="0"/>
            </w:pPr>
            <w:r/>
            <w:r>
              <w:rPr>
                <w:rFonts w:ascii="Figtree" w:hAnsi="Figtree"/>
                <w:b w:val="0"/>
                <w:i w:val="0"/>
                <w:sz w:val="20"/>
              </w:rPr>
              <w:t>19 weeks</w:t>
            </w:r>
          </w:p>
        </w:tc>
        <w:tc>
          <w:tcPr>
            <w:tcW w:type="dxa" w:w="3249"/>
            <w:vAlign w:val="center"/>
          </w:tcPr>
          <w:p>
            <w:pPr>
              <w:spacing w:line="276" w:lineRule="auto" w:before="0" w:after="0"/>
            </w:pPr>
            <w:r/>
            <w:r>
              <w:rPr>
                <w:rFonts w:ascii="Figtree" w:hAnsi="Figtree"/>
                <w:b w:val="0"/>
                <w:i w:val="0"/>
                <w:sz w:val="20"/>
              </w:rPr>
              <w:t>12–24 months</w:t>
            </w:r>
          </w:p>
        </w:tc>
      </w:tr>
      <w:tr>
        <w:trPr>
          <w:trHeight w:val="425" w:hRule="atLeast"/>
        </w:trPr>
        <w:tc>
          <w:tcPr>
            <w:tcW w:type="dxa" w:w="3249"/>
            <w:vAlign w:val="center"/>
          </w:tcPr>
          <w:p>
            <w:pPr>
              <w:spacing w:line="276" w:lineRule="auto" w:before="0" w:after="0"/>
            </w:pPr>
            <w:r/>
            <w:r>
              <w:rPr>
                <w:rFonts w:ascii="Figtree" w:hAnsi="Figtree"/>
                <w:b/>
                <w:i w:val="0"/>
                <w:sz w:val="20"/>
              </w:rPr>
              <w:t>Engineering team</w:t>
            </w:r>
          </w:p>
        </w:tc>
        <w:tc>
          <w:tcPr>
            <w:tcW w:type="dxa" w:w="3249"/>
            <w:vAlign w:val="center"/>
          </w:tcPr>
          <w:p>
            <w:pPr>
              <w:spacing w:line="276" w:lineRule="auto" w:before="0" w:after="0"/>
            </w:pPr>
            <w:r/>
            <w:r>
              <w:rPr>
                <w:rFonts w:ascii="Figtree" w:hAnsi="Figtree"/>
                <w:b w:val="0"/>
                <w:i w:val="0"/>
                <w:sz w:val="20"/>
              </w:rPr>
              <w:t>Not required</w:t>
            </w:r>
          </w:p>
        </w:tc>
        <w:tc>
          <w:tcPr>
            <w:tcW w:type="dxa" w:w="3249"/>
            <w:vAlign w:val="center"/>
          </w:tcPr>
          <w:p>
            <w:pPr>
              <w:spacing w:line="276" w:lineRule="auto" w:before="0" w:after="0"/>
            </w:pPr>
            <w:r/>
            <w:r>
              <w:rPr>
                <w:rFonts w:ascii="Figtree" w:hAnsi="Figtree"/>
                <w:b w:val="0"/>
                <w:i w:val="0"/>
                <w:sz w:val="20"/>
              </w:rPr>
              <w:t>5–10 FTE permanent</w:t>
            </w:r>
          </w:p>
        </w:tc>
      </w:tr>
      <w:tr>
        <w:trPr>
          <w:trHeight w:val="425" w:hRule="atLeast"/>
        </w:trPr>
        <w:tc>
          <w:tcPr>
            <w:tcW w:type="dxa" w:w="3249"/>
            <w:vAlign w:val="center"/>
          </w:tcPr>
          <w:p>
            <w:pPr>
              <w:spacing w:line="276" w:lineRule="auto" w:before="0" w:after="0"/>
            </w:pPr>
            <w:r/>
            <w:r>
              <w:rPr>
                <w:rFonts w:ascii="Figtree" w:hAnsi="Figtree"/>
                <w:b/>
                <w:i w:val="0"/>
                <w:sz w:val="20"/>
              </w:rPr>
              <w:t>Initial investment</w:t>
            </w:r>
          </w:p>
        </w:tc>
        <w:tc>
          <w:tcPr>
            <w:tcW w:type="dxa" w:w="3249"/>
            <w:vAlign w:val="center"/>
          </w:tcPr>
          <w:p>
            <w:pPr>
              <w:spacing w:line="276" w:lineRule="auto" w:before="0" w:after="0"/>
            </w:pPr>
            <w:r/>
            <w:r>
              <w:rPr>
                <w:rFonts w:ascii="Figtree" w:hAnsi="Figtree"/>
                <w:b w:val="0"/>
                <w:i w:val="0"/>
                <w:sz w:val="20"/>
              </w:rPr>
              <w:t>€828,000 (Year 1)</w:t>
            </w:r>
          </w:p>
        </w:tc>
        <w:tc>
          <w:tcPr>
            <w:tcW w:type="dxa" w:w="3249"/>
            <w:vAlign w:val="center"/>
          </w:tcPr>
          <w:p>
            <w:pPr>
              <w:spacing w:line="276" w:lineRule="auto" w:before="0" w:after="0"/>
            </w:pPr>
            <w:r/>
            <w:r>
              <w:rPr>
                <w:rFonts w:ascii="Figtree" w:hAnsi="Figtree"/>
                <w:b w:val="0"/>
                <w:i w:val="0"/>
                <w:sz w:val="20"/>
              </w:rPr>
              <w:t>€2–4 million (development)</w:t>
            </w:r>
          </w:p>
        </w:tc>
      </w:tr>
      <w:tr>
        <w:trPr>
          <w:trHeight w:val="425" w:hRule="atLeast"/>
        </w:trPr>
        <w:tc>
          <w:tcPr>
            <w:tcW w:type="dxa" w:w="3249"/>
            <w:vAlign w:val="center"/>
          </w:tcPr>
          <w:p>
            <w:pPr>
              <w:spacing w:line="276" w:lineRule="auto" w:before="0" w:after="0"/>
            </w:pPr>
            <w:r/>
            <w:r>
              <w:rPr>
                <w:rFonts w:ascii="Figtree" w:hAnsi="Figtree"/>
                <w:b/>
                <w:i w:val="0"/>
                <w:sz w:val="20"/>
              </w:rPr>
              <w:t>Ongoing annual cost</w:t>
            </w:r>
          </w:p>
        </w:tc>
        <w:tc>
          <w:tcPr>
            <w:tcW w:type="dxa" w:w="3249"/>
            <w:vAlign w:val="center"/>
          </w:tcPr>
          <w:p>
            <w:pPr>
              <w:spacing w:line="276" w:lineRule="auto" w:before="0" w:after="0"/>
            </w:pPr>
            <w:r/>
            <w:r>
              <w:rPr>
                <w:rFonts w:ascii="Figtree" w:hAnsi="Figtree"/>
                <w:b w:val="0"/>
                <w:i w:val="0"/>
                <w:sz w:val="20"/>
              </w:rPr>
              <w:t>€408,000</w:t>
            </w:r>
          </w:p>
        </w:tc>
        <w:tc>
          <w:tcPr>
            <w:tcW w:type="dxa" w:w="3249"/>
            <w:vAlign w:val="center"/>
          </w:tcPr>
          <w:p>
            <w:pPr>
              <w:spacing w:line="276" w:lineRule="auto" w:before="0" w:after="0"/>
            </w:pPr>
            <w:r/>
            <w:r>
              <w:rPr>
                <w:rFonts w:ascii="Figtree" w:hAnsi="Figtree"/>
                <w:b w:val="0"/>
                <w:i w:val="0"/>
                <w:sz w:val="20"/>
              </w:rPr>
              <w:t>€500,000–€1,000,000</w:t>
            </w:r>
          </w:p>
        </w:tc>
      </w:tr>
      <w:tr>
        <w:trPr>
          <w:trHeight w:val="425" w:hRule="atLeast"/>
        </w:trPr>
        <w:tc>
          <w:tcPr>
            <w:tcW w:type="dxa" w:w="3249"/>
            <w:vAlign w:val="center"/>
          </w:tcPr>
          <w:p>
            <w:pPr>
              <w:spacing w:line="276" w:lineRule="auto" w:before="0" w:after="0"/>
            </w:pPr>
            <w:r/>
            <w:r>
              <w:rPr>
                <w:rFonts w:ascii="Figtree" w:hAnsi="Figtree"/>
                <w:b/>
                <w:i w:val="0"/>
                <w:sz w:val="20"/>
              </w:rPr>
              <w:t>Compliance updates</w:t>
            </w:r>
          </w:p>
        </w:tc>
        <w:tc>
          <w:tcPr>
            <w:tcW w:type="dxa" w:w="3249"/>
            <w:vAlign w:val="center"/>
          </w:tcPr>
          <w:p>
            <w:pPr>
              <w:spacing w:line="276" w:lineRule="auto" w:before="0" w:after="0"/>
            </w:pPr>
            <w:r/>
            <w:r>
              <w:rPr>
                <w:rFonts w:ascii="Figtree" w:hAnsi="Figtree"/>
                <w:b w:val="0"/>
                <w:i w:val="0"/>
                <w:sz w:val="20"/>
              </w:rPr>
              <w:t>Configuration</w:t>
            </w:r>
          </w:p>
        </w:tc>
        <w:tc>
          <w:tcPr>
            <w:tcW w:type="dxa" w:w="3249"/>
            <w:vAlign w:val="center"/>
          </w:tcPr>
          <w:p>
            <w:pPr>
              <w:spacing w:line="276" w:lineRule="auto" w:before="0" w:after="0"/>
            </w:pPr>
            <w:r/>
            <w:r>
              <w:rPr>
                <w:rFonts w:ascii="Figtree" w:hAnsi="Figtree"/>
                <w:b w:val="0"/>
                <w:i w:val="0"/>
                <w:sz w:val="20"/>
              </w:rPr>
              <w:t>Custom development</w:t>
            </w:r>
          </w:p>
        </w:tc>
      </w:tr>
      <w:tr>
        <w:trPr>
          <w:trHeight w:val="425" w:hRule="atLeast"/>
        </w:trPr>
        <w:tc>
          <w:tcPr>
            <w:tcW w:type="dxa" w:w="3249"/>
            <w:vAlign w:val="center"/>
          </w:tcPr>
          <w:p>
            <w:pPr>
              <w:spacing w:line="276" w:lineRule="auto" w:before="0" w:after="0"/>
            </w:pPr>
            <w:r/>
            <w:r>
              <w:rPr>
                <w:rFonts w:ascii="Figtree" w:hAnsi="Figtree"/>
                <w:b/>
                <w:i w:val="0"/>
                <w:sz w:val="20"/>
              </w:rPr>
              <w:t>Risk profile</w:t>
            </w:r>
          </w:p>
        </w:tc>
        <w:tc>
          <w:tcPr>
            <w:tcW w:type="dxa" w:w="3249"/>
            <w:vAlign w:val="center"/>
          </w:tcPr>
          <w:p>
            <w:pPr>
              <w:spacing w:line="276" w:lineRule="auto" w:before="0" w:after="0"/>
            </w:pPr>
            <w:r/>
            <w:r>
              <w:rPr>
                <w:rFonts w:ascii="Figtree" w:hAnsi="Figtree"/>
                <w:b w:val="0"/>
                <w:i w:val="0"/>
                <w:sz w:val="20"/>
              </w:rPr>
              <w:t>Managed by SettleMint</w:t>
            </w:r>
          </w:p>
        </w:tc>
        <w:tc>
          <w:tcPr>
            <w:tcW w:type="dxa" w:w="3249"/>
            <w:vAlign w:val="center"/>
          </w:tcPr>
          <w:p>
            <w:pPr>
              <w:spacing w:line="276" w:lineRule="auto" w:before="0" w:after="0"/>
            </w:pPr>
            <w:r/>
            <w:r>
              <w:rPr>
                <w:rFonts w:ascii="Figtree" w:hAnsi="Figtree"/>
                <w:b w:val="0"/>
                <w:i w:val="0"/>
                <w:sz w:val="20"/>
              </w:rPr>
              <w:t>Full internal ownership</w:t>
            </w:r>
          </w:p>
        </w:tc>
      </w:tr>
      <w:tr>
        <w:trPr>
          <w:trHeight w:val="425" w:hRule="atLeast"/>
        </w:trPr>
        <w:tc>
          <w:tcPr>
            <w:tcW w:type="dxa" w:w="3249"/>
            <w:vAlign w:val="center"/>
          </w:tcPr>
          <w:p>
            <w:pPr>
              <w:spacing w:line="276" w:lineRule="auto" w:before="0" w:after="0"/>
            </w:pPr>
            <w:r/>
            <w:r>
              <w:rPr>
                <w:rFonts w:ascii="Figtree" w:hAnsi="Figtree"/>
                <w:b/>
                <w:i w:val="0"/>
                <w:sz w:val="20"/>
              </w:rPr>
              <w:t>Scalability</w:t>
            </w:r>
          </w:p>
        </w:tc>
        <w:tc>
          <w:tcPr>
            <w:tcW w:type="dxa" w:w="3249"/>
            <w:vAlign w:val="center"/>
          </w:tcPr>
          <w:p>
            <w:pPr>
              <w:spacing w:line="276" w:lineRule="auto" w:before="0" w:after="0"/>
            </w:pPr>
            <w:r/>
            <w:r>
              <w:rPr>
                <w:rFonts w:ascii="Figtree" w:hAnsi="Figtree"/>
                <w:b w:val="0"/>
                <w:i w:val="0"/>
                <w:sz w:val="20"/>
              </w:rPr>
              <w:t>Platform supports</w:t>
            </w:r>
          </w:p>
        </w:tc>
        <w:tc>
          <w:tcPr>
            <w:tcW w:type="dxa" w:w="3249"/>
            <w:vAlign w:val="center"/>
          </w:tcPr>
          <w:p>
            <w:pPr>
              <w:spacing w:line="276" w:lineRule="auto" w:before="0" w:after="0"/>
            </w:pPr>
            <w:r/>
            <w:r>
              <w:rPr>
                <w:rFonts w:ascii="Figtree" w:hAnsi="Figtree"/>
                <w:b w:val="0"/>
                <w:i w:val="0"/>
                <w:sz w:val="20"/>
              </w:rPr>
              <w:t>Engineering-dependent</w:t>
            </w:r>
          </w:p>
        </w:tc>
      </w:tr>
    </w:tbl>
    <w:p>
      <w:pPr>
        <w:spacing w:before="0" w:after="0" w:line="120" w:lineRule="exact"/>
      </w:pPr>
    </w:p>
    <w:p>
      <w:pPr>
        <w:pStyle w:val="H3"/>
        <w:numPr>
          <w:ilvl w:val="2"/>
          <w:numId w:val="1"/>
        </w:numPr>
      </w:pPr>
      <w:r>
        <w:t>DALP vs Multi-Vendor Assembly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42"/>
        <w:gridCol w:w="3164"/>
        <w:gridCol w:w="31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Multi-Vendor Assembly</w:t>
            </w:r>
          </w:p>
        </w:tc>
      </w:tr>
      <w:tr>
        <w:trPr>
          <w:trHeight w:val="425" w:hRule="atLeast"/>
        </w:trPr>
        <w:tc>
          <w:tcPr>
            <w:tcW w:type="dxa" w:w="3249"/>
            <w:vAlign w:val="center"/>
          </w:tcPr>
          <w:p>
            <w:pPr>
              <w:spacing w:line="276" w:lineRule="auto" w:before="0" w:after="0"/>
            </w:pPr>
            <w:r/>
            <w:r>
              <w:rPr>
                <w:rFonts w:ascii="Figtree" w:hAnsi="Figtree"/>
                <w:b/>
                <w:i w:val="0"/>
                <w:sz w:val="20"/>
              </w:rPr>
              <w:t>Vendor relationships</w:t>
            </w:r>
          </w:p>
        </w:tc>
        <w:tc>
          <w:tcPr>
            <w:tcW w:type="dxa" w:w="3249"/>
            <w:vAlign w:val="center"/>
          </w:tcPr>
          <w:p>
            <w:pPr>
              <w:spacing w:line="276" w:lineRule="auto" w:before="0" w:after="0"/>
            </w:pPr>
            <w:r/>
            <w:r>
              <w:rPr>
                <w:rFonts w:ascii="Figtree" w:hAnsi="Figtree"/>
                <w:b w:val="0"/>
                <w:i w:val="0"/>
                <w:sz w:val="20"/>
              </w:rPr>
              <w:t>Single</w:t>
            </w:r>
          </w:p>
        </w:tc>
        <w:tc>
          <w:tcPr>
            <w:tcW w:type="dxa" w:w="3249"/>
            <w:vAlign w:val="center"/>
          </w:tcPr>
          <w:p>
            <w:pPr>
              <w:spacing w:line="276" w:lineRule="auto" w:before="0" w:after="0"/>
            </w:pPr>
            <w:r/>
            <w:r>
              <w:rPr>
                <w:rFonts w:ascii="Figtree" w:hAnsi="Figtree"/>
                <w:b w:val="0"/>
                <w:i w:val="0"/>
                <w:sz w:val="20"/>
              </w:rPr>
              <w:t>3–5 vendors</w:t>
            </w:r>
          </w:p>
        </w:tc>
      </w:tr>
      <w:tr>
        <w:trPr>
          <w:trHeight w:val="425" w:hRule="atLeast"/>
        </w:trPr>
        <w:tc>
          <w:tcPr>
            <w:tcW w:type="dxa" w:w="3249"/>
            <w:vAlign w:val="center"/>
          </w:tcPr>
          <w:p>
            <w:pPr>
              <w:spacing w:line="276" w:lineRule="auto" w:before="0" w:after="0"/>
            </w:pPr>
            <w:r/>
            <w:r>
              <w:rPr>
                <w:rFonts w:ascii="Figtree" w:hAnsi="Figtree"/>
                <w:b/>
                <w:i w:val="0"/>
                <w:sz w:val="20"/>
              </w:rPr>
              <w:t>Integration complexity</w:t>
            </w:r>
          </w:p>
        </w:tc>
        <w:tc>
          <w:tcPr>
            <w:tcW w:type="dxa" w:w="3249"/>
            <w:vAlign w:val="center"/>
          </w:tcPr>
          <w:p>
            <w:pPr>
              <w:spacing w:line="276" w:lineRule="auto" w:before="0" w:after="0"/>
            </w:pPr>
            <w:r/>
            <w:r>
              <w:rPr>
                <w:rFonts w:ascii="Figtree" w:hAnsi="Figtree"/>
                <w:b w:val="0"/>
                <w:i w:val="0"/>
                <w:sz w:val="20"/>
              </w:rPr>
              <w:t>Single API surface</w:t>
            </w:r>
          </w:p>
        </w:tc>
        <w:tc>
          <w:tcPr>
            <w:tcW w:type="dxa" w:w="3249"/>
            <w:vAlign w:val="center"/>
          </w:tcPr>
          <w:p>
            <w:pPr>
              <w:spacing w:line="276" w:lineRule="auto" w:before="0" w:after="0"/>
            </w:pPr>
            <w:r/>
            <w:r>
              <w:rPr>
                <w:rFonts w:ascii="Figtree" w:hAnsi="Figtree"/>
                <w:b w:val="0"/>
                <w:i w:val="0"/>
                <w:sz w:val="20"/>
              </w:rPr>
              <w:t>Multiple integration points</w:t>
            </w:r>
          </w:p>
        </w:tc>
      </w:tr>
      <w:tr>
        <w:trPr>
          <w:trHeight w:val="425" w:hRule="atLeast"/>
        </w:trPr>
        <w:tc>
          <w:tcPr>
            <w:tcW w:type="dxa" w:w="3249"/>
            <w:vAlign w:val="center"/>
          </w:tcPr>
          <w:p>
            <w:pPr>
              <w:spacing w:line="276" w:lineRule="auto" w:before="0" w:after="0"/>
            </w:pPr>
            <w:r/>
            <w:r>
              <w:rPr>
                <w:rFonts w:ascii="Figtree" w:hAnsi="Figtree"/>
                <w:b/>
                <w:i w:val="0"/>
                <w:sz w:val="20"/>
              </w:rPr>
              <w:t>Incident resolution</w:t>
            </w:r>
          </w:p>
        </w:tc>
        <w:tc>
          <w:tcPr>
            <w:tcW w:type="dxa" w:w="3249"/>
            <w:vAlign w:val="center"/>
          </w:tcPr>
          <w:p>
            <w:pPr>
              <w:spacing w:line="276" w:lineRule="auto" w:before="0" w:after="0"/>
            </w:pPr>
            <w:r/>
            <w:r>
              <w:rPr>
                <w:rFonts w:ascii="Figtree" w:hAnsi="Figtree"/>
                <w:b w:val="0"/>
                <w:i w:val="0"/>
                <w:sz w:val="20"/>
              </w:rPr>
              <w:t>Single point of accountability</w:t>
            </w:r>
          </w:p>
        </w:tc>
        <w:tc>
          <w:tcPr>
            <w:tcW w:type="dxa" w:w="3249"/>
            <w:vAlign w:val="center"/>
          </w:tcPr>
          <w:p>
            <w:pPr>
              <w:spacing w:line="276" w:lineRule="auto" w:before="0" w:after="0"/>
            </w:pPr>
            <w:r/>
            <w:r>
              <w:rPr>
                <w:rFonts w:ascii="Figtree" w:hAnsi="Figtree"/>
                <w:b w:val="0"/>
                <w:i w:val="0"/>
                <w:sz w:val="20"/>
              </w:rPr>
              <w:t>Cross-vendor coordination</w:t>
            </w:r>
          </w:p>
        </w:tc>
      </w:tr>
      <w:tr>
        <w:trPr>
          <w:trHeight w:val="425" w:hRule="atLeast"/>
        </w:trPr>
        <w:tc>
          <w:tcPr>
            <w:tcW w:type="dxa" w:w="3249"/>
            <w:vAlign w:val="center"/>
          </w:tcPr>
          <w:p>
            <w:pPr>
              <w:spacing w:line="276" w:lineRule="auto" w:before="0" w:after="0"/>
            </w:pPr>
            <w:r/>
            <w:r>
              <w:rPr>
                <w:rFonts w:ascii="Figtree" w:hAnsi="Figtree"/>
                <w:b/>
                <w:i w:val="0"/>
                <w:sz w:val="20"/>
              </w:rPr>
              <w:t>Audit trail</w:t>
            </w:r>
          </w:p>
        </w:tc>
        <w:tc>
          <w:tcPr>
            <w:tcW w:type="dxa" w:w="3249"/>
            <w:vAlign w:val="center"/>
          </w:tcPr>
          <w:p>
            <w:pPr>
              <w:spacing w:line="276" w:lineRule="auto" w:before="0" w:after="0"/>
            </w:pPr>
            <w:r/>
            <w:r>
              <w:rPr>
                <w:rFonts w:ascii="Figtree" w:hAnsi="Figtree"/>
                <w:b w:val="0"/>
                <w:i w:val="0"/>
                <w:sz w:val="20"/>
              </w:rPr>
              <w:t>Unified on-chain</w:t>
            </w:r>
          </w:p>
        </w:tc>
        <w:tc>
          <w:tcPr>
            <w:tcW w:type="dxa" w:w="3249"/>
            <w:vAlign w:val="center"/>
          </w:tcPr>
          <w:p>
            <w:pPr>
              <w:spacing w:line="276" w:lineRule="auto" w:before="0" w:after="0"/>
            </w:pPr>
            <w:r/>
            <w:r>
              <w:rPr>
                <w:rFonts w:ascii="Figtree" w:hAnsi="Figtree"/>
                <w:b w:val="0"/>
                <w:i w:val="0"/>
                <w:sz w:val="20"/>
              </w:rPr>
              <w:t>Fragmented across systems</w:t>
            </w:r>
          </w:p>
        </w:tc>
      </w:tr>
      <w:tr>
        <w:trPr>
          <w:trHeight w:val="425" w:hRule="atLeast"/>
        </w:trPr>
        <w:tc>
          <w:tcPr>
            <w:tcW w:type="dxa" w:w="3249"/>
            <w:vAlign w:val="center"/>
          </w:tcPr>
          <w:p>
            <w:pPr>
              <w:spacing w:line="276" w:lineRule="auto" w:before="0" w:after="0"/>
            </w:pPr>
            <w:r/>
            <w:r>
              <w:rPr>
                <w:rFonts w:ascii="Figtree" w:hAnsi="Figtree"/>
                <w:b/>
                <w:i w:val="0"/>
                <w:sz w:val="20"/>
              </w:rPr>
              <w:t>Compliance management</w:t>
            </w:r>
          </w:p>
        </w:tc>
        <w:tc>
          <w:tcPr>
            <w:tcW w:type="dxa" w:w="3249"/>
            <w:vAlign w:val="center"/>
          </w:tcPr>
          <w:p>
            <w:pPr>
              <w:spacing w:line="276" w:lineRule="auto" w:before="0" w:after="0"/>
            </w:pPr>
            <w:r/>
            <w:r>
              <w:rPr>
                <w:rFonts w:ascii="Figtree" w:hAnsi="Figtree"/>
                <w:b w:val="0"/>
                <w:i w:val="0"/>
                <w:sz w:val="20"/>
              </w:rPr>
              <w:t>Single configuration</w:t>
            </w:r>
          </w:p>
        </w:tc>
        <w:tc>
          <w:tcPr>
            <w:tcW w:type="dxa" w:w="3249"/>
            <w:vAlign w:val="center"/>
          </w:tcPr>
          <w:p>
            <w:pPr>
              <w:spacing w:line="276" w:lineRule="auto" w:before="0" w:after="0"/>
            </w:pPr>
            <w:r/>
            <w:r>
              <w:rPr>
                <w:rFonts w:ascii="Figtree" w:hAnsi="Figtree"/>
                <w:b w:val="0"/>
                <w:i w:val="0"/>
                <w:sz w:val="20"/>
              </w:rPr>
              <w:t>Multiple vendor configurations</w:t>
            </w:r>
          </w:p>
        </w:tc>
      </w:tr>
      <w:tr>
        <w:trPr>
          <w:trHeight w:val="425" w:hRule="atLeast"/>
        </w:trPr>
        <w:tc>
          <w:tcPr>
            <w:tcW w:type="dxa" w:w="3249"/>
            <w:vAlign w:val="center"/>
          </w:tcPr>
          <w:p>
            <w:pPr>
              <w:spacing w:line="276" w:lineRule="auto" w:before="0" w:after="0"/>
            </w:pPr>
            <w:r/>
            <w:r>
              <w:rPr>
                <w:rFonts w:ascii="Figtree" w:hAnsi="Figtree"/>
                <w:b/>
                <w:i w:val="0"/>
                <w:sz w:val="20"/>
              </w:rPr>
              <w:t>Release coordination</w:t>
            </w:r>
          </w:p>
        </w:tc>
        <w:tc>
          <w:tcPr>
            <w:tcW w:type="dxa" w:w="3249"/>
            <w:vAlign w:val="center"/>
          </w:tcPr>
          <w:p>
            <w:pPr>
              <w:spacing w:line="276" w:lineRule="auto" w:before="0" w:after="0"/>
            </w:pPr>
            <w:r/>
            <w:r>
              <w:rPr>
                <w:rFonts w:ascii="Figtree" w:hAnsi="Figtree"/>
                <w:b w:val="0"/>
                <w:i w:val="0"/>
                <w:sz w:val="20"/>
              </w:rPr>
              <w:t>Managed by SettleMint</w:t>
            </w:r>
          </w:p>
        </w:tc>
        <w:tc>
          <w:tcPr>
            <w:tcW w:type="dxa" w:w="3249"/>
            <w:vAlign w:val="center"/>
          </w:tcPr>
          <w:p>
            <w:pPr>
              <w:spacing w:line="276" w:lineRule="auto" w:before="0" w:after="0"/>
            </w:pPr>
            <w:r/>
            <w:r>
              <w:rPr>
                <w:rFonts w:ascii="Figtree" w:hAnsi="Figtree"/>
                <w:b w:val="0"/>
                <w:i w:val="0"/>
                <w:sz w:val="20"/>
              </w:rPr>
              <w:t>Client coordination burden</w:t>
            </w:r>
          </w:p>
        </w:tc>
      </w:tr>
      <w:tr>
        <w:trPr>
          <w:trHeight w:val="425" w:hRule="atLeast"/>
        </w:trPr>
        <w:tc>
          <w:tcPr>
            <w:tcW w:type="dxa" w:w="3249"/>
            <w:vAlign w:val="center"/>
          </w:tcPr>
          <w:p>
            <w:pPr>
              <w:spacing w:line="276" w:lineRule="auto" w:before="0" w:after="0"/>
            </w:pPr>
            <w:r/>
            <w:r>
              <w:rPr>
                <w:rFonts w:ascii="Figtree" w:hAnsi="Figtree"/>
                <w:b/>
                <w:i w:val="0"/>
                <w:sz w:val="20"/>
              </w:rPr>
              <w:t>Year 1 cost</w:t>
            </w:r>
          </w:p>
        </w:tc>
        <w:tc>
          <w:tcPr>
            <w:tcW w:type="dxa" w:w="3249"/>
            <w:vAlign w:val="center"/>
          </w:tcPr>
          <w:p>
            <w:pPr>
              <w:spacing w:line="276" w:lineRule="auto" w:before="0" w:after="0"/>
            </w:pPr>
            <w:r/>
            <w:r>
              <w:rPr>
                <w:rFonts w:ascii="Figtree" w:hAnsi="Figtree"/>
                <w:b w:val="0"/>
                <w:i w:val="0"/>
                <w:sz w:val="20"/>
              </w:rPr>
              <w:t>€828,000</w:t>
            </w:r>
          </w:p>
        </w:tc>
        <w:tc>
          <w:tcPr>
            <w:tcW w:type="dxa" w:w="3249"/>
            <w:vAlign w:val="center"/>
          </w:tcPr>
          <w:p>
            <w:pPr>
              <w:spacing w:line="276" w:lineRule="auto" w:before="0" w:after="0"/>
            </w:pPr>
            <w:r/>
            <w:r>
              <w:rPr>
                <w:rFonts w:ascii="Figtree" w:hAnsi="Figtree"/>
                <w:b w:val="0"/>
                <w:i w:val="0"/>
                <w:sz w:val="20"/>
              </w:rPr>
              <w:t>€600,000–€1,200,000+</w:t>
            </w:r>
          </w:p>
        </w:tc>
      </w:tr>
    </w:tbl>
    <w:p>
      <w:pPr>
        <w:spacing w:before="0" w:after="0" w:line="120" w:lineRule="exact"/>
      </w:pPr>
    </w:p>
    <w:p>
      <w:pPr>
        <w:pStyle w:val="H3"/>
        <w:numPr>
          <w:ilvl w:val="2"/>
          <w:numId w:val="1"/>
        </w:numPr>
      </w:pPr>
      <w:r>
        <w:t>Cumulative Cost Advantage</w:t>
      </w:r>
    </w:p>
    <w:p>
      <w:r>
        <w:rPr>
          <w:rFonts w:ascii="Figtree" w:hAnsi="Figtree"/>
          <w:b w:val="0"/>
          <w:i w:val="0"/>
          <w:sz w:val="22"/>
        </w:rPr>
        <w:t>Over a 5-year horizon, DALP typically demonstrates 30–50% lower TCO compared to assembled approaches, with the advantage increasing as additional asset classes or use cases are added to the platform. The single-platform model eliminates the duplication, coordination overhead, and reconciliation complexity that characterize multi-vendor architectures.</w:t>
      </w:r>
    </w:p>
    <w:p>
      <w:r>
        <w:br w:type="page"/>
      </w:r>
    </w:p>
    <w:p>
      <w:pPr>
        <w:pStyle w:val="H1"/>
        <w:numPr>
          <w:ilvl w:val="0"/>
          <w:numId w:val="1"/>
        </w:numPr>
      </w:pPr>
      <w:r>
        <w:t>9. Reference Clients</w:t>
      </w:r>
    </w:p>
    <w:p>
      <w:pPr>
        <w:pStyle w:val="H2"/>
        <w:numPr>
          <w:ilvl w:val="1"/>
          <w:numId w:val="1"/>
        </w:numPr>
      </w:pPr>
      <w:r>
        <w:t>9.1 Track Record</w:t>
      </w:r>
    </w:p>
    <w:p>
      <w:r>
        <w:rPr>
          <w:rFonts w:ascii="Figtree" w:hAnsi="Figtree"/>
          <w:b w:val="0"/>
          <w:i w:val="0"/>
          <w:sz w:val="22"/>
        </w:rPr>
        <w:t>SettleMint has delivered digital asset infrastructure across 14 engagements spanning banking, sovereign institutions, capital market infrastructure, insurance, and real estate. The following references are most relevant to ADGM's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7"/>
        <w:gridCol w:w="1760"/>
        <w:gridCol w:w="2031"/>
        <w:gridCol w:w="880"/>
        <w:gridCol w:w="257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Deployment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1949"/>
            <w:vAlign w:val="center"/>
          </w:tcPr>
          <w:p>
            <w:pPr>
              <w:spacing w:line="276" w:lineRule="auto" w:before="0" w:after="0"/>
            </w:pPr>
            <w:r/>
            <w:r>
              <w:rPr>
                <w:rFonts w:ascii="Figtree" w:hAnsi="Figtree"/>
                <w:b/>
                <w:i w:val="0"/>
                <w:sz w:val="20"/>
              </w:rPr>
              <w:t>Standard Chartered Bank</w:t>
            </w:r>
          </w:p>
        </w:tc>
        <w:tc>
          <w:tcPr>
            <w:tcW w:type="dxa" w:w="1949"/>
            <w:vAlign w:val="center"/>
          </w:tcPr>
          <w:p>
            <w:pPr>
              <w:spacing w:line="276" w:lineRule="auto" w:before="0" w:after="0"/>
            </w:pPr>
            <w:r/>
            <w:r>
              <w:rPr>
                <w:rFonts w:ascii="Figtree" w:hAnsi="Figtree"/>
                <w:b w:val="0"/>
                <w:i w:val="0"/>
                <w:sz w:val="20"/>
              </w:rPr>
              <w:t>Asia, Africa, Middle East</w:t>
            </w:r>
          </w:p>
        </w:tc>
        <w:tc>
          <w:tcPr>
            <w:tcW w:type="dxa" w:w="1949"/>
            <w:vAlign w:val="center"/>
          </w:tcPr>
          <w:p>
            <w:pPr>
              <w:spacing w:line="276" w:lineRule="auto" w:before="0" w:after="0"/>
            </w:pPr>
            <w:r/>
            <w:r>
              <w:rPr>
                <w:rFonts w:ascii="Figtree" w:hAnsi="Figtree"/>
                <w:b w:val="0"/>
                <w:i w:val="0"/>
                <w:sz w:val="20"/>
              </w:rPr>
              <w:t>Securities, bonds, currencies</w:t>
            </w:r>
          </w:p>
        </w:tc>
        <w:tc>
          <w:tcPr>
            <w:tcW w:type="dxa" w:w="1949"/>
            <w:vAlign w:val="center"/>
          </w:tcPr>
          <w:p>
            <w:pPr>
              <w:spacing w:line="276" w:lineRule="auto" w:before="0" w:after="0"/>
            </w:pPr>
            <w:r/>
            <w:r>
              <w:rPr>
                <w:rFonts w:ascii="Figtree" w:hAnsi="Figtree"/>
                <w:b w:val="0"/>
                <w:i w:val="0"/>
                <w:sz w:val="20"/>
              </w:rPr>
              <w:t>Multi-network</w:t>
            </w:r>
          </w:p>
        </w:tc>
        <w:tc>
          <w:tcPr>
            <w:tcW w:type="dxa" w:w="1949"/>
            <w:vAlign w:val="center"/>
          </w:tcPr>
          <w:p>
            <w:pPr>
              <w:spacing w:line="276" w:lineRule="auto" w:before="0" w:after="0"/>
            </w:pPr>
            <w:r/>
            <w:r>
              <w:rPr>
                <w:rFonts w:ascii="Figtree" w:hAnsi="Figtree"/>
                <w:b w:val="0"/>
                <w:i w:val="0"/>
                <w:sz w:val="20"/>
              </w:rPr>
              <w:t>Institutional banking, multi-region</w:t>
            </w:r>
          </w:p>
        </w:tc>
      </w:tr>
      <w:tr>
        <w:trPr>
          <w:trHeight w:val="425" w:hRule="atLeast"/>
        </w:trPr>
        <w:tc>
          <w:tcPr>
            <w:tcW w:type="dxa" w:w="1949"/>
            <w:vAlign w:val="center"/>
          </w:tcPr>
          <w:p>
            <w:pPr>
              <w:spacing w:line="276" w:lineRule="auto" w:before="0" w:after="0"/>
            </w:pPr>
            <w:r/>
            <w:r>
              <w:rPr>
                <w:rFonts w:ascii="Figtree" w:hAnsi="Figtree"/>
                <w:b/>
                <w:i w:val="0"/>
                <w:sz w:val="20"/>
              </w:rPr>
              <w:t>Saudi Arabia RER</w:t>
            </w:r>
          </w:p>
        </w:tc>
        <w:tc>
          <w:tcPr>
            <w:tcW w:type="dxa" w:w="1949"/>
            <w:vAlign w:val="center"/>
          </w:tcPr>
          <w:p>
            <w:pPr>
              <w:spacing w:line="276" w:lineRule="auto" w:before="0" w:after="0"/>
            </w:pPr>
            <w:r/>
            <w:r>
              <w:rPr>
                <w:rFonts w:ascii="Figtree" w:hAnsi="Figtree"/>
                <w:b w:val="0"/>
                <w:i w:val="0"/>
                <w:sz w:val="20"/>
              </w:rPr>
              <w:t>Middle East (Saudi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Country-scale</w:t>
            </w:r>
          </w:p>
        </w:tc>
        <w:tc>
          <w:tcPr>
            <w:tcW w:type="dxa" w:w="1949"/>
            <w:vAlign w:val="center"/>
          </w:tcPr>
          <w:p>
            <w:pPr>
              <w:spacing w:line="276" w:lineRule="auto" w:before="0" w:after="0"/>
            </w:pPr>
            <w:r/>
            <w:r>
              <w:rPr>
                <w:rFonts w:ascii="Figtree" w:hAnsi="Figtree"/>
                <w:b w:val="0"/>
                <w:i w:val="0"/>
                <w:sz w:val="20"/>
              </w:rPr>
              <w:t>Government infrastructure, Vision 2030</w:t>
            </w:r>
          </w:p>
        </w:tc>
      </w:tr>
      <w:tr>
        <w:trPr>
          <w:trHeight w:val="425" w:hRule="atLeast"/>
        </w:trPr>
        <w:tc>
          <w:tcPr>
            <w:tcW w:type="dxa" w:w="1949"/>
            <w:vAlign w:val="center"/>
          </w:tcPr>
          <w:p>
            <w:pPr>
              <w:spacing w:line="276" w:lineRule="auto" w:before="0" w:after="0"/>
            </w:pPr>
            <w:r/>
            <w:r>
              <w:rPr>
                <w:rFonts w:ascii="Figtree" w:hAnsi="Figtree"/>
                <w:b/>
                <w:i w:val="0"/>
                <w:sz w:val="20"/>
              </w:rPr>
              <w:t>ADI-Finstreet</w:t>
            </w:r>
          </w:p>
        </w:tc>
        <w:tc>
          <w:tcPr>
            <w:tcW w:type="dxa" w:w="1949"/>
            <w:vAlign w:val="center"/>
          </w:tcPr>
          <w:p>
            <w:pPr>
              <w:spacing w:line="276" w:lineRule="auto" w:before="0" w:after="0"/>
            </w:pPr>
            <w:r/>
            <w:r>
              <w:rPr>
                <w:rFonts w:ascii="Figtree" w:hAnsi="Figtree"/>
                <w:b w:val="0"/>
                <w:i w:val="0"/>
                <w:sz w:val="20"/>
              </w:rPr>
              <w:t>Middle East (Abu Dhabi)</w:t>
            </w:r>
          </w:p>
        </w:tc>
        <w:tc>
          <w:tcPr>
            <w:tcW w:type="dxa" w:w="1949"/>
            <w:vAlign w:val="center"/>
          </w:tcPr>
          <w:p>
            <w:pPr>
              <w:spacing w:line="276" w:lineRule="auto" w:before="0" w:after="0"/>
            </w:pPr>
            <w:r/>
            <w:r>
              <w:rPr>
                <w:rFonts w:ascii="Figtree" w:hAnsi="Figtree"/>
                <w:b w:val="0"/>
                <w:i w:val="0"/>
                <w:sz w:val="20"/>
              </w:rPr>
              <w:t>Equity tokens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UAE market, local regulatory alignment</w:t>
            </w:r>
          </w:p>
        </w:tc>
      </w:tr>
      <w:tr>
        <w:trPr>
          <w:trHeight w:val="425" w:hRule="atLeast"/>
        </w:trPr>
        <w:tc>
          <w:tcPr>
            <w:tcW w:type="dxa" w:w="1949"/>
            <w:vAlign w:val="center"/>
          </w:tcPr>
          <w:p>
            <w:pPr>
              <w:spacing w:line="276" w:lineRule="auto" w:before="0" w:after="0"/>
            </w:pPr>
            <w:r/>
            <w:r>
              <w:rPr>
                <w:rFonts w:ascii="Figtree" w:hAnsi="Figtree"/>
                <w:b/>
                <w:i w:val="0"/>
                <w:sz w:val="20"/>
              </w:rPr>
              <w:t>OCBC Bank</w:t>
            </w:r>
          </w:p>
        </w:tc>
        <w:tc>
          <w:tcPr>
            <w:tcW w:type="dxa" w:w="1949"/>
            <w:vAlign w:val="center"/>
          </w:tcPr>
          <w:p>
            <w:pPr>
              <w:spacing w:line="276" w:lineRule="auto" w:before="0" w:after="0"/>
            </w:pPr>
            <w:r/>
            <w:r>
              <w:rPr>
                <w:rFonts w:ascii="Figtree" w:hAnsi="Figtree"/>
                <w:b w:val="0"/>
                <w:i w:val="0"/>
                <w:sz w:val="20"/>
              </w:rPr>
              <w:t>Southeast Asia (Singapore)</w:t>
            </w:r>
          </w:p>
        </w:tc>
        <w:tc>
          <w:tcPr>
            <w:tcW w:type="dxa" w:w="1949"/>
            <w:vAlign w:val="center"/>
          </w:tcPr>
          <w:p>
            <w:pPr>
              <w:spacing w:line="276" w:lineRule="auto" w:before="0" w:after="0"/>
            </w:pPr>
            <w:r/>
            <w:r>
              <w:rPr>
                <w:rFonts w:ascii="Figtree" w:hAnsi="Figtree"/>
                <w:b w:val="0"/>
                <w:i w:val="0"/>
                <w:sz w:val="20"/>
              </w:rPr>
              <w:t>Securities, bonds, real estate</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Security token engine, HNWIs</w:t>
            </w:r>
          </w:p>
        </w:tc>
      </w:tr>
      <w:tr>
        <w:trPr>
          <w:trHeight w:val="425" w:hRule="atLeast"/>
        </w:trPr>
        <w:tc>
          <w:tcPr>
            <w:tcW w:type="dxa" w:w="1949"/>
            <w:vAlign w:val="center"/>
          </w:tcPr>
          <w:p>
            <w:pPr>
              <w:spacing w:line="276" w:lineRule="auto" w:before="0" w:after="0"/>
            </w:pPr>
            <w:r/>
            <w:r>
              <w:rPr>
                <w:rFonts w:ascii="Figtree" w:hAnsi="Figtree"/>
                <w:b/>
                <w:i w:val="0"/>
                <w:sz w:val="20"/>
              </w:rPr>
              <w:t>Commerzbank</w:t>
            </w:r>
          </w:p>
        </w:tc>
        <w:tc>
          <w:tcPr>
            <w:tcW w:type="dxa" w:w="1949"/>
            <w:vAlign w:val="center"/>
          </w:tcPr>
          <w:p>
            <w:pPr>
              <w:spacing w:line="276" w:lineRule="auto" w:before="0" w:after="0"/>
            </w:pPr>
            <w:r/>
            <w:r>
              <w:rPr>
                <w:rFonts w:ascii="Figtree" w:hAnsi="Figtree"/>
                <w:b w:val="0"/>
                <w:i w:val="0"/>
                <w:sz w:val="20"/>
              </w:rPr>
              <w:t>Europe (Germany)</w:t>
            </w:r>
          </w:p>
        </w:tc>
        <w:tc>
          <w:tcPr>
            <w:tcW w:type="dxa" w:w="1949"/>
            <w:vAlign w:val="center"/>
          </w:tcPr>
          <w:p>
            <w:pPr>
              <w:spacing w:line="276" w:lineRule="auto" w:before="0" w:after="0"/>
            </w:pPr>
            <w:r/>
            <w:r>
              <w:rPr>
                <w:rFonts w:ascii="Figtree" w:hAnsi="Figtree"/>
                <w:b w:val="0"/>
                <w:i w:val="0"/>
                <w:sz w:val="20"/>
              </w:rPr>
              <w:t>Exchange-traded products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Boerse Stuttgart integration, ETP</w:t>
            </w:r>
          </w:p>
        </w:tc>
      </w:tr>
      <w:tr>
        <w:trPr>
          <w:trHeight w:val="425" w:hRule="atLeast"/>
        </w:trPr>
        <w:tc>
          <w:tcPr>
            <w:tcW w:type="dxa" w:w="1949"/>
            <w:vAlign w:val="center"/>
          </w:tcPr>
          <w:p>
            <w:pPr>
              <w:spacing w:line="276" w:lineRule="auto" w:before="0" w:after="0"/>
            </w:pPr>
            <w:r/>
            <w:r>
              <w:rPr>
                <w:rFonts w:ascii="Figtree" w:hAnsi="Figtree"/>
                <w:b/>
                <w:i w:val="0"/>
                <w:sz w:val="20"/>
              </w:rPr>
              <w:t>Maybank</w:t>
            </w:r>
          </w:p>
        </w:tc>
        <w:tc>
          <w:tcPr>
            <w:tcW w:type="dxa" w:w="1949"/>
            <w:vAlign w:val="center"/>
          </w:tcPr>
          <w:p>
            <w:pPr>
              <w:spacing w:line="276" w:lineRule="auto" w:before="0" w:after="0"/>
            </w:pPr>
            <w:r/>
            <w:r>
              <w:rPr>
                <w:rFonts w:ascii="Figtree" w:hAnsi="Figtree"/>
                <w:b w:val="0"/>
                <w:i w:val="0"/>
                <w:sz w:val="20"/>
              </w:rPr>
              <w:t>Southeast Asia (Malaysia)</w:t>
            </w:r>
          </w:p>
        </w:tc>
        <w:tc>
          <w:tcPr>
            <w:tcW w:type="dxa" w:w="1949"/>
            <w:vAlign w:val="center"/>
          </w:tcPr>
          <w:p>
            <w:pPr>
              <w:spacing w:line="276" w:lineRule="auto" w:before="0" w:after="0"/>
            </w:pPr>
            <w:r/>
            <w:r>
              <w:rPr>
                <w:rFonts w:ascii="Figtree" w:hAnsi="Figtree"/>
                <w:b w:val="0"/>
                <w:i w:val="0"/>
                <w:sz w:val="20"/>
              </w:rPr>
              <w:t>FX tokens</w:t>
            </w:r>
          </w:p>
        </w:tc>
        <w:tc>
          <w:tcPr>
            <w:tcW w:type="dxa" w:w="1949"/>
            <w:vAlign w:val="center"/>
          </w:tcPr>
          <w:p>
            <w:pPr>
              <w:spacing w:line="276" w:lineRule="auto" w:before="0" w:after="0"/>
            </w:pPr>
            <w:r/>
            <w:r>
              <w:rPr>
                <w:rFonts w:ascii="Figtree" w:hAnsi="Figtree"/>
                <w:b w:val="0"/>
                <w:i w:val="0"/>
                <w:sz w:val="20"/>
              </w:rPr>
              <w:t>Production</w:t>
            </w:r>
          </w:p>
        </w:tc>
        <w:tc>
          <w:tcPr>
            <w:tcW w:type="dxa" w:w="1949"/>
            <w:vAlign w:val="center"/>
          </w:tcPr>
          <w:p>
            <w:pPr>
              <w:spacing w:line="276" w:lineRule="auto" w:before="0" w:after="0"/>
            </w:pPr>
            <w:r/>
            <w:r>
              <w:rPr>
                <w:rFonts w:ascii="Figtree" w:hAnsi="Figtree"/>
                <w:b w:val="0"/>
                <w:i w:val="0"/>
                <w:sz w:val="20"/>
              </w:rPr>
              <w:t>XvP settlement, cross-border</w:t>
            </w:r>
          </w:p>
        </w:tc>
      </w:tr>
    </w:tbl>
    <w:p>
      <w:pPr>
        <w:spacing w:before="0" w:after="0" w:line="120" w:lineRule="exact"/>
      </w:pPr>
    </w:p>
    <w:p>
      <w:pPr>
        <w:pStyle w:val="H3"/>
        <w:numPr>
          <w:ilvl w:val="2"/>
          <w:numId w:val="1"/>
        </w:numPr>
      </w:pPr>
      <w:r>
        <w:t>Middle East Regional Experience</w:t>
      </w:r>
    </w:p>
    <w:p>
      <w:r>
        <w:rPr>
          <w:rFonts w:ascii="Figtree" w:hAnsi="Figtree"/>
          <w:b w:val="0"/>
          <w:i w:val="0"/>
          <w:sz w:val="22"/>
        </w:rPr>
        <w:t>SettleMint has direct experience in the Middle East region:</w:t>
      </w:r>
    </w:p>
    <w:p>
      <w:pPr>
        <w:pStyle w:val="ListParagraph"/>
        <w:numPr>
          <w:ilvl w:val="0"/>
          <w:numId w:val="4"/>
        </w:numPr>
      </w:pPr>
      <w:r>
        <w:rPr>
          <w:rFonts w:ascii="Figtree" w:hAnsi="Figtree"/>
          <w:b/>
          <w:i w:val="0"/>
          <w:sz w:val="22"/>
        </w:rPr>
        <w:t>ADI-Finstreet</w:t>
      </w:r>
      <w:r>
        <w:rPr>
          <w:rFonts w:ascii="Figtree" w:hAnsi="Figtree"/>
          <w:b w:val="0"/>
          <w:i w:val="0"/>
          <w:sz w:val="22"/>
        </w:rPr>
        <w:t xml:space="preserve"> (Abu Dhabi): Tokenized equity issuance on ADI mainnet with corporate actions and institutional custody integration. Directly relevant to ADGM's regulatory framework.</w:t>
      </w:r>
    </w:p>
    <w:p>
      <w:pPr>
        <w:pStyle w:val="ListParagraph"/>
        <w:numPr>
          <w:ilvl w:val="0"/>
          <w:numId w:val="4"/>
        </w:numPr>
      </w:pPr>
      <w:r>
        <w:rPr>
          <w:rFonts w:ascii="Figtree" w:hAnsi="Figtree"/>
          <w:b/>
          <w:i w:val="0"/>
          <w:sz w:val="22"/>
        </w:rPr>
        <w:t>Saudi Arabia RER</w:t>
      </w:r>
      <w:r>
        <w:rPr>
          <w:rFonts w:ascii="Figtree" w:hAnsi="Figtree"/>
          <w:b w:val="0"/>
          <w:i w:val="0"/>
          <w:sz w:val="22"/>
        </w:rPr>
        <w:t xml:space="preserve"> (Saudi Arabia): Country-scale blockchain for real estate registration, fractionalization, and digital marketplace under REGA/Vision 2030. Demonstrates sovereign-scale deployment capability.</w:t>
      </w:r>
    </w:p>
    <w:p>
      <w:pPr>
        <w:pStyle w:val="ListParagraph"/>
        <w:numPr>
          <w:ilvl w:val="0"/>
          <w:numId w:val="4"/>
        </w:numPr>
      </w:pPr>
      <w:r>
        <w:rPr>
          <w:rFonts w:ascii="Figtree" w:hAnsi="Figtree"/>
          <w:b/>
          <w:i w:val="0"/>
          <w:sz w:val="22"/>
        </w:rPr>
        <w:t>Islamic Development Bank</w:t>
      </w:r>
      <w:r>
        <w:rPr>
          <w:rFonts w:ascii="Figtree" w:hAnsi="Figtree"/>
          <w:b w:val="0"/>
          <w:i w:val="0"/>
          <w:sz w:val="22"/>
        </w:rPr>
        <w:t xml:space="preserve"> (57 countries): Sharia-compliant subsidy distribution and market stabilization. Shows understanding of Islamic finance requirements applicable to UAE market.</w:t>
      </w:r>
    </w:p>
    <w:p>
      <w:pPr>
        <w:pStyle w:val="H2"/>
        <w:numPr>
          <w:ilvl w:val="1"/>
          <w:numId w:val="1"/>
        </w:numPr>
      </w:pPr>
      <w:r>
        <w:t>9.2 Case Studies</w:t>
      </w:r>
    </w:p>
    <w:p>
      <w:pPr>
        <w:pStyle w:val="H3"/>
        <w:numPr>
          <w:ilvl w:val="2"/>
          <w:numId w:val="1"/>
        </w:numPr>
      </w:pPr>
      <w:r>
        <w:t>Case Study 1: ADI-Finstreet — Equity Tokenization in Abu Dhabi</w:t>
      </w:r>
    </w:p>
    <w:p>
      <w:r>
        <w:rPr>
          <w:rFonts w:ascii="Figtree" w:hAnsi="Figtree"/>
          <w:b/>
          <w:i w:val="0"/>
          <w:sz w:val="22"/>
        </w:rPr>
        <w:t>Context</w:t>
      </w:r>
      <w:r>
        <w:rPr>
          <w:rFonts w:ascii="Figtree" w:hAnsi="Figtree"/>
          <w:b w:val="0"/>
          <w:i w:val="0"/>
          <w:sz w:val="22"/>
        </w:rPr>
        <w:t>: ADI-Finstreet required a platform for tokenized equity issuance on ADI mainnet with corporate actions, on-chain voting, and institutional custody integration.</w:t>
      </w:r>
    </w:p>
    <w:p>
      <w:r>
        <w:rPr>
          <w:rFonts w:ascii="Figtree" w:hAnsi="Figtree"/>
          <w:b/>
          <w:i w:val="0"/>
          <w:sz w:val="22"/>
        </w:rPr>
        <w:t>Challenge</w:t>
      </w:r>
      <w:r>
        <w:rPr>
          <w:rFonts w:ascii="Figtree" w:hAnsi="Figtree"/>
          <w:b w:val="0"/>
          <w:i w:val="0"/>
          <w:sz w:val="22"/>
        </w:rPr>
        <w:t>: Launch regulated equity tokens in Abu Dhabi market with full compliance to local requirements and integration to existing market infrastructure.</w:t>
      </w:r>
    </w:p>
    <w:p>
      <w:r>
        <w:rPr>
          <w:rFonts w:ascii="Figtree" w:hAnsi="Figtree"/>
          <w:b/>
          <w:i w:val="0"/>
          <w:sz w:val="22"/>
        </w:rPr>
        <w:t>Solution</w:t>
      </w:r>
      <w:r>
        <w:rPr>
          <w:rFonts w:ascii="Figtree" w:hAnsi="Figtree"/>
          <w:b w:val="0"/>
          <w:i w:val="0"/>
          <w:sz w:val="22"/>
        </w:rPr>
        <w:t>: DALP configured with equity asset class, compliance modules mapped to SCA and ADGM requirements, and custody integration to institutional providers.</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Tokenized equity issuance on ADI mainnet operational</w:t>
      </w:r>
    </w:p>
    <w:p>
      <w:pPr>
        <w:pStyle w:val="ListParagraph"/>
        <w:numPr>
          <w:ilvl w:val="0"/>
          <w:numId w:val="4"/>
        </w:numPr>
      </w:pPr>
      <w:r>
        <w:rPr>
          <w:rFonts w:ascii="Figtree" w:hAnsi="Figtree"/>
          <w:b w:val="0"/>
          <w:i w:val="0"/>
          <w:sz w:val="22"/>
        </w:rPr>
        <w:t>Corporate actions automation including dividend distributions</w:t>
      </w:r>
    </w:p>
    <w:p>
      <w:pPr>
        <w:pStyle w:val="ListParagraph"/>
        <w:numPr>
          <w:ilvl w:val="0"/>
          <w:numId w:val="4"/>
        </w:numPr>
      </w:pPr>
      <w:r>
        <w:rPr>
          <w:rFonts w:ascii="Figtree" w:hAnsi="Figtree"/>
          <w:b w:val="0"/>
          <w:i w:val="0"/>
          <w:sz w:val="22"/>
        </w:rPr>
        <w:t>On-chain voting capability for shareholder resolutions</w:t>
      </w:r>
    </w:p>
    <w:p>
      <w:pPr>
        <w:pStyle w:val="ListParagraph"/>
        <w:numPr>
          <w:ilvl w:val="0"/>
          <w:numId w:val="4"/>
        </w:numPr>
      </w:pPr>
      <w:r>
        <w:rPr>
          <w:rFonts w:ascii="Figtree" w:hAnsi="Figtree"/>
          <w:b w:val="0"/>
          <w:i w:val="0"/>
          <w:sz w:val="22"/>
        </w:rPr>
        <w:t>Custody integration with institutional providers</w:t>
      </w:r>
    </w:p>
    <w:p>
      <w:r>
        <w:rPr>
          <w:rFonts w:ascii="Figtree" w:hAnsi="Figtree"/>
          <w:b/>
          <w:i w:val="0"/>
          <w:sz w:val="22"/>
        </w:rPr>
        <w:t>Relevance to ADGM</w:t>
      </w:r>
      <w:r>
        <w:rPr>
          <w:rFonts w:ascii="Figtree" w:hAnsi="Figtree"/>
          <w:b w:val="0"/>
          <w:i w:val="0"/>
          <w:sz w:val="22"/>
        </w:rPr>
        <w:t>: This reference demonstrates SettleMint's direct experience with UAE regulatory requirements and Abu Dhabi market infrastructure. It validates the platform's capability to operate within ADGM's regulatory framework.</w:t>
      </w:r>
    </w:p>
    <w:p>
      <w:pPr>
        <w:pStyle w:val="H3"/>
        <w:numPr>
          <w:ilvl w:val="2"/>
          <w:numId w:val="1"/>
        </w:numPr>
      </w:pPr>
      <w:r>
        <w:t>Case Study 2: Standard Chartered Bank — Digital Virtual Exchange</w:t>
      </w:r>
    </w:p>
    <w:p>
      <w:r>
        <w:rPr>
          <w:rFonts w:ascii="Figtree" w:hAnsi="Figtree"/>
          <w:b/>
          <w:i w:val="0"/>
          <w:sz w:val="22"/>
        </w:rPr>
        <w:t>Context</w:t>
      </w:r>
      <w:r>
        <w:rPr>
          <w:rFonts w:ascii="Figtree" w:hAnsi="Figtree"/>
          <w:b w:val="0"/>
          <w:i w:val="0"/>
          <w:sz w:val="22"/>
        </w:rPr>
        <w:t>: Standard Chartered Bank needed a solution for fractional tokenization of securities (shares, bonds, currencies) across high-growth regions in Asia, Africa, and the Middle East.</w:t>
      </w:r>
    </w:p>
    <w:p>
      <w:r>
        <w:rPr>
          <w:rFonts w:ascii="Figtree" w:hAnsi="Figtree"/>
          <w:b/>
          <w:i w:val="0"/>
          <w:sz w:val="22"/>
        </w:rPr>
        <w:t>Challenge</w:t>
      </w:r>
      <w:r>
        <w:rPr>
          <w:rFonts w:ascii="Figtree" w:hAnsi="Figtree"/>
          <w:b w:val="0"/>
          <w:i w:val="0"/>
          <w:sz w:val="22"/>
        </w:rPr>
        <w:t>: Eliminate custody intermediaries, achieve instant settlement, and create immutable audit trails while maintaining institutional-grade compliance.</w:t>
      </w:r>
    </w:p>
    <w:p>
      <w:r>
        <w:rPr>
          <w:rFonts w:ascii="Figtree" w:hAnsi="Figtree"/>
          <w:b/>
          <w:i w:val="0"/>
          <w:sz w:val="22"/>
        </w:rPr>
        <w:t>Solution</w:t>
      </w:r>
      <w:r>
        <w:rPr>
          <w:rFonts w:ascii="Figtree" w:hAnsi="Figtree"/>
          <w:b w:val="0"/>
          <w:i w:val="0"/>
          <w:sz w:val="22"/>
        </w:rPr>
        <w:t>: DALP deployed as blockchain-based Digital Virtual Exchange with asset contract framework for tokenization, on-chain ownership recording, and institutional access controls.</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Settlement times reduced from days to near-instant finality</w:t>
      </w:r>
    </w:p>
    <w:p>
      <w:pPr>
        <w:pStyle w:val="ListParagraph"/>
        <w:numPr>
          <w:ilvl w:val="0"/>
          <w:numId w:val="4"/>
        </w:numPr>
      </w:pPr>
      <w:r>
        <w:rPr>
          <w:rFonts w:ascii="Figtree" w:hAnsi="Figtree"/>
          <w:b w:val="0"/>
          <w:i w:val="0"/>
          <w:sz w:val="22"/>
        </w:rPr>
        <w:t>Custody intermediary costs eliminated for on-chain transactions</w:t>
      </w:r>
    </w:p>
    <w:p>
      <w:pPr>
        <w:pStyle w:val="ListParagraph"/>
        <w:numPr>
          <w:ilvl w:val="0"/>
          <w:numId w:val="4"/>
        </w:numPr>
      </w:pPr>
      <w:r>
        <w:rPr>
          <w:rFonts w:ascii="Figtree" w:hAnsi="Figtree"/>
          <w:b w:val="0"/>
          <w:i w:val="0"/>
          <w:sz w:val="22"/>
        </w:rPr>
        <w:t>Immutable ownership records providing greater transparency</w:t>
      </w:r>
    </w:p>
    <w:p>
      <w:pPr>
        <w:pStyle w:val="ListParagraph"/>
        <w:numPr>
          <w:ilvl w:val="0"/>
          <w:numId w:val="4"/>
        </w:numPr>
      </w:pPr>
      <w:r>
        <w:rPr>
          <w:rFonts w:ascii="Figtree" w:hAnsi="Figtree"/>
          <w:b w:val="0"/>
          <w:i w:val="0"/>
          <w:sz w:val="22"/>
        </w:rPr>
        <w:t>Fractional tokenization enabling broader investor access</w:t>
      </w:r>
    </w:p>
    <w:p>
      <w:r>
        <w:rPr>
          <w:rFonts w:ascii="Figtree" w:hAnsi="Figtree"/>
          <w:b/>
          <w:i w:val="0"/>
          <w:sz w:val="22"/>
        </w:rPr>
        <w:t>Relevance to ADGM</w:t>
      </w:r>
      <w:r>
        <w:rPr>
          <w:rFonts w:ascii="Figtree" w:hAnsi="Figtree"/>
          <w:b w:val="0"/>
          <w:i w:val="0"/>
          <w:sz w:val="22"/>
        </w:rPr>
        <w:t>: This reference demonstrates DALP's capability to support large-scale institutional deployments across multiple regions, with complex compliance requirements and high transaction volumes.</w:t>
      </w:r>
    </w:p>
    <w:p>
      <w:pPr>
        <w:pStyle w:val="H3"/>
        <w:numPr>
          <w:ilvl w:val="2"/>
          <w:numId w:val="1"/>
        </w:numPr>
      </w:pPr>
      <w:r>
        <w:t>Case Study 3: Saudi Arabia RER — Country-Scale Real Estate Tokenization</w:t>
      </w:r>
    </w:p>
    <w:p>
      <w:r>
        <w:rPr>
          <w:rFonts w:ascii="Figtree" w:hAnsi="Figtree"/>
          <w:b/>
          <w:i w:val="0"/>
          <w:sz w:val="22"/>
        </w:rPr>
        <w:t>Context</w:t>
      </w:r>
      <w:r>
        <w:rPr>
          <w:rFonts w:ascii="Figtree" w:hAnsi="Figtree"/>
          <w:b w:val="0"/>
          <w:i w:val="0"/>
          <w:sz w:val="22"/>
        </w:rPr>
        <w:t>: The Real Estate General Authority (REGA) of Saudi Arabia required national-scale blockchain infrastructure for property registration, fractionalization, and a regulated digital marketplace as part of Vision 2030.</w:t>
      </w:r>
    </w:p>
    <w:p>
      <w:r>
        <w:rPr>
          <w:rFonts w:ascii="Figtree" w:hAnsi="Figtree"/>
          <w:b/>
          <w:i w:val="0"/>
          <w:sz w:val="22"/>
        </w:rPr>
        <w:t>Challenge</w:t>
      </w:r>
      <w:r>
        <w:rPr>
          <w:rFonts w:ascii="Figtree" w:hAnsi="Figtree"/>
          <w:b w:val="0"/>
          <w:i w:val="0"/>
          <w:sz w:val="22"/>
        </w:rPr>
        <w:t>: Build the world's first country-scale property blockchain, integrating with national identity (Yakeen), payment rails (Sadad), escrow systems, and the existing core registry.</w:t>
      </w:r>
    </w:p>
    <w:p>
      <w:r>
        <w:rPr>
          <w:rFonts w:ascii="Figtree" w:hAnsi="Figtree"/>
          <w:b/>
          <w:i w:val="0"/>
          <w:sz w:val="22"/>
        </w:rPr>
        <w:t>Solution</w:t>
      </w:r>
      <w:r>
        <w:rPr>
          <w:rFonts w:ascii="Figtree" w:hAnsi="Figtree"/>
          <w:b w:val="0"/>
          <w:i w:val="0"/>
          <w:sz w:val="22"/>
        </w:rPr>
        <w:t>: DALP powers the blockchain and tokenization layer with a unified RER API Gateway consumed by PropTechs, banks, and developers. Marketplace services handle listing, due diligence, identity verification, and escrow.</w:t>
      </w:r>
    </w:p>
    <w:p>
      <w:r>
        <w:rPr>
          <w:rFonts w:ascii="Figtree" w:hAnsi="Figtree"/>
          <w:b/>
          <w:i w:val="0"/>
          <w:sz w:val="22"/>
        </w:rPr>
        <w:t>Outcomes</w:t>
      </w:r>
      <w:r>
        <w:rPr>
          <w:rFonts w:ascii="Figtree" w:hAnsi="Figtree"/>
          <w:b w:val="0"/>
          <w:i w:val="0"/>
          <w:sz w:val="22"/>
        </w:rPr>
        <w:t>:</w:t>
      </w:r>
    </w:p>
    <w:p>
      <w:pPr>
        <w:pStyle w:val="ListParagraph"/>
        <w:numPr>
          <w:ilvl w:val="0"/>
          <w:numId w:val="4"/>
        </w:numPr>
      </w:pPr>
      <w:r>
        <w:rPr>
          <w:rFonts w:ascii="Figtree" w:hAnsi="Figtree"/>
          <w:b w:val="0"/>
          <w:i w:val="0"/>
          <w:sz w:val="22"/>
        </w:rPr>
        <w:t>First country in the world to deploy national-scale property blockchain</w:t>
      </w:r>
    </w:p>
    <w:p>
      <w:pPr>
        <w:pStyle w:val="ListParagraph"/>
        <w:numPr>
          <w:ilvl w:val="0"/>
          <w:numId w:val="4"/>
        </w:numPr>
      </w:pPr>
      <w:r>
        <w:rPr>
          <w:rFonts w:ascii="Figtree" w:hAnsi="Figtree"/>
          <w:b w:val="0"/>
          <w:i w:val="0"/>
          <w:sz w:val="22"/>
        </w:rPr>
        <w:t>Live production transactions since January 2026</w:t>
      </w:r>
    </w:p>
    <w:p>
      <w:pPr>
        <w:pStyle w:val="ListParagraph"/>
        <w:numPr>
          <w:ilvl w:val="0"/>
          <w:numId w:val="4"/>
        </w:numPr>
      </w:pPr>
      <w:r>
        <w:rPr>
          <w:rFonts w:ascii="Figtree" w:hAnsi="Figtree"/>
          <w:b w:val="0"/>
          <w:i w:val="0"/>
          <w:sz w:val="22"/>
        </w:rPr>
        <w:t>Four PropTechs (Sahl, Madek, Ghanem, Jozo) operational</w:t>
      </w:r>
    </w:p>
    <w:p>
      <w:pPr>
        <w:pStyle w:val="ListParagraph"/>
        <w:numPr>
          <w:ilvl w:val="0"/>
          <w:numId w:val="4"/>
        </w:numPr>
      </w:pPr>
      <w:r>
        <w:rPr>
          <w:rFonts w:ascii="Figtree" w:hAnsi="Figtree"/>
          <w:b w:val="0"/>
          <w:i w:val="0"/>
          <w:sz w:val="22"/>
        </w:rPr>
        <w:t>Fractional ownership of commercial real estate now possible</w:t>
      </w:r>
    </w:p>
    <w:p>
      <w:r>
        <w:rPr>
          <w:rFonts w:ascii="Figtree" w:hAnsi="Figtree"/>
          <w:b/>
          <w:i w:val="0"/>
          <w:sz w:val="22"/>
        </w:rPr>
        <w:t>Relevance to ADGM</w:t>
      </w:r>
      <w:r>
        <w:rPr>
          <w:rFonts w:ascii="Figtree" w:hAnsi="Figtree"/>
          <w:b w:val="0"/>
          <w:i w:val="0"/>
          <w:sz w:val="22"/>
        </w:rPr>
        <w:t>: This reference demonstrates SettleMint's ability to execute at sovereign scale, work within government regulatory frameworks, and support multiple participants through a single platform. Directly applicable to ADGM's role as a regulatory body enabling market infrastructure.</w:t>
      </w:r>
    </w:p>
    <w:p>
      <w:r>
        <w:br w:type="page"/>
      </w:r>
    </w:p>
    <w:p>
      <w:pPr>
        <w:pStyle w:val="H1"/>
        <w:numPr>
          <w:ilvl w:val="0"/>
          <w:numId w:val="1"/>
        </w:numPr>
      </w:pPr>
      <w:r>
        <w:t>10. Next Steps</w:t>
      </w:r>
    </w:p>
    <w:p>
      <w:r>
        <w:rPr>
          <w:rFonts w:ascii="Figtree" w:hAnsi="Figtree"/>
          <w:b w:val="0"/>
          <w:i w:val="0"/>
          <w:sz w:val="22"/>
        </w:rPr>
        <w:t>SettleMint proposes the following pathway from this proposal to formal commercial agreement:</w:t>
      </w:r>
    </w:p>
    <w:p>
      <w:pPr>
        <w:pStyle w:val="H2"/>
        <w:numPr>
          <w:ilvl w:val="1"/>
          <w:numId w:val="1"/>
        </w:numPr>
      </w:pPr>
      <w:r>
        <w:t>Step 1: Scoping Workshop (Week 1–2)</w:t>
      </w:r>
    </w:p>
    <w:p>
      <w:r>
        <w:rPr>
          <w:rFonts w:ascii="Figtree" w:hAnsi="Figtree"/>
          <w:b/>
          <w:i w:val="0"/>
          <w:sz w:val="22"/>
        </w:rPr>
        <w:t>Duration</w:t>
      </w:r>
      <w:r>
        <w:rPr>
          <w:rFonts w:ascii="Figtree" w:hAnsi="Figtree"/>
          <w:b w:val="0"/>
          <w:i w:val="0"/>
          <w:sz w:val="22"/>
        </w:rPr>
        <w:t>: 1–2 days</w:t>
      </w:r>
    </w:p>
    <w:p>
      <w:r>
        <w:rPr>
          <w:rFonts w:ascii="Figtree" w:hAnsi="Figtree"/>
          <w:b/>
          <w:i w:val="0"/>
          <w:sz w:val="22"/>
        </w:rPr>
        <w:t>Participants</w:t>
      </w:r>
      <w:r>
        <w:rPr>
          <w:rFonts w:ascii="Figtree" w:hAnsi="Figtree"/>
          <w:b w:val="0"/>
          <w:i w:val="0"/>
          <w:sz w:val="22"/>
        </w:rPr>
        <w:t>: ADGM business sponsors, technology leadership, compliance/risk officers; SettleMint solution architect and delivery lead</w:t>
      </w:r>
    </w:p>
    <w:p>
      <w:r>
        <w:rPr>
          <w:rFonts w:ascii="Figtree" w:hAnsi="Figtree"/>
          <w:b/>
          <w:i w:val="0"/>
          <w:sz w:val="22"/>
        </w:rPr>
        <w:t>Objectives</w:t>
      </w:r>
      <w:r>
        <w:rPr>
          <w:rFonts w:ascii="Figtree" w:hAnsi="Figtree"/>
          <w:b w:val="0"/>
          <w:i w:val="0"/>
          <w:sz w:val="22"/>
        </w:rPr>
        <w:t>:</w:t>
      </w:r>
    </w:p>
    <w:p>
      <w:pPr>
        <w:pStyle w:val="ListParagraph"/>
        <w:numPr>
          <w:ilvl w:val="0"/>
          <w:numId w:val="4"/>
        </w:numPr>
      </w:pPr>
      <w:r>
        <w:rPr>
          <w:rFonts w:ascii="Figtree" w:hAnsi="Figtree"/>
          <w:b w:val="0"/>
          <w:i w:val="0"/>
          <w:sz w:val="22"/>
        </w:rPr>
        <w:t>Validate deployment requirements and timeline</w:t>
      </w:r>
    </w:p>
    <w:p>
      <w:pPr>
        <w:pStyle w:val="ListParagraph"/>
        <w:numPr>
          <w:ilvl w:val="0"/>
          <w:numId w:val="4"/>
        </w:numPr>
      </w:pPr>
      <w:r>
        <w:rPr>
          <w:rFonts w:ascii="Figtree" w:hAnsi="Figtree"/>
          <w:b w:val="0"/>
          <w:i w:val="0"/>
          <w:sz w:val="22"/>
        </w:rPr>
        <w:t>Confirm integration landscape and system connectivity</w:t>
      </w:r>
    </w:p>
    <w:p>
      <w:pPr>
        <w:pStyle w:val="ListParagraph"/>
        <w:numPr>
          <w:ilvl w:val="0"/>
          <w:numId w:val="4"/>
        </w:numPr>
      </w:pPr>
      <w:r>
        <w:rPr>
          <w:rFonts w:ascii="Figtree" w:hAnsi="Figtree"/>
          <w:b w:val="0"/>
          <w:i w:val="0"/>
          <w:sz w:val="22"/>
        </w:rPr>
        <w:t>Map compliance requirements to DALP configuration</w:t>
      </w:r>
    </w:p>
    <w:p>
      <w:pPr>
        <w:pStyle w:val="ListParagraph"/>
        <w:numPr>
          <w:ilvl w:val="0"/>
          <w:numId w:val="4"/>
        </w:numPr>
      </w:pPr>
      <w:r>
        <w:rPr>
          <w:rFonts w:ascii="Figtree" w:hAnsi="Figtree"/>
          <w:b w:val="0"/>
          <w:i w:val="0"/>
          <w:sz w:val="22"/>
        </w:rPr>
        <w:t>Refine commercial terms based on validated scope</w:t>
      </w:r>
    </w:p>
    <w:p>
      <w:r>
        <w:rPr>
          <w:rFonts w:ascii="Figtree" w:hAnsi="Figtree"/>
          <w:b/>
          <w:i w:val="0"/>
          <w:sz w:val="22"/>
        </w:rPr>
        <w:t>Output</w:t>
      </w:r>
      <w:r>
        <w:rPr>
          <w:rFonts w:ascii="Figtree" w:hAnsi="Figtree"/>
          <w:b w:val="0"/>
          <w:i w:val="0"/>
          <w:sz w:val="22"/>
        </w:rPr>
        <w:t>: Signed scope confirmation document</w:t>
      </w:r>
    </w:p>
    <w:p>
      <w:pPr>
        <w:pStyle w:val="H2"/>
        <w:numPr>
          <w:ilvl w:val="1"/>
          <w:numId w:val="1"/>
        </w:numPr>
      </w:pPr>
      <w:r>
        <w:t>Step 2: Commercial Refinement (Week 2–3)</w:t>
      </w:r>
    </w:p>
    <w:p>
      <w:r>
        <w:rPr>
          <w:rFonts w:ascii="Figtree" w:hAnsi="Figtree"/>
          <w:b w:val="0"/>
          <w:i w:val="0"/>
          <w:sz w:val="22"/>
        </w:rPr>
        <w:t>Following scope validation, SettleMint will provide:</w:t>
      </w:r>
    </w:p>
    <w:p>
      <w:pPr>
        <w:pStyle w:val="ListParagraph"/>
        <w:numPr>
          <w:ilvl w:val="0"/>
          <w:numId w:val="4"/>
        </w:numPr>
      </w:pPr>
      <w:r>
        <w:rPr>
          <w:rFonts w:ascii="Figtree" w:hAnsi="Figtree"/>
          <w:b w:val="0"/>
          <w:i w:val="0"/>
          <w:sz w:val="22"/>
        </w:rPr>
        <w:t>Refined pricing based on confirmed scope</w:t>
      </w:r>
    </w:p>
    <w:p>
      <w:pPr>
        <w:pStyle w:val="ListParagraph"/>
        <w:numPr>
          <w:ilvl w:val="0"/>
          <w:numId w:val="4"/>
        </w:numPr>
      </w:pPr>
      <w:r>
        <w:rPr>
          <w:rFonts w:ascii="Figtree" w:hAnsi="Figtree"/>
          <w:b w:val="0"/>
          <w:i w:val="0"/>
          <w:sz w:val="22"/>
        </w:rPr>
        <w:t>Finalized payment schedule aligned to ADGM procurement policies</w:t>
      </w:r>
    </w:p>
    <w:p>
      <w:pPr>
        <w:pStyle w:val="ListParagraph"/>
        <w:numPr>
          <w:ilvl w:val="0"/>
          <w:numId w:val="4"/>
        </w:numPr>
      </w:pPr>
      <w:r>
        <w:rPr>
          <w:rFonts w:ascii="Figtree" w:hAnsi="Figtree"/>
          <w:b w:val="0"/>
          <w:i w:val="0"/>
          <w:sz w:val="22"/>
        </w:rPr>
        <w:t>Draft contract terms for legal review</w:t>
      </w:r>
    </w:p>
    <w:p>
      <w:pPr>
        <w:pStyle w:val="ListParagraph"/>
        <w:numPr>
          <w:ilvl w:val="0"/>
          <w:numId w:val="4"/>
        </w:numPr>
      </w:pPr>
      <w:r>
        <w:rPr>
          <w:rFonts w:ascii="Figtree" w:hAnsi="Figtree"/>
          <w:b w:val="0"/>
          <w:i w:val="0"/>
          <w:sz w:val="22"/>
        </w:rPr>
        <w:t>Implementation timeline confirmation</w:t>
      </w:r>
    </w:p>
    <w:p>
      <w:pPr>
        <w:pStyle w:val="H2"/>
        <w:numPr>
          <w:ilvl w:val="1"/>
          <w:numId w:val="1"/>
        </w:numPr>
      </w:pPr>
      <w:r>
        <w:t>Step 3: Proof of Value (Optional, Week 3–7)</w:t>
      </w:r>
    </w:p>
    <w:p>
      <w:r>
        <w:rPr>
          <w:rFonts w:ascii="Figtree" w:hAnsi="Figtree"/>
          <w:b/>
          <w:i w:val="0"/>
          <w:sz w:val="22"/>
        </w:rPr>
        <w:t>Duration</w:t>
      </w:r>
      <w:r>
        <w:rPr>
          <w:rFonts w:ascii="Figtree" w:hAnsi="Figtree"/>
          <w:b w:val="0"/>
          <w:i w:val="0"/>
          <w:sz w:val="22"/>
        </w:rPr>
        <w:t>: 4 weeks</w:t>
      </w:r>
    </w:p>
    <w:p>
      <w:r>
        <w:rPr>
          <w:rFonts w:ascii="Figtree" w:hAnsi="Figtree"/>
          <w:b w:val="0"/>
          <w:i w:val="0"/>
          <w:sz w:val="22"/>
        </w:rPr>
        <w:t>For organizations requiring technical validation before commitment, SettleMint offers a time-boxed Proof of Value engagement:</w:t>
      </w:r>
    </w:p>
    <w:p>
      <w:pPr>
        <w:pStyle w:val="ListParagraph"/>
        <w:numPr>
          <w:ilvl w:val="0"/>
          <w:numId w:val="4"/>
        </w:numPr>
      </w:pPr>
      <w:r>
        <w:rPr>
          <w:rFonts w:ascii="Figtree" w:hAnsi="Figtree"/>
          <w:b w:val="0"/>
          <w:i w:val="0"/>
          <w:sz w:val="22"/>
        </w:rPr>
        <w:t>Access to DALP sandbox environment</w:t>
      </w:r>
    </w:p>
    <w:p>
      <w:pPr>
        <w:pStyle w:val="ListParagraph"/>
        <w:numPr>
          <w:ilvl w:val="0"/>
          <w:numId w:val="4"/>
        </w:numPr>
      </w:pPr>
      <w:r>
        <w:rPr>
          <w:rFonts w:ascii="Figtree" w:hAnsi="Figtree"/>
          <w:b w:val="0"/>
          <w:i w:val="0"/>
          <w:sz w:val="22"/>
        </w:rPr>
        <w:t>Technical demonstration against ADGM's specific requirements</w:t>
      </w:r>
    </w:p>
    <w:p>
      <w:pPr>
        <w:pStyle w:val="ListParagraph"/>
        <w:numPr>
          <w:ilvl w:val="0"/>
          <w:numId w:val="4"/>
        </w:numPr>
      </w:pPr>
      <w:r>
        <w:rPr>
          <w:rFonts w:ascii="Figtree" w:hAnsi="Figtree"/>
          <w:b w:val="0"/>
          <w:i w:val="0"/>
          <w:sz w:val="22"/>
        </w:rPr>
        <w:t>Integration prototype development</w:t>
      </w:r>
    </w:p>
    <w:p>
      <w:pPr>
        <w:pStyle w:val="ListParagraph"/>
        <w:numPr>
          <w:ilvl w:val="0"/>
          <w:numId w:val="4"/>
        </w:numPr>
      </w:pPr>
      <w:r>
        <w:rPr>
          <w:rFonts w:ascii="Figtree" w:hAnsi="Figtree"/>
          <w:b w:val="0"/>
          <w:i w:val="0"/>
          <w:sz w:val="22"/>
        </w:rPr>
        <w:t>Performance benchmarking</w:t>
      </w:r>
    </w:p>
    <w:p>
      <w:r>
        <w:rPr>
          <w:rFonts w:ascii="Figtree" w:hAnsi="Figtree"/>
          <w:b/>
          <w:i w:val="0"/>
          <w:sz w:val="22"/>
        </w:rPr>
        <w:t>Investment</w:t>
      </w:r>
      <w:r>
        <w:rPr>
          <w:rFonts w:ascii="Figtree" w:hAnsi="Figtree"/>
          <w:b w:val="0"/>
          <w:i w:val="0"/>
          <w:sz w:val="22"/>
        </w:rPr>
        <w:t>: €40,000 (credited to implementation on contract execution)</w:t>
      </w:r>
    </w:p>
    <w:p>
      <w:pPr>
        <w:pStyle w:val="H2"/>
        <w:numPr>
          <w:ilvl w:val="1"/>
          <w:numId w:val="1"/>
        </w:numPr>
      </w:pPr>
      <w:r>
        <w:t>Step 4: Contract Execution (Week 4–6)</w:t>
      </w:r>
    </w:p>
    <w:p>
      <w:r>
        <w:rPr>
          <w:rFonts w:ascii="Figtree" w:hAnsi="Figtree"/>
          <w:b w:val="0"/>
          <w:i w:val="0"/>
          <w:sz w:val="22"/>
        </w:rPr>
        <w:t>Final steps include:</w:t>
      </w:r>
    </w:p>
    <w:p>
      <w:pPr>
        <w:pStyle w:val="ListParagraph"/>
        <w:numPr>
          <w:ilvl w:val="0"/>
          <w:numId w:val="4"/>
        </w:numPr>
      </w:pPr>
      <w:r>
        <w:rPr>
          <w:rFonts w:ascii="Figtree" w:hAnsi="Figtree"/>
          <w:b w:val="0"/>
          <w:i w:val="0"/>
          <w:sz w:val="22"/>
        </w:rPr>
        <w:t>Legal review of contract terms</w:t>
      </w:r>
    </w:p>
    <w:p>
      <w:pPr>
        <w:pStyle w:val="ListParagraph"/>
        <w:numPr>
          <w:ilvl w:val="0"/>
          <w:numId w:val="4"/>
        </w:numPr>
      </w:pPr>
      <w:r>
        <w:rPr>
          <w:rFonts w:ascii="Figtree" w:hAnsi="Figtree"/>
          <w:b w:val="0"/>
          <w:i w:val="0"/>
          <w:sz w:val="22"/>
        </w:rPr>
        <w:t>Internal approvals and signatures</w:t>
      </w:r>
    </w:p>
    <w:p>
      <w:pPr>
        <w:pStyle w:val="ListParagraph"/>
        <w:numPr>
          <w:ilvl w:val="0"/>
          <w:numId w:val="4"/>
        </w:numPr>
      </w:pPr>
      <w:r>
        <w:rPr>
          <w:rFonts w:ascii="Figtree" w:hAnsi="Figtree"/>
          <w:b w:val="0"/>
          <w:i w:val="0"/>
          <w:sz w:val="22"/>
        </w:rPr>
        <w:t>Project kickoff scheduling</w:t>
      </w:r>
    </w:p>
    <w:p>
      <w:pPr>
        <w:pStyle w:val="H2"/>
        <w:numPr>
          <w:ilvl w:val="1"/>
          <w:numId w:val="1"/>
        </w:numPr>
      </w:pPr>
      <w:r>
        <w:t>Contact Information</w:t>
      </w:r>
    </w:p>
    <w:p>
      <w:r>
        <w:rPr>
          <w:rFonts w:ascii="Figtree" w:hAnsi="Figtree"/>
          <w:b/>
          <w:i w:val="0"/>
          <w:sz w:val="22"/>
        </w:rPr>
        <w:t>SettleMint Account Team</w:t>
      </w:r>
    </w:p>
    <w:p>
      <w:r>
        <w:rPr>
          <w:rFonts w:ascii="Figtree" w:hAnsi="Figtree"/>
          <w:b w:val="0"/>
          <w:i w:val="0"/>
          <w:sz w:val="22"/>
        </w:rPr>
        <w:t>To schedule the scoping workshop or discuss any aspect of this proposal, please contact your SettleMint account representative.</w:t>
      </w:r>
    </w:p>
    <w:p>
      <w:r>
        <w:br w:type="page"/>
      </w:r>
    </w:p>
    <w:p>
      <w:r>
        <w:rPr>
          <w:rFonts w:ascii="Figtree" w:hAnsi="Figtree"/>
          <w:b w:val="0"/>
          <w:i/>
          <w:sz w:val="22"/>
        </w:rPr>
        <w:t>End of Commercial Proposal</w:t>
      </w:r>
    </w:p>
    <w:p>
      <w:r>
        <w:rPr>
          <w:rFonts w:ascii="Figtree" w:hAnsi="Figtree"/>
          <w:b w:val="0"/>
          <w:i/>
          <w:sz w:val="22"/>
        </w:rPr>
        <w:t>This document contains confidential and proprietary information. Distribution or reproduction without written permission is prohibited.</w:t>
      </w:r>
    </w:p>
    <w:p>
      <w:r>
        <w:br w:type="page"/>
      </w:r>
    </w:p>
    <w:p>
      <w:pPr>
        <w:pStyle w:val="H1"/>
        <w:numPr>
          <w:ilvl w:val="0"/>
          <w:numId w:val="1"/>
        </w:numPr>
      </w:pPr>
      <w:r>
        <w:t>Appendix A: DALP Platform Capability Overview</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DALP's Issuance pillar provides comprehensive capabilities for creating and launching digital assets on blockchain networks. The platform supports multiple issuance patterns including initial token offerings, security token issuances, and asset-backed tokenization. Issuance workflows include investor cap management, allocation rounds, pricing mechanisms, and vesting schedules. The platform handles the complete lifecycle from token creation through initial distribution, with built-in compliance checks at the point of issuance to ensure regulatory requirements are satisfied before tokens enter circulation.</w:t>
      </w:r>
    </w:p>
    <w:p>
      <w:r>
        <w:rPr>
          <w:rFonts w:ascii="Figtree" w:hAnsi="Figtree"/>
          <w:b w:val="0"/>
          <w:i w:val="0"/>
          <w:sz w:val="22"/>
        </w:rPr>
        <w:t>The issuance engine supports both fungible tokens (ERC-20 and equivalent standards) and non-fungible tokens (ERC-721, ERC-1155), enabling representation of diverse asset classes from traditional securities to unique digital collectibles. Each token deployment includes configurable parameters for supply, divisibility, transferability, and metadata management. The platform maintains a complete audit trail of all issuance events, providing regulators and auditors with visibility into token creation logic and initial distribution.</w:t>
      </w:r>
    </w:p>
    <w:p>
      <w:pPr>
        <w:pStyle w:val="H3"/>
        <w:numPr>
          <w:ilvl w:val="2"/>
          <w:numId w:val="1"/>
        </w:numPr>
      </w:pPr>
      <w:r>
        <w:t>Compliance</w:t>
      </w:r>
    </w:p>
    <w:p>
      <w:r>
        <w:rPr>
          <w:rFonts w:ascii="Figtree" w:hAnsi="Figtree"/>
          <w:b w:val="0"/>
          <w:i w:val="0"/>
          <w:sz w:val="22"/>
        </w:rPr>
        <w:t>The Compliance pillar represents one of DALP's strongest Differentiators for regulated institutions. The platform includes eighteen compliance module types that enforce regulatory requirements at the smart contract level, ensuring that non-compliant transactions are rejected before execution rather than relying on post-transaction review. This ex-ante enforcement model provides stronger regulatory protection and reduces operational burden on compliance teams.</w:t>
      </w:r>
    </w:p>
    <w:p>
      <w:r>
        <w:rPr>
          <w:rFonts w:ascii="Figtree" w:hAnsi="Figtree"/>
          <w:b w:val="0"/>
          <w:i w:val="0"/>
          <w:sz w:val="22"/>
        </w:rPr>
        <w:t>Compliance modules include country restrictions (allowing or blocking transfers based on investor jurisdiction), investor accreditation verification (confirming investor status before permitting participation), holding period enforcement (preventing transfers before regulatory lock-up periods expire), supply limits (enforcing maximum token quantities per investor or globally), transfer windows (restricting transfers to defined time periods), and collateral backing verification (confirming underlying asset backing for asset-backed tokens). The modular architecture allows compliance officers to activate, configure, and combine modules without modifying smart contract code, enabling rapid adaptation to regulatory changes without engineering intervention.</w:t>
      </w:r>
    </w:p>
    <w:p>
      <w:pPr>
        <w:pStyle w:val="H3"/>
        <w:numPr>
          <w:ilvl w:val="2"/>
          <w:numId w:val="1"/>
        </w:numPr>
      </w:pPr>
      <w:r>
        <w:t>Custody Integration</w:t>
      </w:r>
    </w:p>
    <w:p>
      <w:r>
        <w:rPr>
          <w:rFonts w:ascii="Figtree" w:hAnsi="Figtree"/>
          <w:b w:val="0"/>
          <w:i w:val="0"/>
          <w:sz w:val="22"/>
        </w:rPr>
        <w:t>DALP provides a bring-your-own-custodian model that integrates with institutional custody providers while maintaining platform-level control over transaction policies and signing workflows. The custody integration layer supports major providers including Fireblocks and DFNS, with architecture that allows additional custodian onboarding through standard integration patterns.</w:t>
      </w:r>
    </w:p>
    <w:p>
      <w:r>
        <w:rPr>
          <w:rFonts w:ascii="Figtree" w:hAnsi="Figtree"/>
          <w:b w:val="0"/>
          <w:i w:val="0"/>
          <w:sz w:val="22"/>
        </w:rPr>
        <w:t>The platform separates key management from transaction execution, enabling institutions to maintain their preferred custody arrangement while benefiting from DALP's lifecycle management, compliance enforcement, and settlement capabilities. Custody integration includes transaction signing workflows that support multi-signature quorum requirements, time-locked approvals for high-value transactions, and automated reconciliation between on-chain positions and custody records.</w:t>
      </w:r>
    </w:p>
    <w:p>
      <w:pPr>
        <w:pStyle w:val="H3"/>
        <w:numPr>
          <w:ilvl w:val="2"/>
          <w:numId w:val="1"/>
        </w:numPr>
      </w:pPr>
      <w:r>
        <w:t>Settlement</w:t>
      </w:r>
    </w:p>
    <w:p>
      <w:r>
        <w:rPr>
          <w:rFonts w:ascii="Figtree" w:hAnsi="Figtree"/>
          <w:b w:val="0"/>
          <w:i w:val="0"/>
          <w:sz w:val="22"/>
        </w:rPr>
        <w:t>The Settlement pillar delivers atomic settlement capabilities that eliminate counterparty risk in digital asset transactions. DALP supports both Delivery-versus-Payment (DvP) and Exchange-versus-Payment (XvP) settlement patterns, ensuring that asset and cash legs execute simultaneously or both revert, removing the settlement risk that plagues traditional securities processing.</w:t>
      </w:r>
    </w:p>
    <w:p>
      <w:r>
        <w:rPr>
          <w:rFonts w:ascii="Figtree" w:hAnsi="Figtree"/>
          <w:b w:val="0"/>
          <w:i w:val="0"/>
          <w:sz w:val="22"/>
        </w:rPr>
        <w:t>DvP settlement enables simultaneous exchange of digital assets and fiat currencies, typically through integration with payment rails. XvP extends this capability to multi-party asset exchanges, enabling atomic swaps between different digital assets or cross-currency settlements. Both patterns achieve near-instant finality (sub-second to minutes depending on network configuration) compared to traditional T+2 or T+3 settlement cycles.</w:t>
      </w:r>
    </w:p>
    <w:p>
      <w:pPr>
        <w:pStyle w:val="H3"/>
        <w:numPr>
          <w:ilvl w:val="2"/>
          <w:numId w:val="1"/>
        </w:numPr>
      </w:pPr>
      <w:r>
        <w:t>Servicing</w:t>
      </w:r>
    </w:p>
    <w:p>
      <w:r>
        <w:rPr>
          <w:rFonts w:ascii="Figtree" w:hAnsi="Figtree"/>
          <w:b w:val="0"/>
          <w:i w:val="0"/>
          <w:sz w:val="22"/>
        </w:rPr>
        <w:t>The Servicing pillar handles ongoing operational events throughout the token lifecycle, including corporate actions, yield distributions, and token management. Automated servicing capabilities reduce manual operations while ensuring accuracy and compliance.</w:t>
      </w:r>
    </w:p>
    <w:p>
      <w:r>
        <w:rPr>
          <w:rFonts w:ascii="Figtree" w:hAnsi="Figtree"/>
          <w:b w:val="0"/>
          <w:i w:val="0"/>
          <w:sz w:val="22"/>
        </w:rPr>
        <w:t>Corporate action support includes dividend distributions, interest payments, voting rights delegation, and maturity handling for time-bound instruments. The platform automates calculation, distribution, and record-keeping for yield-bearing assets, eliminating manual coupon processing. For tokenized real estate or other illiquid assets, DALP supports rental income distribution, capital event handling, and exit management workflows.</w:t>
      </w:r>
    </w:p>
    <w:p>
      <w:r>
        <w:br w:type="page"/>
      </w:r>
    </w:p>
    <w:p>
      <w:pPr>
        <w:pStyle w:val="H1"/>
        <w:numPr>
          <w:ilvl w:val="0"/>
          <w:numId w:val="1"/>
        </w:numPr>
      </w:pPr>
      <w:r>
        <w:t>Appendix B: Technical Architecture Summary</w:t>
      </w:r>
    </w:p>
    <w:p>
      <w:pPr>
        <w:pStyle w:val="H2"/>
        <w:numPr>
          <w:ilvl w:val="1"/>
          <w:numId w:val="1"/>
        </w:numPr>
      </w:pPr>
      <w:r>
        <w:t>Deployment Architecture</w:t>
      </w:r>
    </w:p>
    <w:p>
      <w:r>
        <w:rPr>
          <w:rFonts w:ascii="Figtree" w:hAnsi="Figtree"/>
          <w:b w:val="0"/>
          <w:i w:val="0"/>
          <w:sz w:val="22"/>
        </w:rPr>
        <w:t>DALP deployment follows a microservices architecture deployed on Kubernetes, providing horizontal scalability, fault isolation, and operational flexibility. The platform comprises several core service groups:</w:t>
      </w:r>
    </w:p>
    <w:p>
      <w:r>
        <w:rPr>
          <w:rFonts w:ascii="Figtree" w:hAnsi="Figtree"/>
          <w:b/>
          <w:i w:val="0"/>
          <w:sz w:val="22"/>
        </w:rPr>
        <w:t>API Layer</w:t>
      </w:r>
      <w:r>
        <w:rPr>
          <w:rFonts w:ascii="Figtree" w:hAnsi="Figtree"/>
          <w:b w:val="0"/>
          <w:i w:val="0"/>
          <w:sz w:val="22"/>
        </w:rPr>
        <w:t>: The API layer exposes DALP's capabilities through REST API v2, oRPC (optimistic RPC), and GraphQL interfaces. The API layer handles authentication, rate limiting, request validation, and routing to backend services. All API interactions are logged for audit purposes, with comprehensive request tracing enabling end-to-end visibility.</w:t>
      </w:r>
    </w:p>
    <w:p>
      <w:r>
        <w:rPr>
          <w:rFonts w:ascii="Figtree" w:hAnsi="Figtree"/>
          <w:b/>
          <w:i w:val="0"/>
          <w:sz w:val="22"/>
        </w:rPr>
        <w:t>Application Layer</w:t>
      </w:r>
      <w:r>
        <w:rPr>
          <w:rFonts w:ascii="Figtree" w:hAnsi="Figtree"/>
          <w:b w:val="0"/>
          <w:i w:val="0"/>
          <w:sz w:val="22"/>
        </w:rPr>
        <w:t>: Core business logic resides in application services that orchestrate token operations, compliance checks, and workflow execution. Services communicate through an event bus, enabling asynchronous processing and loose coupling between components. The application layer implements the platform's lifecycle management, compliance enforcement, and settlement coordination logic.</w:t>
      </w:r>
    </w:p>
    <w:p>
      <w:r>
        <w:rPr>
          <w:rFonts w:ascii="Figtree" w:hAnsi="Figtree"/>
          <w:b/>
          <w:i w:val="0"/>
          <w:sz w:val="22"/>
        </w:rPr>
        <w:t>Blockchain Layer</w:t>
      </w:r>
      <w:r>
        <w:rPr>
          <w:rFonts w:ascii="Figtree" w:hAnsi="Figtree"/>
          <w:b w:val="0"/>
          <w:i w:val="0"/>
          <w:sz w:val="22"/>
        </w:rPr>
        <w:t>: DALP interfaces with blockchain networks through a dedicated connector layer that abstracts network-specific details. The connector layer manages node connectivity, transaction submission, event indexing, and block synchronization. This architecture allows the platform to support multiple blockchain networks simultaneously without duplicating business logic.</w:t>
      </w:r>
    </w:p>
    <w:p>
      <w:r>
        <w:rPr>
          <w:rFonts w:ascii="Figtree" w:hAnsi="Figtree"/>
          <w:b/>
          <w:i w:val="0"/>
          <w:sz w:val="22"/>
        </w:rPr>
        <w:t>Data Layer</w:t>
      </w:r>
      <w:r>
        <w:rPr>
          <w:rFonts w:ascii="Figtree" w:hAnsi="Figtree"/>
          <w:b w:val="0"/>
          <w:i w:val="0"/>
          <w:sz w:val="22"/>
        </w:rPr>
        <w:t>: The platform maintains operational data in PostgreSQL for structured records and object storage for binary artifacts. The data layer includes event sourcing patterns that maintain complete operational history, supporting audit requirements and enabling reconstruction of historical states.</w:t>
      </w:r>
    </w:p>
    <w:p>
      <w:pPr>
        <w:pStyle w:val="H2"/>
        <w:numPr>
          <w:ilvl w:val="1"/>
          <w:numId w:val="1"/>
        </w:numPr>
      </w:pPr>
      <w:r>
        <w:t>Security Model</w:t>
      </w:r>
    </w:p>
    <w:p>
      <w:r>
        <w:rPr>
          <w:rFonts w:ascii="Figtree" w:hAnsi="Figtree"/>
          <w:b w:val="0"/>
          <w:i w:val="0"/>
          <w:sz w:val="22"/>
        </w:rPr>
        <w:t>DALP implements defense-in-depth security through multiple layers:</w:t>
      </w:r>
    </w:p>
    <w:p>
      <w:r>
        <w:rPr>
          <w:rFonts w:ascii="Figtree" w:hAnsi="Figtree"/>
          <w:b/>
          <w:i w:val="0"/>
          <w:sz w:val="22"/>
        </w:rPr>
        <w:t>Network Security</w:t>
      </w:r>
      <w:r>
        <w:rPr>
          <w:rFonts w:ascii="Figtree" w:hAnsi="Figtree"/>
          <w:b w:val="0"/>
          <w:i w:val="0"/>
          <w:sz w:val="22"/>
        </w:rPr>
        <w:t>: Kubernetes network policies restrict inter-service communication to explicit allowlists. External access is controlled through ingress controllers with TLS termination. Private Cloud and On-premises deployments support network isolation including air-gapped configurations.</w:t>
      </w:r>
    </w:p>
    <w:p>
      <w:r>
        <w:rPr>
          <w:rFonts w:ascii="Figtree" w:hAnsi="Figtree"/>
          <w:b/>
          <w:i w:val="0"/>
          <w:sz w:val="22"/>
        </w:rPr>
        <w:t>Identity and Access Management</w:t>
      </w:r>
      <w:r>
        <w:rPr>
          <w:rFonts w:ascii="Figtree" w:hAnsi="Figtree"/>
          <w:b w:val="0"/>
          <w:i w:val="0"/>
          <w:sz w:val="22"/>
        </w:rPr>
        <w:t>: The platform integrates with enterprise identity providers through SAML 2.0 and OIDC protocols. Role-based access control (RBAC) defines permissions at granular levels, with support for organizational hierarchies and delegation patterns. All administrative actions require appropriate authorization.</w:t>
      </w:r>
    </w:p>
    <w:p>
      <w:r>
        <w:rPr>
          <w:rFonts w:ascii="Figtree" w:hAnsi="Figtree"/>
          <w:b/>
          <w:i w:val="0"/>
          <w:sz w:val="22"/>
        </w:rPr>
        <w:t>Encryption</w:t>
      </w:r>
      <w:r>
        <w:rPr>
          <w:rFonts w:ascii="Figtree" w:hAnsi="Figtree"/>
          <w:b w:val="0"/>
          <w:i w:val="0"/>
          <w:sz w:val="22"/>
        </w:rPr>
        <w:t>: Data encrypted at rest using AES-256. Data in transit uses TLS 1.3. Key management supports integration with cloud-native secret managers (AWS Secrets Manager, GCP Secret Manager, Azure Key Vault) and Hardware Security Modules (HSM) for production deployments requiring elevated key protection.</w:t>
      </w:r>
    </w:p>
    <w:p>
      <w:r>
        <w:rPr>
          <w:rFonts w:ascii="Figtree" w:hAnsi="Figtree"/>
          <w:b/>
          <w:i w:val="0"/>
          <w:sz w:val="22"/>
        </w:rPr>
        <w:t>Audit Logging</w:t>
      </w:r>
      <w:r>
        <w:rPr>
          <w:rFonts w:ascii="Figtree" w:hAnsi="Figtree"/>
          <w:b w:val="0"/>
          <w:i w:val="0"/>
          <w:sz w:val="22"/>
        </w:rPr>
        <w:t>: Comprehensive audit logging captures all administrative actions, configuration changes, and operational events. Logs are immutable and retained according to configurable retention policies, supporting regulatory compliance and forensic analysis requirements.</w:t>
      </w:r>
    </w:p>
    <w:p>
      <w:r>
        <w:br w:type="page"/>
      </w:r>
    </w:p>
    <w:p>
      <w:pPr>
        <w:pStyle w:val="H1"/>
        <w:numPr>
          <w:ilvl w:val="0"/>
          <w:numId w:val="1"/>
        </w:numPr>
      </w:pPr>
      <w:r>
        <w:t>Appendix C: UAE Regulatory Context</w:t>
      </w:r>
    </w:p>
    <w:p>
      <w:pPr>
        <w:pStyle w:val="H2"/>
        <w:numPr>
          <w:ilvl w:val="1"/>
          <w:numId w:val="1"/>
        </w:numPr>
      </w:pPr>
      <w:r>
        <w:t>Applicable Regulatory Framework</w:t>
      </w:r>
    </w:p>
    <w:p>
      <w:r>
        <w:rPr>
          <w:rFonts w:ascii="Figtree" w:hAnsi="Figtree"/>
          <w:b w:val="0"/>
          <w:i w:val="0"/>
          <w:sz w:val="22"/>
        </w:rPr>
        <w:t>ADGM operates within the UAE's multi-layered regulatory environment. The platform's compliance capabilities map to the following regulatory frameworks:</w:t>
      </w:r>
    </w:p>
    <w:p>
      <w:pPr>
        <w:pStyle w:val="H3"/>
        <w:numPr>
          <w:ilvl w:val="2"/>
          <w:numId w:val="1"/>
        </w:numPr>
      </w:pPr>
      <w:r>
        <w:t>DFSA Digital Asset Regime</w:t>
      </w:r>
    </w:p>
    <w:p>
      <w:r>
        <w:rPr>
          <w:rFonts w:ascii="Figtree" w:hAnsi="Figtree"/>
          <w:b w:val="0"/>
          <w:i w:val="0"/>
          <w:sz w:val="22"/>
        </w:rPr>
        <w:t>The Dubai Financial Services Authority (DFSA) regulatory framework for digital assets establishes requirements for token issuance, trading, and custody within DIFC. DALP's compliance modules support DFSA requirements including investor categorization, marketing restrictions, and custody standards. The platform's immutable audit trail provides evidence of compliance enforcement for regulatory review.</w:t>
      </w:r>
    </w:p>
    <w:p>
      <w:pPr>
        <w:pStyle w:val="H3"/>
        <w:numPr>
          <w:ilvl w:val="2"/>
          <w:numId w:val="1"/>
        </w:numPr>
      </w:pPr>
      <w:r>
        <w:t>ADGM FSMR Framework</w:t>
      </w:r>
    </w:p>
    <w:p>
      <w:r>
        <w:rPr>
          <w:rFonts w:ascii="Figtree" w:hAnsi="Figtree"/>
          <w:b w:val="0"/>
          <w:i w:val="0"/>
          <w:sz w:val="22"/>
        </w:rPr>
        <w:t>The Financial Services and Markets Regulations (FSMR) framework applies to financial services conducted within ADGM. DALP's compliance engine accommodates FSMR requirements through configurable rule enforcement, supporting regulated activities including market making, custody, and operating a multilateral trading facility.</w:t>
      </w:r>
    </w:p>
    <w:p>
      <w:pPr>
        <w:pStyle w:val="H3"/>
        <w:numPr>
          <w:ilvl w:val="2"/>
          <w:numId w:val="1"/>
        </w:numPr>
      </w:pPr>
      <w:r>
        <w:t>CBUAE Payment Expectations</w:t>
      </w:r>
    </w:p>
    <w:p>
      <w:r>
        <w:rPr>
          <w:rFonts w:ascii="Figtree" w:hAnsi="Figtree"/>
          <w:b w:val="0"/>
          <w:i w:val="0"/>
          <w:sz w:val="22"/>
        </w:rPr>
        <w:t>The Central Bank of the UAE (CBUAE) oversees payment systems and stored value facilities. DALP's settlement capabilities align with CBUAE expectations for payment finality, with atomic settlement providing certainty that transaction outcomes are definitive at the point of execution.</w:t>
      </w:r>
    </w:p>
    <w:p>
      <w:pPr>
        <w:pStyle w:val="H3"/>
        <w:numPr>
          <w:ilvl w:val="2"/>
          <w:numId w:val="1"/>
        </w:numPr>
      </w:pPr>
      <w:r>
        <w:t>UAE AML/CFT Requirements</w:t>
      </w:r>
    </w:p>
    <w:p>
      <w:r>
        <w:rPr>
          <w:rFonts w:ascii="Figtree" w:hAnsi="Figtree"/>
          <w:b w:val="0"/>
          <w:i w:val="0"/>
          <w:sz w:val="22"/>
        </w:rPr>
        <w:t>UAE Anti-Money Laundering and Counter-Terrorist Financing requirements impose obligations on financial institutions and regulated entities. DALP integrates with KYC/KYB providers through its identity framework, enabling investor verification that satisfies UAE AML/CFT requirements. Transaction monitoring capabilities support suspicious activity identification, with configurable alerts and case management workflows.</w:t>
      </w:r>
    </w:p>
    <w:p>
      <w:pPr>
        <w:pStyle w:val="H3"/>
        <w:numPr>
          <w:ilvl w:val="2"/>
          <w:numId w:val="1"/>
        </w:numPr>
      </w:pPr>
      <w:r>
        <w:t>Islamic Finance Considerations</w:t>
      </w:r>
    </w:p>
    <w:p>
      <w:r>
        <w:rPr>
          <w:rFonts w:ascii="Figtree" w:hAnsi="Figtree"/>
          <w:b w:val="0"/>
          <w:i w:val="0"/>
          <w:sz w:val="22"/>
        </w:rPr>
        <w:t>For products operating under Islamic finance principles, DALP's configurable compliance framework supports Sharia-compliant structures. The platform can enforce conditions such as asset-backed issuance, profit-and-loss sharing, and prohibition of interest (riba). Integration with Sharia advisory services enables governance of Islamic finance products within the platform's compliance framework.</w:t>
      </w:r>
    </w:p>
    <w:p>
      <w:r>
        <w:br w:type="page"/>
      </w:r>
    </w:p>
    <w:p>
      <w:r>
        <w:rPr>
          <w:rFonts w:ascii="Figtree" w:hAnsi="Figtree"/>
          <w:b w:val="0"/>
          <w:i/>
          <w:sz w:val="22"/>
        </w:rPr>
        <w:t>End of Commercial Proposal — Complete</w:t>
      </w:r>
    </w:p>
    <w:p>
      <w:r>
        <w:rPr>
          <w:rFonts w:ascii="Figtree" w:hAnsi="Figtree"/>
          <w:b w:val="0"/>
          <w:i/>
          <w:sz w:val="22"/>
        </w:rPr>
        <w:t>Document prepared for ADGM Abu Dhabi Global Market —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